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4127" w:rsidRPr="00404F7A" w:rsidRDefault="00C44127" w:rsidP="00C44127">
      <w:pPr>
        <w:ind w:right="-205"/>
        <w:jc w:val="center"/>
        <w:rPr>
          <w:rFonts w:ascii="Cambria" w:hAnsi="Cambria"/>
          <w:color w:val="000000" w:themeColor="text1"/>
          <w:sz w:val="23"/>
          <w:szCs w:val="23"/>
        </w:rPr>
      </w:pPr>
      <w:r w:rsidRPr="00BC0D6B">
        <w:rPr>
          <w:noProof/>
          <w:sz w:val="20"/>
          <w:szCs w:val="20"/>
          <w:lang w:val="en-US"/>
        </w:rPr>
        <w:drawing>
          <wp:inline distT="0" distB="0" distL="0" distR="0" wp14:anchorId="11EE29D6" wp14:editId="78C7BDC5">
            <wp:extent cx="3235960" cy="1099476"/>
            <wp:effectExtent l="0" t="0" r="0" b="0"/>
            <wp:docPr id="7" name="Picture 1" descr="Shared Docs:Public:Sister Organisations:CLC Tas:CLCLogos:CLCTas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 Docs:Public:Sister Organisations:CLC Tas:CLCLogos:CLCTas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7972" cy="1100160"/>
                    </a:xfrm>
                    <a:prstGeom prst="rect">
                      <a:avLst/>
                    </a:prstGeom>
                    <a:noFill/>
                    <a:ln>
                      <a:noFill/>
                    </a:ln>
                  </pic:spPr>
                </pic:pic>
              </a:graphicData>
            </a:graphic>
          </wp:inline>
        </w:drawing>
      </w:r>
    </w:p>
    <w:p w:rsidR="00C44127" w:rsidRPr="00F96D69" w:rsidRDefault="00C44127" w:rsidP="00C44127">
      <w:pPr>
        <w:ind w:right="-205"/>
        <w:jc w:val="both"/>
        <w:rPr>
          <w:rFonts w:ascii="Cambria" w:hAnsi="Cambria"/>
          <w:color w:val="000000" w:themeColor="text1"/>
        </w:rPr>
      </w:pPr>
    </w:p>
    <w:p w:rsidR="00C44127" w:rsidRPr="00F96D69" w:rsidRDefault="00C44127" w:rsidP="00C44127">
      <w:pPr>
        <w:ind w:right="-205"/>
        <w:jc w:val="both"/>
        <w:rPr>
          <w:rFonts w:ascii="Cambria" w:hAnsi="Cambria"/>
          <w:color w:val="000000" w:themeColor="text1"/>
        </w:rPr>
      </w:pPr>
    </w:p>
    <w:p w:rsidR="00C44127" w:rsidRPr="00F96D69" w:rsidRDefault="00C44127" w:rsidP="00C44127">
      <w:pPr>
        <w:ind w:right="-205"/>
        <w:jc w:val="both"/>
        <w:rPr>
          <w:rFonts w:ascii="Cambria" w:hAnsi="Cambria"/>
          <w:color w:val="000000" w:themeColor="text1"/>
        </w:rPr>
      </w:pPr>
      <w:r w:rsidRPr="00F96D69">
        <w:rPr>
          <w:rFonts w:ascii="Cambria" w:hAnsi="Cambria"/>
          <w:color w:val="000000" w:themeColor="text1"/>
        </w:rPr>
        <w:t>1</w:t>
      </w:r>
      <w:r w:rsidR="00BA7F08" w:rsidRPr="00F96D69">
        <w:rPr>
          <w:rFonts w:ascii="Cambria" w:hAnsi="Cambria"/>
          <w:color w:val="000000" w:themeColor="text1"/>
        </w:rPr>
        <w:t>8</w:t>
      </w:r>
      <w:r w:rsidRPr="00F96D69">
        <w:rPr>
          <w:rFonts w:ascii="Cambria" w:hAnsi="Cambria"/>
          <w:color w:val="000000" w:themeColor="text1"/>
        </w:rPr>
        <w:t xml:space="preserve"> February 2025</w:t>
      </w:r>
    </w:p>
    <w:p w:rsidR="00C44127" w:rsidRPr="00F96D69" w:rsidRDefault="00C44127" w:rsidP="00C44127">
      <w:pPr>
        <w:ind w:right="-347"/>
        <w:rPr>
          <w:rFonts w:ascii="Cambria" w:hAnsi="Cambria"/>
          <w:color w:val="000000" w:themeColor="text1"/>
        </w:rPr>
      </w:pPr>
    </w:p>
    <w:p w:rsidR="00C44127" w:rsidRPr="00F96D69" w:rsidRDefault="00C44127" w:rsidP="00C44127">
      <w:pPr>
        <w:ind w:right="-347"/>
        <w:rPr>
          <w:rFonts w:ascii="Cambria" w:hAnsi="Cambria"/>
          <w:color w:val="000000" w:themeColor="text1"/>
        </w:rPr>
      </w:pPr>
      <w:r w:rsidRPr="00F96D69">
        <w:rPr>
          <w:rFonts w:ascii="Cambria" w:hAnsi="Cambria"/>
          <w:color w:val="000000" w:themeColor="text1"/>
        </w:rPr>
        <w:t>Submissions at Strategy and Support</w:t>
      </w:r>
    </w:p>
    <w:p w:rsidR="00C44127" w:rsidRPr="00F96D69" w:rsidRDefault="00C44127" w:rsidP="00C44127">
      <w:pPr>
        <w:ind w:right="-347"/>
        <w:rPr>
          <w:rFonts w:ascii="Cambria" w:hAnsi="Cambria"/>
          <w:color w:val="000000" w:themeColor="text1"/>
        </w:rPr>
      </w:pPr>
      <w:r w:rsidRPr="00F96D69">
        <w:rPr>
          <w:rFonts w:ascii="Cambria" w:hAnsi="Cambria"/>
          <w:color w:val="000000" w:themeColor="text1"/>
        </w:rPr>
        <w:t>Department of Police, Fire and Emergency Management</w:t>
      </w:r>
    </w:p>
    <w:p w:rsidR="00C44127" w:rsidRPr="00F96D69" w:rsidRDefault="00C44127" w:rsidP="00C44127">
      <w:pPr>
        <w:ind w:right="-347"/>
        <w:rPr>
          <w:rFonts w:ascii="Cambria" w:hAnsi="Cambria"/>
          <w:color w:val="000000" w:themeColor="text1"/>
        </w:rPr>
      </w:pPr>
      <w:r w:rsidRPr="00F96D69">
        <w:rPr>
          <w:rFonts w:ascii="Cambria" w:hAnsi="Cambria"/>
          <w:color w:val="000000" w:themeColor="text1"/>
        </w:rPr>
        <w:t>GPO Box 308</w:t>
      </w:r>
    </w:p>
    <w:p w:rsidR="00C44127" w:rsidRPr="00F96D69" w:rsidRDefault="00C44127" w:rsidP="00C44127">
      <w:pPr>
        <w:ind w:right="-347"/>
        <w:rPr>
          <w:rFonts w:ascii="Cambria" w:hAnsi="Cambria"/>
          <w:color w:val="000000" w:themeColor="text1"/>
        </w:rPr>
      </w:pPr>
      <w:r w:rsidRPr="00F96D69">
        <w:rPr>
          <w:rFonts w:ascii="Cambria" w:hAnsi="Cambria"/>
          <w:color w:val="000000" w:themeColor="text1"/>
        </w:rPr>
        <w:t>Hobart TAS 7001</w:t>
      </w:r>
      <w:r w:rsidRPr="00F96D69">
        <w:rPr>
          <w:rFonts w:ascii="Cambria" w:hAnsi="Cambria"/>
          <w:color w:val="000000" w:themeColor="text1"/>
        </w:rPr>
        <w:tab/>
      </w:r>
      <w:r w:rsidRPr="00F96D69">
        <w:rPr>
          <w:rFonts w:ascii="Cambria" w:hAnsi="Cambria"/>
          <w:color w:val="000000" w:themeColor="text1"/>
        </w:rPr>
        <w:tab/>
      </w:r>
      <w:r w:rsidRPr="00F96D69">
        <w:rPr>
          <w:rFonts w:ascii="Cambria" w:hAnsi="Cambria"/>
          <w:color w:val="000000" w:themeColor="text1"/>
        </w:rPr>
        <w:tab/>
      </w:r>
    </w:p>
    <w:p w:rsidR="00C44127" w:rsidRPr="00F96D69" w:rsidRDefault="00C44127" w:rsidP="00C44127">
      <w:pPr>
        <w:ind w:left="2160" w:right="-347" w:firstLine="720"/>
        <w:rPr>
          <w:rFonts w:ascii="Cambria" w:hAnsi="Cambria"/>
          <w:i/>
          <w:iCs/>
          <w:color w:val="000000" w:themeColor="text1"/>
        </w:rPr>
      </w:pPr>
    </w:p>
    <w:p w:rsidR="00C44127" w:rsidRPr="00F96D69" w:rsidRDefault="00C44127" w:rsidP="00C44127">
      <w:pPr>
        <w:ind w:left="2160" w:right="-347" w:firstLine="720"/>
        <w:rPr>
          <w:rFonts w:ascii="Cambria" w:hAnsi="Cambria"/>
          <w:i/>
          <w:iCs/>
          <w:color w:val="000000" w:themeColor="text1"/>
        </w:rPr>
      </w:pPr>
      <w:r w:rsidRPr="00F96D69">
        <w:rPr>
          <w:rFonts w:ascii="Cambria" w:hAnsi="Cambria"/>
          <w:i/>
          <w:iCs/>
          <w:color w:val="000000" w:themeColor="text1"/>
        </w:rPr>
        <w:t xml:space="preserve">via email: </w:t>
      </w:r>
      <w:hyperlink r:id="rId8" w:history="1">
        <w:r w:rsidRPr="00F96D69">
          <w:rPr>
            <w:rFonts w:ascii="Cambria" w:hAnsi="Cambria"/>
            <w:i/>
            <w:iCs/>
            <w:color w:val="156BC4"/>
            <w:u w:val="single"/>
            <w:shd w:val="clear" w:color="auto" w:fill="FFFFFF"/>
          </w:rPr>
          <w:t>submissions.strategy.support@DPFEM.tas.gov.au</w:t>
        </w:r>
      </w:hyperlink>
    </w:p>
    <w:p w:rsidR="00C44127" w:rsidRPr="00F96D69" w:rsidRDefault="00C44127" w:rsidP="00C44127">
      <w:pPr>
        <w:ind w:right="-347"/>
        <w:rPr>
          <w:rFonts w:ascii="Cambria" w:hAnsi="Cambria"/>
          <w:color w:val="000000" w:themeColor="text1"/>
        </w:rPr>
      </w:pPr>
    </w:p>
    <w:p w:rsidR="00C44127" w:rsidRPr="00F96D69" w:rsidRDefault="00C44127" w:rsidP="00C44127">
      <w:pPr>
        <w:ind w:right="-347"/>
        <w:rPr>
          <w:rFonts w:ascii="Cambria" w:hAnsi="Cambria"/>
          <w:color w:val="000000" w:themeColor="text1"/>
        </w:rPr>
      </w:pPr>
      <w:r w:rsidRPr="00F96D69">
        <w:rPr>
          <w:rFonts w:ascii="Cambria" w:hAnsi="Cambria"/>
          <w:color w:val="000000" w:themeColor="text1"/>
        </w:rPr>
        <w:t>To the Department of Police, Fire and Emergency Management,  </w:t>
      </w:r>
    </w:p>
    <w:p w:rsidR="00C44127" w:rsidRPr="00F96D69" w:rsidRDefault="00C44127" w:rsidP="00C44127">
      <w:pPr>
        <w:pBdr>
          <w:bottom w:val="single" w:sz="6" w:space="1" w:color="auto"/>
        </w:pBdr>
        <w:jc w:val="both"/>
        <w:rPr>
          <w:rFonts w:ascii="Cambria" w:hAnsi="Cambria"/>
          <w:b/>
          <w:color w:val="000000" w:themeColor="text1"/>
        </w:rPr>
      </w:pPr>
      <w:r w:rsidRPr="00F96D69">
        <w:rPr>
          <w:rFonts w:ascii="Cambria" w:hAnsi="Cambria"/>
          <w:b/>
          <w:color w:val="000000" w:themeColor="text1"/>
        </w:rPr>
        <w:t xml:space="preserve">Re: </w:t>
      </w:r>
      <w:r w:rsidRPr="00F96D69">
        <w:rPr>
          <w:rFonts w:ascii="Cambria" w:hAnsi="Cambria"/>
          <w:b/>
          <w:bCs/>
          <w:i/>
          <w:iCs/>
          <w:color w:val="000000" w:themeColor="text1"/>
        </w:rPr>
        <w:t>Police Offences Amendment (Knives and Other Weapons) Bill 2025</w:t>
      </w:r>
    </w:p>
    <w:p w:rsidR="00C44127" w:rsidRPr="00F96D69" w:rsidRDefault="00C44127" w:rsidP="00C44127">
      <w:pPr>
        <w:ind w:right="-64"/>
        <w:jc w:val="both"/>
        <w:rPr>
          <w:rFonts w:ascii="Cambria" w:hAnsi="Cambria"/>
          <w:color w:val="000000" w:themeColor="text1"/>
        </w:rPr>
      </w:pPr>
    </w:p>
    <w:p w:rsidR="00C44127" w:rsidRPr="00F96D69" w:rsidRDefault="00C44127" w:rsidP="00C44127">
      <w:pPr>
        <w:ind w:right="-347"/>
        <w:jc w:val="both"/>
        <w:rPr>
          <w:rFonts w:ascii="Cambria" w:hAnsi="Cambria"/>
          <w:iCs/>
          <w:color w:val="000000" w:themeColor="text1"/>
        </w:rPr>
      </w:pPr>
      <w:r w:rsidRPr="00F96D69">
        <w:rPr>
          <w:rFonts w:ascii="Cambria" w:hAnsi="Cambria" w:cs="Calibri"/>
          <w:color w:val="000000" w:themeColor="text1"/>
        </w:rPr>
        <w:t>Community Legal Centres Tasmania (CLC Tas)</w:t>
      </w:r>
      <w:r w:rsidRPr="00F96D69">
        <w:rPr>
          <w:rFonts w:ascii="Cambria" w:hAnsi="Cambria"/>
          <w:color w:val="000000" w:themeColor="text1"/>
        </w:rPr>
        <w:t xml:space="preserve"> welcomes the opportunity to provide comment on the </w:t>
      </w:r>
      <w:r w:rsidRPr="00F96D69">
        <w:rPr>
          <w:rFonts w:ascii="Cambria" w:hAnsi="Cambria"/>
          <w:i/>
          <w:iCs/>
          <w:color w:val="000000" w:themeColor="text1"/>
        </w:rPr>
        <w:t>Police Offences Amendment (Knives and Other Weapons) Bill 2025</w:t>
      </w:r>
      <w:r w:rsidRPr="00F96D69">
        <w:rPr>
          <w:rFonts w:ascii="Cambria" w:hAnsi="Cambria"/>
          <w:iCs/>
          <w:color w:val="000000" w:themeColor="text1"/>
        </w:rPr>
        <w:t>.</w:t>
      </w:r>
      <w:r w:rsidRPr="00F96D69">
        <w:rPr>
          <w:rStyle w:val="FootnoteReference"/>
          <w:rFonts w:ascii="Cambria" w:hAnsi="Cambria"/>
          <w:iCs/>
          <w:color w:val="000000" w:themeColor="text1"/>
        </w:rPr>
        <w:footnoteReference w:id="1"/>
      </w:r>
      <w:r w:rsidRPr="00F96D69">
        <w:rPr>
          <w:rFonts w:ascii="Cambria" w:hAnsi="Cambria"/>
          <w:iCs/>
          <w:color w:val="000000" w:themeColor="text1"/>
        </w:rPr>
        <w:t xml:space="preserve"> We support the</w:t>
      </w:r>
      <w:r w:rsidRPr="00F96D69">
        <w:rPr>
          <w:rFonts w:ascii="Cambria" w:hAnsi="Cambria"/>
          <w:color w:val="000000" w:themeColor="text1"/>
          <w:shd w:val="clear" w:color="auto" w:fill="FFFFFF"/>
        </w:rPr>
        <w:t xml:space="preserve"> Tasmanian Government’s commitment to making our community safer. However, </w:t>
      </w:r>
      <w:r w:rsidRPr="00F96D69">
        <w:rPr>
          <w:rFonts w:ascii="Cambria" w:hAnsi="Cambria"/>
          <w:color w:val="000000" w:themeColor="text1"/>
        </w:rPr>
        <w:t xml:space="preserve">increasing penalties for persons carrying a dangerous article will not make our community safer. We are also concerned that </w:t>
      </w:r>
      <w:r w:rsidR="00850206" w:rsidRPr="00F96D69">
        <w:rPr>
          <w:rFonts w:ascii="Cambria" w:hAnsi="Cambria"/>
          <w:color w:val="000000" w:themeColor="text1"/>
        </w:rPr>
        <w:t>the Bill is not limited to the carrying out of searches in public places and that the</w:t>
      </w:r>
      <w:r w:rsidRPr="00F96D69">
        <w:rPr>
          <w:rFonts w:ascii="Cambria" w:hAnsi="Cambria"/>
          <w:color w:val="000000" w:themeColor="text1"/>
        </w:rPr>
        <w:t xml:space="preserve"> </w:t>
      </w:r>
      <w:r w:rsidR="00850206" w:rsidRPr="00F96D69">
        <w:rPr>
          <w:rFonts w:ascii="Cambria" w:hAnsi="Cambria"/>
          <w:color w:val="000000" w:themeColor="text1"/>
        </w:rPr>
        <w:t xml:space="preserve">reasonable suspicion </w:t>
      </w:r>
      <w:r w:rsidRPr="00F96D69">
        <w:rPr>
          <w:rFonts w:ascii="Cambria" w:hAnsi="Cambria"/>
          <w:color w:val="000000" w:themeColor="text1"/>
        </w:rPr>
        <w:t>threshold</w:t>
      </w:r>
      <w:r w:rsidR="00850206" w:rsidRPr="00F96D69">
        <w:rPr>
          <w:rFonts w:ascii="Cambria" w:hAnsi="Cambria"/>
          <w:color w:val="000000" w:themeColor="text1"/>
        </w:rPr>
        <w:t xml:space="preserve"> </w:t>
      </w:r>
      <w:r w:rsidRPr="00F96D69">
        <w:rPr>
          <w:rFonts w:ascii="Cambria" w:hAnsi="Cambria"/>
          <w:color w:val="000000" w:themeColor="text1"/>
        </w:rPr>
        <w:t xml:space="preserve">will disproportionately impact disadvantaged communities. </w:t>
      </w:r>
    </w:p>
    <w:p w:rsidR="00C44127" w:rsidRPr="00F96D69" w:rsidRDefault="00C44127" w:rsidP="00C44127">
      <w:pPr>
        <w:pStyle w:val="NoSpacing"/>
        <w:jc w:val="both"/>
        <w:rPr>
          <w:rFonts w:ascii="Cambria" w:hAnsi="Cambria"/>
          <w:color w:val="000000" w:themeColor="text1"/>
          <w:sz w:val="23"/>
          <w:szCs w:val="23"/>
        </w:rPr>
      </w:pPr>
    </w:p>
    <w:p w:rsidR="00C44127" w:rsidRPr="00F96D69" w:rsidRDefault="00C44127" w:rsidP="00C44127">
      <w:pPr>
        <w:pStyle w:val="NoSpacing"/>
        <w:jc w:val="both"/>
        <w:rPr>
          <w:rFonts w:ascii="Cambria" w:hAnsi="Cambria"/>
          <w:color w:val="000000" w:themeColor="text1"/>
        </w:rPr>
      </w:pPr>
      <w:r w:rsidRPr="00F96D69">
        <w:rPr>
          <w:rFonts w:ascii="Cambria" w:hAnsi="Cambria" w:cs="Arial"/>
          <w:color w:val="000000" w:themeColor="text1"/>
        </w:rPr>
        <w:t xml:space="preserve">CLC Tas is the peak body representing the interests of nine community legal centres (CLCs) located throughout Tasmania. We are a member-based, independent, not-for-profit and incorporated organisation that advocates for law reform on a range of public interest matters aimed at improving access to justice, reducing discrimination and protecting and promoting human rights. </w:t>
      </w:r>
    </w:p>
    <w:p w:rsidR="00C44127" w:rsidRPr="00F96D69" w:rsidRDefault="00C44127" w:rsidP="00C44127">
      <w:pPr>
        <w:ind w:right="-347"/>
        <w:jc w:val="both"/>
        <w:rPr>
          <w:rFonts w:ascii="Cambria" w:hAnsi="Cambria" w:cs="Arial"/>
          <w:color w:val="000000" w:themeColor="text1"/>
        </w:rPr>
      </w:pPr>
    </w:p>
    <w:p w:rsidR="00C44127" w:rsidRPr="00F96D69" w:rsidRDefault="00C44127" w:rsidP="00C44127">
      <w:pPr>
        <w:ind w:right="-347"/>
        <w:jc w:val="both"/>
        <w:rPr>
          <w:rFonts w:ascii="Cambria" w:hAnsi="Cambria" w:cs="Arial"/>
          <w:b/>
          <w:bCs/>
          <w:color w:val="000000" w:themeColor="text1"/>
        </w:rPr>
      </w:pPr>
      <w:r w:rsidRPr="00F96D69">
        <w:rPr>
          <w:rFonts w:ascii="Cambria" w:hAnsi="Cambria" w:cs="Arial"/>
          <w:b/>
          <w:bCs/>
          <w:color w:val="000000" w:themeColor="text1"/>
        </w:rPr>
        <w:t>Dangerous articles</w:t>
      </w:r>
    </w:p>
    <w:p w:rsidR="00C44127" w:rsidRPr="00F96D69" w:rsidRDefault="00C44127" w:rsidP="00C44127">
      <w:pPr>
        <w:ind w:right="-347"/>
        <w:jc w:val="both"/>
        <w:rPr>
          <w:rFonts w:ascii="Cambria" w:hAnsi="Cambria" w:cs="Arial"/>
          <w:color w:val="000000" w:themeColor="text1"/>
        </w:rPr>
      </w:pPr>
      <w:r w:rsidRPr="00F96D69">
        <w:rPr>
          <w:rFonts w:ascii="Cambria" w:hAnsi="Cambria" w:cs="Arial"/>
          <w:color w:val="000000" w:themeColor="text1"/>
        </w:rPr>
        <w:t xml:space="preserve">Section 15C of the </w:t>
      </w:r>
      <w:r w:rsidRPr="00F96D69">
        <w:rPr>
          <w:rFonts w:ascii="Cambria" w:hAnsi="Cambria" w:cs="Arial"/>
          <w:i/>
          <w:iCs/>
          <w:color w:val="000000" w:themeColor="text1"/>
        </w:rPr>
        <w:t>Police Offences Act 1935</w:t>
      </w:r>
      <w:r w:rsidRPr="00F96D69">
        <w:rPr>
          <w:rFonts w:ascii="Cambria" w:hAnsi="Cambria" w:cs="Arial"/>
          <w:color w:val="000000" w:themeColor="text1"/>
        </w:rPr>
        <w:t xml:space="preserve"> (Tas) provides as follows:</w:t>
      </w:r>
    </w:p>
    <w:p w:rsidR="00C44127" w:rsidRPr="00C44127" w:rsidRDefault="00C44127" w:rsidP="00C44127">
      <w:pPr>
        <w:ind w:right="-347"/>
        <w:jc w:val="both"/>
        <w:rPr>
          <w:rFonts w:ascii="Cambria" w:hAnsi="Cambria" w:cs="Arial"/>
          <w:color w:val="000000" w:themeColor="text1"/>
        </w:rPr>
      </w:pPr>
    </w:p>
    <w:p w:rsidR="00C44127" w:rsidRPr="00B148B4" w:rsidRDefault="00C44127" w:rsidP="00C44127">
      <w:pPr>
        <w:pStyle w:val="NoSpacing"/>
        <w:ind w:left="720"/>
        <w:rPr>
          <w:rFonts w:ascii="Cambria" w:hAnsi="Cambria"/>
          <w:b/>
          <w:bCs/>
          <w:i/>
          <w:iCs/>
          <w:sz w:val="23"/>
          <w:szCs w:val="23"/>
        </w:rPr>
      </w:pPr>
      <w:r w:rsidRPr="00B148B4">
        <w:rPr>
          <w:rFonts w:ascii="Cambria" w:hAnsi="Cambria"/>
          <w:b/>
          <w:bCs/>
          <w:i/>
          <w:iCs/>
          <w:sz w:val="23"/>
          <w:szCs w:val="23"/>
        </w:rPr>
        <w:t>15C. Dangerous articles</w:t>
      </w:r>
    </w:p>
    <w:p w:rsidR="00C44127" w:rsidRPr="00B148B4" w:rsidRDefault="00C44127" w:rsidP="00C44127">
      <w:pPr>
        <w:pStyle w:val="NoSpacing"/>
        <w:ind w:left="720"/>
        <w:rPr>
          <w:rFonts w:ascii="Cambria" w:hAnsi="Cambria"/>
          <w:i/>
          <w:iCs/>
          <w:sz w:val="23"/>
          <w:szCs w:val="23"/>
        </w:rPr>
      </w:pPr>
      <w:bookmarkStart w:id="0" w:name="GS15C@Gs1@EN"/>
      <w:bookmarkEnd w:id="0"/>
      <w:r w:rsidRPr="00B148B4">
        <w:rPr>
          <w:rFonts w:ascii="Cambria" w:hAnsi="Cambria"/>
          <w:i/>
          <w:iCs/>
          <w:sz w:val="23"/>
          <w:szCs w:val="23"/>
        </w:rPr>
        <w:t>(1) A person, without lawful excuse (proof of which lies on the person), must not have possession of, or carry or use, a dangerous article in a public place.</w:t>
      </w:r>
    </w:p>
    <w:p w:rsidR="003C58B6" w:rsidRDefault="003C58B6" w:rsidP="00C44127">
      <w:pPr>
        <w:pStyle w:val="NoSpacing"/>
        <w:ind w:left="720"/>
        <w:rPr>
          <w:rFonts w:ascii="Cambria" w:hAnsi="Cambria"/>
          <w:i/>
          <w:iCs/>
          <w:sz w:val="23"/>
          <w:szCs w:val="23"/>
        </w:rPr>
      </w:pPr>
    </w:p>
    <w:p w:rsidR="00C44127" w:rsidRPr="00B148B4" w:rsidRDefault="00C44127" w:rsidP="00C44127">
      <w:pPr>
        <w:pStyle w:val="NoSpacing"/>
        <w:ind w:left="720"/>
        <w:rPr>
          <w:rFonts w:ascii="Cambria" w:hAnsi="Cambria"/>
          <w:i/>
          <w:iCs/>
          <w:sz w:val="23"/>
          <w:szCs w:val="23"/>
        </w:rPr>
      </w:pPr>
      <w:r w:rsidRPr="00B148B4">
        <w:rPr>
          <w:rFonts w:ascii="Cambria" w:hAnsi="Cambria"/>
          <w:i/>
          <w:iCs/>
          <w:sz w:val="23"/>
          <w:szCs w:val="23"/>
        </w:rPr>
        <w:t>Penalty:  Fine not exceeding 50 penalty units or imprisonment for a period not exceeding 2 years, or both.</w:t>
      </w:r>
    </w:p>
    <w:p w:rsidR="00C44127" w:rsidRPr="00B148B4" w:rsidRDefault="00C44127" w:rsidP="00C44127">
      <w:pPr>
        <w:pStyle w:val="NoSpacing"/>
        <w:ind w:left="720"/>
        <w:rPr>
          <w:rFonts w:ascii="Cambria" w:hAnsi="Cambria"/>
          <w:i/>
          <w:iCs/>
          <w:sz w:val="23"/>
          <w:szCs w:val="23"/>
        </w:rPr>
      </w:pPr>
      <w:bookmarkStart w:id="1" w:name="GS15C@Gs1A@EN"/>
      <w:bookmarkEnd w:id="1"/>
    </w:p>
    <w:p w:rsidR="00C44127" w:rsidRPr="00B148B4" w:rsidRDefault="00C44127" w:rsidP="00C44127">
      <w:pPr>
        <w:pStyle w:val="NoSpacing"/>
        <w:ind w:left="720"/>
        <w:rPr>
          <w:rFonts w:ascii="Cambria" w:hAnsi="Cambria"/>
          <w:i/>
          <w:iCs/>
          <w:sz w:val="23"/>
          <w:szCs w:val="23"/>
        </w:rPr>
      </w:pPr>
      <w:r w:rsidRPr="00B148B4">
        <w:rPr>
          <w:rFonts w:ascii="Cambria" w:hAnsi="Cambria"/>
          <w:i/>
          <w:iCs/>
          <w:sz w:val="23"/>
          <w:szCs w:val="23"/>
        </w:rPr>
        <w:t>(1A) Subsection (1) does not apply to –</w:t>
      </w:r>
      <w:bookmarkStart w:id="2" w:name="GS15C@Gs1A@Hpa@EN"/>
      <w:bookmarkEnd w:id="2"/>
    </w:p>
    <w:p w:rsidR="00C44127" w:rsidRPr="00B148B4" w:rsidRDefault="00C44127" w:rsidP="00C44127">
      <w:pPr>
        <w:pStyle w:val="NoSpacing"/>
        <w:ind w:left="720" w:firstLine="720"/>
        <w:rPr>
          <w:rFonts w:ascii="Cambria" w:hAnsi="Cambria"/>
          <w:i/>
          <w:iCs/>
          <w:sz w:val="23"/>
          <w:szCs w:val="23"/>
        </w:rPr>
      </w:pPr>
      <w:r w:rsidRPr="00B148B4">
        <w:rPr>
          <w:rFonts w:ascii="Cambria" w:hAnsi="Cambria"/>
          <w:i/>
          <w:iCs/>
          <w:sz w:val="23"/>
          <w:szCs w:val="23"/>
        </w:rPr>
        <w:t>(a) a police officer acting in the performance of his or her duties; or</w:t>
      </w:r>
    </w:p>
    <w:p w:rsidR="00C44127" w:rsidRPr="00B148B4" w:rsidRDefault="00C44127" w:rsidP="00C44127">
      <w:pPr>
        <w:pStyle w:val="NoSpacing"/>
        <w:ind w:left="1440"/>
        <w:rPr>
          <w:rFonts w:ascii="Cambria" w:hAnsi="Cambria"/>
          <w:i/>
          <w:iCs/>
          <w:sz w:val="23"/>
          <w:szCs w:val="23"/>
        </w:rPr>
      </w:pPr>
      <w:bookmarkStart w:id="3" w:name="GS15C@Gs1A@Hpb@EN"/>
      <w:bookmarkEnd w:id="3"/>
      <w:r w:rsidRPr="00B148B4">
        <w:rPr>
          <w:rFonts w:ascii="Cambria" w:hAnsi="Cambria"/>
          <w:i/>
          <w:iCs/>
          <w:sz w:val="23"/>
          <w:szCs w:val="23"/>
        </w:rPr>
        <w:lastRenderedPageBreak/>
        <w:t>(b) a person, or group of persons, excluded in writing by the Commissioner from the application of that subsection.</w:t>
      </w:r>
    </w:p>
    <w:p w:rsidR="00C44127" w:rsidRPr="00B148B4" w:rsidRDefault="00C44127" w:rsidP="00C44127">
      <w:pPr>
        <w:pStyle w:val="NoSpacing"/>
        <w:ind w:left="720"/>
        <w:rPr>
          <w:rFonts w:ascii="Cambria" w:hAnsi="Cambria"/>
          <w:i/>
          <w:iCs/>
          <w:sz w:val="23"/>
          <w:szCs w:val="23"/>
        </w:rPr>
      </w:pPr>
      <w:bookmarkStart w:id="4" w:name="GS15C@Gs2@EN"/>
      <w:bookmarkEnd w:id="4"/>
    </w:p>
    <w:p w:rsidR="00C44127" w:rsidRPr="00B148B4" w:rsidRDefault="00C44127" w:rsidP="00C44127">
      <w:pPr>
        <w:pStyle w:val="NoSpacing"/>
        <w:ind w:left="720"/>
        <w:rPr>
          <w:rFonts w:ascii="Cambria" w:hAnsi="Cambria"/>
          <w:i/>
          <w:iCs/>
          <w:sz w:val="23"/>
          <w:szCs w:val="23"/>
        </w:rPr>
      </w:pPr>
      <w:r w:rsidRPr="00B148B4">
        <w:rPr>
          <w:rFonts w:ascii="Cambria" w:hAnsi="Cambria"/>
          <w:i/>
          <w:iCs/>
          <w:sz w:val="23"/>
          <w:szCs w:val="23"/>
        </w:rPr>
        <w:t>(2)  A police officer may stop, detain and search, without a warrant, any person in a public place whom the police officer reasonably believes has possession of, or carries, any dangerous article without lawful excuse and may stop, detain and search, without a warrant, the person's vehicle.</w:t>
      </w:r>
    </w:p>
    <w:p w:rsidR="00C44127" w:rsidRPr="00B148B4" w:rsidRDefault="00C44127" w:rsidP="00C44127">
      <w:pPr>
        <w:pStyle w:val="NoSpacing"/>
        <w:ind w:left="720"/>
        <w:rPr>
          <w:rFonts w:ascii="Cambria" w:hAnsi="Cambria"/>
          <w:i/>
          <w:iCs/>
          <w:sz w:val="23"/>
          <w:szCs w:val="23"/>
        </w:rPr>
      </w:pPr>
      <w:bookmarkStart w:id="5" w:name="GS15C@Gs3@EN"/>
      <w:bookmarkEnd w:id="5"/>
    </w:p>
    <w:p w:rsidR="00C44127" w:rsidRPr="00B148B4" w:rsidRDefault="00C44127" w:rsidP="00C44127">
      <w:pPr>
        <w:pStyle w:val="NoSpacing"/>
        <w:ind w:left="720"/>
        <w:rPr>
          <w:rFonts w:ascii="Cambria" w:hAnsi="Cambria"/>
          <w:i/>
          <w:iCs/>
          <w:sz w:val="23"/>
          <w:szCs w:val="23"/>
        </w:rPr>
      </w:pPr>
      <w:r w:rsidRPr="00B148B4">
        <w:rPr>
          <w:rFonts w:ascii="Cambria" w:hAnsi="Cambria"/>
          <w:i/>
          <w:iCs/>
          <w:sz w:val="23"/>
          <w:szCs w:val="23"/>
        </w:rPr>
        <w:t>(3)  A police officer may seize and detain any dangerous article found.</w:t>
      </w:r>
    </w:p>
    <w:p w:rsidR="00C44127" w:rsidRPr="00B148B4" w:rsidRDefault="00C44127" w:rsidP="00C44127">
      <w:pPr>
        <w:pStyle w:val="NoSpacing"/>
        <w:ind w:left="720"/>
        <w:rPr>
          <w:rFonts w:ascii="Cambria" w:hAnsi="Cambria"/>
          <w:i/>
          <w:iCs/>
          <w:sz w:val="23"/>
          <w:szCs w:val="23"/>
        </w:rPr>
      </w:pPr>
      <w:bookmarkStart w:id="6" w:name="GS15C@Gs4@EN"/>
      <w:bookmarkEnd w:id="6"/>
    </w:p>
    <w:p w:rsidR="00C44127" w:rsidRPr="00B148B4" w:rsidRDefault="00C44127" w:rsidP="00C44127">
      <w:pPr>
        <w:pStyle w:val="NoSpacing"/>
        <w:ind w:left="720"/>
        <w:rPr>
          <w:rFonts w:ascii="Cambria" w:hAnsi="Cambria"/>
          <w:i/>
          <w:iCs/>
          <w:sz w:val="23"/>
          <w:szCs w:val="23"/>
        </w:rPr>
      </w:pPr>
      <w:r w:rsidRPr="00B148B4">
        <w:rPr>
          <w:rFonts w:ascii="Cambria" w:hAnsi="Cambria"/>
          <w:i/>
          <w:iCs/>
          <w:sz w:val="23"/>
          <w:szCs w:val="23"/>
        </w:rPr>
        <w:t>(4)  A lawful excuse excludes self-defence but includes the following:</w:t>
      </w:r>
      <w:bookmarkStart w:id="7" w:name="GS15C@Gs4@Hpa@EN"/>
      <w:bookmarkEnd w:id="7"/>
    </w:p>
    <w:p w:rsidR="00C44127" w:rsidRPr="00B148B4" w:rsidRDefault="00C44127" w:rsidP="00C44127">
      <w:pPr>
        <w:pStyle w:val="NoSpacing"/>
        <w:ind w:left="1440"/>
        <w:rPr>
          <w:rFonts w:ascii="Cambria" w:hAnsi="Cambria"/>
          <w:i/>
          <w:iCs/>
          <w:sz w:val="23"/>
          <w:szCs w:val="23"/>
        </w:rPr>
      </w:pPr>
      <w:r w:rsidRPr="00B148B4">
        <w:rPr>
          <w:rFonts w:ascii="Cambria" w:hAnsi="Cambria"/>
          <w:i/>
          <w:iCs/>
          <w:sz w:val="23"/>
          <w:szCs w:val="23"/>
        </w:rPr>
        <w:t>(a) the pursuit of a lawful occupation, duty or activity using that dangerous article;</w:t>
      </w:r>
    </w:p>
    <w:p w:rsidR="00C44127" w:rsidRPr="00B148B4" w:rsidRDefault="00C44127" w:rsidP="00C44127">
      <w:pPr>
        <w:pStyle w:val="NoSpacing"/>
        <w:ind w:left="1440"/>
        <w:rPr>
          <w:rFonts w:ascii="Cambria" w:hAnsi="Cambria"/>
          <w:i/>
          <w:iCs/>
          <w:sz w:val="23"/>
          <w:szCs w:val="23"/>
        </w:rPr>
      </w:pPr>
      <w:bookmarkStart w:id="8" w:name="GS15C@Gs4@Hpb@EN"/>
      <w:bookmarkEnd w:id="8"/>
      <w:r w:rsidRPr="00B148B4">
        <w:rPr>
          <w:rFonts w:ascii="Cambria" w:hAnsi="Cambria"/>
          <w:i/>
          <w:iCs/>
          <w:sz w:val="23"/>
          <w:szCs w:val="23"/>
        </w:rPr>
        <w:t>(b) the participation in a lawful sport, recreation or entertainment using that dangerous article;</w:t>
      </w:r>
    </w:p>
    <w:p w:rsidR="00C44127" w:rsidRPr="00B148B4" w:rsidRDefault="00C44127" w:rsidP="00C44127">
      <w:pPr>
        <w:pStyle w:val="NoSpacing"/>
        <w:ind w:left="720" w:firstLine="720"/>
        <w:rPr>
          <w:rFonts w:ascii="Cambria" w:hAnsi="Cambria"/>
          <w:i/>
          <w:iCs/>
          <w:sz w:val="23"/>
          <w:szCs w:val="23"/>
        </w:rPr>
      </w:pPr>
      <w:bookmarkStart w:id="9" w:name="GS15C@Gs4@Hpc@EN"/>
      <w:bookmarkEnd w:id="9"/>
      <w:r w:rsidRPr="00B148B4">
        <w:rPr>
          <w:rFonts w:ascii="Cambria" w:hAnsi="Cambria"/>
          <w:i/>
          <w:iCs/>
          <w:sz w:val="23"/>
          <w:szCs w:val="23"/>
        </w:rPr>
        <w:t>(c) the lawful collection, display or exhibition of that dangerous article;</w:t>
      </w:r>
    </w:p>
    <w:p w:rsidR="00C44127" w:rsidRPr="00B148B4" w:rsidRDefault="00C44127" w:rsidP="00C44127">
      <w:pPr>
        <w:pStyle w:val="NoSpacing"/>
        <w:ind w:left="1440"/>
        <w:rPr>
          <w:rFonts w:ascii="Cambria" w:hAnsi="Cambria"/>
          <w:i/>
          <w:iCs/>
          <w:sz w:val="23"/>
          <w:szCs w:val="23"/>
        </w:rPr>
      </w:pPr>
      <w:bookmarkStart w:id="10" w:name="GS15C@Gs4@Hpd@EN"/>
      <w:bookmarkEnd w:id="10"/>
      <w:r w:rsidRPr="00B148B4">
        <w:rPr>
          <w:rFonts w:ascii="Cambria" w:hAnsi="Cambria"/>
          <w:i/>
          <w:iCs/>
          <w:sz w:val="23"/>
          <w:szCs w:val="23"/>
        </w:rPr>
        <w:t>(d) the use of that dangerous article for the lawful purpose for which it was intended;</w:t>
      </w:r>
    </w:p>
    <w:p w:rsidR="00C44127" w:rsidRPr="00B148B4" w:rsidRDefault="00C44127" w:rsidP="00C44127">
      <w:pPr>
        <w:pStyle w:val="NoSpacing"/>
        <w:ind w:left="720" w:firstLine="720"/>
        <w:rPr>
          <w:rFonts w:ascii="Cambria" w:hAnsi="Cambria"/>
          <w:i/>
          <w:iCs/>
          <w:sz w:val="23"/>
          <w:szCs w:val="23"/>
        </w:rPr>
      </w:pPr>
      <w:bookmarkStart w:id="11" w:name="GS15C@Gs4@Hpe@EN"/>
      <w:bookmarkEnd w:id="11"/>
      <w:r w:rsidRPr="00B148B4">
        <w:rPr>
          <w:rFonts w:ascii="Cambria" w:hAnsi="Cambria"/>
          <w:i/>
          <w:iCs/>
          <w:sz w:val="23"/>
          <w:szCs w:val="23"/>
        </w:rPr>
        <w:t>(e) religious observance.</w:t>
      </w:r>
    </w:p>
    <w:p w:rsidR="00C44127" w:rsidRPr="00B148B4" w:rsidRDefault="00C44127" w:rsidP="00C44127">
      <w:pPr>
        <w:pStyle w:val="NoSpacing"/>
        <w:ind w:left="720"/>
        <w:rPr>
          <w:rFonts w:ascii="Cambria" w:hAnsi="Cambria"/>
          <w:i/>
          <w:iCs/>
          <w:sz w:val="23"/>
          <w:szCs w:val="23"/>
        </w:rPr>
      </w:pPr>
      <w:bookmarkStart w:id="12" w:name="GS15C@Gs5@EN"/>
      <w:bookmarkEnd w:id="12"/>
    </w:p>
    <w:p w:rsidR="00C44127" w:rsidRPr="00B148B4" w:rsidRDefault="00C44127" w:rsidP="00C44127">
      <w:pPr>
        <w:pStyle w:val="NoSpacing"/>
        <w:ind w:left="720"/>
        <w:rPr>
          <w:rFonts w:ascii="Cambria" w:hAnsi="Cambria"/>
          <w:i/>
          <w:iCs/>
          <w:sz w:val="23"/>
          <w:szCs w:val="23"/>
        </w:rPr>
      </w:pPr>
      <w:r w:rsidRPr="00B148B4">
        <w:rPr>
          <w:rFonts w:ascii="Cambria" w:hAnsi="Cambria"/>
          <w:i/>
          <w:iCs/>
          <w:sz w:val="23"/>
          <w:szCs w:val="23"/>
        </w:rPr>
        <w:t>(5)  If a person is convicted or found guilty of an offence under this section, the dangerous article to which the offence relates is forfeited and may be disposed of as the court orders.</w:t>
      </w:r>
    </w:p>
    <w:p w:rsidR="00C44127" w:rsidRPr="00B148B4" w:rsidRDefault="00C44127" w:rsidP="00C44127">
      <w:pPr>
        <w:pStyle w:val="NoSpacing"/>
        <w:ind w:left="720"/>
        <w:rPr>
          <w:rFonts w:ascii="Cambria" w:hAnsi="Cambria"/>
          <w:i/>
          <w:iCs/>
          <w:sz w:val="23"/>
          <w:szCs w:val="23"/>
        </w:rPr>
      </w:pPr>
      <w:bookmarkStart w:id="13" w:name="GS15C@Gs6@EN"/>
      <w:bookmarkEnd w:id="13"/>
    </w:p>
    <w:p w:rsidR="00C44127" w:rsidRPr="00B148B4" w:rsidRDefault="00C44127" w:rsidP="00C44127">
      <w:pPr>
        <w:pStyle w:val="NoSpacing"/>
        <w:ind w:left="720"/>
        <w:rPr>
          <w:rFonts w:ascii="Cambria" w:hAnsi="Cambria"/>
          <w:i/>
          <w:iCs/>
          <w:sz w:val="23"/>
          <w:szCs w:val="23"/>
        </w:rPr>
      </w:pPr>
      <w:r w:rsidRPr="00B148B4">
        <w:rPr>
          <w:rFonts w:ascii="Cambria" w:hAnsi="Cambria"/>
          <w:i/>
          <w:iCs/>
          <w:sz w:val="23"/>
          <w:szCs w:val="23"/>
        </w:rPr>
        <w:t>(6)  For the purposes of this section, a person who is in a motor vehicle in a public place is taken to be in the public place.</w:t>
      </w:r>
    </w:p>
    <w:p w:rsidR="00C44127" w:rsidRPr="00B148B4" w:rsidRDefault="00C44127" w:rsidP="00C44127">
      <w:pPr>
        <w:ind w:right="-347"/>
        <w:jc w:val="both"/>
        <w:rPr>
          <w:rFonts w:ascii="Cambria" w:hAnsi="Cambria" w:cs="Arial"/>
          <w:b/>
          <w:bCs/>
          <w:color w:val="000000" w:themeColor="text1"/>
          <w:sz w:val="23"/>
          <w:szCs w:val="23"/>
        </w:rPr>
      </w:pPr>
      <w:r w:rsidRPr="00B148B4">
        <w:rPr>
          <w:rFonts w:ascii="Cambria" w:hAnsi="Cambria" w:cs="Arial"/>
          <w:color w:val="000000" w:themeColor="text1"/>
          <w:sz w:val="23"/>
          <w:szCs w:val="23"/>
        </w:rPr>
        <w:t xml:space="preserve"> </w:t>
      </w:r>
    </w:p>
    <w:p w:rsidR="003C58B6" w:rsidRPr="00F96D69" w:rsidRDefault="00C44127" w:rsidP="00C44127">
      <w:pPr>
        <w:pStyle w:val="xmsonormal"/>
        <w:shd w:val="clear" w:color="auto" w:fill="FFFFFF"/>
        <w:spacing w:before="0" w:beforeAutospacing="0" w:after="0" w:afterAutospacing="0"/>
        <w:jc w:val="both"/>
        <w:rPr>
          <w:rFonts w:ascii="Cambria" w:hAnsi="Cambria"/>
        </w:rPr>
      </w:pPr>
      <w:r w:rsidRPr="00F96D69">
        <w:rPr>
          <w:rFonts w:ascii="Cambria" w:hAnsi="Cambria"/>
        </w:rPr>
        <w:t>The Bill proposes to double the maximum fine able to be imposed from $10,100 (50 penalty units) to $20,200 (100 penalty units)</w:t>
      </w:r>
      <w:r w:rsidRPr="00F96D69">
        <w:rPr>
          <w:rStyle w:val="FootnoteReference"/>
          <w:rFonts w:ascii="Cambria" w:hAnsi="Cambria"/>
        </w:rPr>
        <w:footnoteReference w:id="2"/>
      </w:r>
      <w:r w:rsidRPr="00F96D69">
        <w:rPr>
          <w:rFonts w:ascii="Cambria" w:hAnsi="Cambria"/>
        </w:rPr>
        <w:t xml:space="preserve"> and increase the maximum term of imprisonment from two years to three years. Finally, the Bill proposes to reduce the threshold for police </w:t>
      </w:r>
      <w:r w:rsidR="003C58B6" w:rsidRPr="00F96D69">
        <w:rPr>
          <w:rFonts w:ascii="Cambria" w:hAnsi="Cambria"/>
        </w:rPr>
        <w:t xml:space="preserve">officers </w:t>
      </w:r>
      <w:r w:rsidRPr="00F96D69">
        <w:rPr>
          <w:rFonts w:ascii="Cambria" w:hAnsi="Cambria"/>
        </w:rPr>
        <w:t xml:space="preserve">to search a person from “reasonably believe” to </w:t>
      </w:r>
      <w:r w:rsidR="003C58B6" w:rsidRPr="00F96D69">
        <w:rPr>
          <w:rFonts w:ascii="Cambria" w:hAnsi="Cambria"/>
        </w:rPr>
        <w:t>“has reasonable grounds for suspecting</w:t>
      </w:r>
      <w:r w:rsidRPr="00F96D69">
        <w:rPr>
          <w:rFonts w:ascii="Cambria" w:hAnsi="Cambria"/>
        </w:rPr>
        <w:t>”.</w:t>
      </w:r>
    </w:p>
    <w:p w:rsidR="00F1113C" w:rsidRPr="00F96D69" w:rsidRDefault="00F1113C" w:rsidP="00C44127">
      <w:pPr>
        <w:pStyle w:val="xmsonormal"/>
        <w:shd w:val="clear" w:color="auto" w:fill="FFFFFF"/>
        <w:spacing w:before="0" w:beforeAutospacing="0" w:after="0" w:afterAutospacing="0"/>
        <w:rPr>
          <w:rFonts w:ascii="Cambria" w:hAnsi="Cambria"/>
          <w:b/>
          <w:bCs/>
        </w:rPr>
      </w:pPr>
    </w:p>
    <w:p w:rsidR="00F1113C" w:rsidRPr="00F96D69" w:rsidRDefault="00F1113C" w:rsidP="00F1113C">
      <w:pPr>
        <w:pStyle w:val="xmsonormal"/>
        <w:numPr>
          <w:ilvl w:val="0"/>
          <w:numId w:val="3"/>
        </w:numPr>
        <w:shd w:val="clear" w:color="auto" w:fill="FFFFFF"/>
        <w:spacing w:before="0" w:beforeAutospacing="0" w:after="0" w:afterAutospacing="0"/>
        <w:rPr>
          <w:rFonts w:ascii="Cambria" w:hAnsi="Cambria"/>
          <w:b/>
          <w:bCs/>
          <w:i/>
          <w:iCs/>
          <w:color w:val="000000" w:themeColor="text1"/>
        </w:rPr>
      </w:pPr>
      <w:r w:rsidRPr="00F96D69">
        <w:rPr>
          <w:rFonts w:ascii="Cambria" w:hAnsi="Cambria"/>
          <w:b/>
          <w:bCs/>
          <w:i/>
          <w:iCs/>
          <w:color w:val="000000" w:themeColor="text1"/>
        </w:rPr>
        <w:t>Reasonable belief</w:t>
      </w:r>
    </w:p>
    <w:p w:rsidR="00F1113C" w:rsidRPr="00F96D69" w:rsidRDefault="00F1113C" w:rsidP="00F1113C">
      <w:pPr>
        <w:pStyle w:val="xmsonormal"/>
        <w:shd w:val="clear" w:color="auto" w:fill="FFFFFF"/>
        <w:spacing w:before="0" w:beforeAutospacing="0" w:after="0" w:afterAutospacing="0"/>
        <w:jc w:val="both"/>
        <w:rPr>
          <w:rFonts w:ascii="Cambria" w:hAnsi="Cambria"/>
          <w:color w:val="000000" w:themeColor="text1"/>
        </w:rPr>
      </w:pPr>
      <w:r w:rsidRPr="00F96D69">
        <w:rPr>
          <w:rFonts w:ascii="Cambria" w:hAnsi="Cambria"/>
          <w:color w:val="000000" w:themeColor="text1"/>
        </w:rPr>
        <w:t xml:space="preserve">The High Court case of </w:t>
      </w:r>
      <w:r w:rsidRPr="00F96D69">
        <w:rPr>
          <w:rFonts w:ascii="Cambria" w:hAnsi="Cambria"/>
          <w:i/>
          <w:iCs/>
          <w:color w:val="000000" w:themeColor="text1"/>
        </w:rPr>
        <w:t xml:space="preserve">George v </w:t>
      </w:r>
      <w:proofErr w:type="spellStart"/>
      <w:r w:rsidRPr="00F96D69">
        <w:rPr>
          <w:rFonts w:ascii="Cambria" w:hAnsi="Cambria"/>
          <w:i/>
          <w:iCs/>
          <w:color w:val="000000" w:themeColor="text1"/>
        </w:rPr>
        <w:t>Rockett</w:t>
      </w:r>
      <w:proofErr w:type="spellEnd"/>
      <w:r w:rsidRPr="00F96D69">
        <w:rPr>
          <w:rFonts w:ascii="Cambria" w:hAnsi="Cambria"/>
          <w:color w:val="000000" w:themeColor="text1"/>
        </w:rPr>
        <w:t xml:space="preserve"> considered the difference between ‘reasonable belief’ and ‘reasonable suspicion’. The High Court found that the standard of ‘reasonable belief’ required a higher level of certainty than a ‘reasonable suspicion’:</w:t>
      </w:r>
      <w:r w:rsidRPr="00F96D69">
        <w:rPr>
          <w:rStyle w:val="FootnoteReference"/>
          <w:rFonts w:ascii="Cambria" w:hAnsi="Cambria"/>
          <w:color w:val="000000" w:themeColor="text1"/>
        </w:rPr>
        <w:footnoteReference w:id="3"/>
      </w:r>
      <w:r w:rsidRPr="00F96D69">
        <w:rPr>
          <w:rFonts w:ascii="Cambria" w:hAnsi="Cambria"/>
          <w:color w:val="000000" w:themeColor="text1"/>
        </w:rPr>
        <w:t xml:space="preserve"> </w:t>
      </w:r>
    </w:p>
    <w:p w:rsidR="00F1113C" w:rsidRPr="00F96D69" w:rsidRDefault="00F1113C" w:rsidP="00F1113C">
      <w:pPr>
        <w:pStyle w:val="xmsonormal"/>
        <w:shd w:val="clear" w:color="auto" w:fill="FFFFFF"/>
        <w:spacing w:before="0" w:beforeAutospacing="0" w:after="0" w:afterAutospacing="0"/>
        <w:rPr>
          <w:rFonts w:ascii="Cambria" w:hAnsi="Cambria"/>
          <w:color w:val="000000" w:themeColor="text1"/>
        </w:rPr>
      </w:pPr>
    </w:p>
    <w:p w:rsidR="00F1113C" w:rsidRPr="00F96D69" w:rsidRDefault="00F1113C" w:rsidP="00F1113C">
      <w:pPr>
        <w:pStyle w:val="xmsonormal"/>
        <w:shd w:val="clear" w:color="auto" w:fill="FFFFFF"/>
        <w:spacing w:before="0" w:beforeAutospacing="0" w:after="0" w:afterAutospacing="0"/>
        <w:ind w:left="1440"/>
        <w:rPr>
          <w:rFonts w:ascii="Cambria" w:hAnsi="Cambria"/>
          <w:i/>
          <w:iCs/>
          <w:color w:val="000000" w:themeColor="text1"/>
          <w:sz w:val="23"/>
          <w:szCs w:val="23"/>
        </w:rPr>
      </w:pPr>
      <w:r w:rsidRPr="00F96D69">
        <w:rPr>
          <w:rFonts w:ascii="Cambria" w:hAnsi="Cambria"/>
          <w:i/>
          <w:iCs/>
          <w:color w:val="000000" w:themeColor="text1"/>
          <w:sz w:val="23"/>
          <w:szCs w:val="23"/>
        </w:rPr>
        <w:t xml:space="preserve">Suspicion, as Lord Devlin said in </w:t>
      </w:r>
      <w:proofErr w:type="spellStart"/>
      <w:r w:rsidRPr="00F96D69">
        <w:rPr>
          <w:rFonts w:ascii="Cambria" w:hAnsi="Cambria"/>
          <w:i/>
          <w:iCs/>
          <w:color w:val="000000" w:themeColor="text1"/>
          <w:sz w:val="23"/>
          <w:szCs w:val="23"/>
        </w:rPr>
        <w:t>Hussien</w:t>
      </w:r>
      <w:proofErr w:type="spellEnd"/>
      <w:r w:rsidRPr="00F96D69">
        <w:rPr>
          <w:rFonts w:ascii="Cambria" w:hAnsi="Cambria"/>
          <w:i/>
          <w:iCs/>
          <w:color w:val="000000" w:themeColor="text1"/>
          <w:sz w:val="23"/>
          <w:szCs w:val="23"/>
        </w:rPr>
        <w:t xml:space="preserve"> v Chong Fook Kam [1970] AC 942 at 948, “in its ordinary meaning is a state of conjecture or surmise where proof is lacking: ‘I suspect but I cannot prove.’” The facts which can reasonably ground a suspicion may be quite insufficient reasonably to ground a belief...</w:t>
      </w:r>
    </w:p>
    <w:p w:rsidR="00F1113C" w:rsidRPr="00F96D69" w:rsidRDefault="00F1113C" w:rsidP="00F1113C">
      <w:pPr>
        <w:pStyle w:val="xmsonormal"/>
        <w:shd w:val="clear" w:color="auto" w:fill="FFFFFF"/>
        <w:spacing w:before="0" w:beforeAutospacing="0" w:after="0" w:afterAutospacing="0"/>
        <w:jc w:val="both"/>
        <w:rPr>
          <w:rFonts w:ascii="Cambria" w:hAnsi="Cambria"/>
          <w:color w:val="000000" w:themeColor="text1"/>
        </w:rPr>
      </w:pPr>
    </w:p>
    <w:p w:rsidR="00DF2718" w:rsidRPr="00F96D69" w:rsidRDefault="00DF2718" w:rsidP="00A829D4">
      <w:pPr>
        <w:pStyle w:val="xmsonormal"/>
        <w:shd w:val="clear" w:color="auto" w:fill="FFFFFF"/>
        <w:spacing w:before="0" w:beforeAutospacing="0" w:after="0" w:afterAutospacing="0"/>
        <w:jc w:val="both"/>
        <w:rPr>
          <w:rFonts w:ascii="Cambria" w:hAnsi="Cambria"/>
          <w:color w:val="000000" w:themeColor="text1"/>
        </w:rPr>
      </w:pPr>
      <w:r w:rsidRPr="00F96D69">
        <w:rPr>
          <w:rFonts w:ascii="Cambria" w:hAnsi="Cambria"/>
          <w:color w:val="000000" w:themeColor="text1"/>
        </w:rPr>
        <w:t>Expressed in another way, a belief is more than a possibility whereas a suspicion is thinking that something may be true. In practice, i</w:t>
      </w:r>
      <w:r w:rsidR="00F1113C" w:rsidRPr="00F96D69">
        <w:rPr>
          <w:rFonts w:ascii="Cambria" w:hAnsi="Cambria"/>
          <w:color w:val="000000" w:themeColor="text1"/>
        </w:rPr>
        <w:t xml:space="preserve">f the proposed amendment is passed, </w:t>
      </w:r>
      <w:r w:rsidR="00F1113C" w:rsidRPr="00F96D69">
        <w:rPr>
          <w:rFonts w:ascii="Cambria" w:hAnsi="Cambria"/>
          <w:color w:val="000000" w:themeColor="text1"/>
        </w:rPr>
        <w:lastRenderedPageBreak/>
        <w:t>it will be easier for police to stop and search persons suspected of carrying a dangerous article.</w:t>
      </w:r>
    </w:p>
    <w:p w:rsidR="00A829D4" w:rsidRPr="00F96D69" w:rsidRDefault="00A829D4" w:rsidP="00F1113C">
      <w:pPr>
        <w:pStyle w:val="xmsonormal"/>
        <w:shd w:val="clear" w:color="auto" w:fill="FFFFFF"/>
        <w:spacing w:before="0" w:beforeAutospacing="0" w:after="0" w:afterAutospacing="0"/>
        <w:jc w:val="both"/>
        <w:rPr>
          <w:rFonts w:ascii="Cambria" w:hAnsi="Cambria"/>
          <w:color w:val="000000" w:themeColor="text1"/>
        </w:rPr>
      </w:pPr>
    </w:p>
    <w:p w:rsidR="00B0517F" w:rsidRPr="00F96D69" w:rsidRDefault="0051292E" w:rsidP="006A1D82">
      <w:pPr>
        <w:pStyle w:val="xmsonormal"/>
        <w:shd w:val="clear" w:color="auto" w:fill="FFFFFF"/>
        <w:spacing w:before="0" w:beforeAutospacing="0" w:after="0" w:afterAutospacing="0"/>
        <w:jc w:val="both"/>
        <w:rPr>
          <w:rFonts w:ascii="Cambria" w:hAnsi="Cambria"/>
          <w:color w:val="000000" w:themeColor="text1"/>
        </w:rPr>
      </w:pPr>
      <w:r w:rsidRPr="00F96D69">
        <w:rPr>
          <w:rFonts w:ascii="Cambria" w:hAnsi="Cambria"/>
          <w:color w:val="000000" w:themeColor="text1"/>
        </w:rPr>
        <w:t>Lo</w:t>
      </w:r>
      <w:r w:rsidR="006A1D82" w:rsidRPr="00F96D69">
        <w:rPr>
          <w:rFonts w:ascii="Cambria" w:hAnsi="Cambria"/>
          <w:color w:val="000000" w:themeColor="text1"/>
        </w:rPr>
        <w:t xml:space="preserve">wering the threshold </w:t>
      </w:r>
      <w:r w:rsidRPr="00F96D69">
        <w:rPr>
          <w:rFonts w:ascii="Cambria" w:hAnsi="Cambria"/>
          <w:color w:val="000000" w:themeColor="text1"/>
        </w:rPr>
        <w:t xml:space="preserve">from reasonable belief to reasonable suspicion </w:t>
      </w:r>
      <w:r w:rsidR="006A1D82" w:rsidRPr="00F96D69">
        <w:rPr>
          <w:rFonts w:ascii="Cambria" w:hAnsi="Cambria"/>
          <w:color w:val="000000" w:themeColor="text1"/>
        </w:rPr>
        <w:t xml:space="preserve">is consistent with the Department of Justice’s </w:t>
      </w:r>
      <w:r w:rsidR="006A1D82" w:rsidRPr="00F96D69">
        <w:rPr>
          <w:rFonts w:ascii="Cambria" w:hAnsi="Cambria"/>
          <w:i/>
          <w:iCs/>
          <w:color w:val="000000" w:themeColor="text1"/>
        </w:rPr>
        <w:t xml:space="preserve">Police Powers and Responsibilities </w:t>
      </w:r>
      <w:r w:rsidR="00DF2718" w:rsidRPr="00F96D69">
        <w:rPr>
          <w:rFonts w:ascii="Cambria" w:hAnsi="Cambria"/>
          <w:i/>
          <w:iCs/>
          <w:color w:val="000000" w:themeColor="text1"/>
        </w:rPr>
        <w:t>P</w:t>
      </w:r>
      <w:r w:rsidR="006A1D82" w:rsidRPr="00F96D69">
        <w:rPr>
          <w:rFonts w:ascii="Cambria" w:hAnsi="Cambria"/>
          <w:i/>
          <w:iCs/>
          <w:color w:val="000000" w:themeColor="text1"/>
        </w:rPr>
        <w:t xml:space="preserve">roposal </w:t>
      </w:r>
      <w:r w:rsidR="00DF2718" w:rsidRPr="00F96D69">
        <w:rPr>
          <w:rFonts w:ascii="Cambria" w:hAnsi="Cambria"/>
          <w:i/>
          <w:iCs/>
          <w:color w:val="000000" w:themeColor="text1"/>
        </w:rPr>
        <w:t>P</w:t>
      </w:r>
      <w:r w:rsidR="006A1D82" w:rsidRPr="00F96D69">
        <w:rPr>
          <w:rFonts w:ascii="Cambria" w:hAnsi="Cambria"/>
          <w:i/>
          <w:iCs/>
          <w:color w:val="000000" w:themeColor="text1"/>
        </w:rPr>
        <w:t>aper</w:t>
      </w:r>
      <w:r w:rsidR="006A1D82" w:rsidRPr="00F96D69">
        <w:rPr>
          <w:rFonts w:ascii="Cambria" w:hAnsi="Cambria"/>
          <w:color w:val="000000" w:themeColor="text1"/>
        </w:rPr>
        <w:t xml:space="preserve"> which argued that police search powers should be broadened</w:t>
      </w:r>
      <w:r w:rsidR="006A1D82" w:rsidRPr="00F96D69">
        <w:rPr>
          <w:rFonts w:ascii="Cambria" w:hAnsi="Cambria" w:cs="Calibri"/>
          <w:color w:val="000000" w:themeColor="text1"/>
          <w:bdr w:val="none" w:sz="0" w:space="0" w:color="auto" w:frame="1"/>
        </w:rPr>
        <w:t>.</w:t>
      </w:r>
      <w:r w:rsidR="00DF2718" w:rsidRPr="00F96D69">
        <w:rPr>
          <w:rStyle w:val="FootnoteReference"/>
          <w:rFonts w:ascii="Cambria" w:hAnsi="Cambria"/>
          <w:color w:val="000000" w:themeColor="text1"/>
        </w:rPr>
        <w:footnoteReference w:id="4"/>
      </w:r>
      <w:r w:rsidR="00DF2718" w:rsidRPr="00F96D69">
        <w:rPr>
          <w:rFonts w:ascii="Cambria" w:hAnsi="Cambria" w:cs="Calibri"/>
          <w:color w:val="000000" w:themeColor="text1"/>
          <w:bdr w:val="none" w:sz="0" w:space="0" w:color="auto" w:frame="1"/>
        </w:rPr>
        <w:t xml:space="preserve"> </w:t>
      </w:r>
      <w:r w:rsidR="006A1D82" w:rsidRPr="00F96D69">
        <w:rPr>
          <w:rFonts w:ascii="Cambria" w:hAnsi="Cambria" w:cs="Calibri"/>
          <w:color w:val="000000" w:themeColor="text1"/>
          <w:bdr w:val="none" w:sz="0" w:space="0" w:color="auto" w:frame="1"/>
        </w:rPr>
        <w:t xml:space="preserve">However, we </w:t>
      </w:r>
      <w:r w:rsidR="00DF2718" w:rsidRPr="00F96D69">
        <w:rPr>
          <w:rFonts w:ascii="Cambria" w:hAnsi="Cambria" w:cs="Calibri"/>
          <w:color w:val="000000" w:themeColor="text1"/>
          <w:bdr w:val="none" w:sz="0" w:space="0" w:color="auto" w:frame="1"/>
        </w:rPr>
        <w:t>are concerned that</w:t>
      </w:r>
      <w:r w:rsidR="006A1D82" w:rsidRPr="00F96D69">
        <w:rPr>
          <w:rFonts w:ascii="Cambria" w:hAnsi="Cambria" w:cs="Calibri"/>
          <w:color w:val="000000" w:themeColor="text1"/>
          <w:bdr w:val="none" w:sz="0" w:space="0" w:color="auto" w:frame="1"/>
        </w:rPr>
        <w:t xml:space="preserve"> </w:t>
      </w:r>
      <w:r w:rsidR="00DF2718" w:rsidRPr="00F96D69">
        <w:rPr>
          <w:rFonts w:ascii="Cambria" w:hAnsi="Cambria" w:cs="Calibri"/>
          <w:color w:val="000000" w:themeColor="text1"/>
          <w:bdr w:val="none" w:sz="0" w:space="0" w:color="auto" w:frame="1"/>
        </w:rPr>
        <w:t xml:space="preserve">the </w:t>
      </w:r>
      <w:r w:rsidR="006A1D82" w:rsidRPr="00F96D69">
        <w:rPr>
          <w:rFonts w:ascii="Cambria" w:hAnsi="Cambria" w:cs="Calibri"/>
          <w:color w:val="000000" w:themeColor="text1"/>
          <w:bdr w:val="none" w:sz="0" w:space="0" w:color="auto" w:frame="1"/>
        </w:rPr>
        <w:t xml:space="preserve">broadening of police search powers </w:t>
      </w:r>
      <w:r w:rsidR="00DF2718" w:rsidRPr="00F96D69">
        <w:rPr>
          <w:rFonts w:ascii="Cambria" w:hAnsi="Cambria" w:cs="Calibri"/>
          <w:color w:val="000000" w:themeColor="text1"/>
          <w:bdr w:val="none" w:sz="0" w:space="0" w:color="auto" w:frame="1"/>
        </w:rPr>
        <w:t xml:space="preserve">will disproportionately target </w:t>
      </w:r>
      <w:r w:rsidR="006A1D82" w:rsidRPr="00F96D69">
        <w:rPr>
          <w:rFonts w:ascii="Cambria" w:hAnsi="Cambria" w:cs="Calibri"/>
          <w:color w:val="000000" w:themeColor="text1"/>
          <w:bdr w:val="none" w:sz="0" w:space="0" w:color="auto" w:frame="1"/>
        </w:rPr>
        <w:t xml:space="preserve">vulnerable groups including </w:t>
      </w:r>
      <w:r w:rsidR="006A1D82" w:rsidRPr="00F96D69">
        <w:rPr>
          <w:rFonts w:ascii="Cambria" w:hAnsi="Cambria"/>
          <w:color w:val="000000" w:themeColor="text1"/>
        </w:rPr>
        <w:t>Aboriginal and Torres Strait Islander persons, young persons, persons who have impaired intellectual or physical functioning and persons of non-English speaking backgrounds.</w:t>
      </w:r>
      <w:r w:rsidR="00B0517F" w:rsidRPr="00F96D69">
        <w:rPr>
          <w:rFonts w:ascii="Cambria" w:hAnsi="Cambria"/>
          <w:color w:val="000000" w:themeColor="text1"/>
        </w:rPr>
        <w:t xml:space="preserve"> We are also concerned at the risk of ‘net widening’ with vulnerable groups not only likely to be disproportionately targeted but also find</w:t>
      </w:r>
      <w:r w:rsidRPr="00F96D69">
        <w:rPr>
          <w:rFonts w:ascii="Cambria" w:hAnsi="Cambria"/>
          <w:color w:val="000000" w:themeColor="text1"/>
        </w:rPr>
        <w:t xml:space="preserve">ing </w:t>
      </w:r>
      <w:r w:rsidR="00B0517F" w:rsidRPr="00F96D69">
        <w:rPr>
          <w:rFonts w:ascii="Cambria" w:hAnsi="Cambria"/>
          <w:color w:val="000000" w:themeColor="text1"/>
        </w:rPr>
        <w:t xml:space="preserve">themselves at risk of further police interaction. </w:t>
      </w:r>
    </w:p>
    <w:p w:rsidR="00B0517F" w:rsidRPr="00F96D69" w:rsidRDefault="00B0517F" w:rsidP="006A1D82">
      <w:pPr>
        <w:pStyle w:val="xmsonormal"/>
        <w:shd w:val="clear" w:color="auto" w:fill="FFFFFF"/>
        <w:spacing w:before="0" w:beforeAutospacing="0" w:after="0" w:afterAutospacing="0"/>
        <w:jc w:val="both"/>
        <w:rPr>
          <w:rFonts w:ascii="Cambria" w:hAnsi="Cambria"/>
          <w:color w:val="000000" w:themeColor="text1"/>
        </w:rPr>
      </w:pPr>
    </w:p>
    <w:p w:rsidR="00EF4AC1" w:rsidRPr="00F96D69" w:rsidRDefault="00B0517F" w:rsidP="006A1D82">
      <w:pPr>
        <w:pStyle w:val="xmsonormal"/>
        <w:shd w:val="clear" w:color="auto" w:fill="FFFFFF"/>
        <w:spacing w:before="0" w:beforeAutospacing="0" w:after="0" w:afterAutospacing="0"/>
        <w:jc w:val="both"/>
        <w:rPr>
          <w:rFonts w:ascii="Cambria" w:hAnsi="Cambria"/>
          <w:color w:val="000000" w:themeColor="text1"/>
        </w:rPr>
      </w:pPr>
      <w:r w:rsidRPr="00F96D69">
        <w:rPr>
          <w:rFonts w:ascii="Cambria" w:hAnsi="Cambria"/>
          <w:color w:val="000000" w:themeColor="text1"/>
        </w:rPr>
        <w:t>Both of these concerns are well-founded with a recent review</w:t>
      </w:r>
      <w:r w:rsidR="00EF4AC1" w:rsidRPr="00F96D69">
        <w:rPr>
          <w:rFonts w:ascii="Cambria" w:hAnsi="Cambria"/>
          <w:color w:val="000000" w:themeColor="text1"/>
        </w:rPr>
        <w:t xml:space="preserve"> in</w:t>
      </w:r>
      <w:r w:rsidRPr="00F96D69">
        <w:rPr>
          <w:rFonts w:ascii="Cambria" w:hAnsi="Cambria"/>
          <w:color w:val="000000" w:themeColor="text1"/>
        </w:rPr>
        <w:t xml:space="preserve"> Queensland</w:t>
      </w:r>
      <w:r w:rsidR="00EF4AC1" w:rsidRPr="00F96D69">
        <w:rPr>
          <w:rFonts w:ascii="Cambria" w:hAnsi="Cambria"/>
          <w:color w:val="000000" w:themeColor="text1"/>
        </w:rPr>
        <w:t xml:space="preserve"> finding “evidence of inappropriate use of stereotypes and cultural assumptions by a small number of officers in determining who to select for </w:t>
      </w:r>
      <w:proofErr w:type="spellStart"/>
      <w:r w:rsidR="00EF4AC1" w:rsidRPr="00F96D69">
        <w:rPr>
          <w:rFonts w:ascii="Cambria" w:hAnsi="Cambria"/>
          <w:color w:val="000000" w:themeColor="text1"/>
        </w:rPr>
        <w:t>wanding</w:t>
      </w:r>
      <w:proofErr w:type="spellEnd"/>
      <w:r w:rsidR="00EF4AC1" w:rsidRPr="00F96D69">
        <w:rPr>
          <w:rFonts w:ascii="Cambria" w:hAnsi="Cambria"/>
          <w:color w:val="000000" w:themeColor="text1"/>
        </w:rPr>
        <w:t>”</w:t>
      </w:r>
      <w:r w:rsidR="00EF4AC1" w:rsidRPr="00F96D69">
        <w:rPr>
          <w:rStyle w:val="FootnoteReference"/>
          <w:rFonts w:ascii="Cambria" w:hAnsi="Cambria"/>
          <w:color w:val="000000" w:themeColor="text1"/>
        </w:rPr>
        <w:footnoteReference w:id="5"/>
      </w:r>
      <w:r w:rsidR="00EF4AC1" w:rsidRPr="00F96D69">
        <w:rPr>
          <w:rFonts w:ascii="Cambria" w:hAnsi="Cambria"/>
          <w:color w:val="000000" w:themeColor="text1"/>
        </w:rPr>
        <w:t xml:space="preserve"> and “net-widening among minor offenders who are not carrying weapons, but nevertheless come to police attention purely because of </w:t>
      </w:r>
      <w:proofErr w:type="spellStart"/>
      <w:r w:rsidR="00EF4AC1" w:rsidRPr="00F96D69">
        <w:rPr>
          <w:rFonts w:ascii="Cambria" w:hAnsi="Cambria"/>
          <w:color w:val="000000" w:themeColor="text1"/>
        </w:rPr>
        <w:t>wanding</w:t>
      </w:r>
      <w:proofErr w:type="spellEnd"/>
      <w:r w:rsidR="00EF4AC1" w:rsidRPr="00F96D69">
        <w:rPr>
          <w:rFonts w:ascii="Cambria" w:hAnsi="Cambria"/>
          <w:color w:val="000000" w:themeColor="text1"/>
        </w:rPr>
        <w:t xml:space="preserve"> practices”.</w:t>
      </w:r>
      <w:r w:rsidR="00EF4AC1" w:rsidRPr="00F96D69">
        <w:rPr>
          <w:rStyle w:val="FootnoteReference"/>
          <w:rFonts w:ascii="Cambria" w:hAnsi="Cambria"/>
          <w:color w:val="000000" w:themeColor="text1"/>
        </w:rPr>
        <w:footnoteReference w:id="6"/>
      </w:r>
      <w:r w:rsidR="00B768D0" w:rsidRPr="00F96D69">
        <w:rPr>
          <w:rFonts w:ascii="Cambria" w:hAnsi="Cambria"/>
          <w:color w:val="000000" w:themeColor="text1"/>
        </w:rPr>
        <w:t xml:space="preserve"> </w:t>
      </w:r>
      <w:r w:rsidR="00850206" w:rsidRPr="00F96D69">
        <w:rPr>
          <w:rFonts w:ascii="Cambria" w:hAnsi="Cambria"/>
          <w:color w:val="000000" w:themeColor="text1"/>
        </w:rPr>
        <w:t xml:space="preserve"> </w:t>
      </w:r>
      <w:r w:rsidR="00B768D0" w:rsidRPr="00F96D69">
        <w:rPr>
          <w:rFonts w:ascii="Cambria" w:hAnsi="Cambria"/>
          <w:color w:val="000000" w:themeColor="text1"/>
        </w:rPr>
        <w:t xml:space="preserve"> </w:t>
      </w:r>
    </w:p>
    <w:p w:rsidR="0051292E" w:rsidRPr="00F96D69" w:rsidRDefault="0051292E" w:rsidP="006A1D82">
      <w:pPr>
        <w:pStyle w:val="xmsonormal"/>
        <w:shd w:val="clear" w:color="auto" w:fill="FFFFFF"/>
        <w:spacing w:before="0" w:beforeAutospacing="0" w:after="0" w:afterAutospacing="0"/>
        <w:jc w:val="both"/>
        <w:rPr>
          <w:rFonts w:ascii="Cambria" w:hAnsi="Cambria"/>
          <w:color w:val="000000" w:themeColor="text1"/>
        </w:rPr>
      </w:pPr>
    </w:p>
    <w:p w:rsidR="0051292E" w:rsidRPr="00F96D69" w:rsidRDefault="0051292E" w:rsidP="0051292E">
      <w:pPr>
        <w:pStyle w:val="xmsonormal"/>
        <w:shd w:val="clear" w:color="auto" w:fill="FFFFFF"/>
        <w:spacing w:before="0" w:beforeAutospacing="0" w:after="0" w:afterAutospacing="0"/>
        <w:jc w:val="both"/>
        <w:rPr>
          <w:rFonts w:ascii="Cambria" w:hAnsi="Cambria"/>
          <w:color w:val="000000" w:themeColor="text1"/>
        </w:rPr>
      </w:pPr>
      <w:r w:rsidRPr="00F96D69">
        <w:rPr>
          <w:rFonts w:ascii="Cambria" w:hAnsi="Cambria"/>
        </w:rPr>
        <w:t>Whilst the Tasmanian Law Reform Institute has not reviewed search powers, it has reviewed arrest powers and recommended that the higher standard of ‘reasonable belief’ should be adopted in Tasmanian legislation “because it sets a higher threshold for the application of coercive powers and incursions on the right to liberty”.</w:t>
      </w:r>
      <w:r w:rsidRPr="00F96D69">
        <w:rPr>
          <w:rStyle w:val="FootnoteReference"/>
          <w:rFonts w:ascii="Cambria" w:hAnsi="Cambria"/>
        </w:rPr>
        <w:footnoteReference w:id="7"/>
      </w:r>
      <w:r w:rsidR="00850206" w:rsidRPr="00F96D69">
        <w:rPr>
          <w:rFonts w:ascii="Cambria" w:hAnsi="Cambria"/>
        </w:rPr>
        <w:t xml:space="preserve"> </w:t>
      </w:r>
      <w:r w:rsidRPr="00F96D69">
        <w:rPr>
          <w:rFonts w:ascii="Cambria" w:hAnsi="Cambria"/>
        </w:rPr>
        <w:t>On the same grounds, we strongly recommend that the threshold be reasonably believe and not reasonable suspicion.</w:t>
      </w:r>
      <w:r w:rsidR="00850206" w:rsidRPr="00F96D69">
        <w:rPr>
          <w:rFonts w:ascii="Cambria" w:hAnsi="Cambria"/>
        </w:rPr>
        <w:t xml:space="preserve"> We also recommend that all police officers receive specific training to ensure that people are being selected based on a belief that they may have a dangerous article and are not being selected as a means of detecting other criminal behaviour.  </w:t>
      </w:r>
    </w:p>
    <w:p w:rsidR="00522393" w:rsidRPr="00F96D69" w:rsidRDefault="00522393" w:rsidP="00F1113C">
      <w:pPr>
        <w:pStyle w:val="xmsonormal"/>
        <w:shd w:val="clear" w:color="auto" w:fill="FFFFFF"/>
        <w:spacing w:before="0" w:beforeAutospacing="0" w:after="0" w:afterAutospacing="0"/>
        <w:jc w:val="both"/>
        <w:rPr>
          <w:rFonts w:ascii="Cambria" w:hAnsi="Cambria"/>
          <w:color w:val="000000" w:themeColor="text1"/>
        </w:rPr>
      </w:pPr>
    </w:p>
    <w:p w:rsidR="00522393" w:rsidRDefault="00F1113C" w:rsidP="00F1113C">
      <w:pPr>
        <w:pStyle w:val="x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olor w:val="000000" w:themeColor="text1"/>
        </w:rPr>
      </w:pPr>
      <w:r w:rsidRPr="00F96D69">
        <w:rPr>
          <w:rFonts w:ascii="Cambria" w:hAnsi="Cambria"/>
          <w:b/>
          <w:bCs/>
          <w:color w:val="000000" w:themeColor="text1"/>
        </w:rPr>
        <w:t>Recommendation</w:t>
      </w:r>
      <w:r w:rsidR="00522393">
        <w:rPr>
          <w:rFonts w:ascii="Cambria" w:hAnsi="Cambria"/>
          <w:b/>
          <w:bCs/>
          <w:color w:val="000000" w:themeColor="text1"/>
        </w:rPr>
        <w:t>s</w:t>
      </w:r>
      <w:r w:rsidRPr="00F96D69">
        <w:rPr>
          <w:rFonts w:ascii="Cambria" w:hAnsi="Cambria"/>
          <w:b/>
          <w:bCs/>
          <w:color w:val="000000" w:themeColor="text1"/>
        </w:rPr>
        <w:t>:</w:t>
      </w:r>
      <w:r w:rsidR="00522393">
        <w:rPr>
          <w:rFonts w:ascii="Cambria" w:hAnsi="Cambria"/>
          <w:color w:val="000000" w:themeColor="text1"/>
        </w:rPr>
        <w:t xml:space="preserve"> </w:t>
      </w:r>
    </w:p>
    <w:p w:rsidR="00F1113C" w:rsidRPr="00F96D69" w:rsidRDefault="00522393" w:rsidP="00F1113C">
      <w:pPr>
        <w:pStyle w:val="x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olor w:val="000000" w:themeColor="text1"/>
        </w:rPr>
      </w:pPr>
      <w:r>
        <w:rPr>
          <w:rFonts w:ascii="Cambria" w:hAnsi="Cambria"/>
          <w:color w:val="000000" w:themeColor="text1"/>
        </w:rPr>
        <w:t xml:space="preserve">(1) </w:t>
      </w:r>
      <w:r w:rsidR="00F1113C" w:rsidRPr="00F96D69">
        <w:rPr>
          <w:rFonts w:ascii="Cambria" w:hAnsi="Cambria"/>
          <w:color w:val="000000" w:themeColor="text1"/>
        </w:rPr>
        <w:t xml:space="preserve">That ‘reasonably believe’ continue to be the standard required of police officers when </w:t>
      </w:r>
      <w:r w:rsidR="00E20C0C" w:rsidRPr="00F96D69">
        <w:rPr>
          <w:rFonts w:ascii="Cambria" w:hAnsi="Cambria"/>
          <w:color w:val="000000" w:themeColor="text1"/>
        </w:rPr>
        <w:t>carrying out a search</w:t>
      </w:r>
      <w:r w:rsidR="00F1113C" w:rsidRPr="00F96D69">
        <w:rPr>
          <w:rFonts w:ascii="Cambria" w:hAnsi="Cambria"/>
          <w:color w:val="000000" w:themeColor="text1"/>
        </w:rPr>
        <w:t xml:space="preserve">. </w:t>
      </w:r>
    </w:p>
    <w:p w:rsidR="00850206" w:rsidRPr="00F96D69" w:rsidRDefault="00850206" w:rsidP="00F1113C">
      <w:pPr>
        <w:pStyle w:val="x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olor w:val="000000" w:themeColor="text1"/>
        </w:rPr>
      </w:pPr>
    </w:p>
    <w:p w:rsidR="00850206" w:rsidRPr="00F96D69" w:rsidRDefault="00522393" w:rsidP="00F1113C">
      <w:pPr>
        <w:pStyle w:val="x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olor w:val="000000" w:themeColor="text1"/>
        </w:rPr>
      </w:pPr>
      <w:r>
        <w:rPr>
          <w:rFonts w:ascii="Cambria" w:hAnsi="Cambria"/>
          <w:color w:val="000000" w:themeColor="text1"/>
        </w:rPr>
        <w:t xml:space="preserve">(2) </w:t>
      </w:r>
      <w:r w:rsidR="00850206" w:rsidRPr="00F96D69">
        <w:rPr>
          <w:rFonts w:ascii="Cambria" w:hAnsi="Cambria"/>
          <w:color w:val="000000" w:themeColor="text1"/>
        </w:rPr>
        <w:t>That</w:t>
      </w:r>
      <w:r w:rsidR="00850206" w:rsidRPr="00F96D69">
        <w:rPr>
          <w:rFonts w:ascii="Cambria" w:hAnsi="Cambria"/>
        </w:rPr>
        <w:t xml:space="preserve"> specific training is provided to police officers to ensure that people are not being stereotyped but rather are being selected based on a belief that they may have a dangerous article and that people are not being selected as a means of detecting other criminal behaviour.  </w:t>
      </w:r>
      <w:r w:rsidR="00850206" w:rsidRPr="00F96D69">
        <w:rPr>
          <w:rFonts w:ascii="Cambria" w:hAnsi="Cambria"/>
          <w:color w:val="000000" w:themeColor="text1"/>
        </w:rPr>
        <w:t xml:space="preserve"> </w:t>
      </w:r>
    </w:p>
    <w:p w:rsidR="00C44127" w:rsidRPr="00F96D69" w:rsidRDefault="00C44127" w:rsidP="00C44127">
      <w:pPr>
        <w:pStyle w:val="xmsonormal"/>
        <w:shd w:val="clear" w:color="auto" w:fill="FFFFFF"/>
        <w:spacing w:before="0" w:beforeAutospacing="0" w:after="0" w:afterAutospacing="0"/>
        <w:jc w:val="both"/>
        <w:rPr>
          <w:rFonts w:ascii="Cambria" w:hAnsi="Cambria"/>
        </w:rPr>
      </w:pPr>
    </w:p>
    <w:p w:rsidR="00C44127" w:rsidRPr="00F96D69" w:rsidRDefault="00C44127" w:rsidP="00C44127">
      <w:pPr>
        <w:pStyle w:val="xmsonormal"/>
        <w:shd w:val="clear" w:color="auto" w:fill="FFFFFF"/>
        <w:spacing w:before="0" w:beforeAutospacing="0" w:after="0" w:afterAutospacing="0"/>
        <w:jc w:val="both"/>
        <w:rPr>
          <w:rFonts w:ascii="Cambria" w:hAnsi="Cambria"/>
          <w:b/>
          <w:bCs/>
        </w:rPr>
      </w:pPr>
      <w:r w:rsidRPr="00F96D69">
        <w:rPr>
          <w:rFonts w:ascii="Cambria" w:hAnsi="Cambria"/>
          <w:b/>
          <w:bCs/>
        </w:rPr>
        <w:t>Improving community safety?</w:t>
      </w:r>
    </w:p>
    <w:p w:rsidR="00522393" w:rsidRDefault="00C44127" w:rsidP="00C44127">
      <w:pPr>
        <w:pStyle w:val="xmsonormal"/>
        <w:shd w:val="clear" w:color="auto" w:fill="FFFFFF"/>
        <w:spacing w:before="0" w:beforeAutospacing="0" w:after="0" w:afterAutospacing="0"/>
        <w:jc w:val="both"/>
        <w:rPr>
          <w:rFonts w:ascii="Cambria" w:hAnsi="Cambria"/>
        </w:rPr>
      </w:pPr>
      <w:r w:rsidRPr="00F96D69">
        <w:rPr>
          <w:rFonts w:ascii="Cambria" w:hAnsi="Cambria"/>
        </w:rPr>
        <w:t>According to the Government, increasing penalties for persons carrying weapons and stronger police search powers “will improve community safety by helping get knives off our streets and will also protect our police officers”.</w:t>
      </w:r>
      <w:r w:rsidRPr="00F96D69">
        <w:rPr>
          <w:rStyle w:val="FootnoteReference"/>
          <w:rFonts w:ascii="Cambria" w:hAnsi="Cambria"/>
        </w:rPr>
        <w:footnoteReference w:id="8"/>
      </w:r>
      <w:r w:rsidRPr="00F96D69">
        <w:rPr>
          <w:rFonts w:ascii="Cambria" w:hAnsi="Cambria"/>
        </w:rPr>
        <w:t xml:space="preserve">  </w:t>
      </w:r>
    </w:p>
    <w:p w:rsidR="00C44127" w:rsidRPr="00C44127" w:rsidRDefault="00C44127" w:rsidP="00C44127">
      <w:pPr>
        <w:pStyle w:val="xmsonormal"/>
        <w:shd w:val="clear" w:color="auto" w:fill="FFFFFF"/>
        <w:spacing w:before="0" w:beforeAutospacing="0" w:after="0" w:afterAutospacing="0"/>
        <w:jc w:val="both"/>
        <w:rPr>
          <w:rFonts w:ascii="Cambria" w:hAnsi="Cambria"/>
        </w:rPr>
      </w:pPr>
      <w:r w:rsidRPr="00C44127">
        <w:rPr>
          <w:rFonts w:ascii="Cambria" w:hAnsi="Cambria"/>
        </w:rPr>
        <w:lastRenderedPageBreak/>
        <w:t>As we observed earlier, a person who without lawful excuse has possession of a dangerous article in a public place may receive a fine of up to 50 penalty units or imprisonment for a term not exceeding 2 years. Relevantly, until 30 June 2021, the offence carried a maximum penalty of 10 penalty units.</w:t>
      </w:r>
      <w:r w:rsidRPr="00C44127">
        <w:rPr>
          <w:rStyle w:val="FootnoteReference"/>
          <w:rFonts w:ascii="Cambria" w:hAnsi="Cambria"/>
        </w:rPr>
        <w:footnoteReference w:id="9"/>
      </w:r>
      <w:r w:rsidRPr="00C44127">
        <w:rPr>
          <w:rFonts w:ascii="Cambria" w:hAnsi="Cambria"/>
        </w:rPr>
        <w:t xml:space="preserve"> </w:t>
      </w:r>
    </w:p>
    <w:p w:rsidR="00C44127" w:rsidRPr="00C44127" w:rsidRDefault="00C44127" w:rsidP="00C44127">
      <w:pPr>
        <w:pStyle w:val="xmsonormal"/>
        <w:shd w:val="clear" w:color="auto" w:fill="FFFFFF"/>
        <w:spacing w:before="0" w:beforeAutospacing="0" w:after="0" w:afterAutospacing="0"/>
        <w:jc w:val="both"/>
        <w:rPr>
          <w:rFonts w:ascii="Cambria" w:hAnsi="Cambria"/>
        </w:rPr>
      </w:pPr>
    </w:p>
    <w:p w:rsidR="0054753E" w:rsidRDefault="00C44127" w:rsidP="00C44127">
      <w:pPr>
        <w:pStyle w:val="xmsonormal"/>
        <w:shd w:val="clear" w:color="auto" w:fill="FFFFFF"/>
        <w:spacing w:before="0" w:beforeAutospacing="0" w:after="0" w:afterAutospacing="0"/>
        <w:jc w:val="both"/>
        <w:rPr>
          <w:rFonts w:ascii="Cambria" w:hAnsi="Cambria"/>
        </w:rPr>
      </w:pPr>
      <w:r w:rsidRPr="00C44127">
        <w:rPr>
          <w:rFonts w:ascii="Cambria" w:hAnsi="Cambria"/>
        </w:rPr>
        <w:t xml:space="preserve">If increased penalties deter people from committing crime, then the amendments which became law from 1 July 2021 should have seen a significant drop in persons carrying a dangerous article as there was a five-fold increase in the maximum fine able to be imposed and up to 2 years imprisonment became a sentencing option.  </w:t>
      </w:r>
    </w:p>
    <w:p w:rsidR="0054753E" w:rsidRDefault="0054753E" w:rsidP="00C44127">
      <w:pPr>
        <w:pStyle w:val="xmsonormal"/>
        <w:shd w:val="clear" w:color="auto" w:fill="FFFFFF"/>
        <w:spacing w:before="0" w:beforeAutospacing="0" w:after="0" w:afterAutospacing="0"/>
        <w:jc w:val="both"/>
        <w:rPr>
          <w:rFonts w:ascii="Cambria" w:hAnsi="Cambria"/>
        </w:rPr>
      </w:pPr>
    </w:p>
    <w:p w:rsidR="00C44127" w:rsidRPr="00C44127" w:rsidRDefault="00C44127" w:rsidP="00C44127">
      <w:pPr>
        <w:pStyle w:val="xmsonormal"/>
        <w:shd w:val="clear" w:color="auto" w:fill="FFFFFF"/>
        <w:spacing w:before="0" w:beforeAutospacing="0" w:after="0" w:afterAutospacing="0"/>
        <w:jc w:val="both"/>
        <w:rPr>
          <w:rFonts w:ascii="Cambria" w:hAnsi="Cambria"/>
        </w:rPr>
      </w:pPr>
      <w:r w:rsidRPr="00C44127">
        <w:rPr>
          <w:rFonts w:ascii="Cambria" w:hAnsi="Cambria"/>
        </w:rPr>
        <w:t xml:space="preserve">According to Tasmania Police’s </w:t>
      </w:r>
      <w:r w:rsidRPr="00C44127">
        <w:rPr>
          <w:rFonts w:ascii="Cambria" w:hAnsi="Cambria"/>
          <w:i/>
          <w:iCs/>
        </w:rPr>
        <w:t>Crime Statistics Supplement</w:t>
      </w:r>
      <w:r w:rsidRPr="00C44127">
        <w:rPr>
          <w:rFonts w:ascii="Cambria" w:hAnsi="Cambria"/>
        </w:rPr>
        <w:t>, the number of assaults involving a knife in 2023-24 was four per cent.</w:t>
      </w:r>
      <w:r w:rsidRPr="00C44127">
        <w:rPr>
          <w:rStyle w:val="FootnoteReference"/>
          <w:rFonts w:ascii="Cambria" w:hAnsi="Cambria"/>
        </w:rPr>
        <w:footnoteReference w:id="10"/>
      </w:r>
      <w:r w:rsidRPr="00C44127">
        <w:rPr>
          <w:rFonts w:ascii="Cambria" w:hAnsi="Cambria"/>
        </w:rPr>
        <w:t xml:space="preserve"> In 2022-23 it was also 4 per cent.</w:t>
      </w:r>
      <w:r w:rsidRPr="00C44127">
        <w:rPr>
          <w:rStyle w:val="FootnoteReference"/>
          <w:rFonts w:ascii="Cambria" w:hAnsi="Cambria"/>
        </w:rPr>
        <w:footnoteReference w:id="11"/>
      </w:r>
      <w:r w:rsidRPr="00C44127">
        <w:rPr>
          <w:rFonts w:ascii="Cambria" w:hAnsi="Cambria"/>
        </w:rPr>
        <w:t xml:space="preserve"> In 2021-22 it was also 4 per cent.</w:t>
      </w:r>
      <w:r w:rsidRPr="00C44127">
        <w:rPr>
          <w:rStyle w:val="FootnoteReference"/>
          <w:rFonts w:ascii="Cambria" w:hAnsi="Cambria"/>
        </w:rPr>
        <w:footnoteReference w:id="12"/>
      </w:r>
      <w:r w:rsidRPr="00C44127">
        <w:rPr>
          <w:rFonts w:ascii="Cambria" w:hAnsi="Cambria"/>
        </w:rPr>
        <w:t xml:space="preserve"> In 2020-21 it was only 3 per cent. In other words, there were proportionately </w:t>
      </w:r>
      <w:r w:rsidRPr="00C44127">
        <w:rPr>
          <w:rFonts w:ascii="Cambria" w:hAnsi="Cambria"/>
          <w:i/>
          <w:iCs/>
        </w:rPr>
        <w:t>less</w:t>
      </w:r>
      <w:r w:rsidRPr="00C44127">
        <w:rPr>
          <w:rFonts w:ascii="Cambria" w:hAnsi="Cambria"/>
        </w:rPr>
        <w:t xml:space="preserve"> assaults involving a knife before the five-fold increase in fines or imprisonment of up to 2 years became a sentencing option.  </w:t>
      </w:r>
    </w:p>
    <w:p w:rsidR="00C44127" w:rsidRPr="00C44127" w:rsidRDefault="00C44127" w:rsidP="00C44127">
      <w:pPr>
        <w:pStyle w:val="xmsonormal"/>
        <w:shd w:val="clear" w:color="auto" w:fill="FFFFFF"/>
        <w:spacing w:before="0" w:beforeAutospacing="0" w:after="0" w:afterAutospacing="0"/>
        <w:jc w:val="both"/>
        <w:rPr>
          <w:rFonts w:ascii="Cambria" w:hAnsi="Cambria"/>
        </w:rPr>
      </w:pPr>
    </w:p>
    <w:p w:rsidR="00C44127" w:rsidRPr="00C44127" w:rsidRDefault="00C44127" w:rsidP="00C44127">
      <w:pPr>
        <w:pStyle w:val="xmsonormal"/>
        <w:shd w:val="clear" w:color="auto" w:fill="FFFFFF"/>
        <w:spacing w:before="0" w:beforeAutospacing="0" w:after="0" w:afterAutospacing="0"/>
        <w:jc w:val="both"/>
        <w:rPr>
          <w:rFonts w:ascii="Cambria" w:hAnsi="Cambria"/>
        </w:rPr>
      </w:pPr>
      <w:r w:rsidRPr="00C44127">
        <w:rPr>
          <w:rFonts w:ascii="Cambria" w:hAnsi="Cambria"/>
        </w:rPr>
        <w:t xml:space="preserve">However, it is also true that the number of recorded assaults is increasing. Over the last decade, the number of recorded assaults has increased by 65 per cent from 2493 in 2013/14 to 4108 in 2023/24.  </w:t>
      </w:r>
    </w:p>
    <w:p w:rsidR="00C44127" w:rsidRDefault="00C44127" w:rsidP="00C44127">
      <w:pPr>
        <w:pStyle w:val="xmsonormal"/>
        <w:shd w:val="clear" w:color="auto" w:fill="FFFFFF"/>
        <w:spacing w:before="0" w:beforeAutospacing="0" w:after="0" w:afterAutospacing="0"/>
        <w:jc w:val="both"/>
        <w:rPr>
          <w:rFonts w:ascii="Cambria" w:hAnsi="Cambria"/>
        </w:rPr>
      </w:pPr>
    </w:p>
    <w:p w:rsidR="00C44127" w:rsidRDefault="00C44127" w:rsidP="00C44127">
      <w:pPr>
        <w:pStyle w:val="xmsonormal"/>
        <w:shd w:val="clear" w:color="auto" w:fill="FFFFFF"/>
        <w:spacing w:before="0" w:beforeAutospacing="0" w:after="0" w:afterAutospacing="0"/>
        <w:jc w:val="both"/>
        <w:rPr>
          <w:rFonts w:ascii="Cambria" w:hAnsi="Cambria"/>
        </w:rPr>
      </w:pPr>
      <w:r>
        <w:rPr>
          <w:rFonts w:ascii="Cambria" w:hAnsi="Cambria"/>
          <w:noProof/>
          <w14:ligatures w14:val="standardContextual"/>
        </w:rPr>
        <w:drawing>
          <wp:inline distT="0" distB="0" distL="0" distR="0" wp14:anchorId="53FC0B11" wp14:editId="07417DE5">
            <wp:extent cx="5553307" cy="2888166"/>
            <wp:effectExtent l="0" t="0" r="9525" b="7620"/>
            <wp:docPr id="97142436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Cambria" w:hAnsi="Cambria"/>
        </w:rPr>
        <w:t xml:space="preserve">  </w:t>
      </w:r>
    </w:p>
    <w:p w:rsidR="00C44127" w:rsidRPr="002063CF" w:rsidRDefault="00C44127" w:rsidP="00C44127">
      <w:pPr>
        <w:pStyle w:val="xmsonormal"/>
        <w:shd w:val="clear" w:color="auto" w:fill="FFFFFF"/>
        <w:spacing w:before="0" w:beforeAutospacing="0" w:after="0" w:afterAutospacing="0"/>
        <w:jc w:val="both"/>
        <w:rPr>
          <w:rFonts w:ascii="Cambria" w:hAnsi="Cambria"/>
          <w:sz w:val="20"/>
          <w:szCs w:val="20"/>
        </w:rPr>
      </w:pPr>
      <w:r w:rsidRPr="002063CF">
        <w:rPr>
          <w:rFonts w:ascii="Cambria" w:hAnsi="Cambria"/>
          <w:sz w:val="20"/>
          <w:szCs w:val="20"/>
        </w:rPr>
        <w:t xml:space="preserve">Source: Department of Police, Fire and Emergency Management, </w:t>
      </w:r>
      <w:r w:rsidRPr="002063CF">
        <w:rPr>
          <w:rFonts w:ascii="Cambria" w:hAnsi="Cambria"/>
          <w:i/>
          <w:iCs/>
          <w:sz w:val="20"/>
          <w:szCs w:val="20"/>
        </w:rPr>
        <w:t>Crime Statistics Supplement</w:t>
      </w:r>
    </w:p>
    <w:p w:rsidR="00C44127" w:rsidRPr="00850206" w:rsidRDefault="00C44127" w:rsidP="00C44127">
      <w:pPr>
        <w:pStyle w:val="xmsonormal"/>
        <w:shd w:val="clear" w:color="auto" w:fill="FFFFFF"/>
        <w:spacing w:before="0" w:beforeAutospacing="0" w:after="0" w:afterAutospacing="0"/>
        <w:jc w:val="both"/>
        <w:rPr>
          <w:rFonts w:ascii="Cambria" w:hAnsi="Cambria"/>
          <w:b/>
          <w:bCs/>
        </w:rPr>
      </w:pPr>
      <w:r w:rsidRPr="00850206">
        <w:rPr>
          <w:rFonts w:ascii="Cambria" w:hAnsi="Cambria"/>
          <w:b/>
          <w:bCs/>
        </w:rPr>
        <w:lastRenderedPageBreak/>
        <w:t>What works</w:t>
      </w:r>
      <w:r w:rsidR="00522393">
        <w:rPr>
          <w:rFonts w:ascii="Cambria" w:hAnsi="Cambria"/>
          <w:b/>
          <w:bCs/>
        </w:rPr>
        <w:t>?</w:t>
      </w:r>
    </w:p>
    <w:p w:rsidR="00C44127" w:rsidRPr="00850206" w:rsidRDefault="00C44127" w:rsidP="00C44127">
      <w:pPr>
        <w:pStyle w:val="xmsonormal"/>
        <w:shd w:val="clear" w:color="auto" w:fill="FFFFFF"/>
        <w:spacing w:before="0" w:beforeAutospacing="0" w:after="0" w:afterAutospacing="0"/>
        <w:jc w:val="both"/>
        <w:rPr>
          <w:rFonts w:ascii="Cambria" w:hAnsi="Cambria"/>
        </w:rPr>
      </w:pPr>
      <w:r w:rsidRPr="00850206">
        <w:rPr>
          <w:rFonts w:ascii="Cambria" w:hAnsi="Cambria"/>
        </w:rPr>
        <w:t>Early intervention initiatives have a much stronger track record of preventing violence and increasing safety. If there is evidence that particular groups may be more likely to be carrying knifes and other dangerous articles, an emphasis should be placed on understanding why as well as seeking their thoughts on potential solutions and interventions.</w:t>
      </w:r>
    </w:p>
    <w:p w:rsidR="00C44127" w:rsidRPr="00850206" w:rsidRDefault="00C44127" w:rsidP="00C44127">
      <w:pPr>
        <w:pStyle w:val="xmsonormal"/>
        <w:shd w:val="clear" w:color="auto" w:fill="FFFFFF"/>
        <w:spacing w:before="0" w:beforeAutospacing="0" w:after="0" w:afterAutospacing="0"/>
        <w:jc w:val="both"/>
        <w:rPr>
          <w:rFonts w:ascii="Cambria" w:hAnsi="Cambria"/>
        </w:rPr>
      </w:pPr>
    </w:p>
    <w:p w:rsidR="00C44127" w:rsidRPr="00850206" w:rsidRDefault="00C44127" w:rsidP="00C44127">
      <w:pPr>
        <w:pStyle w:val="xmsonormal"/>
        <w:shd w:val="clear" w:color="auto" w:fill="FFFFFF"/>
        <w:spacing w:before="0" w:beforeAutospacing="0" w:after="0" w:afterAutospacing="0"/>
        <w:jc w:val="both"/>
        <w:rPr>
          <w:rFonts w:ascii="Cambria" w:hAnsi="Cambria"/>
        </w:rPr>
      </w:pPr>
      <w:r w:rsidRPr="00850206">
        <w:rPr>
          <w:rFonts w:ascii="Cambria" w:hAnsi="Cambria"/>
        </w:rPr>
        <w:t>Finally, as well as targeting early intervention, there also needs to be appropriate resourcing of youth detention and prison programs so that rehabilitation and behaviour change are able to be achieved.</w:t>
      </w:r>
    </w:p>
    <w:p w:rsidR="00C44127" w:rsidRPr="00850206" w:rsidRDefault="00C44127" w:rsidP="00C44127">
      <w:pPr>
        <w:pStyle w:val="xmsonormal"/>
        <w:shd w:val="clear" w:color="auto" w:fill="FFFFFF"/>
        <w:spacing w:before="0" w:beforeAutospacing="0" w:after="0" w:afterAutospacing="0"/>
        <w:jc w:val="both"/>
        <w:rPr>
          <w:rFonts w:ascii="Cambria" w:hAnsi="Cambria"/>
        </w:rPr>
      </w:pPr>
    </w:p>
    <w:p w:rsidR="00C44127" w:rsidRPr="00850206" w:rsidRDefault="00C44127" w:rsidP="00C44127">
      <w:pPr>
        <w:pStyle w:val="x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rPr>
      </w:pPr>
      <w:r w:rsidRPr="00850206">
        <w:rPr>
          <w:rFonts w:ascii="Cambria" w:hAnsi="Cambria"/>
          <w:b/>
          <w:bCs/>
        </w:rPr>
        <w:t>Recommendation:</w:t>
      </w:r>
      <w:r w:rsidRPr="00850206">
        <w:rPr>
          <w:rFonts w:ascii="Cambria" w:hAnsi="Cambria"/>
        </w:rPr>
        <w:t xml:space="preserve"> Engage with groups more likely to carry dangerous articles and commit to early intervention initiatives. Also ensure that there is adequate resourcing of rehabilitation and behaviour change programs within youth detention and prison.    </w:t>
      </w:r>
    </w:p>
    <w:p w:rsidR="0054753E" w:rsidRPr="00850206" w:rsidRDefault="0054753E" w:rsidP="00C44127">
      <w:pPr>
        <w:ind w:right="-347"/>
        <w:jc w:val="both"/>
        <w:rPr>
          <w:rFonts w:ascii="Cambria" w:hAnsi="Cambria"/>
          <w:iCs/>
          <w:color w:val="000000" w:themeColor="text1"/>
        </w:rPr>
      </w:pPr>
    </w:p>
    <w:p w:rsidR="0054753E" w:rsidRPr="00850206" w:rsidRDefault="0054753E" w:rsidP="00C44127">
      <w:pPr>
        <w:ind w:right="-347"/>
        <w:jc w:val="both"/>
        <w:rPr>
          <w:rFonts w:ascii="Cambria" w:hAnsi="Cambria"/>
          <w:b/>
          <w:bCs/>
          <w:iCs/>
          <w:color w:val="000000" w:themeColor="text1"/>
        </w:rPr>
      </w:pPr>
      <w:r w:rsidRPr="00850206">
        <w:rPr>
          <w:rFonts w:ascii="Cambria" w:hAnsi="Cambria"/>
          <w:b/>
          <w:bCs/>
          <w:iCs/>
          <w:color w:val="000000" w:themeColor="text1"/>
        </w:rPr>
        <w:t xml:space="preserve">Use of </w:t>
      </w:r>
      <w:r w:rsidR="00850206">
        <w:rPr>
          <w:rFonts w:ascii="Cambria" w:hAnsi="Cambria"/>
          <w:b/>
          <w:bCs/>
          <w:iCs/>
          <w:color w:val="000000" w:themeColor="text1"/>
        </w:rPr>
        <w:t>electronic metal detection device</w:t>
      </w:r>
    </w:p>
    <w:p w:rsidR="0054753E" w:rsidRPr="00850206" w:rsidRDefault="0054753E" w:rsidP="00C44127">
      <w:pPr>
        <w:ind w:right="-347"/>
        <w:jc w:val="both"/>
        <w:rPr>
          <w:rFonts w:ascii="Cambria" w:hAnsi="Cambria"/>
          <w:iCs/>
          <w:color w:val="000000" w:themeColor="text1"/>
        </w:rPr>
      </w:pPr>
      <w:r w:rsidRPr="00850206">
        <w:rPr>
          <w:rFonts w:ascii="Cambria" w:hAnsi="Cambria"/>
          <w:iCs/>
          <w:color w:val="000000" w:themeColor="text1"/>
        </w:rPr>
        <w:t xml:space="preserve">The Bill follows the introduction of a five-month trial (December 2024 – April 2025) in which Tasmania Police have been able to use </w:t>
      </w:r>
      <w:r w:rsidR="00850206">
        <w:rPr>
          <w:rFonts w:ascii="Cambria" w:hAnsi="Cambria"/>
          <w:iCs/>
          <w:color w:val="000000" w:themeColor="text1"/>
        </w:rPr>
        <w:t>an electronic metal detection device</w:t>
      </w:r>
      <w:r w:rsidRPr="00850206">
        <w:rPr>
          <w:rFonts w:ascii="Cambria" w:hAnsi="Cambria"/>
          <w:iCs/>
          <w:color w:val="000000" w:themeColor="text1"/>
        </w:rPr>
        <w:t xml:space="preserve"> to conduct non-invasive searches for knives.</w:t>
      </w:r>
      <w:r w:rsidRPr="00850206">
        <w:rPr>
          <w:rStyle w:val="FootnoteReference"/>
          <w:rFonts w:ascii="Cambria" w:hAnsi="Cambria"/>
          <w:iCs/>
          <w:color w:val="000000" w:themeColor="text1"/>
        </w:rPr>
        <w:footnoteReference w:id="13"/>
      </w:r>
      <w:r w:rsidRPr="00850206">
        <w:rPr>
          <w:rFonts w:ascii="Cambria" w:hAnsi="Cambria"/>
          <w:iCs/>
          <w:color w:val="000000" w:themeColor="text1"/>
        </w:rPr>
        <w:t xml:space="preserve"> The Bill propose</w:t>
      </w:r>
      <w:r w:rsidR="00A829D4" w:rsidRPr="00850206">
        <w:rPr>
          <w:rFonts w:ascii="Cambria" w:hAnsi="Cambria"/>
          <w:iCs/>
          <w:color w:val="000000" w:themeColor="text1"/>
        </w:rPr>
        <w:t>s</w:t>
      </w:r>
      <w:r w:rsidRPr="00850206">
        <w:rPr>
          <w:rFonts w:ascii="Cambria" w:hAnsi="Cambria"/>
          <w:iCs/>
          <w:color w:val="000000" w:themeColor="text1"/>
        </w:rPr>
        <w:t xml:space="preserve"> to introduce a new section 15CAA into the </w:t>
      </w:r>
      <w:r w:rsidRPr="00F96D69">
        <w:rPr>
          <w:rFonts w:ascii="Cambria" w:hAnsi="Cambria"/>
          <w:i/>
          <w:color w:val="000000" w:themeColor="text1"/>
        </w:rPr>
        <w:t xml:space="preserve">Police Offences Act </w:t>
      </w:r>
      <w:r w:rsidR="00F96D69" w:rsidRPr="00F96D69">
        <w:rPr>
          <w:rFonts w:ascii="Cambria" w:hAnsi="Cambria"/>
          <w:i/>
          <w:color w:val="000000" w:themeColor="text1"/>
        </w:rPr>
        <w:t>1935</w:t>
      </w:r>
      <w:r w:rsidR="00F96D69">
        <w:rPr>
          <w:rFonts w:ascii="Cambria" w:hAnsi="Cambria"/>
          <w:iCs/>
          <w:color w:val="000000" w:themeColor="text1"/>
        </w:rPr>
        <w:t xml:space="preserve"> (Tas) </w:t>
      </w:r>
      <w:r w:rsidRPr="00850206">
        <w:rPr>
          <w:rFonts w:ascii="Cambria" w:hAnsi="Cambria"/>
          <w:iCs/>
          <w:color w:val="000000" w:themeColor="text1"/>
        </w:rPr>
        <w:t>which would read as follows:</w:t>
      </w:r>
    </w:p>
    <w:p w:rsidR="0054753E" w:rsidRDefault="0054753E" w:rsidP="00C44127">
      <w:pPr>
        <w:ind w:right="-347"/>
        <w:jc w:val="both"/>
        <w:rPr>
          <w:rFonts w:ascii="Cambria" w:hAnsi="Cambria"/>
          <w:iCs/>
          <w:color w:val="000000" w:themeColor="text1"/>
          <w:sz w:val="23"/>
          <w:szCs w:val="23"/>
        </w:rPr>
      </w:pPr>
    </w:p>
    <w:p w:rsidR="0054753E" w:rsidRPr="00F96D69" w:rsidRDefault="0054753E" w:rsidP="00850206">
      <w:pPr>
        <w:ind w:left="720" w:right="-347"/>
        <w:jc w:val="both"/>
        <w:rPr>
          <w:rFonts w:ascii="Cambria" w:hAnsi="Cambria"/>
          <w:b/>
          <w:bCs/>
          <w:i/>
          <w:iCs/>
          <w:sz w:val="23"/>
          <w:szCs w:val="23"/>
        </w:rPr>
      </w:pPr>
      <w:r w:rsidRPr="00F96D69">
        <w:rPr>
          <w:rFonts w:ascii="Cambria" w:hAnsi="Cambria"/>
          <w:b/>
          <w:bCs/>
          <w:i/>
          <w:iCs/>
          <w:sz w:val="23"/>
          <w:szCs w:val="23"/>
        </w:rPr>
        <w:t xml:space="preserve">15CAA. Use of electronic metal detection device </w:t>
      </w:r>
    </w:p>
    <w:p w:rsidR="00513E0D" w:rsidRPr="00F96D69" w:rsidRDefault="00513E0D" w:rsidP="00850206">
      <w:pPr>
        <w:ind w:left="720" w:right="-347"/>
        <w:jc w:val="both"/>
        <w:rPr>
          <w:rFonts w:ascii="Cambria" w:hAnsi="Cambria"/>
          <w:i/>
          <w:iCs/>
          <w:sz w:val="23"/>
          <w:szCs w:val="23"/>
        </w:rPr>
      </w:pPr>
      <w:r w:rsidRPr="00F96D69">
        <w:rPr>
          <w:rFonts w:ascii="Cambria" w:hAnsi="Cambria"/>
          <w:i/>
          <w:iCs/>
          <w:sz w:val="23"/>
          <w:szCs w:val="23"/>
        </w:rPr>
        <w:t xml:space="preserve">(1) </w:t>
      </w:r>
      <w:r w:rsidR="0054753E" w:rsidRPr="00F96D69">
        <w:rPr>
          <w:rFonts w:ascii="Cambria" w:hAnsi="Cambria"/>
          <w:i/>
          <w:iCs/>
          <w:sz w:val="23"/>
          <w:szCs w:val="23"/>
        </w:rPr>
        <w:t xml:space="preserve">In this section – </w:t>
      </w:r>
    </w:p>
    <w:p w:rsidR="00522393" w:rsidRDefault="00522393" w:rsidP="00850206">
      <w:pPr>
        <w:ind w:left="720"/>
        <w:rPr>
          <w:rFonts w:ascii="Cambria" w:hAnsi="Cambria"/>
          <w:b/>
          <w:bCs/>
          <w:i/>
          <w:iCs/>
          <w:sz w:val="23"/>
          <w:szCs w:val="23"/>
        </w:rPr>
      </w:pPr>
    </w:p>
    <w:p w:rsidR="00513E0D" w:rsidRPr="00F96D69" w:rsidRDefault="0054753E" w:rsidP="00850206">
      <w:pPr>
        <w:ind w:left="720"/>
        <w:rPr>
          <w:rFonts w:ascii="Cambria" w:hAnsi="Cambria"/>
          <w:i/>
          <w:iCs/>
          <w:sz w:val="23"/>
          <w:szCs w:val="23"/>
        </w:rPr>
      </w:pPr>
      <w:r w:rsidRPr="00F96D69">
        <w:rPr>
          <w:rFonts w:ascii="Cambria" w:hAnsi="Cambria"/>
          <w:b/>
          <w:bCs/>
          <w:i/>
          <w:iCs/>
          <w:sz w:val="23"/>
          <w:szCs w:val="23"/>
        </w:rPr>
        <w:t>electronic metal detection device</w:t>
      </w:r>
      <w:r w:rsidRPr="00F96D69">
        <w:rPr>
          <w:rFonts w:ascii="Cambria" w:hAnsi="Cambria"/>
          <w:i/>
          <w:iCs/>
          <w:sz w:val="23"/>
          <w:szCs w:val="23"/>
        </w:rPr>
        <w:t xml:space="preserve"> means an electronic device that is capable of detecting the presence of metallic objects; </w:t>
      </w:r>
    </w:p>
    <w:p w:rsidR="00522393" w:rsidRDefault="00522393" w:rsidP="00850206">
      <w:pPr>
        <w:ind w:left="720"/>
        <w:rPr>
          <w:rFonts w:ascii="Cambria" w:hAnsi="Cambria"/>
          <w:b/>
          <w:bCs/>
          <w:i/>
          <w:iCs/>
          <w:sz w:val="23"/>
          <w:szCs w:val="23"/>
        </w:rPr>
      </w:pPr>
    </w:p>
    <w:p w:rsidR="0054753E" w:rsidRPr="00F96D69" w:rsidRDefault="0054753E" w:rsidP="00850206">
      <w:pPr>
        <w:ind w:left="720"/>
        <w:rPr>
          <w:rFonts w:ascii="Cambria" w:hAnsi="Cambria"/>
          <w:i/>
          <w:iCs/>
          <w:sz w:val="23"/>
          <w:szCs w:val="23"/>
        </w:rPr>
      </w:pPr>
      <w:r w:rsidRPr="00F96D69">
        <w:rPr>
          <w:rFonts w:ascii="Cambria" w:hAnsi="Cambria"/>
          <w:b/>
          <w:bCs/>
          <w:i/>
          <w:iCs/>
          <w:sz w:val="23"/>
          <w:szCs w:val="23"/>
        </w:rPr>
        <w:t>electronic metal detection device search</w:t>
      </w:r>
      <w:r w:rsidRPr="00F96D69">
        <w:rPr>
          <w:rFonts w:ascii="Cambria" w:hAnsi="Cambria"/>
          <w:i/>
          <w:iCs/>
          <w:sz w:val="23"/>
          <w:szCs w:val="23"/>
        </w:rPr>
        <w:t xml:space="preserve"> means a search of a person conducted by – </w:t>
      </w:r>
    </w:p>
    <w:p w:rsidR="0054753E" w:rsidRPr="00F96D69" w:rsidRDefault="0054753E" w:rsidP="00850206">
      <w:pPr>
        <w:ind w:left="1440" w:right="-347"/>
        <w:jc w:val="both"/>
        <w:rPr>
          <w:rFonts w:ascii="Cambria" w:hAnsi="Cambria"/>
          <w:i/>
          <w:iCs/>
          <w:sz w:val="23"/>
          <w:szCs w:val="23"/>
        </w:rPr>
      </w:pPr>
      <w:r w:rsidRPr="00F96D69">
        <w:rPr>
          <w:rFonts w:ascii="Cambria" w:hAnsi="Cambria"/>
          <w:i/>
          <w:iCs/>
          <w:sz w:val="23"/>
          <w:szCs w:val="23"/>
        </w:rPr>
        <w:t xml:space="preserve">(a) passing an electronic metal detection device over or in close proximity to the person’s outer clothing; or </w:t>
      </w:r>
    </w:p>
    <w:p w:rsidR="00850206" w:rsidRPr="00F96D69" w:rsidRDefault="00850206" w:rsidP="00850206">
      <w:pPr>
        <w:ind w:left="720" w:right="-347" w:firstLine="720"/>
        <w:jc w:val="both"/>
        <w:rPr>
          <w:rFonts w:ascii="Cambria" w:hAnsi="Cambria"/>
          <w:i/>
          <w:iCs/>
          <w:sz w:val="23"/>
          <w:szCs w:val="23"/>
        </w:rPr>
      </w:pPr>
    </w:p>
    <w:p w:rsidR="00513E0D" w:rsidRPr="00F96D69" w:rsidRDefault="0054753E" w:rsidP="00850206">
      <w:pPr>
        <w:ind w:left="720" w:right="-347" w:firstLine="720"/>
        <w:jc w:val="both"/>
        <w:rPr>
          <w:rFonts w:ascii="Cambria" w:hAnsi="Cambria"/>
          <w:i/>
          <w:iCs/>
          <w:sz w:val="23"/>
          <w:szCs w:val="23"/>
        </w:rPr>
      </w:pPr>
      <w:r w:rsidRPr="00F96D69">
        <w:rPr>
          <w:rFonts w:ascii="Cambria" w:hAnsi="Cambria"/>
          <w:i/>
          <w:iCs/>
          <w:sz w:val="23"/>
          <w:szCs w:val="23"/>
        </w:rPr>
        <w:t xml:space="preserve">(b) requiring the person to pass through such a device. </w:t>
      </w:r>
    </w:p>
    <w:p w:rsidR="00850206" w:rsidRPr="00F96D69" w:rsidRDefault="00850206" w:rsidP="00850206">
      <w:pPr>
        <w:ind w:left="720" w:right="-347"/>
        <w:jc w:val="both"/>
        <w:rPr>
          <w:rFonts w:ascii="Cambria" w:hAnsi="Cambria"/>
          <w:i/>
          <w:iCs/>
          <w:sz w:val="23"/>
          <w:szCs w:val="23"/>
        </w:rPr>
      </w:pPr>
    </w:p>
    <w:p w:rsidR="0054753E" w:rsidRPr="00F96D69" w:rsidRDefault="0054753E" w:rsidP="00850206">
      <w:pPr>
        <w:ind w:left="720" w:right="-347"/>
        <w:jc w:val="both"/>
        <w:rPr>
          <w:rFonts w:ascii="Cambria" w:hAnsi="Cambria"/>
          <w:i/>
          <w:iCs/>
          <w:sz w:val="23"/>
          <w:szCs w:val="23"/>
        </w:rPr>
      </w:pPr>
      <w:r w:rsidRPr="00F96D69">
        <w:rPr>
          <w:rFonts w:ascii="Cambria" w:hAnsi="Cambria"/>
          <w:i/>
          <w:iCs/>
          <w:sz w:val="23"/>
          <w:szCs w:val="23"/>
        </w:rPr>
        <w:t>(2) A police officer in a prescribed place may, without a warrant, require any person within that prescribed place to undergo an electronic metal detection device search.</w:t>
      </w:r>
    </w:p>
    <w:p w:rsidR="00850206" w:rsidRPr="00F96D69" w:rsidRDefault="00850206" w:rsidP="00850206">
      <w:pPr>
        <w:ind w:left="720" w:right="-347"/>
        <w:jc w:val="both"/>
        <w:rPr>
          <w:rFonts w:ascii="Cambria" w:hAnsi="Cambria"/>
          <w:i/>
          <w:iCs/>
          <w:sz w:val="23"/>
          <w:szCs w:val="23"/>
        </w:rPr>
      </w:pPr>
    </w:p>
    <w:p w:rsidR="0054753E" w:rsidRPr="00F96D69" w:rsidRDefault="0054753E" w:rsidP="00850206">
      <w:pPr>
        <w:ind w:left="720" w:right="-347"/>
        <w:jc w:val="both"/>
        <w:rPr>
          <w:rFonts w:ascii="Cambria" w:hAnsi="Cambria"/>
          <w:i/>
          <w:iCs/>
          <w:sz w:val="23"/>
          <w:szCs w:val="23"/>
        </w:rPr>
      </w:pPr>
      <w:r w:rsidRPr="00F96D69">
        <w:rPr>
          <w:rFonts w:ascii="Cambria" w:hAnsi="Cambria"/>
          <w:i/>
          <w:iCs/>
          <w:sz w:val="23"/>
          <w:szCs w:val="23"/>
        </w:rPr>
        <w:t xml:space="preserve">(3) A police officer may stop and detain a person for so long as reasonably necessary to conduct an electronic metal detection device search in accordance with subsection (2). </w:t>
      </w:r>
    </w:p>
    <w:p w:rsidR="00850206" w:rsidRPr="00F96D69" w:rsidRDefault="00850206" w:rsidP="00850206">
      <w:pPr>
        <w:ind w:left="720" w:right="-347"/>
        <w:jc w:val="both"/>
        <w:rPr>
          <w:rFonts w:ascii="Cambria" w:hAnsi="Cambria"/>
          <w:i/>
          <w:iCs/>
          <w:sz w:val="23"/>
          <w:szCs w:val="23"/>
        </w:rPr>
      </w:pPr>
    </w:p>
    <w:p w:rsidR="0054753E" w:rsidRPr="00F96D69" w:rsidRDefault="0054753E" w:rsidP="00850206">
      <w:pPr>
        <w:ind w:left="720" w:right="-347"/>
        <w:jc w:val="both"/>
        <w:rPr>
          <w:rFonts w:ascii="Cambria" w:hAnsi="Cambria"/>
          <w:i/>
          <w:iCs/>
          <w:sz w:val="23"/>
          <w:szCs w:val="23"/>
        </w:rPr>
      </w:pPr>
      <w:r w:rsidRPr="00F96D69">
        <w:rPr>
          <w:rFonts w:ascii="Cambria" w:hAnsi="Cambria"/>
          <w:i/>
          <w:iCs/>
          <w:sz w:val="23"/>
          <w:szCs w:val="23"/>
        </w:rPr>
        <w:t>(4) For the avoidance of doubt, nothing in this provision affects the ability of a police officer to use an electronic metal detection device under any power, and in any circumstance, as authorised under this or any other Act.</w:t>
      </w:r>
    </w:p>
    <w:p w:rsidR="00850206" w:rsidRPr="00850206" w:rsidRDefault="00850206" w:rsidP="00C44127">
      <w:pPr>
        <w:ind w:right="-347"/>
        <w:jc w:val="both"/>
        <w:rPr>
          <w:rFonts w:ascii="Cambria" w:hAnsi="Cambria"/>
        </w:rPr>
      </w:pPr>
    </w:p>
    <w:p w:rsidR="00850206" w:rsidRPr="00F96D69" w:rsidRDefault="00850206" w:rsidP="00C44127">
      <w:pPr>
        <w:ind w:right="-347"/>
        <w:jc w:val="both"/>
        <w:rPr>
          <w:rFonts w:ascii="Cambria" w:hAnsi="Cambria"/>
        </w:rPr>
      </w:pPr>
      <w:r w:rsidRPr="00F96D69">
        <w:rPr>
          <w:rFonts w:ascii="Cambria" w:hAnsi="Cambria"/>
        </w:rPr>
        <w:lastRenderedPageBreak/>
        <w:t xml:space="preserve">The Bill then sets out in the </w:t>
      </w:r>
      <w:r w:rsidRPr="00F96D69">
        <w:rPr>
          <w:rFonts w:ascii="Cambria" w:hAnsi="Cambria"/>
          <w:i/>
          <w:iCs/>
        </w:rPr>
        <w:t>Police Offences Regulations 2024</w:t>
      </w:r>
      <w:r w:rsidRPr="00F96D69">
        <w:rPr>
          <w:rFonts w:ascii="Cambria" w:hAnsi="Cambria"/>
        </w:rPr>
        <w:t xml:space="preserve"> (Tas) that a prescribed place includes educational facilities consisting of schools, universities, TAFE, vocational educational facilities and other places used for the purpose of education. The concern with including educational facilities is that it may have the unintended consequence of students failing to attend school because of an increased police presence.</w:t>
      </w:r>
      <w:r w:rsidR="00F96D69">
        <w:rPr>
          <w:rFonts w:ascii="Cambria" w:hAnsi="Cambria"/>
        </w:rPr>
        <w:t xml:space="preserve"> </w:t>
      </w:r>
      <w:r w:rsidRPr="00F96D69">
        <w:rPr>
          <w:rFonts w:ascii="Cambria" w:hAnsi="Cambria"/>
        </w:rPr>
        <w:t xml:space="preserve">It is also worth noting that in NSW and Queensland the use of </w:t>
      </w:r>
      <w:r w:rsidR="00F96D69">
        <w:rPr>
          <w:rFonts w:ascii="Cambria" w:hAnsi="Cambria"/>
          <w:iCs/>
          <w:color w:val="000000" w:themeColor="text1"/>
        </w:rPr>
        <w:t>electronic metal detection devices</w:t>
      </w:r>
      <w:r w:rsidRPr="00F96D69">
        <w:rPr>
          <w:rFonts w:ascii="Cambria" w:hAnsi="Cambria"/>
        </w:rPr>
        <w:t xml:space="preserve"> (‘</w:t>
      </w:r>
      <w:proofErr w:type="spellStart"/>
      <w:r w:rsidRPr="00F96D69">
        <w:rPr>
          <w:rFonts w:ascii="Cambria" w:hAnsi="Cambria"/>
        </w:rPr>
        <w:t>wanding</w:t>
      </w:r>
      <w:proofErr w:type="spellEnd"/>
      <w:r w:rsidRPr="00F96D69">
        <w:rPr>
          <w:rFonts w:ascii="Cambria" w:hAnsi="Cambria"/>
        </w:rPr>
        <w:t>’) is limited to public spaces including safe night precincts, public transport facilities, licenced premises, retail premises, shopping centres and sporting or entertainment venues.</w:t>
      </w:r>
      <w:r w:rsidRPr="00F96D69">
        <w:rPr>
          <w:rStyle w:val="FootnoteReference"/>
          <w:rFonts w:ascii="Cambria" w:hAnsi="Cambria"/>
        </w:rPr>
        <w:footnoteReference w:id="14"/>
      </w:r>
      <w:r w:rsidRPr="00F96D69">
        <w:rPr>
          <w:rFonts w:ascii="Cambria" w:hAnsi="Cambria"/>
        </w:rPr>
        <w:t xml:space="preserve">   </w:t>
      </w:r>
    </w:p>
    <w:p w:rsidR="00850206" w:rsidRPr="00F96D69" w:rsidRDefault="00850206" w:rsidP="00850206">
      <w:pPr>
        <w:pStyle w:val="xmsonormal"/>
        <w:shd w:val="clear" w:color="auto" w:fill="FFFFFF"/>
        <w:spacing w:before="0" w:beforeAutospacing="0" w:after="0" w:afterAutospacing="0"/>
        <w:jc w:val="both"/>
        <w:rPr>
          <w:rFonts w:ascii="Cambria" w:hAnsi="Cambria"/>
        </w:rPr>
      </w:pPr>
    </w:p>
    <w:p w:rsidR="00850206" w:rsidRPr="00F96D69" w:rsidRDefault="00850206" w:rsidP="00850206">
      <w:pPr>
        <w:pStyle w:val="x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rPr>
      </w:pPr>
      <w:r w:rsidRPr="00F96D69">
        <w:rPr>
          <w:rFonts w:ascii="Cambria" w:hAnsi="Cambria"/>
          <w:b/>
          <w:bCs/>
        </w:rPr>
        <w:t>Recommendation:</w:t>
      </w:r>
      <w:r w:rsidRPr="00F96D69">
        <w:rPr>
          <w:rFonts w:ascii="Cambria" w:hAnsi="Cambria"/>
        </w:rPr>
        <w:t xml:space="preserve"> That the use of </w:t>
      </w:r>
      <w:r w:rsidR="00F96D69">
        <w:rPr>
          <w:rFonts w:ascii="Cambria" w:hAnsi="Cambria"/>
          <w:iCs/>
          <w:color w:val="000000" w:themeColor="text1"/>
        </w:rPr>
        <w:t xml:space="preserve">electronic metal detection devices </w:t>
      </w:r>
      <w:r w:rsidRPr="00F96D69">
        <w:rPr>
          <w:rFonts w:ascii="Cambria" w:hAnsi="Cambria"/>
        </w:rPr>
        <w:t xml:space="preserve">by police officers is limited to public spaces.    </w:t>
      </w:r>
    </w:p>
    <w:p w:rsidR="00850206" w:rsidRPr="00F96D69" w:rsidRDefault="00850206" w:rsidP="00850206">
      <w:pPr>
        <w:ind w:right="-347"/>
        <w:jc w:val="both"/>
        <w:rPr>
          <w:rFonts w:ascii="Cambria" w:hAnsi="Cambria"/>
          <w:iCs/>
          <w:color w:val="000000" w:themeColor="text1"/>
        </w:rPr>
      </w:pPr>
    </w:p>
    <w:p w:rsidR="00850206" w:rsidRDefault="00F96D69" w:rsidP="00C44127">
      <w:pPr>
        <w:ind w:right="-347"/>
        <w:jc w:val="both"/>
        <w:rPr>
          <w:rFonts w:ascii="Cambria" w:hAnsi="Cambria"/>
        </w:rPr>
      </w:pPr>
      <w:r>
        <w:rPr>
          <w:rFonts w:ascii="Cambria" w:hAnsi="Cambria"/>
        </w:rPr>
        <w:t xml:space="preserve">Finally, it is recommended that an evaluation study of the proposed legislation take place in 12 months’ time. This was a recommendation from the review of the Queensland trial and would provide an opportunity to evaluate whether the search powers are working.  </w:t>
      </w:r>
    </w:p>
    <w:p w:rsidR="00F96D69" w:rsidRPr="00F96D69" w:rsidRDefault="00F96D69" w:rsidP="00F96D69">
      <w:pPr>
        <w:pStyle w:val="xmsonormal"/>
        <w:shd w:val="clear" w:color="auto" w:fill="FFFFFF"/>
        <w:spacing w:before="0" w:beforeAutospacing="0" w:after="0" w:afterAutospacing="0"/>
        <w:jc w:val="both"/>
        <w:rPr>
          <w:rFonts w:ascii="Cambria" w:hAnsi="Cambria"/>
        </w:rPr>
      </w:pPr>
    </w:p>
    <w:p w:rsidR="00F96D69" w:rsidRPr="00F96D69" w:rsidRDefault="00F96D69" w:rsidP="00F96D69">
      <w:pPr>
        <w:pStyle w:val="x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rPr>
      </w:pPr>
      <w:r w:rsidRPr="00F96D69">
        <w:rPr>
          <w:rFonts w:ascii="Cambria" w:hAnsi="Cambria"/>
          <w:b/>
          <w:bCs/>
        </w:rPr>
        <w:t>Recommendation:</w:t>
      </w:r>
      <w:r w:rsidRPr="00F96D69">
        <w:rPr>
          <w:rFonts w:ascii="Cambria" w:hAnsi="Cambria"/>
        </w:rPr>
        <w:t xml:space="preserve"> That </w:t>
      </w:r>
      <w:r>
        <w:rPr>
          <w:rFonts w:ascii="Cambria" w:hAnsi="Cambria"/>
        </w:rPr>
        <w:t xml:space="preserve">an evaluation be carried out 12 months after the proposed laws come into effect.  </w:t>
      </w:r>
    </w:p>
    <w:p w:rsidR="0054753E" w:rsidRPr="00F96D69" w:rsidRDefault="0054753E" w:rsidP="00C44127">
      <w:pPr>
        <w:ind w:right="-347"/>
        <w:jc w:val="both"/>
        <w:rPr>
          <w:rFonts w:ascii="Cambria" w:hAnsi="Cambria"/>
          <w:iCs/>
          <w:color w:val="000000" w:themeColor="text1"/>
        </w:rPr>
      </w:pPr>
    </w:p>
    <w:p w:rsidR="00C44127" w:rsidRPr="00F96D69" w:rsidRDefault="00C44127" w:rsidP="00C44127">
      <w:pPr>
        <w:ind w:right="-347"/>
        <w:jc w:val="both"/>
        <w:rPr>
          <w:rFonts w:ascii="Cambria" w:hAnsi="Cambria"/>
          <w:iCs/>
          <w:color w:val="000000" w:themeColor="text1"/>
        </w:rPr>
      </w:pPr>
      <w:r w:rsidRPr="00F96D69">
        <w:rPr>
          <w:rFonts w:ascii="Cambria" w:hAnsi="Cambria"/>
          <w:iCs/>
          <w:color w:val="000000" w:themeColor="text1"/>
        </w:rPr>
        <w:t>If you have any queries, please do not hesitate to contact us.</w:t>
      </w:r>
    </w:p>
    <w:p w:rsidR="00C44127" w:rsidRPr="00F96D69" w:rsidRDefault="00C44127" w:rsidP="00C44127">
      <w:pPr>
        <w:ind w:right="-347"/>
        <w:jc w:val="both"/>
        <w:rPr>
          <w:rFonts w:ascii="Cambria" w:hAnsi="Cambria"/>
          <w:iCs/>
          <w:color w:val="000000" w:themeColor="text1"/>
        </w:rPr>
      </w:pPr>
    </w:p>
    <w:p w:rsidR="00C44127" w:rsidRPr="00F96D69" w:rsidRDefault="00C44127" w:rsidP="00C44127">
      <w:pPr>
        <w:ind w:right="-347"/>
        <w:jc w:val="both"/>
        <w:rPr>
          <w:rFonts w:ascii="Cambria" w:hAnsi="Cambria"/>
          <w:iCs/>
          <w:color w:val="000000" w:themeColor="text1"/>
        </w:rPr>
      </w:pPr>
    </w:p>
    <w:p w:rsidR="00C44127" w:rsidRPr="00F96D69" w:rsidRDefault="00C44127" w:rsidP="00C44127">
      <w:pPr>
        <w:ind w:right="-347"/>
        <w:jc w:val="both"/>
        <w:rPr>
          <w:rFonts w:ascii="Cambria" w:hAnsi="Cambria"/>
          <w:iCs/>
          <w:color w:val="000000" w:themeColor="text1"/>
        </w:rPr>
      </w:pPr>
      <w:r w:rsidRPr="00F96D69">
        <w:rPr>
          <w:rFonts w:ascii="Cambria" w:hAnsi="Cambria"/>
          <w:iCs/>
          <w:color w:val="000000" w:themeColor="text1"/>
        </w:rPr>
        <w:t>Yours faithfully,</w:t>
      </w:r>
    </w:p>
    <w:p w:rsidR="00C44127" w:rsidRPr="00F96D69" w:rsidRDefault="00C44127" w:rsidP="00C44127">
      <w:pPr>
        <w:ind w:right="-347"/>
        <w:jc w:val="both"/>
        <w:rPr>
          <w:rFonts w:ascii="Cambria" w:hAnsi="Cambria"/>
          <w:iCs/>
          <w:color w:val="000000" w:themeColor="text1"/>
        </w:rPr>
      </w:pPr>
    </w:p>
    <w:p w:rsidR="00C44127" w:rsidRPr="00F96D69" w:rsidRDefault="00C44127" w:rsidP="00C44127">
      <w:pPr>
        <w:ind w:right="-347"/>
        <w:jc w:val="both"/>
        <w:rPr>
          <w:rFonts w:ascii="Cambria" w:hAnsi="Cambria"/>
          <w:iCs/>
          <w:color w:val="000000" w:themeColor="text1"/>
        </w:rPr>
      </w:pPr>
    </w:p>
    <w:p w:rsidR="00C44127" w:rsidRPr="00F96D69" w:rsidRDefault="00C44127" w:rsidP="00C44127">
      <w:pPr>
        <w:ind w:right="-347"/>
        <w:jc w:val="both"/>
        <w:rPr>
          <w:rFonts w:ascii="Cambria" w:hAnsi="Cambria"/>
          <w:iCs/>
          <w:color w:val="000000" w:themeColor="text1"/>
        </w:rPr>
      </w:pPr>
    </w:p>
    <w:p w:rsidR="00C44127" w:rsidRPr="00F96D69" w:rsidRDefault="00C44127" w:rsidP="00C44127">
      <w:pPr>
        <w:ind w:right="-347"/>
        <w:jc w:val="both"/>
        <w:rPr>
          <w:rFonts w:ascii="Cambria" w:hAnsi="Cambria"/>
          <w:iCs/>
          <w:color w:val="000000" w:themeColor="text1"/>
        </w:rPr>
      </w:pPr>
      <w:r w:rsidRPr="00F96D69">
        <w:rPr>
          <w:rFonts w:ascii="Cambria" w:hAnsi="Cambria"/>
          <w:iCs/>
          <w:color w:val="000000" w:themeColor="text1"/>
        </w:rPr>
        <w:t xml:space="preserve">Benedict </w:t>
      </w:r>
      <w:proofErr w:type="spellStart"/>
      <w:r w:rsidRPr="00F96D69">
        <w:rPr>
          <w:rFonts w:ascii="Cambria" w:hAnsi="Cambria"/>
          <w:iCs/>
          <w:color w:val="000000" w:themeColor="text1"/>
        </w:rPr>
        <w:t>Bartl</w:t>
      </w:r>
      <w:proofErr w:type="spellEnd"/>
    </w:p>
    <w:p w:rsidR="00C44127" w:rsidRPr="00F96D69" w:rsidRDefault="00C44127" w:rsidP="00C44127">
      <w:pPr>
        <w:ind w:right="-347"/>
        <w:jc w:val="both"/>
        <w:rPr>
          <w:rFonts w:ascii="Cambria" w:hAnsi="Cambria"/>
          <w:iCs/>
          <w:color w:val="000000" w:themeColor="text1"/>
        </w:rPr>
      </w:pPr>
      <w:r w:rsidRPr="00F96D69">
        <w:rPr>
          <w:rFonts w:ascii="Cambria" w:hAnsi="Cambria"/>
          <w:iCs/>
          <w:color w:val="000000" w:themeColor="text1"/>
        </w:rPr>
        <w:t>Policy Officer</w:t>
      </w:r>
    </w:p>
    <w:p w:rsidR="00C44127" w:rsidRPr="00F96D69" w:rsidRDefault="00C44127" w:rsidP="00C44127">
      <w:pPr>
        <w:pBdr>
          <w:bottom w:val="single" w:sz="6" w:space="1" w:color="auto"/>
        </w:pBdr>
        <w:ind w:right="-347"/>
        <w:jc w:val="both"/>
        <w:rPr>
          <w:rFonts w:ascii="Cambria" w:hAnsi="Cambria"/>
          <w:b/>
          <w:bCs/>
          <w:iCs/>
          <w:color w:val="000000" w:themeColor="text1"/>
        </w:rPr>
      </w:pPr>
      <w:r w:rsidRPr="00F96D69">
        <w:rPr>
          <w:rFonts w:ascii="Cambria" w:hAnsi="Cambria"/>
          <w:b/>
          <w:bCs/>
          <w:iCs/>
          <w:color w:val="000000" w:themeColor="text1"/>
        </w:rPr>
        <w:t>Community Legal Centres Tasmania</w:t>
      </w:r>
    </w:p>
    <w:p w:rsidR="00C44127" w:rsidRPr="00F96D69" w:rsidRDefault="00C44127" w:rsidP="00C44127">
      <w:pPr>
        <w:rPr>
          <w:rFonts w:ascii="Cambria" w:hAnsi="Cambria" w:cs="Calibri"/>
          <w:color w:val="FF0000"/>
        </w:rPr>
      </w:pPr>
    </w:p>
    <w:p w:rsidR="00C44127" w:rsidRPr="00B148B4" w:rsidRDefault="00C44127" w:rsidP="00C44127">
      <w:pPr>
        <w:rPr>
          <w:rFonts w:ascii="Calibri" w:hAnsi="Calibri" w:cs="Calibri"/>
          <w:color w:val="FF0000"/>
          <w:sz w:val="23"/>
          <w:szCs w:val="23"/>
        </w:rPr>
      </w:pPr>
    </w:p>
    <w:p w:rsidR="00C44127" w:rsidRDefault="00C44127" w:rsidP="00C44127">
      <w:pPr>
        <w:rPr>
          <w:rFonts w:ascii="Calibri" w:hAnsi="Calibri" w:cs="Calibri"/>
          <w:color w:val="FF0000"/>
          <w:sz w:val="22"/>
          <w:szCs w:val="22"/>
        </w:rPr>
      </w:pPr>
    </w:p>
    <w:p w:rsidR="00C44127" w:rsidRDefault="00C44127" w:rsidP="00C44127">
      <w:pPr>
        <w:rPr>
          <w:rFonts w:ascii="Calibri" w:hAnsi="Calibri" w:cs="Calibri"/>
          <w:color w:val="FF0000"/>
          <w:sz w:val="22"/>
          <w:szCs w:val="22"/>
        </w:rPr>
      </w:pPr>
    </w:p>
    <w:p w:rsidR="00C44127" w:rsidRPr="0002203A" w:rsidRDefault="00C44127" w:rsidP="00C44127">
      <w:pPr>
        <w:pStyle w:val="EndnoteText"/>
        <w:shd w:val="clear" w:color="auto" w:fill="FFFFFF"/>
        <w:spacing w:before="0" w:beforeAutospacing="0" w:after="0" w:afterAutospacing="0"/>
        <w:jc w:val="both"/>
        <w:textAlignment w:val="baseline"/>
        <w:rPr>
          <w:rFonts w:ascii="Calibri" w:hAnsi="Calibri" w:cs="Calibri"/>
          <w:color w:val="FF0000"/>
          <w:sz w:val="22"/>
          <w:szCs w:val="22"/>
        </w:rPr>
      </w:pPr>
    </w:p>
    <w:p w:rsidR="009345F9" w:rsidRDefault="009345F9" w:rsidP="00C44127">
      <w:pPr>
        <w:ind w:right="-347"/>
        <w:jc w:val="both"/>
      </w:pPr>
    </w:p>
    <w:sectPr w:rsidR="009345F9" w:rsidSect="00215FCE">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7E5E" w:rsidRDefault="00AB7E5E" w:rsidP="00C44127">
      <w:r>
        <w:separator/>
      </w:r>
    </w:p>
  </w:endnote>
  <w:endnote w:type="continuationSeparator" w:id="0">
    <w:p w:rsidR="00AB7E5E" w:rsidRDefault="00AB7E5E" w:rsidP="00C4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525001"/>
      <w:docPartObj>
        <w:docPartGallery w:val="Page Numbers (Bottom of Page)"/>
        <w:docPartUnique/>
      </w:docPartObj>
    </w:sdtPr>
    <w:sdtContent>
      <w:p w:rsidR="009345F9" w:rsidRDefault="00000000" w:rsidP="00377A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345F9" w:rsidRDefault="009345F9" w:rsidP="00C836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0397805"/>
      <w:docPartObj>
        <w:docPartGallery w:val="Page Numbers (Bottom of Page)"/>
        <w:docPartUnique/>
      </w:docPartObj>
    </w:sdtPr>
    <w:sdtContent>
      <w:p w:rsidR="009345F9" w:rsidRDefault="00000000" w:rsidP="00377A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345F9" w:rsidRDefault="009345F9" w:rsidP="00C836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7E5E" w:rsidRDefault="00AB7E5E" w:rsidP="00C44127">
      <w:r>
        <w:separator/>
      </w:r>
    </w:p>
  </w:footnote>
  <w:footnote w:type="continuationSeparator" w:id="0">
    <w:p w:rsidR="00AB7E5E" w:rsidRDefault="00AB7E5E" w:rsidP="00C44127">
      <w:r>
        <w:continuationSeparator/>
      </w:r>
    </w:p>
  </w:footnote>
  <w:footnote w:id="1">
    <w:p w:rsidR="00C44127" w:rsidRPr="00EF30D4" w:rsidRDefault="00C44127" w:rsidP="00C44127">
      <w:pPr>
        <w:pStyle w:val="FootnoteText"/>
        <w:rPr>
          <w:rFonts w:ascii="Cambria" w:hAnsi="Cambria"/>
          <w:color w:val="000000" w:themeColor="text1"/>
          <w:sz w:val="20"/>
          <w:szCs w:val="20"/>
        </w:rPr>
      </w:pPr>
      <w:r w:rsidRPr="00EF30D4">
        <w:rPr>
          <w:rStyle w:val="FootnoteReference"/>
          <w:rFonts w:ascii="Cambria" w:hAnsi="Cambria"/>
          <w:color w:val="000000" w:themeColor="text1"/>
          <w:sz w:val="20"/>
          <w:szCs w:val="20"/>
        </w:rPr>
        <w:footnoteRef/>
      </w:r>
      <w:r w:rsidRPr="00EF30D4">
        <w:rPr>
          <w:rFonts w:ascii="Cambria" w:hAnsi="Cambria"/>
          <w:color w:val="000000" w:themeColor="text1"/>
          <w:sz w:val="20"/>
          <w:szCs w:val="20"/>
        </w:rPr>
        <w:t xml:space="preserve"> CLC Tas would like to acknowledge those persons and organisations who gave freely of their time in assisting with our submission. </w:t>
      </w:r>
    </w:p>
  </w:footnote>
  <w:footnote w:id="2">
    <w:p w:rsidR="00C44127" w:rsidRPr="00EF30D4" w:rsidRDefault="00C44127" w:rsidP="00C44127">
      <w:pPr>
        <w:pStyle w:val="FootnoteText"/>
        <w:rPr>
          <w:rFonts w:ascii="Cambria" w:hAnsi="Cambria"/>
          <w:sz w:val="20"/>
          <w:szCs w:val="20"/>
        </w:rPr>
      </w:pPr>
      <w:r w:rsidRPr="00EF30D4">
        <w:rPr>
          <w:rStyle w:val="FootnoteReference"/>
          <w:rFonts w:ascii="Cambria" w:hAnsi="Cambria"/>
          <w:sz w:val="20"/>
          <w:szCs w:val="20"/>
        </w:rPr>
        <w:footnoteRef/>
      </w:r>
      <w:r w:rsidRPr="00EF30D4">
        <w:rPr>
          <w:rFonts w:ascii="Cambria" w:hAnsi="Cambria"/>
          <w:sz w:val="20"/>
          <w:szCs w:val="20"/>
        </w:rPr>
        <w:t xml:space="preserve"> A penalty unit is currently valued at $202.00: Department of Justice, ‘Penalty units indexed amounts’. As found at </w:t>
      </w:r>
      <w:hyperlink r:id="rId1" w:history="1">
        <w:r w:rsidRPr="00EF30D4">
          <w:rPr>
            <w:rStyle w:val="Hyperlink"/>
            <w:rFonts w:ascii="Cambria" w:hAnsi="Cambria"/>
            <w:sz w:val="20"/>
            <w:szCs w:val="20"/>
          </w:rPr>
          <w:t>https://www.justice.tas.gov.au/about-us/legislation/penalty-units-indexed-amounts</w:t>
        </w:r>
      </w:hyperlink>
      <w:r w:rsidRPr="00EF30D4">
        <w:rPr>
          <w:rFonts w:ascii="Cambria" w:hAnsi="Cambria"/>
          <w:sz w:val="20"/>
          <w:szCs w:val="20"/>
        </w:rPr>
        <w:t xml:space="preserve"> (accessed </w:t>
      </w:r>
      <w:r w:rsidR="00522393" w:rsidRPr="00EF30D4">
        <w:rPr>
          <w:rFonts w:ascii="Cambria" w:hAnsi="Cambria"/>
          <w:sz w:val="20"/>
          <w:szCs w:val="20"/>
        </w:rPr>
        <w:t xml:space="preserve">18 February </w:t>
      </w:r>
      <w:r w:rsidRPr="00EF30D4">
        <w:rPr>
          <w:rFonts w:ascii="Cambria" w:hAnsi="Cambria"/>
          <w:sz w:val="20"/>
          <w:szCs w:val="20"/>
        </w:rPr>
        <w:t>202</w:t>
      </w:r>
      <w:r w:rsidR="00522393" w:rsidRPr="00EF30D4">
        <w:rPr>
          <w:rFonts w:ascii="Cambria" w:hAnsi="Cambria"/>
          <w:sz w:val="20"/>
          <w:szCs w:val="20"/>
        </w:rPr>
        <w:t>5</w:t>
      </w:r>
      <w:r w:rsidRPr="00EF30D4">
        <w:rPr>
          <w:rFonts w:ascii="Cambria" w:hAnsi="Cambria"/>
          <w:sz w:val="20"/>
          <w:szCs w:val="20"/>
        </w:rPr>
        <w:t xml:space="preserve">). </w:t>
      </w:r>
    </w:p>
  </w:footnote>
  <w:footnote w:id="3">
    <w:p w:rsidR="00F1113C" w:rsidRPr="00EF30D4" w:rsidRDefault="00F1113C" w:rsidP="00F1113C">
      <w:pPr>
        <w:pStyle w:val="NoSpacing"/>
        <w:rPr>
          <w:rFonts w:ascii="Cambria" w:hAnsi="Cambria"/>
          <w:color w:val="000000" w:themeColor="text1"/>
          <w:sz w:val="20"/>
          <w:szCs w:val="20"/>
        </w:rPr>
      </w:pPr>
      <w:r w:rsidRPr="00EF30D4">
        <w:rPr>
          <w:rStyle w:val="FootnoteReference"/>
          <w:rFonts w:ascii="Cambria" w:hAnsi="Cambria"/>
          <w:color w:val="000000" w:themeColor="text1"/>
          <w:sz w:val="20"/>
          <w:szCs w:val="20"/>
        </w:rPr>
        <w:footnoteRef/>
      </w:r>
      <w:r w:rsidRPr="00EF30D4">
        <w:rPr>
          <w:rFonts w:ascii="Cambria" w:hAnsi="Cambria"/>
          <w:color w:val="000000" w:themeColor="text1"/>
          <w:sz w:val="20"/>
          <w:szCs w:val="20"/>
        </w:rPr>
        <w:t xml:space="preserve"> </w:t>
      </w:r>
      <w:r w:rsidRPr="00EF30D4">
        <w:rPr>
          <w:rFonts w:ascii="Cambria" w:hAnsi="Cambria"/>
          <w:i/>
          <w:iCs/>
          <w:color w:val="000000" w:themeColor="text1"/>
          <w:sz w:val="20"/>
          <w:szCs w:val="20"/>
        </w:rPr>
        <w:t xml:space="preserve">George v </w:t>
      </w:r>
      <w:proofErr w:type="spellStart"/>
      <w:r w:rsidRPr="00EF30D4">
        <w:rPr>
          <w:rFonts w:ascii="Cambria" w:hAnsi="Cambria"/>
          <w:i/>
          <w:iCs/>
          <w:color w:val="000000" w:themeColor="text1"/>
          <w:sz w:val="20"/>
          <w:szCs w:val="20"/>
        </w:rPr>
        <w:t>Rockett</w:t>
      </w:r>
      <w:proofErr w:type="spellEnd"/>
      <w:r w:rsidRPr="00EF30D4">
        <w:rPr>
          <w:rFonts w:ascii="Cambria" w:hAnsi="Cambria"/>
          <w:color w:val="000000" w:themeColor="text1"/>
          <w:sz w:val="20"/>
          <w:szCs w:val="20"/>
        </w:rPr>
        <w:t xml:space="preserve"> [1990] HCA 26 at para. 14.  </w:t>
      </w:r>
    </w:p>
  </w:footnote>
  <w:footnote w:id="4">
    <w:p w:rsidR="00DF2718" w:rsidRPr="00EF30D4" w:rsidRDefault="00DF2718" w:rsidP="00DF2718">
      <w:pPr>
        <w:pStyle w:val="FootnoteText"/>
        <w:rPr>
          <w:rFonts w:ascii="Cambria" w:hAnsi="Cambria"/>
          <w:sz w:val="20"/>
          <w:szCs w:val="20"/>
        </w:rPr>
      </w:pPr>
      <w:r w:rsidRPr="00EF30D4">
        <w:rPr>
          <w:rStyle w:val="FootnoteReference"/>
          <w:rFonts w:ascii="Cambria" w:hAnsi="Cambria"/>
          <w:sz w:val="20"/>
          <w:szCs w:val="20"/>
        </w:rPr>
        <w:footnoteRef/>
      </w:r>
      <w:r w:rsidRPr="00EF30D4">
        <w:rPr>
          <w:rFonts w:ascii="Cambria" w:hAnsi="Cambria"/>
          <w:sz w:val="20"/>
          <w:szCs w:val="20"/>
        </w:rPr>
        <w:t xml:space="preserve"> Department of Justice </w:t>
      </w:r>
      <w:r w:rsidRPr="00EF30D4">
        <w:rPr>
          <w:rFonts w:ascii="Cambria" w:hAnsi="Cambria"/>
          <w:i/>
          <w:iCs/>
          <w:sz w:val="20"/>
          <w:szCs w:val="20"/>
        </w:rPr>
        <w:t>Police Powers and Responsibilities proposal paper</w:t>
      </w:r>
      <w:r w:rsidRPr="00EF30D4">
        <w:rPr>
          <w:rFonts w:ascii="Cambria" w:hAnsi="Cambria"/>
          <w:sz w:val="20"/>
          <w:szCs w:val="20"/>
        </w:rPr>
        <w:t xml:space="preserve"> (November 2024). As found at </w:t>
      </w:r>
      <w:hyperlink r:id="rId2" w:history="1">
        <w:r w:rsidRPr="00EF30D4">
          <w:rPr>
            <w:rStyle w:val="Hyperlink"/>
            <w:rFonts w:ascii="Cambria" w:hAnsi="Cambria"/>
            <w:sz w:val="20"/>
            <w:szCs w:val="20"/>
          </w:rPr>
          <w:t>https://www.justice.tas.gov.au/__data/assets/pdf_file/0011/790976/Proposal-Paper-Police-Powers-and-Responsibilities-Act-November-2024.pdf</w:t>
        </w:r>
      </w:hyperlink>
      <w:r w:rsidRPr="00EF30D4">
        <w:rPr>
          <w:rFonts w:ascii="Cambria" w:hAnsi="Cambria"/>
          <w:sz w:val="20"/>
          <w:szCs w:val="20"/>
        </w:rPr>
        <w:t xml:space="preserve"> (accessed 1</w:t>
      </w:r>
      <w:r w:rsidR="00522393" w:rsidRPr="00EF30D4">
        <w:rPr>
          <w:rFonts w:ascii="Cambria" w:hAnsi="Cambria"/>
          <w:sz w:val="20"/>
          <w:szCs w:val="20"/>
        </w:rPr>
        <w:t>8</w:t>
      </w:r>
      <w:r w:rsidRPr="00EF30D4">
        <w:rPr>
          <w:rFonts w:ascii="Cambria" w:hAnsi="Cambria"/>
          <w:sz w:val="20"/>
          <w:szCs w:val="20"/>
        </w:rPr>
        <w:t xml:space="preserve"> February 2025). </w:t>
      </w:r>
    </w:p>
  </w:footnote>
  <w:footnote w:id="5">
    <w:p w:rsidR="00EF4AC1" w:rsidRPr="00EF30D4" w:rsidRDefault="00EF4AC1" w:rsidP="00EF4AC1">
      <w:pPr>
        <w:ind w:right="-347"/>
        <w:jc w:val="both"/>
        <w:rPr>
          <w:rFonts w:ascii="Cambria" w:hAnsi="Cambria"/>
          <w:color w:val="000000" w:themeColor="text1"/>
          <w:sz w:val="20"/>
          <w:szCs w:val="20"/>
          <w:shd w:val="clear" w:color="auto" w:fill="FFFFFF"/>
        </w:rPr>
      </w:pPr>
      <w:r w:rsidRPr="00EF30D4">
        <w:rPr>
          <w:rStyle w:val="FootnoteReference"/>
          <w:rFonts w:ascii="Cambria" w:hAnsi="Cambria"/>
          <w:color w:val="000000" w:themeColor="text1"/>
          <w:sz w:val="20"/>
          <w:szCs w:val="20"/>
        </w:rPr>
        <w:footnoteRef/>
      </w:r>
      <w:r w:rsidRPr="00EF30D4">
        <w:rPr>
          <w:rFonts w:ascii="Cambria" w:hAnsi="Cambria"/>
          <w:color w:val="000000" w:themeColor="text1"/>
          <w:sz w:val="20"/>
          <w:szCs w:val="20"/>
        </w:rPr>
        <w:t xml:space="preserve"> </w:t>
      </w:r>
      <w:r w:rsidRPr="00EF30D4">
        <w:rPr>
          <w:rFonts w:ascii="Cambria" w:hAnsi="Cambria"/>
          <w:color w:val="000000" w:themeColor="text1"/>
          <w:sz w:val="20"/>
          <w:szCs w:val="20"/>
          <w:shd w:val="clear" w:color="auto" w:fill="FFFFFF"/>
        </w:rPr>
        <w:t xml:space="preserve">Griffith Criminology Institute, </w:t>
      </w:r>
      <w:r w:rsidRPr="00EF30D4">
        <w:rPr>
          <w:rFonts w:ascii="Cambria" w:hAnsi="Cambria"/>
          <w:i/>
          <w:iCs/>
          <w:color w:val="000000" w:themeColor="text1"/>
          <w:sz w:val="20"/>
          <w:szCs w:val="20"/>
          <w:shd w:val="clear" w:color="auto" w:fill="FFFFFF"/>
        </w:rPr>
        <w:t xml:space="preserve">Review of the Queensland Police Service </w:t>
      </w:r>
      <w:proofErr w:type="spellStart"/>
      <w:r w:rsidRPr="00EF30D4">
        <w:rPr>
          <w:rFonts w:ascii="Cambria" w:hAnsi="Cambria"/>
          <w:i/>
          <w:iCs/>
          <w:color w:val="000000" w:themeColor="text1"/>
          <w:sz w:val="20"/>
          <w:szCs w:val="20"/>
          <w:shd w:val="clear" w:color="auto" w:fill="FFFFFF"/>
        </w:rPr>
        <w:t>Wanding</w:t>
      </w:r>
      <w:proofErr w:type="spellEnd"/>
      <w:r w:rsidRPr="00EF30D4">
        <w:rPr>
          <w:rFonts w:ascii="Cambria" w:hAnsi="Cambria"/>
          <w:i/>
          <w:iCs/>
          <w:color w:val="000000" w:themeColor="text1"/>
          <w:sz w:val="20"/>
          <w:szCs w:val="20"/>
          <w:shd w:val="clear" w:color="auto" w:fill="FFFFFF"/>
        </w:rPr>
        <w:t xml:space="preserve"> Trial</w:t>
      </w:r>
      <w:r w:rsidRPr="00EF30D4">
        <w:rPr>
          <w:rFonts w:ascii="Cambria" w:hAnsi="Cambria"/>
          <w:color w:val="000000" w:themeColor="text1"/>
          <w:sz w:val="20"/>
          <w:szCs w:val="20"/>
          <w:shd w:val="clear" w:color="auto" w:fill="FFFFFF"/>
        </w:rPr>
        <w:t xml:space="preserve"> (August 2022) at iv.</w:t>
      </w:r>
    </w:p>
  </w:footnote>
  <w:footnote w:id="6">
    <w:p w:rsidR="00EF4AC1" w:rsidRPr="00EF30D4" w:rsidRDefault="00EF4AC1">
      <w:pPr>
        <w:pStyle w:val="FootnoteText"/>
        <w:rPr>
          <w:rFonts w:ascii="Cambria" w:hAnsi="Cambria"/>
          <w:color w:val="000000" w:themeColor="text1"/>
          <w:sz w:val="20"/>
          <w:szCs w:val="20"/>
        </w:rPr>
      </w:pPr>
      <w:r w:rsidRPr="00EF30D4">
        <w:rPr>
          <w:rStyle w:val="FootnoteReference"/>
          <w:rFonts w:ascii="Cambria" w:hAnsi="Cambria"/>
          <w:color w:val="000000" w:themeColor="text1"/>
          <w:sz w:val="20"/>
          <w:szCs w:val="20"/>
        </w:rPr>
        <w:footnoteRef/>
      </w:r>
      <w:r w:rsidRPr="00EF30D4">
        <w:rPr>
          <w:rFonts w:ascii="Cambria" w:hAnsi="Cambria"/>
          <w:color w:val="000000" w:themeColor="text1"/>
          <w:sz w:val="20"/>
          <w:szCs w:val="20"/>
        </w:rPr>
        <w:t xml:space="preserve"> </w:t>
      </w:r>
      <w:r w:rsidRPr="00EF30D4">
        <w:rPr>
          <w:rFonts w:ascii="Cambria" w:hAnsi="Cambria"/>
          <w:color w:val="000000" w:themeColor="text1"/>
          <w:sz w:val="20"/>
          <w:szCs w:val="20"/>
          <w:shd w:val="clear" w:color="auto" w:fill="FFFFFF"/>
        </w:rPr>
        <w:t xml:space="preserve">Griffith Criminology Institute, </w:t>
      </w:r>
      <w:r w:rsidRPr="00EF30D4">
        <w:rPr>
          <w:rFonts w:ascii="Cambria" w:hAnsi="Cambria"/>
          <w:i/>
          <w:iCs/>
          <w:color w:val="000000" w:themeColor="text1"/>
          <w:sz w:val="20"/>
          <w:szCs w:val="20"/>
          <w:shd w:val="clear" w:color="auto" w:fill="FFFFFF"/>
        </w:rPr>
        <w:t xml:space="preserve">Review of the Queensland Police Service </w:t>
      </w:r>
      <w:proofErr w:type="spellStart"/>
      <w:r w:rsidRPr="00EF30D4">
        <w:rPr>
          <w:rFonts w:ascii="Cambria" w:hAnsi="Cambria"/>
          <w:i/>
          <w:iCs/>
          <w:color w:val="000000" w:themeColor="text1"/>
          <w:sz w:val="20"/>
          <w:szCs w:val="20"/>
          <w:shd w:val="clear" w:color="auto" w:fill="FFFFFF"/>
        </w:rPr>
        <w:t>Wanding</w:t>
      </w:r>
      <w:proofErr w:type="spellEnd"/>
      <w:r w:rsidRPr="00EF30D4">
        <w:rPr>
          <w:rFonts w:ascii="Cambria" w:hAnsi="Cambria"/>
          <w:i/>
          <w:iCs/>
          <w:color w:val="000000" w:themeColor="text1"/>
          <w:sz w:val="20"/>
          <w:szCs w:val="20"/>
          <w:shd w:val="clear" w:color="auto" w:fill="FFFFFF"/>
        </w:rPr>
        <w:t xml:space="preserve"> Trial</w:t>
      </w:r>
      <w:r w:rsidRPr="00EF30D4">
        <w:rPr>
          <w:rFonts w:ascii="Cambria" w:hAnsi="Cambria"/>
          <w:color w:val="000000" w:themeColor="text1"/>
          <w:sz w:val="20"/>
          <w:szCs w:val="20"/>
          <w:shd w:val="clear" w:color="auto" w:fill="FFFFFF"/>
        </w:rPr>
        <w:t xml:space="preserve"> (August 2022) at v.</w:t>
      </w:r>
    </w:p>
  </w:footnote>
  <w:footnote w:id="7">
    <w:p w:rsidR="0051292E" w:rsidRPr="00EF30D4" w:rsidRDefault="0051292E" w:rsidP="0051292E">
      <w:pPr>
        <w:pStyle w:val="FootnoteText"/>
        <w:rPr>
          <w:rFonts w:ascii="Cambria" w:hAnsi="Cambria"/>
          <w:color w:val="000000" w:themeColor="text1"/>
          <w:sz w:val="20"/>
          <w:szCs w:val="20"/>
        </w:rPr>
      </w:pPr>
      <w:r w:rsidRPr="00EF30D4">
        <w:rPr>
          <w:rStyle w:val="FootnoteReference"/>
          <w:rFonts w:ascii="Cambria" w:hAnsi="Cambria"/>
          <w:color w:val="000000" w:themeColor="text1"/>
          <w:sz w:val="20"/>
          <w:szCs w:val="20"/>
        </w:rPr>
        <w:footnoteRef/>
      </w:r>
      <w:r w:rsidRPr="00EF30D4">
        <w:rPr>
          <w:rFonts w:ascii="Cambria" w:hAnsi="Cambria"/>
          <w:color w:val="000000" w:themeColor="text1"/>
          <w:sz w:val="20"/>
          <w:szCs w:val="20"/>
        </w:rPr>
        <w:t xml:space="preserve"> Tasmania Law Reform Institute, </w:t>
      </w:r>
      <w:r w:rsidRPr="00EF30D4">
        <w:rPr>
          <w:rFonts w:ascii="Cambria" w:hAnsi="Cambria"/>
          <w:i/>
          <w:iCs/>
          <w:color w:val="000000" w:themeColor="text1"/>
          <w:sz w:val="20"/>
          <w:szCs w:val="20"/>
        </w:rPr>
        <w:t>Consolidation of Arrest Laws in Tasmania</w:t>
      </w:r>
      <w:r w:rsidRPr="00EF30D4">
        <w:rPr>
          <w:rFonts w:ascii="Cambria" w:hAnsi="Cambria"/>
          <w:color w:val="000000" w:themeColor="text1"/>
          <w:sz w:val="20"/>
          <w:szCs w:val="20"/>
        </w:rPr>
        <w:t xml:space="preserve"> (Final Report No. 15) at 44. </w:t>
      </w:r>
    </w:p>
  </w:footnote>
  <w:footnote w:id="8">
    <w:p w:rsidR="00C44127" w:rsidRPr="00EF30D4" w:rsidRDefault="00C44127" w:rsidP="00C44127">
      <w:pPr>
        <w:pStyle w:val="FootnoteText"/>
        <w:rPr>
          <w:rFonts w:ascii="Cambria" w:hAnsi="Cambria"/>
          <w:sz w:val="20"/>
          <w:szCs w:val="20"/>
        </w:rPr>
      </w:pPr>
      <w:r w:rsidRPr="00EF30D4">
        <w:rPr>
          <w:rStyle w:val="FootnoteReference"/>
          <w:rFonts w:ascii="Cambria" w:hAnsi="Cambria"/>
          <w:color w:val="000000" w:themeColor="text1"/>
          <w:sz w:val="20"/>
          <w:szCs w:val="20"/>
        </w:rPr>
        <w:footnoteRef/>
      </w:r>
      <w:r w:rsidRPr="00EF30D4">
        <w:rPr>
          <w:rFonts w:ascii="Cambria" w:hAnsi="Cambria"/>
          <w:color w:val="000000" w:themeColor="text1"/>
          <w:sz w:val="20"/>
          <w:szCs w:val="20"/>
        </w:rPr>
        <w:t xml:space="preserve"> Felix Ellis, Minister for Police, Fire and Emergency Management, ‘New Bill to crack down on hooning and knife crime’, 26 September 2024. As found at </w:t>
      </w:r>
      <w:hyperlink r:id="rId3" w:history="1">
        <w:r w:rsidRPr="00EF30D4">
          <w:rPr>
            <w:rStyle w:val="Hyperlink"/>
            <w:rFonts w:ascii="Cambria" w:hAnsi="Cambria"/>
            <w:sz w:val="20"/>
            <w:szCs w:val="20"/>
          </w:rPr>
          <w:t>https://www.premier.tas.gov.au/latest-news/2024/september/new-bill-to-crack-down-on-hooning-and-knife-crime</w:t>
        </w:r>
      </w:hyperlink>
      <w:r w:rsidRPr="00EF30D4">
        <w:rPr>
          <w:rFonts w:ascii="Cambria" w:hAnsi="Cambria"/>
          <w:sz w:val="20"/>
          <w:szCs w:val="20"/>
        </w:rPr>
        <w:t xml:space="preserve"> (accessed 13 November 2024). </w:t>
      </w:r>
    </w:p>
  </w:footnote>
  <w:footnote w:id="9">
    <w:p w:rsidR="00C44127" w:rsidRPr="00EF30D4" w:rsidRDefault="00C44127" w:rsidP="00C44127">
      <w:pPr>
        <w:pStyle w:val="xmsonormal"/>
        <w:shd w:val="clear" w:color="auto" w:fill="FFFFFF"/>
        <w:spacing w:before="0" w:beforeAutospacing="0" w:after="0" w:afterAutospacing="0"/>
        <w:jc w:val="both"/>
        <w:rPr>
          <w:rFonts w:ascii="Cambria" w:hAnsi="Cambria"/>
          <w:sz w:val="20"/>
          <w:szCs w:val="20"/>
        </w:rPr>
      </w:pPr>
      <w:r w:rsidRPr="00EF30D4">
        <w:rPr>
          <w:rStyle w:val="FootnoteReference"/>
          <w:rFonts w:ascii="Cambria" w:hAnsi="Cambria"/>
          <w:sz w:val="20"/>
          <w:szCs w:val="20"/>
        </w:rPr>
        <w:footnoteRef/>
      </w:r>
      <w:r w:rsidRPr="00EF30D4">
        <w:rPr>
          <w:rFonts w:ascii="Cambria" w:hAnsi="Cambria"/>
          <w:sz w:val="20"/>
          <w:szCs w:val="20"/>
        </w:rPr>
        <w:t xml:space="preserve"> Section 15C of the </w:t>
      </w:r>
      <w:r w:rsidRPr="00EF30D4">
        <w:rPr>
          <w:rFonts w:ascii="Cambria" w:hAnsi="Cambria"/>
          <w:i/>
          <w:iCs/>
          <w:sz w:val="20"/>
          <w:szCs w:val="20"/>
        </w:rPr>
        <w:t>Police Offences Act 1935</w:t>
      </w:r>
      <w:r w:rsidRPr="00EF30D4">
        <w:rPr>
          <w:rFonts w:ascii="Cambria" w:hAnsi="Cambria"/>
          <w:sz w:val="20"/>
          <w:szCs w:val="20"/>
        </w:rPr>
        <w:t xml:space="preserve"> (Tas) was amended following the passing of the </w:t>
      </w:r>
      <w:r w:rsidRPr="00EF30D4">
        <w:rPr>
          <w:rFonts w:ascii="Cambria" w:hAnsi="Cambria"/>
          <w:i/>
          <w:iCs/>
          <w:sz w:val="20"/>
          <w:szCs w:val="20"/>
        </w:rPr>
        <w:t>Justice Miscellaneous (Court Backlog and Related Matters) Bill 2020</w:t>
      </w:r>
      <w:r w:rsidRPr="00EF30D4">
        <w:rPr>
          <w:rFonts w:ascii="Cambria" w:hAnsi="Cambria"/>
          <w:sz w:val="20"/>
          <w:szCs w:val="20"/>
        </w:rPr>
        <w:t xml:space="preserve"> (Tas).   </w:t>
      </w:r>
    </w:p>
  </w:footnote>
  <w:footnote w:id="10">
    <w:p w:rsidR="00C44127" w:rsidRPr="00EF30D4" w:rsidRDefault="00C44127" w:rsidP="00C44127">
      <w:pPr>
        <w:pStyle w:val="FootnoteText"/>
        <w:rPr>
          <w:rFonts w:ascii="Cambria" w:hAnsi="Cambria"/>
          <w:sz w:val="20"/>
          <w:szCs w:val="20"/>
        </w:rPr>
      </w:pPr>
      <w:r w:rsidRPr="00EF30D4">
        <w:rPr>
          <w:rStyle w:val="FootnoteReference"/>
          <w:rFonts w:ascii="Cambria" w:hAnsi="Cambria"/>
          <w:sz w:val="20"/>
          <w:szCs w:val="20"/>
        </w:rPr>
        <w:footnoteRef/>
      </w:r>
      <w:r w:rsidRPr="00EF30D4">
        <w:rPr>
          <w:rFonts w:ascii="Cambria" w:hAnsi="Cambria"/>
          <w:sz w:val="20"/>
          <w:szCs w:val="20"/>
        </w:rPr>
        <w:t xml:space="preserve"> Department of Police, Fire and Emergency Management, </w:t>
      </w:r>
      <w:r w:rsidRPr="00EF30D4">
        <w:rPr>
          <w:rFonts w:ascii="Cambria" w:hAnsi="Cambria"/>
          <w:i/>
          <w:iCs/>
          <w:sz w:val="20"/>
          <w:szCs w:val="20"/>
        </w:rPr>
        <w:t xml:space="preserve">2023-24 Crime Statistics Supplement </w:t>
      </w:r>
      <w:r w:rsidRPr="00EF30D4">
        <w:rPr>
          <w:rFonts w:ascii="Cambria" w:hAnsi="Cambria"/>
          <w:sz w:val="20"/>
          <w:szCs w:val="20"/>
        </w:rPr>
        <w:t xml:space="preserve">at 4. As found at </w:t>
      </w:r>
      <w:hyperlink r:id="rId4" w:history="1">
        <w:r w:rsidRPr="00EF30D4">
          <w:rPr>
            <w:rStyle w:val="Hyperlink"/>
            <w:rFonts w:ascii="Cambria" w:hAnsi="Cambria"/>
            <w:sz w:val="20"/>
            <w:szCs w:val="20"/>
          </w:rPr>
          <w:t>https://www.police.tas.gov.au/uploads/Crime-Statistics-Supplement-2023-24.pdf</w:t>
        </w:r>
      </w:hyperlink>
      <w:r w:rsidRPr="00EF30D4">
        <w:rPr>
          <w:rFonts w:ascii="Cambria" w:hAnsi="Cambria"/>
          <w:sz w:val="20"/>
          <w:szCs w:val="20"/>
        </w:rPr>
        <w:t xml:space="preserve"> (accessed 1</w:t>
      </w:r>
      <w:r w:rsidR="00522393" w:rsidRPr="00EF30D4">
        <w:rPr>
          <w:rFonts w:ascii="Cambria" w:hAnsi="Cambria"/>
          <w:sz w:val="20"/>
          <w:szCs w:val="20"/>
        </w:rPr>
        <w:t>8</w:t>
      </w:r>
      <w:r w:rsidRPr="00EF30D4">
        <w:rPr>
          <w:rFonts w:ascii="Cambria" w:hAnsi="Cambria"/>
          <w:sz w:val="20"/>
          <w:szCs w:val="20"/>
        </w:rPr>
        <w:t xml:space="preserve"> </w:t>
      </w:r>
      <w:r w:rsidR="00522393" w:rsidRPr="00EF30D4">
        <w:rPr>
          <w:rFonts w:ascii="Cambria" w:hAnsi="Cambria"/>
          <w:sz w:val="20"/>
          <w:szCs w:val="20"/>
        </w:rPr>
        <w:t>February 2025</w:t>
      </w:r>
      <w:r w:rsidRPr="00EF30D4">
        <w:rPr>
          <w:rFonts w:ascii="Cambria" w:hAnsi="Cambria"/>
          <w:sz w:val="20"/>
          <w:szCs w:val="20"/>
        </w:rPr>
        <w:t xml:space="preserve">). </w:t>
      </w:r>
    </w:p>
  </w:footnote>
  <w:footnote w:id="11">
    <w:p w:rsidR="00C44127" w:rsidRPr="00EF30D4" w:rsidRDefault="00C44127" w:rsidP="00C44127">
      <w:pPr>
        <w:pStyle w:val="FootnoteText"/>
        <w:rPr>
          <w:rFonts w:ascii="Cambria" w:hAnsi="Cambria"/>
          <w:sz w:val="20"/>
          <w:szCs w:val="20"/>
        </w:rPr>
      </w:pPr>
      <w:r w:rsidRPr="00EF30D4">
        <w:rPr>
          <w:rStyle w:val="FootnoteReference"/>
          <w:rFonts w:ascii="Cambria" w:hAnsi="Cambria"/>
          <w:sz w:val="20"/>
          <w:szCs w:val="20"/>
        </w:rPr>
        <w:footnoteRef/>
      </w:r>
      <w:r w:rsidRPr="00EF30D4">
        <w:rPr>
          <w:rFonts w:ascii="Cambria" w:hAnsi="Cambria"/>
          <w:sz w:val="20"/>
          <w:szCs w:val="20"/>
        </w:rPr>
        <w:t xml:space="preserve"> Department of Police, Fire and Emergency Management, </w:t>
      </w:r>
      <w:r w:rsidRPr="00EF30D4">
        <w:rPr>
          <w:rFonts w:ascii="Cambria" w:hAnsi="Cambria"/>
          <w:i/>
          <w:iCs/>
          <w:sz w:val="20"/>
          <w:szCs w:val="20"/>
        </w:rPr>
        <w:t xml:space="preserve">2022-23 Crime Statistics Supplement </w:t>
      </w:r>
      <w:r w:rsidRPr="00EF30D4">
        <w:rPr>
          <w:rFonts w:ascii="Cambria" w:hAnsi="Cambria"/>
          <w:sz w:val="20"/>
          <w:szCs w:val="20"/>
        </w:rPr>
        <w:t xml:space="preserve">at 4. As found at </w:t>
      </w:r>
      <w:hyperlink r:id="rId5" w:history="1">
        <w:r w:rsidRPr="00EF30D4">
          <w:rPr>
            <w:rStyle w:val="Hyperlink"/>
            <w:rFonts w:ascii="Cambria" w:hAnsi="Cambria"/>
            <w:sz w:val="20"/>
            <w:szCs w:val="20"/>
          </w:rPr>
          <w:t>https://www.police.tas.gov.au/uploads/Crime-Statistics-Supplement-2022-23.pdf</w:t>
        </w:r>
      </w:hyperlink>
      <w:r w:rsidRPr="00EF30D4">
        <w:rPr>
          <w:rFonts w:ascii="Cambria" w:hAnsi="Cambria"/>
          <w:sz w:val="20"/>
          <w:szCs w:val="20"/>
        </w:rPr>
        <w:t xml:space="preserve"> (accessed 1</w:t>
      </w:r>
      <w:r w:rsidR="00522393" w:rsidRPr="00EF30D4">
        <w:rPr>
          <w:rFonts w:ascii="Cambria" w:hAnsi="Cambria"/>
          <w:sz w:val="20"/>
          <w:szCs w:val="20"/>
        </w:rPr>
        <w:t>8 February 2025</w:t>
      </w:r>
      <w:r w:rsidRPr="00EF30D4">
        <w:rPr>
          <w:rFonts w:ascii="Cambria" w:hAnsi="Cambria"/>
          <w:sz w:val="20"/>
          <w:szCs w:val="20"/>
        </w:rPr>
        <w:t xml:space="preserve">). </w:t>
      </w:r>
    </w:p>
  </w:footnote>
  <w:footnote w:id="12">
    <w:p w:rsidR="00C44127" w:rsidRPr="00EF30D4" w:rsidRDefault="00C44127" w:rsidP="00C44127">
      <w:pPr>
        <w:pStyle w:val="FootnoteText"/>
        <w:rPr>
          <w:rFonts w:ascii="Cambria" w:hAnsi="Cambria"/>
          <w:sz w:val="20"/>
          <w:szCs w:val="20"/>
        </w:rPr>
      </w:pPr>
      <w:r w:rsidRPr="00EF30D4">
        <w:rPr>
          <w:rStyle w:val="FootnoteReference"/>
          <w:rFonts w:ascii="Cambria" w:hAnsi="Cambria"/>
          <w:sz w:val="20"/>
          <w:szCs w:val="20"/>
        </w:rPr>
        <w:footnoteRef/>
      </w:r>
      <w:r w:rsidRPr="00EF30D4">
        <w:rPr>
          <w:rFonts w:ascii="Cambria" w:hAnsi="Cambria"/>
          <w:sz w:val="20"/>
          <w:szCs w:val="20"/>
        </w:rPr>
        <w:t xml:space="preserve"> Department of Police, Fire and Emergency Management, </w:t>
      </w:r>
      <w:r w:rsidRPr="00EF30D4">
        <w:rPr>
          <w:rFonts w:ascii="Cambria" w:hAnsi="Cambria"/>
          <w:i/>
          <w:iCs/>
          <w:sz w:val="20"/>
          <w:szCs w:val="20"/>
        </w:rPr>
        <w:t xml:space="preserve">2020-21 Crime Statistics Supplement </w:t>
      </w:r>
      <w:r w:rsidRPr="00EF30D4">
        <w:rPr>
          <w:rFonts w:ascii="Cambria" w:hAnsi="Cambria"/>
          <w:sz w:val="20"/>
          <w:szCs w:val="20"/>
        </w:rPr>
        <w:t xml:space="preserve">at 4. As found at </w:t>
      </w:r>
      <w:hyperlink r:id="rId6" w:history="1">
        <w:r w:rsidRPr="00EF30D4">
          <w:rPr>
            <w:rStyle w:val="Hyperlink"/>
            <w:rFonts w:ascii="Cambria" w:hAnsi="Cambria"/>
            <w:sz w:val="20"/>
            <w:szCs w:val="20"/>
          </w:rPr>
          <w:t>https://www.police.tas.gov.au/uploads/Crime-Statistics-Supplement-2020-21.pdf</w:t>
        </w:r>
      </w:hyperlink>
      <w:r w:rsidRPr="00EF30D4">
        <w:rPr>
          <w:rFonts w:ascii="Cambria" w:hAnsi="Cambria"/>
          <w:sz w:val="20"/>
          <w:szCs w:val="20"/>
        </w:rPr>
        <w:t xml:space="preserve"> (accessed 1</w:t>
      </w:r>
      <w:r w:rsidR="00522393" w:rsidRPr="00EF30D4">
        <w:rPr>
          <w:rFonts w:ascii="Cambria" w:hAnsi="Cambria"/>
          <w:sz w:val="20"/>
          <w:szCs w:val="20"/>
        </w:rPr>
        <w:t>8</w:t>
      </w:r>
      <w:r w:rsidRPr="00EF30D4">
        <w:rPr>
          <w:rFonts w:ascii="Cambria" w:hAnsi="Cambria"/>
          <w:sz w:val="20"/>
          <w:szCs w:val="20"/>
        </w:rPr>
        <w:t xml:space="preserve"> </w:t>
      </w:r>
      <w:r w:rsidR="00522393" w:rsidRPr="00EF30D4">
        <w:rPr>
          <w:rFonts w:ascii="Cambria" w:hAnsi="Cambria"/>
          <w:sz w:val="20"/>
          <w:szCs w:val="20"/>
        </w:rPr>
        <w:t>February</w:t>
      </w:r>
      <w:r w:rsidRPr="00EF30D4">
        <w:rPr>
          <w:rFonts w:ascii="Cambria" w:hAnsi="Cambria"/>
          <w:sz w:val="20"/>
          <w:szCs w:val="20"/>
        </w:rPr>
        <w:t xml:space="preserve"> 202</w:t>
      </w:r>
      <w:r w:rsidR="00522393" w:rsidRPr="00EF30D4">
        <w:rPr>
          <w:rFonts w:ascii="Cambria" w:hAnsi="Cambria"/>
          <w:sz w:val="20"/>
          <w:szCs w:val="20"/>
        </w:rPr>
        <w:t>5</w:t>
      </w:r>
      <w:r w:rsidRPr="00EF30D4">
        <w:rPr>
          <w:rFonts w:ascii="Cambria" w:hAnsi="Cambria"/>
          <w:sz w:val="20"/>
          <w:szCs w:val="20"/>
        </w:rPr>
        <w:t>).</w:t>
      </w:r>
    </w:p>
  </w:footnote>
  <w:footnote w:id="13">
    <w:p w:rsidR="0054753E" w:rsidRPr="00EF30D4" w:rsidRDefault="0054753E">
      <w:pPr>
        <w:pStyle w:val="FootnoteText"/>
        <w:rPr>
          <w:rFonts w:ascii="Cambria" w:hAnsi="Cambria"/>
          <w:sz w:val="20"/>
          <w:szCs w:val="20"/>
        </w:rPr>
      </w:pPr>
      <w:r w:rsidRPr="00EF30D4">
        <w:rPr>
          <w:rStyle w:val="FootnoteReference"/>
          <w:rFonts w:ascii="Cambria" w:hAnsi="Cambria"/>
          <w:sz w:val="20"/>
          <w:szCs w:val="20"/>
        </w:rPr>
        <w:footnoteRef/>
      </w:r>
      <w:r w:rsidRPr="00EF30D4">
        <w:rPr>
          <w:rFonts w:ascii="Cambria" w:hAnsi="Cambria"/>
          <w:sz w:val="20"/>
          <w:szCs w:val="20"/>
        </w:rPr>
        <w:t xml:space="preserve"> Tasmanian Government, Backing in our Police as they crack down on crime, 14 December 2024</w:t>
      </w:r>
      <w:r w:rsidR="00513E0D" w:rsidRPr="00EF30D4">
        <w:rPr>
          <w:rFonts w:ascii="Cambria" w:hAnsi="Cambria"/>
          <w:sz w:val="20"/>
          <w:szCs w:val="20"/>
        </w:rPr>
        <w:t xml:space="preserve">. </w:t>
      </w:r>
      <w:r w:rsidRPr="00EF30D4">
        <w:rPr>
          <w:rFonts w:ascii="Cambria" w:hAnsi="Cambria"/>
          <w:sz w:val="20"/>
          <w:szCs w:val="20"/>
        </w:rPr>
        <w:t xml:space="preserve">As found at </w:t>
      </w:r>
      <w:hyperlink r:id="rId7" w:history="1">
        <w:r w:rsidRPr="00EF30D4">
          <w:rPr>
            <w:rStyle w:val="Hyperlink"/>
            <w:rFonts w:ascii="Cambria" w:hAnsi="Cambria"/>
            <w:sz w:val="20"/>
            <w:szCs w:val="20"/>
          </w:rPr>
          <w:t>https://www.premier.tas.gov.au/latest-news/2024/december/backing-in-our-police-as-they-crack-down-on-crime</w:t>
        </w:r>
      </w:hyperlink>
      <w:r w:rsidRPr="00EF30D4">
        <w:rPr>
          <w:rFonts w:ascii="Cambria" w:hAnsi="Cambria"/>
          <w:sz w:val="20"/>
          <w:szCs w:val="20"/>
        </w:rPr>
        <w:t xml:space="preserve"> (accessed 1</w:t>
      </w:r>
      <w:r w:rsidR="00522393" w:rsidRPr="00EF30D4">
        <w:rPr>
          <w:rFonts w:ascii="Cambria" w:hAnsi="Cambria"/>
          <w:sz w:val="20"/>
          <w:szCs w:val="20"/>
        </w:rPr>
        <w:t>8</w:t>
      </w:r>
      <w:r w:rsidRPr="00EF30D4">
        <w:rPr>
          <w:rFonts w:ascii="Cambria" w:hAnsi="Cambria"/>
          <w:sz w:val="20"/>
          <w:szCs w:val="20"/>
        </w:rPr>
        <w:t xml:space="preserve"> February 2025). </w:t>
      </w:r>
      <w:r w:rsidR="00513E0D" w:rsidRPr="00EF30D4">
        <w:rPr>
          <w:rFonts w:ascii="Cambria" w:hAnsi="Cambria"/>
          <w:sz w:val="20"/>
          <w:szCs w:val="20"/>
        </w:rPr>
        <w:t xml:space="preserve">Also see Tasmanian Government, Metal detection wand trial continuing to keep Tasmanians safe, 13 January 2025. As found at </w:t>
      </w:r>
      <w:hyperlink r:id="rId8" w:history="1">
        <w:r w:rsidR="00513E0D" w:rsidRPr="00EF30D4">
          <w:rPr>
            <w:rStyle w:val="Hyperlink"/>
            <w:rFonts w:ascii="Cambria" w:hAnsi="Cambria"/>
            <w:sz w:val="20"/>
            <w:szCs w:val="20"/>
          </w:rPr>
          <w:t>https://www.premier.tas.gov.au/latest-news/2025/january/metal-detection-wand-trial-continuing-to-keep-tasmanians-safe</w:t>
        </w:r>
      </w:hyperlink>
      <w:r w:rsidR="00513E0D" w:rsidRPr="00EF30D4">
        <w:rPr>
          <w:rFonts w:ascii="Cambria" w:hAnsi="Cambria"/>
          <w:sz w:val="20"/>
          <w:szCs w:val="20"/>
        </w:rPr>
        <w:t xml:space="preserve"> (accessed 1</w:t>
      </w:r>
      <w:r w:rsidR="00522393" w:rsidRPr="00EF30D4">
        <w:rPr>
          <w:rFonts w:ascii="Cambria" w:hAnsi="Cambria"/>
          <w:sz w:val="20"/>
          <w:szCs w:val="20"/>
        </w:rPr>
        <w:t>8</w:t>
      </w:r>
      <w:r w:rsidR="00513E0D" w:rsidRPr="00EF30D4">
        <w:rPr>
          <w:rFonts w:ascii="Cambria" w:hAnsi="Cambria"/>
          <w:sz w:val="20"/>
          <w:szCs w:val="20"/>
        </w:rPr>
        <w:t xml:space="preserve"> February 2025).  </w:t>
      </w:r>
    </w:p>
  </w:footnote>
  <w:footnote w:id="14">
    <w:p w:rsidR="00850206" w:rsidRPr="00EF30D4" w:rsidRDefault="00850206">
      <w:pPr>
        <w:pStyle w:val="FootnoteText"/>
        <w:rPr>
          <w:rFonts w:ascii="Cambria" w:hAnsi="Cambria"/>
          <w:sz w:val="20"/>
          <w:szCs w:val="20"/>
        </w:rPr>
      </w:pPr>
      <w:r w:rsidRPr="00EF30D4">
        <w:rPr>
          <w:rStyle w:val="FootnoteReference"/>
          <w:rFonts w:ascii="Cambria" w:hAnsi="Cambria"/>
          <w:sz w:val="20"/>
          <w:szCs w:val="20"/>
        </w:rPr>
        <w:footnoteRef/>
      </w:r>
      <w:r w:rsidRPr="00EF30D4">
        <w:rPr>
          <w:rFonts w:ascii="Cambria" w:hAnsi="Cambria"/>
          <w:sz w:val="20"/>
          <w:szCs w:val="20"/>
        </w:rPr>
        <w:t xml:space="preserve"> Part 3A of the </w:t>
      </w:r>
      <w:r w:rsidRPr="00EF30D4">
        <w:rPr>
          <w:rFonts w:ascii="Cambria" w:hAnsi="Cambria"/>
          <w:i/>
          <w:iCs/>
          <w:sz w:val="20"/>
          <w:szCs w:val="20"/>
        </w:rPr>
        <w:t>Police Powers and Responsibilities Act 2000</w:t>
      </w:r>
      <w:r w:rsidRPr="00EF30D4">
        <w:rPr>
          <w:rFonts w:ascii="Cambria" w:hAnsi="Cambria"/>
          <w:sz w:val="20"/>
          <w:szCs w:val="20"/>
        </w:rPr>
        <w:t xml:space="preserve"> (Qld). Also see Divisions 2-3 of the </w:t>
      </w:r>
      <w:r w:rsidRPr="00EF30D4">
        <w:rPr>
          <w:rFonts w:ascii="Cambria" w:hAnsi="Cambria"/>
          <w:i/>
          <w:iCs/>
          <w:sz w:val="20"/>
          <w:szCs w:val="20"/>
        </w:rPr>
        <w:t>Law Enforcement (Powers and Responsibilities) Act 2002</w:t>
      </w:r>
      <w:r w:rsidRPr="00EF30D4">
        <w:rPr>
          <w:rFonts w:ascii="Cambria" w:hAnsi="Cambria"/>
          <w:sz w:val="20"/>
          <w:szCs w:val="20"/>
        </w:rPr>
        <w:t xml:space="preserve"> (NSW) which limits the use of a hand-held scanner to public transport stations, shopping precincts, sporting venues and other public places  including special events and events that are part of or support the night-time economy.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05C7F"/>
    <w:multiLevelType w:val="multilevel"/>
    <w:tmpl w:val="5AC4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67E83"/>
    <w:multiLevelType w:val="hybridMultilevel"/>
    <w:tmpl w:val="81C03B90"/>
    <w:lvl w:ilvl="0" w:tplc="EF4498E8">
      <w:start w:val="3"/>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E5B32"/>
    <w:multiLevelType w:val="multilevel"/>
    <w:tmpl w:val="BD2C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80B87"/>
    <w:multiLevelType w:val="hybridMultilevel"/>
    <w:tmpl w:val="D94AAB5E"/>
    <w:lvl w:ilvl="0" w:tplc="2BEEA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A90445"/>
    <w:multiLevelType w:val="multilevel"/>
    <w:tmpl w:val="D63E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68975">
    <w:abstractNumId w:val="0"/>
  </w:num>
  <w:num w:numId="2" w16cid:durableId="815685912">
    <w:abstractNumId w:val="4"/>
  </w:num>
  <w:num w:numId="3" w16cid:durableId="605045840">
    <w:abstractNumId w:val="1"/>
  </w:num>
  <w:num w:numId="4" w16cid:durableId="1514492796">
    <w:abstractNumId w:val="2"/>
  </w:num>
  <w:num w:numId="5" w16cid:durableId="655960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27"/>
    <w:rsid w:val="00024572"/>
    <w:rsid w:val="000903E6"/>
    <w:rsid w:val="000E4CF0"/>
    <w:rsid w:val="00215FCE"/>
    <w:rsid w:val="003C58B6"/>
    <w:rsid w:val="0051292E"/>
    <w:rsid w:val="00513E0D"/>
    <w:rsid w:val="00522393"/>
    <w:rsid w:val="0054753E"/>
    <w:rsid w:val="006A1D82"/>
    <w:rsid w:val="00850206"/>
    <w:rsid w:val="009345F9"/>
    <w:rsid w:val="009F77EE"/>
    <w:rsid w:val="00A829D4"/>
    <w:rsid w:val="00AB7E5E"/>
    <w:rsid w:val="00B0517F"/>
    <w:rsid w:val="00B768D0"/>
    <w:rsid w:val="00BA7F08"/>
    <w:rsid w:val="00C44127"/>
    <w:rsid w:val="00C83509"/>
    <w:rsid w:val="00D0638A"/>
    <w:rsid w:val="00DF2718"/>
    <w:rsid w:val="00E20C0C"/>
    <w:rsid w:val="00EF30D4"/>
    <w:rsid w:val="00EF4AC1"/>
    <w:rsid w:val="00F1113C"/>
    <w:rsid w:val="00F96D69"/>
    <w:rsid w:val="00FE25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B51D75E"/>
  <w15:chartTrackingRefBased/>
  <w15:docId w15:val="{B180CC6D-0C20-8841-A145-F68760B1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4412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44127"/>
    <w:rPr>
      <w:color w:val="0563C1" w:themeColor="hyperlink"/>
      <w:u w:val="single"/>
    </w:rPr>
  </w:style>
  <w:style w:type="paragraph" w:styleId="FootnoteText">
    <w:name w:val="footnote text"/>
    <w:aliases w:val="Footnote,Text,Footnote Text Char Char Char Char Char Char Char,Footnote Text Char Char Char Char Char Char,Footnote Text Char Char Char Char Char Char Char Char Char Char Char Char Char Char Char Char Char,single space Char,single space"/>
    <w:basedOn w:val="Normal"/>
    <w:link w:val="FootnoteTextChar"/>
    <w:uiPriority w:val="99"/>
    <w:unhideWhenUsed/>
    <w:rsid w:val="00C44127"/>
    <w:rPr>
      <w:rFonts w:ascii="Times New Roman" w:eastAsia="Times New Roman" w:hAnsi="Times New Roman" w:cs="Times New Roman"/>
      <w:kern w:val="0"/>
      <w:lang w:eastAsia="en-GB"/>
      <w14:ligatures w14:val="none"/>
    </w:rPr>
  </w:style>
  <w:style w:type="character" w:customStyle="1" w:styleId="FootnoteTextChar">
    <w:name w:val="Footnote Text Char"/>
    <w:aliases w:val="Footnote Char,Text Char,Footnote Text Char Char Char Char Char Char Char Char,Footnote Text Char Char Char Char Char Char Char1,Footnote Text Char Char Char Char Char Char Char Char Char Char Char Char Char Char Char Char Char Char"/>
    <w:basedOn w:val="DefaultParagraphFont"/>
    <w:link w:val="FootnoteText"/>
    <w:uiPriority w:val="99"/>
    <w:rsid w:val="00C44127"/>
    <w:rPr>
      <w:rFonts w:ascii="Times New Roman" w:eastAsia="Times New Roman" w:hAnsi="Times New Roman" w:cs="Times New Roman"/>
      <w:kern w:val="0"/>
      <w:lang w:eastAsia="en-GB"/>
      <w14:ligatures w14:val="none"/>
    </w:rPr>
  </w:style>
  <w:style w:type="character" w:styleId="FootnoteReference">
    <w:name w:val="footnote reference"/>
    <w:aliases w:val="Footnotes refss"/>
    <w:basedOn w:val="DefaultParagraphFont"/>
    <w:uiPriority w:val="99"/>
    <w:unhideWhenUsed/>
    <w:rsid w:val="00C44127"/>
    <w:rPr>
      <w:vertAlign w:val="superscript"/>
    </w:rPr>
  </w:style>
  <w:style w:type="paragraph" w:styleId="Footer">
    <w:name w:val="footer"/>
    <w:basedOn w:val="Normal"/>
    <w:link w:val="FooterChar"/>
    <w:uiPriority w:val="99"/>
    <w:unhideWhenUsed/>
    <w:rsid w:val="00C44127"/>
    <w:pPr>
      <w:tabs>
        <w:tab w:val="center" w:pos="4513"/>
        <w:tab w:val="right" w:pos="9026"/>
      </w:tabs>
    </w:pPr>
  </w:style>
  <w:style w:type="character" w:customStyle="1" w:styleId="FooterChar">
    <w:name w:val="Footer Char"/>
    <w:basedOn w:val="DefaultParagraphFont"/>
    <w:link w:val="Footer"/>
    <w:uiPriority w:val="99"/>
    <w:rsid w:val="00C44127"/>
  </w:style>
  <w:style w:type="character" w:styleId="PageNumber">
    <w:name w:val="page number"/>
    <w:basedOn w:val="DefaultParagraphFont"/>
    <w:uiPriority w:val="99"/>
    <w:semiHidden/>
    <w:unhideWhenUsed/>
    <w:rsid w:val="00C44127"/>
  </w:style>
  <w:style w:type="paragraph" w:styleId="NoSpacing">
    <w:name w:val="No Spacing"/>
    <w:uiPriority w:val="1"/>
    <w:qFormat/>
    <w:rsid w:val="00C44127"/>
    <w:rPr>
      <w:rFonts w:ascii="Times New Roman" w:eastAsia="Times New Roman" w:hAnsi="Times New Roman" w:cs="Times New Roman"/>
      <w:kern w:val="0"/>
      <w:lang w:eastAsia="en-GB"/>
      <w14:ligatures w14:val="none"/>
    </w:rPr>
  </w:style>
  <w:style w:type="paragraph" w:styleId="EndnoteText">
    <w:name w:val="endnote text"/>
    <w:basedOn w:val="Normal"/>
    <w:link w:val="EndnoteTextChar"/>
    <w:uiPriority w:val="99"/>
    <w:unhideWhenUsed/>
    <w:rsid w:val="00C4412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ndnoteTextChar">
    <w:name w:val="Endnote Text Char"/>
    <w:basedOn w:val="DefaultParagraphFont"/>
    <w:link w:val="EndnoteText"/>
    <w:uiPriority w:val="99"/>
    <w:rsid w:val="00C44127"/>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F1113C"/>
    <w:rPr>
      <w:i/>
      <w:iCs/>
    </w:rPr>
  </w:style>
  <w:style w:type="character" w:styleId="UnresolvedMention">
    <w:name w:val="Unresolved Mention"/>
    <w:basedOn w:val="DefaultParagraphFont"/>
    <w:uiPriority w:val="99"/>
    <w:semiHidden/>
    <w:unhideWhenUsed/>
    <w:rsid w:val="00F1113C"/>
    <w:rPr>
      <w:color w:val="605E5C"/>
      <w:shd w:val="clear" w:color="auto" w:fill="E1DFDD"/>
    </w:rPr>
  </w:style>
  <w:style w:type="paragraph" w:styleId="ListParagraph">
    <w:name w:val="List Paragraph"/>
    <w:basedOn w:val="Normal"/>
    <w:uiPriority w:val="34"/>
    <w:qFormat/>
    <w:rsid w:val="00513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675161">
      <w:bodyDiv w:val="1"/>
      <w:marLeft w:val="0"/>
      <w:marRight w:val="0"/>
      <w:marTop w:val="0"/>
      <w:marBottom w:val="0"/>
      <w:divBdr>
        <w:top w:val="none" w:sz="0" w:space="0" w:color="auto"/>
        <w:left w:val="none" w:sz="0" w:space="0" w:color="auto"/>
        <w:bottom w:val="none" w:sz="0" w:space="0" w:color="auto"/>
        <w:right w:val="none" w:sz="0" w:space="0" w:color="auto"/>
      </w:divBdr>
    </w:div>
    <w:div w:id="200200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missions.strategy.support@DPFEM.tas.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s://www.premier.tas.gov.au/latest-news/2025/january/metal-detection-wand-trial-continuing-to-keep-tasmanians-safe" TargetMode="External"/><Relationship Id="rId3" Type="http://schemas.openxmlformats.org/officeDocument/2006/relationships/hyperlink" Target="https://www.premier.tas.gov.au/latest-news/2024/september/new-bill-to-crack-down-on-hooning-and-knife-crime" TargetMode="External"/><Relationship Id="rId7" Type="http://schemas.openxmlformats.org/officeDocument/2006/relationships/hyperlink" Target="https://www.premier.tas.gov.au/latest-news/2024/december/backing-in-our-police-as-they-crack-down-on-crime" TargetMode="External"/><Relationship Id="rId2" Type="http://schemas.openxmlformats.org/officeDocument/2006/relationships/hyperlink" Target="https://www.justice.tas.gov.au/__data/assets/pdf_file/0011/790976/Proposal-Paper-Police-Powers-and-Responsibilities-Act-November-2024.pdf" TargetMode="External"/><Relationship Id="rId1" Type="http://schemas.openxmlformats.org/officeDocument/2006/relationships/hyperlink" Target="https://www.justice.tas.gov.au/about-us/legislation/penalty-units-indexed-amounts" TargetMode="External"/><Relationship Id="rId6" Type="http://schemas.openxmlformats.org/officeDocument/2006/relationships/hyperlink" Target="https://www.police.tas.gov.au/uploads/Crime-Statistics-Supplement-2020-21.pdf" TargetMode="External"/><Relationship Id="rId5" Type="http://schemas.openxmlformats.org/officeDocument/2006/relationships/hyperlink" Target="https://www.police.tas.gov.au/uploads/Crime-Statistics-Supplement-2022-23.pdf" TargetMode="External"/><Relationship Id="rId4" Type="http://schemas.openxmlformats.org/officeDocument/2006/relationships/hyperlink" Target="https://www.police.tas.gov.au/uploads/Crime-Statistics-Supplement-2023-24.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Recorded</a:t>
            </a:r>
            <a:r>
              <a:rPr lang="en-US" b="1" baseline="0"/>
              <a:t> a</a:t>
            </a:r>
            <a:r>
              <a:rPr lang="en-US" b="1"/>
              <a:t>ssaults in Tasmania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2013/14</c:v>
                </c:pt>
                <c:pt idx="1">
                  <c:v>2014/15</c:v>
                </c:pt>
                <c:pt idx="2">
                  <c:v>2015/16</c:v>
                </c:pt>
                <c:pt idx="3">
                  <c:v>2016/17</c:v>
                </c:pt>
                <c:pt idx="4">
                  <c:v>2017/18</c:v>
                </c:pt>
                <c:pt idx="5">
                  <c:v>2018/19</c:v>
                </c:pt>
                <c:pt idx="6">
                  <c:v>2019/20</c:v>
                </c:pt>
                <c:pt idx="7">
                  <c:v>2020/21</c:v>
                </c:pt>
                <c:pt idx="8">
                  <c:v>2021/22</c:v>
                </c:pt>
                <c:pt idx="9">
                  <c:v>2022/23</c:v>
                </c:pt>
                <c:pt idx="10">
                  <c:v>2023/24</c:v>
                </c:pt>
              </c:strCache>
            </c:strRef>
          </c:cat>
          <c:val>
            <c:numRef>
              <c:f>Sheet1!$B$2:$B$12</c:f>
              <c:numCache>
                <c:formatCode>General</c:formatCode>
                <c:ptCount val="11"/>
                <c:pt idx="0">
                  <c:v>2493</c:v>
                </c:pt>
                <c:pt idx="1">
                  <c:v>2615</c:v>
                </c:pt>
                <c:pt idx="2">
                  <c:v>2738</c:v>
                </c:pt>
                <c:pt idx="3">
                  <c:v>2800</c:v>
                </c:pt>
                <c:pt idx="4">
                  <c:v>3008</c:v>
                </c:pt>
                <c:pt idx="5">
                  <c:v>3105</c:v>
                </c:pt>
                <c:pt idx="6">
                  <c:v>3116</c:v>
                </c:pt>
                <c:pt idx="7">
                  <c:v>3166</c:v>
                </c:pt>
                <c:pt idx="8">
                  <c:v>3429</c:v>
                </c:pt>
                <c:pt idx="9">
                  <c:v>3897</c:v>
                </c:pt>
                <c:pt idx="10">
                  <c:v>4108</c:v>
                </c:pt>
              </c:numCache>
            </c:numRef>
          </c:val>
          <c:extLst>
            <c:ext xmlns:c16="http://schemas.microsoft.com/office/drawing/2014/chart" uri="{C3380CC4-5D6E-409C-BE32-E72D297353CC}">
              <c16:uniqueId val="{00000000-6FBD-8A4A-8BDE-7F05A0BF11E0}"/>
            </c:ext>
          </c:extLst>
        </c:ser>
        <c:dLbls>
          <c:dLblPos val="outEnd"/>
          <c:showLegendKey val="0"/>
          <c:showVal val="1"/>
          <c:showCatName val="0"/>
          <c:showSerName val="0"/>
          <c:showPercent val="0"/>
          <c:showBubbleSize val="0"/>
        </c:dLbls>
        <c:gapWidth val="219"/>
        <c:overlap val="-27"/>
        <c:axId val="204295248"/>
        <c:axId val="204296976"/>
      </c:barChart>
      <c:catAx>
        <c:axId val="20429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296976"/>
        <c:crosses val="autoZero"/>
        <c:auto val="1"/>
        <c:lblAlgn val="ctr"/>
        <c:lblOffset val="100"/>
        <c:noMultiLvlLbl val="0"/>
      </c:catAx>
      <c:valAx>
        <c:axId val="204296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295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2025-02-18T03:43:00Z</cp:lastPrinted>
  <dcterms:created xsi:type="dcterms:W3CDTF">2025-02-18T04:05:00Z</dcterms:created>
  <dcterms:modified xsi:type="dcterms:W3CDTF">2025-02-18T04:05:00Z</dcterms:modified>
</cp:coreProperties>
</file>