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260B" w:rsidRPr="00D92193" w:rsidRDefault="006D260B" w:rsidP="00191C4E">
      <w:pPr>
        <w:ind w:right="-347"/>
        <w:jc w:val="center"/>
      </w:pPr>
      <w:r>
        <w:rPr>
          <w:noProof/>
          <w:sz w:val="20"/>
          <w:szCs w:val="20"/>
          <w:lang w:eastAsia="en-AU"/>
        </w:rPr>
        <w:drawing>
          <wp:inline distT="0" distB="0" distL="0" distR="0" wp14:anchorId="624E1941" wp14:editId="692BBA89">
            <wp:extent cx="3235960" cy="1099476"/>
            <wp:effectExtent l="0" t="0" r="0" b="0"/>
            <wp:docPr id="5"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rsidR="006D260B" w:rsidRPr="00E453D7" w:rsidRDefault="006D260B" w:rsidP="00191C4E">
      <w:pPr>
        <w:ind w:right="-347"/>
        <w:rPr>
          <w:rFonts w:ascii="Cambria" w:hAnsi="Cambria"/>
        </w:rPr>
      </w:pPr>
    </w:p>
    <w:p w:rsidR="006D260B" w:rsidRPr="00E453D7" w:rsidRDefault="00F40C4D" w:rsidP="00191C4E">
      <w:pPr>
        <w:ind w:right="-347"/>
        <w:rPr>
          <w:rFonts w:ascii="Cambria" w:hAnsi="Cambria"/>
        </w:rPr>
      </w:pPr>
      <w:r w:rsidRPr="00E453D7">
        <w:rPr>
          <w:rFonts w:ascii="Cambria" w:hAnsi="Cambria"/>
        </w:rPr>
        <w:t xml:space="preserve">26 </w:t>
      </w:r>
      <w:r w:rsidR="006D260B" w:rsidRPr="00E453D7">
        <w:rPr>
          <w:rFonts w:ascii="Cambria" w:hAnsi="Cambria"/>
        </w:rPr>
        <w:t>February 202</w:t>
      </w:r>
      <w:r w:rsidR="00C25F23">
        <w:rPr>
          <w:rFonts w:ascii="Cambria" w:hAnsi="Cambria"/>
        </w:rPr>
        <w:t>4</w:t>
      </w:r>
    </w:p>
    <w:p w:rsidR="006D260B" w:rsidRPr="00E453D7" w:rsidRDefault="006D260B" w:rsidP="00191C4E">
      <w:pPr>
        <w:ind w:right="-347"/>
        <w:rPr>
          <w:rFonts w:ascii="Cambria" w:hAnsi="Cambria"/>
        </w:rPr>
      </w:pPr>
    </w:p>
    <w:p w:rsidR="006D260B" w:rsidRPr="00E453D7" w:rsidRDefault="006D260B" w:rsidP="00191C4E">
      <w:pPr>
        <w:ind w:right="-347"/>
        <w:rPr>
          <w:rFonts w:ascii="Cambria" w:hAnsi="Cambria"/>
        </w:rPr>
      </w:pPr>
      <w:r w:rsidRPr="00E453D7">
        <w:rPr>
          <w:rFonts w:ascii="Cambria" w:hAnsi="Cambria"/>
        </w:rPr>
        <w:t>Department of Justice</w:t>
      </w:r>
    </w:p>
    <w:p w:rsidR="006D260B" w:rsidRPr="00E453D7" w:rsidRDefault="006D260B" w:rsidP="00191C4E">
      <w:pPr>
        <w:ind w:right="-347"/>
        <w:rPr>
          <w:rFonts w:ascii="Cambria" w:hAnsi="Cambria"/>
        </w:rPr>
      </w:pPr>
      <w:r w:rsidRPr="00E453D7">
        <w:rPr>
          <w:rFonts w:ascii="Cambria" w:hAnsi="Cambria"/>
        </w:rPr>
        <w:t>Office of the Secretary</w:t>
      </w:r>
    </w:p>
    <w:p w:rsidR="006D260B" w:rsidRPr="00E453D7" w:rsidRDefault="006D260B" w:rsidP="00191C4E">
      <w:pPr>
        <w:ind w:right="-347"/>
        <w:rPr>
          <w:rFonts w:ascii="Cambria" w:hAnsi="Cambria"/>
        </w:rPr>
      </w:pPr>
      <w:r w:rsidRPr="00E453D7">
        <w:rPr>
          <w:rFonts w:ascii="Cambria" w:hAnsi="Cambria"/>
        </w:rPr>
        <w:t xml:space="preserve">GPO Box 825 </w:t>
      </w:r>
    </w:p>
    <w:p w:rsidR="006D260B" w:rsidRPr="00E453D7" w:rsidRDefault="006D260B" w:rsidP="00191C4E">
      <w:pPr>
        <w:ind w:right="-347"/>
        <w:rPr>
          <w:rFonts w:ascii="Cambria" w:hAnsi="Cambria"/>
        </w:rPr>
      </w:pPr>
      <w:r w:rsidRPr="00E453D7">
        <w:rPr>
          <w:rFonts w:ascii="Cambria" w:hAnsi="Cambria"/>
        </w:rPr>
        <w:t>Hobart TAS 7001</w:t>
      </w:r>
    </w:p>
    <w:p w:rsidR="006D260B" w:rsidRPr="00E453D7" w:rsidRDefault="006D260B" w:rsidP="00191C4E">
      <w:pPr>
        <w:ind w:right="-347"/>
        <w:rPr>
          <w:rFonts w:ascii="Cambria" w:hAnsi="Cambria"/>
        </w:rPr>
      </w:pPr>
      <w:proofErr w:type="spellStart"/>
      <w:r w:rsidRPr="00E453D7">
        <w:rPr>
          <w:rFonts w:ascii="Cambria" w:hAnsi="Cambria"/>
        </w:rPr>
        <w:t>attn:</w:t>
      </w:r>
      <w:proofErr w:type="spellEnd"/>
      <w:r w:rsidRPr="00E453D7">
        <w:rPr>
          <w:rFonts w:ascii="Cambria" w:hAnsi="Cambria"/>
        </w:rPr>
        <w:t xml:space="preserve"> Secretary</w:t>
      </w:r>
    </w:p>
    <w:p w:rsidR="006D260B" w:rsidRPr="00E453D7" w:rsidRDefault="006D260B" w:rsidP="00191C4E">
      <w:pPr>
        <w:ind w:right="-347"/>
        <w:rPr>
          <w:rFonts w:ascii="Cambria" w:hAnsi="Cambria"/>
        </w:rPr>
      </w:pPr>
    </w:p>
    <w:p w:rsidR="006D260B" w:rsidRPr="00E453D7" w:rsidRDefault="006D260B" w:rsidP="00191C4E">
      <w:pPr>
        <w:ind w:left="2160" w:right="-347"/>
        <w:rPr>
          <w:rFonts w:ascii="Cambria" w:hAnsi="Cambria"/>
          <w:i/>
          <w:iCs/>
        </w:rPr>
      </w:pPr>
      <w:r w:rsidRPr="00E453D7">
        <w:rPr>
          <w:rFonts w:ascii="Cambria" w:hAnsi="Cambria"/>
          <w:b/>
          <w:bCs/>
          <w:i/>
          <w:iCs/>
        </w:rPr>
        <w:t>via email</w:t>
      </w:r>
      <w:r w:rsidRPr="00E453D7">
        <w:rPr>
          <w:rFonts w:ascii="Cambria" w:hAnsi="Cambria"/>
          <w:i/>
          <w:iCs/>
        </w:rPr>
        <w:t xml:space="preserve">: </w:t>
      </w:r>
      <w:hyperlink r:id="rId8" w:history="1">
        <w:r w:rsidRPr="00E453D7">
          <w:rPr>
            <w:rStyle w:val="Hyperlink"/>
            <w:rFonts w:ascii="Cambria" w:hAnsi="Cambria"/>
            <w:i/>
            <w:iCs/>
          </w:rPr>
          <w:t>haveyoursay@justice.tas.gov.au</w:t>
        </w:r>
      </w:hyperlink>
      <w:r w:rsidRPr="00E453D7">
        <w:rPr>
          <w:rFonts w:ascii="Cambria" w:hAnsi="Cambria"/>
          <w:i/>
          <w:iCs/>
        </w:rPr>
        <w:t xml:space="preserve"> </w:t>
      </w:r>
    </w:p>
    <w:p w:rsidR="006D260B" w:rsidRPr="00E453D7" w:rsidRDefault="006D260B" w:rsidP="00191C4E">
      <w:pPr>
        <w:ind w:right="-347"/>
        <w:rPr>
          <w:rFonts w:ascii="Cambria" w:hAnsi="Cambria"/>
          <w:color w:val="000000" w:themeColor="text1"/>
        </w:rPr>
      </w:pPr>
    </w:p>
    <w:p w:rsidR="006D260B" w:rsidRPr="00E453D7" w:rsidRDefault="006D260B" w:rsidP="00191C4E">
      <w:pPr>
        <w:ind w:right="-347"/>
        <w:rPr>
          <w:rFonts w:ascii="Cambria" w:hAnsi="Cambria"/>
          <w:color w:val="000000" w:themeColor="text1"/>
        </w:rPr>
      </w:pPr>
      <w:r w:rsidRPr="00E453D7">
        <w:rPr>
          <w:rFonts w:ascii="Cambria" w:hAnsi="Cambria"/>
          <w:color w:val="000000" w:themeColor="text1"/>
        </w:rPr>
        <w:t>To the Department of Justice,</w:t>
      </w:r>
    </w:p>
    <w:p w:rsidR="006D260B" w:rsidRPr="00E453D7" w:rsidRDefault="006D260B" w:rsidP="00191C4E">
      <w:pPr>
        <w:pBdr>
          <w:bottom w:val="single" w:sz="6" w:space="1" w:color="auto"/>
        </w:pBdr>
        <w:ind w:right="-347"/>
        <w:rPr>
          <w:rFonts w:ascii="Cambria" w:hAnsi="Cambria" w:cs="Arial"/>
          <w:color w:val="000000" w:themeColor="text1"/>
        </w:rPr>
      </w:pPr>
      <w:r w:rsidRPr="00E453D7">
        <w:rPr>
          <w:rFonts w:ascii="Cambria" w:hAnsi="Cambria"/>
          <w:b/>
          <w:color w:val="000000" w:themeColor="text1"/>
        </w:rPr>
        <w:t xml:space="preserve">Re: </w:t>
      </w:r>
      <w:r w:rsidRPr="00E453D7">
        <w:rPr>
          <w:rFonts w:ascii="Cambria" w:hAnsi="Cambria"/>
          <w:b/>
          <w:i/>
          <w:color w:val="000000" w:themeColor="text1"/>
        </w:rPr>
        <w:t>Justice Miscellaneous (Conversion Practices) Bill 2024</w:t>
      </w:r>
    </w:p>
    <w:p w:rsidR="006D260B" w:rsidRPr="00E453D7" w:rsidRDefault="006D260B" w:rsidP="00191C4E">
      <w:pPr>
        <w:ind w:right="-347"/>
        <w:jc w:val="both"/>
        <w:rPr>
          <w:rFonts w:ascii="Cambria" w:hAnsi="Cambria" w:cs="Calibri"/>
          <w:color w:val="000000" w:themeColor="text1"/>
        </w:rPr>
      </w:pPr>
    </w:p>
    <w:p w:rsidR="006D260B" w:rsidRPr="00E453D7" w:rsidRDefault="006D260B" w:rsidP="00191C4E">
      <w:pPr>
        <w:ind w:right="-347"/>
        <w:jc w:val="both"/>
        <w:rPr>
          <w:rFonts w:ascii="Cambria" w:hAnsi="Cambria"/>
          <w:bCs/>
          <w:color w:val="000000" w:themeColor="text1"/>
        </w:rPr>
      </w:pPr>
      <w:r w:rsidRPr="00E453D7">
        <w:rPr>
          <w:rFonts w:ascii="Cambria" w:hAnsi="Cambria" w:cs="Calibri"/>
          <w:color w:val="000000" w:themeColor="text1"/>
        </w:rPr>
        <w:t>Community Legal Centres Tasmania (CLC Tas)</w:t>
      </w:r>
      <w:r w:rsidRPr="00E453D7">
        <w:rPr>
          <w:rFonts w:ascii="Cambria" w:hAnsi="Cambria"/>
          <w:color w:val="000000" w:themeColor="text1"/>
        </w:rPr>
        <w:t xml:space="preserve"> welcomes the opportunity to provide comment on the </w:t>
      </w:r>
      <w:r w:rsidRPr="00E453D7">
        <w:rPr>
          <w:rFonts w:ascii="Cambria" w:hAnsi="Cambria"/>
          <w:bCs/>
          <w:i/>
          <w:iCs/>
          <w:color w:val="000000" w:themeColor="text1"/>
        </w:rPr>
        <w:t>Justice Miscellaneous (Conversion Practices) Bill 2024</w:t>
      </w:r>
      <w:r w:rsidRPr="00E453D7">
        <w:rPr>
          <w:rFonts w:ascii="Cambria" w:hAnsi="Cambria"/>
          <w:bCs/>
          <w:color w:val="000000" w:themeColor="text1"/>
        </w:rPr>
        <w:t xml:space="preserve"> (‘the Bill’).</w:t>
      </w:r>
      <w:r w:rsidRPr="00E453D7">
        <w:rPr>
          <w:rStyle w:val="FootnoteReference"/>
          <w:rFonts w:ascii="Cambria" w:hAnsi="Cambria"/>
          <w:bCs/>
          <w:color w:val="000000" w:themeColor="text1"/>
        </w:rPr>
        <w:footnoteReference w:id="1"/>
      </w:r>
      <w:r w:rsidR="00DB1E8F" w:rsidRPr="00E453D7">
        <w:rPr>
          <w:rFonts w:ascii="Cambria" w:hAnsi="Cambria"/>
          <w:bCs/>
          <w:color w:val="000000" w:themeColor="text1"/>
        </w:rPr>
        <w:t xml:space="preserve"> We welcome the Government’s commitment to</w:t>
      </w:r>
      <w:r w:rsidR="00965A9F" w:rsidRPr="00E453D7">
        <w:rPr>
          <w:rFonts w:ascii="Cambria" w:hAnsi="Cambria"/>
          <w:bCs/>
          <w:color w:val="000000" w:themeColor="text1"/>
        </w:rPr>
        <w:t xml:space="preserve"> give statutory recognition to the serious harm caused by </w:t>
      </w:r>
      <w:r w:rsidR="00DB1E8F" w:rsidRPr="00E453D7">
        <w:rPr>
          <w:rFonts w:ascii="Cambria" w:hAnsi="Cambria"/>
          <w:bCs/>
          <w:color w:val="000000" w:themeColor="text1"/>
        </w:rPr>
        <w:t>conversion practices</w:t>
      </w:r>
      <w:r w:rsidR="005A4F4E" w:rsidRPr="00E453D7">
        <w:rPr>
          <w:rFonts w:ascii="Cambria" w:hAnsi="Cambria"/>
          <w:bCs/>
          <w:color w:val="000000" w:themeColor="text1"/>
        </w:rPr>
        <w:t xml:space="preserve">. </w:t>
      </w:r>
      <w:r w:rsidR="00965A9F" w:rsidRPr="00E453D7">
        <w:rPr>
          <w:rFonts w:ascii="Cambria" w:hAnsi="Cambria"/>
          <w:bCs/>
          <w:color w:val="000000" w:themeColor="text1"/>
        </w:rPr>
        <w:t>Eliminating</w:t>
      </w:r>
      <w:r w:rsidR="005A4F4E" w:rsidRPr="00E453D7">
        <w:rPr>
          <w:rFonts w:ascii="Cambria" w:hAnsi="Cambria"/>
          <w:bCs/>
          <w:color w:val="000000" w:themeColor="text1"/>
        </w:rPr>
        <w:t xml:space="preserve"> conversion practices</w:t>
      </w:r>
      <w:r w:rsidR="00A75975" w:rsidRPr="00E453D7">
        <w:rPr>
          <w:rFonts w:ascii="Cambria" w:hAnsi="Cambria"/>
          <w:bCs/>
          <w:color w:val="000000" w:themeColor="text1"/>
        </w:rPr>
        <w:t xml:space="preserve"> will</w:t>
      </w:r>
      <w:r w:rsidR="00965A9F" w:rsidRPr="00E453D7">
        <w:rPr>
          <w:rFonts w:ascii="Cambria" w:hAnsi="Cambria"/>
          <w:bCs/>
          <w:color w:val="000000" w:themeColor="text1"/>
        </w:rPr>
        <w:t xml:space="preserve"> provide </w:t>
      </w:r>
      <w:r w:rsidR="005A4F4E" w:rsidRPr="00E453D7">
        <w:rPr>
          <w:rFonts w:ascii="Cambria" w:hAnsi="Cambria"/>
          <w:bCs/>
          <w:color w:val="000000" w:themeColor="text1"/>
        </w:rPr>
        <w:t>better</w:t>
      </w:r>
      <w:r w:rsidR="00965A9F" w:rsidRPr="00E453D7">
        <w:rPr>
          <w:rFonts w:ascii="Cambria" w:hAnsi="Cambria"/>
          <w:bCs/>
          <w:color w:val="000000" w:themeColor="text1"/>
        </w:rPr>
        <w:t xml:space="preserve"> </w:t>
      </w:r>
      <w:r w:rsidR="00A75975" w:rsidRPr="00E453D7">
        <w:rPr>
          <w:rFonts w:ascii="Cambria" w:hAnsi="Cambria"/>
          <w:bCs/>
          <w:color w:val="000000" w:themeColor="text1"/>
        </w:rPr>
        <w:t>protection of the LGBTIQA+ community</w:t>
      </w:r>
      <w:r w:rsidR="00965A9F" w:rsidRPr="00E453D7">
        <w:rPr>
          <w:rFonts w:ascii="Cambria" w:hAnsi="Cambria"/>
          <w:bCs/>
          <w:color w:val="000000" w:themeColor="text1"/>
        </w:rPr>
        <w:t xml:space="preserve"> by affirming that all sexual orientations or gender identities are valued. </w:t>
      </w:r>
      <w:r w:rsidR="00DB1E8F" w:rsidRPr="00E453D7">
        <w:rPr>
          <w:rFonts w:ascii="Cambria" w:hAnsi="Cambria"/>
          <w:bCs/>
          <w:color w:val="000000" w:themeColor="text1"/>
        </w:rPr>
        <w:t xml:space="preserve">However, in our opinion the draft Bill has </w:t>
      </w:r>
      <w:r w:rsidR="001C7DA6" w:rsidRPr="00E453D7">
        <w:rPr>
          <w:rFonts w:ascii="Cambria" w:hAnsi="Cambria"/>
          <w:bCs/>
          <w:color w:val="000000" w:themeColor="text1"/>
        </w:rPr>
        <w:t xml:space="preserve">a number of </w:t>
      </w:r>
      <w:r w:rsidR="00DB1E8F" w:rsidRPr="00E453D7">
        <w:rPr>
          <w:rFonts w:ascii="Cambria" w:hAnsi="Cambria"/>
          <w:bCs/>
          <w:color w:val="000000" w:themeColor="text1"/>
        </w:rPr>
        <w:t>deficiencies</w:t>
      </w:r>
      <w:r w:rsidR="00A10221" w:rsidRPr="00E453D7">
        <w:rPr>
          <w:rFonts w:ascii="Cambria" w:hAnsi="Cambria"/>
          <w:bCs/>
          <w:color w:val="000000" w:themeColor="text1"/>
        </w:rPr>
        <w:t xml:space="preserve"> that </w:t>
      </w:r>
      <w:r w:rsidR="00191C4E" w:rsidRPr="00E453D7">
        <w:rPr>
          <w:rFonts w:ascii="Cambria" w:hAnsi="Cambria"/>
          <w:bCs/>
          <w:color w:val="000000" w:themeColor="text1"/>
        </w:rPr>
        <w:t>should</w:t>
      </w:r>
      <w:r w:rsidR="00A10221" w:rsidRPr="00E453D7">
        <w:rPr>
          <w:rFonts w:ascii="Cambria" w:hAnsi="Cambria"/>
          <w:bCs/>
          <w:color w:val="000000" w:themeColor="text1"/>
        </w:rPr>
        <w:t xml:space="preserve"> be addressed</w:t>
      </w:r>
      <w:r w:rsidR="00191C4E" w:rsidRPr="00E453D7">
        <w:rPr>
          <w:rFonts w:ascii="Cambria" w:hAnsi="Cambria"/>
          <w:bCs/>
          <w:color w:val="000000" w:themeColor="text1"/>
        </w:rPr>
        <w:t xml:space="preserve"> before the Bill is tabled in Parliament</w:t>
      </w:r>
      <w:r w:rsidR="00A10221" w:rsidRPr="00E453D7">
        <w:rPr>
          <w:rFonts w:ascii="Cambria" w:hAnsi="Cambria"/>
          <w:bCs/>
          <w:color w:val="000000" w:themeColor="text1"/>
        </w:rPr>
        <w:t xml:space="preserve">.  </w:t>
      </w:r>
    </w:p>
    <w:p w:rsidR="006D260B" w:rsidRPr="00E453D7" w:rsidRDefault="006D260B" w:rsidP="00191C4E">
      <w:pPr>
        <w:ind w:right="-347"/>
        <w:jc w:val="both"/>
        <w:rPr>
          <w:rFonts w:ascii="Cambria" w:hAnsi="Cambria"/>
          <w:color w:val="000000" w:themeColor="text1"/>
        </w:rPr>
      </w:pPr>
    </w:p>
    <w:p w:rsidR="000A3C3E" w:rsidRPr="00E453D7" w:rsidRDefault="006D260B" w:rsidP="00191C4E">
      <w:pPr>
        <w:ind w:right="-347"/>
        <w:jc w:val="both"/>
        <w:rPr>
          <w:rFonts w:ascii="Cambria" w:hAnsi="Cambria" w:cs="Arial"/>
          <w:color w:val="000000" w:themeColor="text1"/>
        </w:rPr>
      </w:pPr>
      <w:r w:rsidRPr="00E453D7">
        <w:rPr>
          <w:rFonts w:ascii="Cambria" w:hAnsi="Cambria" w:cs="Arial"/>
          <w:color w:val="000000" w:themeColor="text1"/>
          <w:lang w:eastAsia="en-AU"/>
        </w:rPr>
        <w:t xml:space="preserve">CLC Tas </w:t>
      </w:r>
      <w:r w:rsidRPr="00E453D7">
        <w:rPr>
          <w:rFonts w:ascii="Cambria" w:hAnsi="Cambria" w:cs="Arial"/>
          <w:color w:val="000000" w:themeColor="text1"/>
        </w:rPr>
        <w:t xml:space="preserve">is the peak body representing the interests of nine community legal centres (CLCs) located throughout Tasmania. We are a member-based, independent, not-for-profit and incorporated organisation that advocates for law reform on a range of public interest matters aimed at improving access to justice, reducing discrimination and protecting and promoting human rights. </w:t>
      </w:r>
    </w:p>
    <w:p w:rsidR="00965A9F" w:rsidRPr="00E453D7" w:rsidRDefault="00965A9F" w:rsidP="00191C4E">
      <w:pPr>
        <w:ind w:right="-347"/>
        <w:jc w:val="both"/>
        <w:rPr>
          <w:rFonts w:ascii="Cambria" w:hAnsi="Cambria"/>
          <w:b/>
          <w:bCs/>
          <w:i/>
          <w:iCs/>
          <w:color w:val="000000" w:themeColor="text1"/>
        </w:rPr>
      </w:pPr>
    </w:p>
    <w:p w:rsidR="0055277A" w:rsidRPr="00E453D7" w:rsidRDefault="0055277A" w:rsidP="00191C4E">
      <w:pPr>
        <w:ind w:right="-347"/>
        <w:jc w:val="both"/>
        <w:rPr>
          <w:rFonts w:ascii="Cambria" w:hAnsi="Cambria"/>
          <w:b/>
          <w:bCs/>
          <w:i/>
          <w:iCs/>
          <w:color w:val="000000" w:themeColor="text1"/>
        </w:rPr>
      </w:pPr>
      <w:r w:rsidRPr="00E453D7">
        <w:rPr>
          <w:rFonts w:ascii="Cambria" w:hAnsi="Cambria"/>
          <w:b/>
          <w:bCs/>
          <w:i/>
          <w:iCs/>
          <w:color w:val="000000" w:themeColor="text1"/>
        </w:rPr>
        <w:t>Conversion practices in Australia</w:t>
      </w:r>
    </w:p>
    <w:p w:rsidR="0055277A" w:rsidRPr="00E453D7" w:rsidRDefault="003C3904" w:rsidP="00191C4E">
      <w:pPr>
        <w:pStyle w:val="NoSpacing"/>
        <w:ind w:right="-347"/>
        <w:jc w:val="both"/>
        <w:rPr>
          <w:rFonts w:ascii="Cambria" w:hAnsi="Cambria" w:cs="Arial"/>
          <w:color w:val="000000" w:themeColor="text1"/>
          <w:shd w:val="clear" w:color="auto" w:fill="FFFFFF"/>
        </w:rPr>
      </w:pPr>
      <w:r>
        <w:rPr>
          <w:rFonts w:ascii="Cambria" w:hAnsi="Cambria" w:cs="Arial"/>
          <w:color w:val="000000" w:themeColor="text1"/>
          <w:shd w:val="clear" w:color="auto" w:fill="FFFFFF"/>
        </w:rPr>
        <w:t>It</w:t>
      </w:r>
      <w:r w:rsidR="0013740D" w:rsidRPr="00E453D7">
        <w:rPr>
          <w:rFonts w:ascii="Cambria" w:hAnsi="Cambria" w:cs="Arial"/>
          <w:color w:val="000000" w:themeColor="text1"/>
          <w:shd w:val="clear" w:color="auto" w:fill="FFFFFF"/>
        </w:rPr>
        <w:t xml:space="preserve"> is clear that </w:t>
      </w:r>
      <w:r>
        <w:rPr>
          <w:rFonts w:ascii="Cambria" w:hAnsi="Cambria" w:cs="Arial"/>
          <w:color w:val="000000" w:themeColor="text1"/>
          <w:shd w:val="clear" w:color="auto" w:fill="FFFFFF"/>
        </w:rPr>
        <w:t>conversion practices</w:t>
      </w:r>
      <w:r w:rsidR="0013740D" w:rsidRPr="00E453D7">
        <w:rPr>
          <w:rFonts w:ascii="Cambria" w:hAnsi="Cambria" w:cs="Arial"/>
          <w:color w:val="000000" w:themeColor="text1"/>
          <w:shd w:val="clear" w:color="auto" w:fill="FFFFFF"/>
        </w:rPr>
        <w:t xml:space="preserve"> continue</w:t>
      </w:r>
      <w:r>
        <w:rPr>
          <w:rFonts w:ascii="Cambria" w:hAnsi="Cambria" w:cs="Arial"/>
          <w:color w:val="000000" w:themeColor="text1"/>
          <w:shd w:val="clear" w:color="auto" w:fill="FFFFFF"/>
        </w:rPr>
        <w:t xml:space="preserve"> </w:t>
      </w:r>
      <w:r w:rsidR="0013740D" w:rsidRPr="00E453D7">
        <w:rPr>
          <w:rFonts w:ascii="Cambria" w:hAnsi="Cambria" w:cs="Arial"/>
          <w:color w:val="000000" w:themeColor="text1"/>
          <w:shd w:val="clear" w:color="auto" w:fill="FFFFFF"/>
        </w:rPr>
        <w:t xml:space="preserve">to take place as </w:t>
      </w:r>
      <w:r w:rsidR="0055277A" w:rsidRPr="00E453D7">
        <w:rPr>
          <w:rFonts w:ascii="Cambria" w:hAnsi="Cambria" w:cs="Arial"/>
          <w:color w:val="000000" w:themeColor="text1"/>
          <w:shd w:val="clear" w:color="auto" w:fill="FFFFFF"/>
        </w:rPr>
        <w:t>the Tasmania Law Reform Institute</w:t>
      </w:r>
      <w:r w:rsidR="0013740D" w:rsidRPr="00E453D7">
        <w:rPr>
          <w:rFonts w:ascii="Cambria" w:hAnsi="Cambria" w:cs="Arial"/>
          <w:color w:val="000000" w:themeColor="text1"/>
          <w:shd w:val="clear" w:color="auto" w:fill="FFFFFF"/>
        </w:rPr>
        <w:t xml:space="preserve"> </w:t>
      </w:r>
      <w:r w:rsidR="00A55030" w:rsidRPr="00E453D7">
        <w:rPr>
          <w:rFonts w:ascii="Cambria" w:hAnsi="Cambria" w:cs="Arial"/>
          <w:color w:val="000000" w:themeColor="text1"/>
          <w:shd w:val="clear" w:color="auto" w:fill="FFFFFF"/>
        </w:rPr>
        <w:t xml:space="preserve">(TLRI) </w:t>
      </w:r>
      <w:r w:rsidR="006146BF" w:rsidRPr="00E453D7">
        <w:rPr>
          <w:rFonts w:ascii="Cambria" w:hAnsi="Cambria" w:cs="Arial"/>
          <w:color w:val="000000" w:themeColor="text1"/>
          <w:shd w:val="clear" w:color="auto" w:fill="FFFFFF"/>
        </w:rPr>
        <w:t>observed</w:t>
      </w:r>
      <w:r w:rsidR="0055277A" w:rsidRPr="00E453D7">
        <w:rPr>
          <w:rFonts w:ascii="Cambria" w:hAnsi="Cambria" w:cs="Arial"/>
          <w:color w:val="000000" w:themeColor="text1"/>
          <w:shd w:val="clear" w:color="auto" w:fill="FFFFFF"/>
        </w:rPr>
        <w:t>:</w:t>
      </w:r>
      <w:r w:rsidR="0055277A" w:rsidRPr="00E453D7">
        <w:rPr>
          <w:rStyle w:val="FootnoteReference"/>
          <w:rFonts w:ascii="Cambria" w:hAnsi="Cambria" w:cs="Arial"/>
          <w:color w:val="000000" w:themeColor="text1"/>
          <w:shd w:val="clear" w:color="auto" w:fill="FFFFFF"/>
        </w:rPr>
        <w:footnoteReference w:id="2"/>
      </w:r>
    </w:p>
    <w:p w:rsidR="0055277A" w:rsidRPr="00E453D7" w:rsidRDefault="0055277A" w:rsidP="00191C4E">
      <w:pPr>
        <w:pStyle w:val="NoSpacing"/>
        <w:ind w:right="-347"/>
        <w:jc w:val="both"/>
        <w:rPr>
          <w:rFonts w:ascii="Cambria" w:hAnsi="Cambria" w:cs="Arial"/>
          <w:color w:val="000000" w:themeColor="text1"/>
          <w:shd w:val="clear" w:color="auto" w:fill="FFFFFF"/>
        </w:rPr>
      </w:pPr>
    </w:p>
    <w:p w:rsidR="0055277A" w:rsidRPr="00E453D7" w:rsidRDefault="0055277A" w:rsidP="00191C4E">
      <w:pPr>
        <w:pStyle w:val="NoSpacing"/>
        <w:ind w:left="720" w:right="-347"/>
        <w:jc w:val="both"/>
        <w:rPr>
          <w:rFonts w:ascii="Cambria" w:hAnsi="Cambria" w:cs="Arial"/>
          <w:color w:val="000000" w:themeColor="text1"/>
          <w:shd w:val="clear" w:color="auto" w:fill="FFFFFF"/>
        </w:rPr>
      </w:pPr>
      <w:r w:rsidRPr="00E453D7">
        <w:rPr>
          <w:rFonts w:ascii="Cambria" w:hAnsi="Cambria"/>
          <w:color w:val="000000" w:themeColor="text1"/>
        </w:rPr>
        <w:t xml:space="preserve">…conversion practices continue, albeit on the fringes of the health profession as a form of medical malpractice, or now, more commonly, as a form of pseudoscientific or pseudo medical practice outside the clinical space. That may involve individual or group ‘therapy’, ‘treatment’, ‘healing’, ‘counselling’, ‘mentoring’ or other forms of ‘study’ programs. </w:t>
      </w:r>
    </w:p>
    <w:p w:rsidR="0055277A" w:rsidRPr="00E453D7" w:rsidRDefault="0055277A" w:rsidP="00191C4E">
      <w:pPr>
        <w:pStyle w:val="NoSpacing"/>
        <w:ind w:right="-347"/>
        <w:jc w:val="both"/>
        <w:rPr>
          <w:rFonts w:ascii="Cambria" w:hAnsi="Cambria" w:cs="Arial"/>
          <w:color w:val="555555"/>
          <w:shd w:val="clear" w:color="auto" w:fill="FFFFFF"/>
        </w:rPr>
      </w:pPr>
    </w:p>
    <w:p w:rsidR="002E09B7" w:rsidRPr="00E453D7" w:rsidRDefault="003C3904" w:rsidP="00191C4E">
      <w:pPr>
        <w:pStyle w:val="NoSpacing"/>
        <w:ind w:right="-347"/>
        <w:jc w:val="both"/>
        <w:rPr>
          <w:rFonts w:ascii="Cambria" w:hAnsi="Cambria" w:cs="Arial"/>
          <w:color w:val="000000" w:themeColor="text1"/>
          <w:shd w:val="clear" w:color="auto" w:fill="FFFFFF"/>
        </w:rPr>
      </w:pPr>
      <w:r>
        <w:rPr>
          <w:rFonts w:ascii="Cambria" w:hAnsi="Cambria" w:cs="Arial"/>
          <w:color w:val="000000" w:themeColor="text1"/>
          <w:shd w:val="clear" w:color="auto" w:fill="FFFFFF"/>
        </w:rPr>
        <w:lastRenderedPageBreak/>
        <w:t>In 2021 a report found that 5 per cent of LGBTIQ+ Tasmanians surveyed had undergone conversion practices to change their sexual orientation or gender identity and that 97 per cent of those surveyed had been told that their identity was the result of abuse or trauma or that that they needed to be ‘fixed’.</w:t>
      </w:r>
      <w:r>
        <w:rPr>
          <w:rStyle w:val="FootnoteReference"/>
          <w:rFonts w:ascii="Cambria" w:hAnsi="Cambria" w:cs="Arial"/>
          <w:color w:val="000000" w:themeColor="text1"/>
          <w:shd w:val="clear" w:color="auto" w:fill="FFFFFF"/>
        </w:rPr>
        <w:footnoteReference w:id="3"/>
      </w:r>
      <w:r>
        <w:rPr>
          <w:rFonts w:ascii="Cambria" w:hAnsi="Cambria" w:cs="Arial"/>
          <w:color w:val="000000" w:themeColor="text1"/>
          <w:shd w:val="clear" w:color="auto" w:fill="FFFFFF"/>
        </w:rPr>
        <w:t xml:space="preserve"> Finally, i</w:t>
      </w:r>
      <w:r w:rsidR="00191C4E" w:rsidRPr="00E453D7">
        <w:rPr>
          <w:rFonts w:ascii="Cambria" w:hAnsi="Cambria" w:cs="Arial"/>
          <w:color w:val="000000" w:themeColor="text1"/>
          <w:shd w:val="clear" w:color="auto" w:fill="FFFFFF"/>
        </w:rPr>
        <w:t>t i</w:t>
      </w:r>
      <w:r>
        <w:rPr>
          <w:rFonts w:ascii="Cambria" w:hAnsi="Cambria" w:cs="Arial"/>
          <w:color w:val="000000" w:themeColor="text1"/>
          <w:shd w:val="clear" w:color="auto" w:fill="FFFFFF"/>
        </w:rPr>
        <w:t>s</w:t>
      </w:r>
      <w:r w:rsidR="00191C4E" w:rsidRPr="00E453D7">
        <w:rPr>
          <w:rFonts w:ascii="Cambria" w:hAnsi="Cambria" w:cs="Arial"/>
          <w:color w:val="000000" w:themeColor="text1"/>
          <w:shd w:val="clear" w:color="auto" w:fill="FFFFFF"/>
        </w:rPr>
        <w:t xml:space="preserve"> worth noting that of </w:t>
      </w:r>
      <w:r w:rsidR="008C5253" w:rsidRPr="00E453D7">
        <w:rPr>
          <w:rFonts w:ascii="Cambria" w:hAnsi="Cambria" w:cs="Arial"/>
          <w:color w:val="000000" w:themeColor="text1"/>
          <w:shd w:val="clear" w:color="auto" w:fill="FFFFFF"/>
        </w:rPr>
        <w:t xml:space="preserve">the </w:t>
      </w:r>
      <w:r w:rsidR="0013740D" w:rsidRPr="00E453D7">
        <w:rPr>
          <w:rFonts w:ascii="Cambria" w:hAnsi="Cambria" w:cs="Arial"/>
          <w:color w:val="000000" w:themeColor="text1"/>
          <w:shd w:val="clear" w:color="auto" w:fill="FFFFFF"/>
        </w:rPr>
        <w:t>182</w:t>
      </w:r>
      <w:r w:rsidR="008C5253" w:rsidRPr="00E453D7">
        <w:rPr>
          <w:rFonts w:ascii="Cambria" w:hAnsi="Cambria" w:cs="Arial"/>
          <w:color w:val="000000" w:themeColor="text1"/>
          <w:shd w:val="clear" w:color="auto" w:fill="FFFFFF"/>
        </w:rPr>
        <w:t xml:space="preserve"> submission</w:t>
      </w:r>
      <w:r w:rsidR="0013740D" w:rsidRPr="00E453D7">
        <w:rPr>
          <w:rFonts w:ascii="Cambria" w:hAnsi="Cambria" w:cs="Arial"/>
          <w:color w:val="000000" w:themeColor="text1"/>
          <w:shd w:val="clear" w:color="auto" w:fill="FFFFFF"/>
        </w:rPr>
        <w:t xml:space="preserve">s accepted by the </w:t>
      </w:r>
      <w:r w:rsidR="00A55030" w:rsidRPr="00E453D7">
        <w:rPr>
          <w:rFonts w:ascii="Cambria" w:hAnsi="Cambria" w:cs="Arial"/>
          <w:color w:val="000000" w:themeColor="text1"/>
          <w:shd w:val="clear" w:color="auto" w:fill="FFFFFF"/>
        </w:rPr>
        <w:t>TLRI</w:t>
      </w:r>
      <w:r w:rsidR="00C52F50" w:rsidRPr="00E453D7">
        <w:rPr>
          <w:rFonts w:ascii="Cambria" w:hAnsi="Cambria" w:cs="Arial"/>
          <w:color w:val="000000" w:themeColor="text1"/>
          <w:shd w:val="clear" w:color="auto" w:fill="FFFFFF"/>
        </w:rPr>
        <w:t xml:space="preserve"> as part of its</w:t>
      </w:r>
      <w:r w:rsidR="00A10221" w:rsidRPr="00E453D7">
        <w:rPr>
          <w:rFonts w:ascii="Cambria" w:hAnsi="Cambria" w:cs="Arial"/>
          <w:color w:val="000000" w:themeColor="text1"/>
          <w:shd w:val="clear" w:color="auto" w:fill="FFFFFF"/>
        </w:rPr>
        <w:t xml:space="preserve"> report</w:t>
      </w:r>
      <w:r w:rsidR="00C52F50" w:rsidRPr="00E453D7">
        <w:rPr>
          <w:rFonts w:ascii="Cambria" w:hAnsi="Cambria" w:cs="Arial"/>
          <w:color w:val="000000" w:themeColor="text1"/>
          <w:shd w:val="clear" w:color="auto" w:fill="FFFFFF"/>
        </w:rPr>
        <w:t xml:space="preserve"> </w:t>
      </w:r>
      <w:r w:rsidR="00C52F50" w:rsidRPr="00E453D7">
        <w:rPr>
          <w:rFonts w:ascii="Cambria" w:hAnsi="Cambria"/>
          <w:i/>
          <w:iCs/>
        </w:rPr>
        <w:t>Sexual Orientation and Gender Identity Conversion Practices</w:t>
      </w:r>
      <w:r w:rsidR="00A10221" w:rsidRPr="00E453D7">
        <w:rPr>
          <w:rFonts w:ascii="Cambria" w:hAnsi="Cambria" w:cs="Arial"/>
          <w:color w:val="000000" w:themeColor="text1"/>
          <w:shd w:val="clear" w:color="auto" w:fill="FFFFFF"/>
        </w:rPr>
        <w:t>,</w:t>
      </w:r>
      <w:r w:rsidR="008C5253" w:rsidRPr="00E453D7">
        <w:rPr>
          <w:rFonts w:ascii="Cambria" w:hAnsi="Cambria" w:cs="Arial"/>
          <w:color w:val="000000" w:themeColor="text1"/>
          <w:shd w:val="clear" w:color="auto" w:fill="FFFFFF"/>
        </w:rPr>
        <w:t xml:space="preserve"> one in</w:t>
      </w:r>
      <w:r w:rsidR="0013740D" w:rsidRPr="00E453D7">
        <w:rPr>
          <w:rFonts w:ascii="Cambria" w:hAnsi="Cambria" w:cs="Arial"/>
          <w:color w:val="000000" w:themeColor="text1"/>
          <w:shd w:val="clear" w:color="auto" w:fill="FFFFFF"/>
        </w:rPr>
        <w:t xml:space="preserve"> four</w:t>
      </w:r>
      <w:r w:rsidR="002E09B7" w:rsidRPr="00E453D7">
        <w:rPr>
          <w:rFonts w:ascii="Cambria" w:hAnsi="Cambria" w:cs="Arial"/>
          <w:color w:val="000000" w:themeColor="text1"/>
          <w:shd w:val="clear" w:color="auto" w:fill="FFFFFF"/>
        </w:rPr>
        <w:t xml:space="preserve"> “reported people being offered or undergoing conversion practices in Tasmania… [including] </w:t>
      </w:r>
      <w:r w:rsidR="002E09B7" w:rsidRPr="00E453D7">
        <w:rPr>
          <w:rFonts w:ascii="Cambria" w:hAnsi="Cambria"/>
          <w:color w:val="000000" w:themeColor="text1"/>
        </w:rPr>
        <w:t>some submissions from Tasmanian organisations and individuals stated or implied that they engage in these practices”.</w:t>
      </w:r>
      <w:r w:rsidR="002E09B7" w:rsidRPr="00E453D7">
        <w:rPr>
          <w:rStyle w:val="FootnoteReference"/>
          <w:rFonts w:ascii="Cambria" w:hAnsi="Cambria" w:cs="Arial"/>
          <w:color w:val="000000" w:themeColor="text1"/>
          <w:shd w:val="clear" w:color="auto" w:fill="FFFFFF"/>
        </w:rPr>
        <w:footnoteReference w:id="4"/>
      </w:r>
    </w:p>
    <w:p w:rsidR="0055277A" w:rsidRPr="00E453D7" w:rsidRDefault="0055277A" w:rsidP="00191C4E">
      <w:pPr>
        <w:ind w:right="-347"/>
        <w:jc w:val="both"/>
        <w:rPr>
          <w:rFonts w:ascii="Cambria" w:hAnsi="Cambria"/>
          <w:color w:val="000000"/>
        </w:rPr>
      </w:pPr>
    </w:p>
    <w:p w:rsidR="0055277A" w:rsidRPr="00E453D7" w:rsidRDefault="0055277A" w:rsidP="00191C4E">
      <w:pPr>
        <w:ind w:right="-347"/>
        <w:jc w:val="both"/>
        <w:rPr>
          <w:rFonts w:ascii="Cambria" w:hAnsi="Cambria"/>
          <w:color w:val="000000" w:themeColor="text1"/>
          <w:shd w:val="clear" w:color="auto" w:fill="FFFFFF"/>
        </w:rPr>
      </w:pPr>
      <w:r w:rsidRPr="00E453D7">
        <w:rPr>
          <w:rFonts w:ascii="Cambria" w:hAnsi="Cambria"/>
          <w:color w:val="000000" w:themeColor="text1"/>
          <w:shd w:val="clear" w:color="auto" w:fill="FFFFFF"/>
        </w:rPr>
        <w:t>In August 2020, Queensland became the first jurisdiction in Australia to ban conversion practices.</w:t>
      </w:r>
      <w:r w:rsidR="00C77B00" w:rsidRPr="00E453D7">
        <w:rPr>
          <w:rStyle w:val="FootnoteReference"/>
          <w:rFonts w:ascii="Cambria" w:hAnsi="Cambria"/>
          <w:color w:val="000000" w:themeColor="text1"/>
          <w:shd w:val="clear" w:color="auto" w:fill="FFFFFF"/>
        </w:rPr>
        <w:footnoteReference w:id="5"/>
      </w:r>
      <w:r w:rsidRPr="00E453D7">
        <w:rPr>
          <w:rFonts w:ascii="Cambria" w:hAnsi="Cambria"/>
          <w:color w:val="000000" w:themeColor="text1"/>
          <w:shd w:val="clear" w:color="auto" w:fill="FFFFFF"/>
        </w:rPr>
        <w:t xml:space="preserve"> This was followed by the Australian Capital Territory and Victoria.</w:t>
      </w:r>
      <w:r w:rsidR="001C7DA6" w:rsidRPr="00E453D7">
        <w:rPr>
          <w:rStyle w:val="FootnoteReference"/>
          <w:rFonts w:ascii="Cambria" w:hAnsi="Cambria"/>
          <w:color w:val="000000" w:themeColor="text1"/>
          <w:shd w:val="clear" w:color="auto" w:fill="FFFFFF"/>
        </w:rPr>
        <w:footnoteReference w:id="6"/>
      </w:r>
      <w:r w:rsidRPr="00E453D7">
        <w:rPr>
          <w:rFonts w:ascii="Cambria" w:hAnsi="Cambria"/>
          <w:color w:val="000000" w:themeColor="text1"/>
          <w:shd w:val="clear" w:color="auto" w:fill="FFFFFF"/>
        </w:rPr>
        <w:t xml:space="preserve"> Recently, the New South Wales Government also committed to ban conversion practices.</w:t>
      </w:r>
      <w:r w:rsidR="00C77B00" w:rsidRPr="00E453D7">
        <w:rPr>
          <w:rStyle w:val="FootnoteReference"/>
          <w:rFonts w:ascii="Cambria" w:hAnsi="Cambria"/>
          <w:color w:val="000000" w:themeColor="text1"/>
          <w:shd w:val="clear" w:color="auto" w:fill="FFFFFF"/>
        </w:rPr>
        <w:footnoteReference w:id="7"/>
      </w:r>
    </w:p>
    <w:p w:rsidR="00EA0F7F" w:rsidRPr="00E453D7" w:rsidRDefault="00EA0F7F" w:rsidP="00191C4E">
      <w:pPr>
        <w:ind w:right="-347"/>
        <w:jc w:val="both"/>
        <w:rPr>
          <w:rFonts w:ascii="Cambria" w:hAnsi="Cambria"/>
        </w:rPr>
      </w:pPr>
    </w:p>
    <w:p w:rsidR="00EA0F7F" w:rsidRPr="00E453D7" w:rsidRDefault="00EA0F7F" w:rsidP="00191C4E">
      <w:pPr>
        <w:ind w:right="-347"/>
        <w:jc w:val="both"/>
        <w:rPr>
          <w:rFonts w:ascii="Cambria" w:hAnsi="Cambria"/>
          <w:b/>
          <w:bCs/>
          <w:i/>
          <w:iCs/>
        </w:rPr>
      </w:pPr>
      <w:r w:rsidRPr="00E453D7">
        <w:rPr>
          <w:rFonts w:ascii="Cambria" w:hAnsi="Cambria"/>
          <w:b/>
          <w:bCs/>
        </w:rPr>
        <w:t>Conversion Practices Definition</w:t>
      </w:r>
    </w:p>
    <w:p w:rsidR="00EA0F7F" w:rsidRPr="00E453D7" w:rsidRDefault="00EA0F7F" w:rsidP="00191C4E">
      <w:pPr>
        <w:ind w:right="-347"/>
        <w:jc w:val="both"/>
        <w:rPr>
          <w:rFonts w:ascii="Cambria" w:hAnsi="Cambria"/>
          <w:color w:val="000000" w:themeColor="text1"/>
        </w:rPr>
      </w:pPr>
      <w:r w:rsidRPr="00E453D7">
        <w:rPr>
          <w:rFonts w:ascii="Cambria" w:hAnsi="Cambria"/>
          <w:color w:val="000000" w:themeColor="text1"/>
        </w:rPr>
        <w:t>Conversion practices include attempts to change, eradicate or suppress a person’s sexual orientation or gender identity by a number of methods including by encouraging persons to believe being lesbian, gay, bisexual, transgender or intersex is a defect or disorder and/or using shame or coercion to give the person an aversion to same-sex attractions and to encourage ‘gender-conforming’ behaviour. In our opinion, the</w:t>
      </w:r>
      <w:r w:rsidR="00454A6D" w:rsidRPr="00E453D7">
        <w:rPr>
          <w:rFonts w:ascii="Cambria" w:hAnsi="Cambria"/>
          <w:color w:val="000000" w:themeColor="text1"/>
        </w:rPr>
        <w:t xml:space="preserve"> </w:t>
      </w:r>
      <w:r w:rsidRPr="00E453D7">
        <w:rPr>
          <w:rFonts w:ascii="Cambria" w:hAnsi="Cambria"/>
          <w:color w:val="000000" w:themeColor="text1"/>
        </w:rPr>
        <w:t xml:space="preserve">definition of “conversion practice” </w:t>
      </w:r>
      <w:r w:rsidR="00454A6D" w:rsidRPr="00E453D7">
        <w:rPr>
          <w:rFonts w:ascii="Cambria" w:hAnsi="Cambria"/>
          <w:color w:val="000000" w:themeColor="text1"/>
        </w:rPr>
        <w:t xml:space="preserve">in the Bill </w:t>
      </w:r>
      <w:r w:rsidRPr="00E453D7">
        <w:rPr>
          <w:rFonts w:ascii="Cambria" w:hAnsi="Cambria"/>
          <w:color w:val="000000" w:themeColor="text1"/>
        </w:rPr>
        <w:t>is too narrowly de</w:t>
      </w:r>
      <w:r w:rsidR="00454A6D" w:rsidRPr="00E453D7">
        <w:rPr>
          <w:rFonts w:ascii="Cambria" w:hAnsi="Cambria"/>
          <w:color w:val="000000" w:themeColor="text1"/>
        </w:rPr>
        <w:t>fined</w:t>
      </w:r>
      <w:r w:rsidRPr="00E453D7">
        <w:rPr>
          <w:rFonts w:ascii="Cambria" w:hAnsi="Cambria"/>
          <w:color w:val="000000" w:themeColor="text1"/>
        </w:rPr>
        <w:t xml:space="preserve">, as practices that seek to “change or eradicate the sexual orientation or gender identity”. We strongly recommend that the definition is broadened to include the word </w:t>
      </w:r>
      <w:r w:rsidR="00191C4E" w:rsidRPr="00E453D7">
        <w:rPr>
          <w:rFonts w:ascii="Cambria" w:hAnsi="Cambria"/>
          <w:color w:val="000000" w:themeColor="text1"/>
        </w:rPr>
        <w:t>‘</w:t>
      </w:r>
      <w:r w:rsidRPr="00E453D7">
        <w:rPr>
          <w:rFonts w:ascii="Cambria" w:hAnsi="Cambria"/>
          <w:color w:val="000000" w:themeColor="text1"/>
        </w:rPr>
        <w:t>sup</w:t>
      </w:r>
      <w:r w:rsidR="00191C4E" w:rsidRPr="00E453D7">
        <w:rPr>
          <w:rFonts w:ascii="Cambria" w:hAnsi="Cambria"/>
          <w:color w:val="000000" w:themeColor="text1"/>
        </w:rPr>
        <w:t>p</w:t>
      </w:r>
      <w:r w:rsidRPr="00E453D7">
        <w:rPr>
          <w:rFonts w:ascii="Cambria" w:hAnsi="Cambria"/>
          <w:color w:val="000000" w:themeColor="text1"/>
        </w:rPr>
        <w:t>ress</w:t>
      </w:r>
      <w:r w:rsidR="00191C4E" w:rsidRPr="00E453D7">
        <w:rPr>
          <w:rFonts w:ascii="Cambria" w:hAnsi="Cambria"/>
          <w:color w:val="000000" w:themeColor="text1"/>
        </w:rPr>
        <w:t>’</w:t>
      </w:r>
      <w:r w:rsidRPr="00E453D7">
        <w:rPr>
          <w:rFonts w:ascii="Cambria" w:hAnsi="Cambria"/>
          <w:color w:val="000000" w:themeColor="text1"/>
        </w:rPr>
        <w:t xml:space="preserve"> </w:t>
      </w:r>
      <w:r w:rsidR="00191C4E" w:rsidRPr="00E453D7">
        <w:rPr>
          <w:rFonts w:ascii="Cambria" w:hAnsi="Cambria"/>
          <w:color w:val="000000" w:themeColor="text1"/>
        </w:rPr>
        <w:t xml:space="preserve">so that it reads “change, eradicate </w:t>
      </w:r>
      <w:r w:rsidR="00191C4E" w:rsidRPr="00E453D7">
        <w:rPr>
          <w:rFonts w:ascii="Cambria" w:hAnsi="Cambria"/>
          <w:color w:val="000000" w:themeColor="text1"/>
          <w:u w:val="single"/>
        </w:rPr>
        <w:t>or suppress</w:t>
      </w:r>
      <w:r w:rsidR="00191C4E" w:rsidRPr="00E453D7">
        <w:rPr>
          <w:rFonts w:ascii="Cambria" w:hAnsi="Cambria"/>
          <w:color w:val="000000" w:themeColor="text1"/>
        </w:rPr>
        <w:t>”</w:t>
      </w:r>
      <w:r w:rsidR="00965A9F" w:rsidRPr="00E453D7">
        <w:rPr>
          <w:rFonts w:ascii="Cambria" w:hAnsi="Cambria"/>
          <w:color w:val="000000" w:themeColor="text1"/>
        </w:rPr>
        <w:t xml:space="preserve"> </w:t>
      </w:r>
      <w:r w:rsidRPr="00E453D7">
        <w:rPr>
          <w:rFonts w:ascii="Cambria" w:hAnsi="Cambria"/>
          <w:color w:val="000000" w:themeColor="text1"/>
        </w:rPr>
        <w:t>as has been adopted in Victoria and Queensland.</w:t>
      </w:r>
      <w:r w:rsidRPr="00E453D7">
        <w:rPr>
          <w:rStyle w:val="FootnoteReference"/>
          <w:rFonts w:ascii="Cambria" w:hAnsi="Cambria"/>
          <w:color w:val="000000" w:themeColor="text1"/>
        </w:rPr>
        <w:footnoteReference w:id="8"/>
      </w:r>
      <w:r w:rsidRPr="00E453D7">
        <w:rPr>
          <w:rFonts w:ascii="Cambria" w:hAnsi="Cambria"/>
          <w:color w:val="000000" w:themeColor="text1"/>
        </w:rPr>
        <w:t xml:space="preserve"> </w:t>
      </w:r>
    </w:p>
    <w:p w:rsidR="00EA0F7F" w:rsidRPr="00E453D7" w:rsidRDefault="00EA0F7F" w:rsidP="00191C4E">
      <w:pPr>
        <w:ind w:right="-347"/>
        <w:jc w:val="both"/>
        <w:rPr>
          <w:rFonts w:ascii="Cambria" w:hAnsi="Cambria"/>
          <w:color w:val="FF0000"/>
        </w:rPr>
      </w:pPr>
    </w:p>
    <w:p w:rsidR="00965A9F" w:rsidRPr="00E453D7" w:rsidRDefault="00454A6D" w:rsidP="00191C4E">
      <w:pPr>
        <w:ind w:right="-347"/>
        <w:jc w:val="both"/>
        <w:rPr>
          <w:rFonts w:ascii="Cambria" w:hAnsi="Cambria"/>
          <w:color w:val="000000" w:themeColor="text1"/>
        </w:rPr>
      </w:pPr>
      <w:r w:rsidRPr="00E453D7">
        <w:rPr>
          <w:rFonts w:ascii="Cambria" w:hAnsi="Cambria"/>
          <w:color w:val="000000" w:themeColor="text1"/>
        </w:rPr>
        <w:t>As well, as the Bill currently stands,</w:t>
      </w:r>
      <w:r w:rsidR="00965A9F" w:rsidRPr="00E453D7">
        <w:rPr>
          <w:rFonts w:ascii="Cambria" w:hAnsi="Cambria"/>
          <w:color w:val="000000" w:themeColor="text1"/>
        </w:rPr>
        <w:t xml:space="preserve"> conversion practices do not include practices that ‘assist’ or ‘support’ a person undergoing or considering a gender transition or to express their gender identity. The failure to contextualise these terms means that</w:t>
      </w:r>
      <w:r w:rsidR="00CE5235" w:rsidRPr="00E453D7">
        <w:rPr>
          <w:rFonts w:ascii="Cambria" w:hAnsi="Cambria"/>
          <w:color w:val="000000" w:themeColor="text1"/>
        </w:rPr>
        <w:t xml:space="preserve"> the </w:t>
      </w:r>
      <w:r w:rsidR="00965A9F" w:rsidRPr="00E453D7">
        <w:rPr>
          <w:rFonts w:ascii="Cambria" w:hAnsi="Cambria"/>
          <w:color w:val="000000" w:themeColor="text1"/>
        </w:rPr>
        <w:t xml:space="preserve">assistance or support provided </w:t>
      </w:r>
      <w:r w:rsidRPr="00E453D7">
        <w:rPr>
          <w:rFonts w:ascii="Cambria" w:hAnsi="Cambria"/>
          <w:color w:val="000000" w:themeColor="text1"/>
        </w:rPr>
        <w:t xml:space="preserve">could be to dissuade a person’s undertaking of gender transition or to express their gender identity. </w:t>
      </w:r>
      <w:r w:rsidR="00C77B00" w:rsidRPr="00E453D7">
        <w:rPr>
          <w:rFonts w:ascii="Cambria" w:hAnsi="Cambria"/>
          <w:color w:val="000000" w:themeColor="text1"/>
        </w:rPr>
        <w:t>We recommend</w:t>
      </w:r>
      <w:r w:rsidR="00965A9F" w:rsidRPr="00E453D7">
        <w:rPr>
          <w:rFonts w:ascii="Cambria" w:hAnsi="Cambria"/>
          <w:color w:val="000000" w:themeColor="text1"/>
        </w:rPr>
        <w:t xml:space="preserve"> a statement of positive support at the commencement of section 28(3) would </w:t>
      </w:r>
      <w:r w:rsidR="00CE5235" w:rsidRPr="00E453D7">
        <w:rPr>
          <w:rFonts w:ascii="Cambria" w:hAnsi="Cambria"/>
          <w:color w:val="000000" w:themeColor="text1"/>
        </w:rPr>
        <w:t>better explain how ‘assist’ and ‘support’ is to be read</w:t>
      </w:r>
      <w:r w:rsidR="00965A9F" w:rsidRPr="00E453D7">
        <w:rPr>
          <w:rFonts w:ascii="Cambria" w:hAnsi="Cambria"/>
          <w:color w:val="000000" w:themeColor="text1"/>
        </w:rPr>
        <w:t xml:space="preserve">: </w:t>
      </w:r>
    </w:p>
    <w:p w:rsidR="00965A9F" w:rsidRPr="00E453D7" w:rsidRDefault="00965A9F" w:rsidP="00191C4E">
      <w:pPr>
        <w:ind w:right="-347"/>
        <w:jc w:val="both"/>
        <w:rPr>
          <w:rFonts w:ascii="Cambria" w:hAnsi="Cambria"/>
          <w:color w:val="000000" w:themeColor="text1"/>
        </w:rPr>
      </w:pPr>
    </w:p>
    <w:p w:rsidR="00965A9F" w:rsidRPr="00E453D7" w:rsidRDefault="00965A9F" w:rsidP="00965A9F">
      <w:pPr>
        <w:ind w:left="720" w:right="-347"/>
        <w:jc w:val="both"/>
        <w:rPr>
          <w:rFonts w:ascii="Cambria" w:hAnsi="Cambria"/>
          <w:i/>
          <w:iCs/>
          <w:color w:val="000000" w:themeColor="text1"/>
        </w:rPr>
      </w:pPr>
      <w:r w:rsidRPr="00E453D7">
        <w:rPr>
          <w:rFonts w:ascii="Cambria" w:hAnsi="Cambria"/>
          <w:i/>
          <w:iCs/>
          <w:color w:val="000000" w:themeColor="text1"/>
        </w:rPr>
        <w:t xml:space="preserve">(3) For the purposes of this Division, conversion practice does not include </w:t>
      </w:r>
      <w:r w:rsidRPr="00E453D7">
        <w:rPr>
          <w:rFonts w:ascii="Cambria" w:hAnsi="Cambria"/>
          <w:i/>
          <w:iCs/>
          <w:color w:val="000000" w:themeColor="text1"/>
          <w:u w:val="single"/>
        </w:rPr>
        <w:t xml:space="preserve">practices supportive of or affirming a person's gender identity or sexual </w:t>
      </w:r>
      <w:r w:rsidRPr="00E453D7">
        <w:rPr>
          <w:rFonts w:ascii="Cambria" w:hAnsi="Cambria"/>
          <w:i/>
          <w:iCs/>
          <w:color w:val="000000" w:themeColor="text1"/>
          <w:u w:val="single"/>
        </w:rPr>
        <w:lastRenderedPageBreak/>
        <w:t>orientation including, but not limited to, a practice or conduct for the purposes of—</w:t>
      </w:r>
      <w:r w:rsidRPr="00E453D7">
        <w:rPr>
          <w:rFonts w:ascii="Cambria" w:hAnsi="Cambria"/>
          <w:i/>
          <w:iCs/>
          <w:color w:val="000000" w:themeColor="text1"/>
        </w:rPr>
        <w:t xml:space="preserve"> </w:t>
      </w:r>
    </w:p>
    <w:p w:rsidR="00965A9F" w:rsidRPr="00E453D7" w:rsidRDefault="00965A9F" w:rsidP="00965A9F">
      <w:pPr>
        <w:ind w:left="720" w:right="-347"/>
        <w:jc w:val="both"/>
        <w:rPr>
          <w:rFonts w:ascii="Cambria" w:hAnsi="Cambria"/>
          <w:i/>
          <w:iCs/>
        </w:rPr>
      </w:pPr>
    </w:p>
    <w:p w:rsidR="00965A9F" w:rsidRPr="00E453D7" w:rsidRDefault="00965A9F" w:rsidP="00965A9F">
      <w:pPr>
        <w:ind w:left="720" w:right="-347"/>
        <w:jc w:val="both"/>
        <w:rPr>
          <w:rFonts w:ascii="Cambria" w:hAnsi="Cambria"/>
          <w:i/>
          <w:iCs/>
        </w:rPr>
      </w:pPr>
      <w:r w:rsidRPr="00E453D7">
        <w:rPr>
          <w:rFonts w:ascii="Cambria" w:hAnsi="Cambria"/>
          <w:i/>
          <w:iCs/>
        </w:rPr>
        <w:t xml:space="preserve">(a) assisting a person who is undergoing a gender transition; </w:t>
      </w:r>
    </w:p>
    <w:p w:rsidR="00965A9F" w:rsidRPr="00E453D7" w:rsidRDefault="00965A9F" w:rsidP="00965A9F">
      <w:pPr>
        <w:ind w:left="720" w:right="-347"/>
        <w:jc w:val="both"/>
        <w:rPr>
          <w:rFonts w:ascii="Cambria" w:hAnsi="Cambria"/>
          <w:i/>
          <w:iCs/>
        </w:rPr>
      </w:pPr>
    </w:p>
    <w:p w:rsidR="00965A9F" w:rsidRPr="00E453D7" w:rsidRDefault="00965A9F" w:rsidP="00965A9F">
      <w:pPr>
        <w:ind w:left="720" w:right="-347"/>
        <w:jc w:val="both"/>
        <w:rPr>
          <w:rFonts w:ascii="Cambria" w:hAnsi="Cambria"/>
          <w:i/>
          <w:iCs/>
        </w:rPr>
      </w:pPr>
      <w:r w:rsidRPr="00E453D7">
        <w:rPr>
          <w:rFonts w:ascii="Cambria" w:hAnsi="Cambria"/>
          <w:i/>
          <w:iCs/>
        </w:rPr>
        <w:t xml:space="preserve">(b) assisting a person who is considering undergoing a gender transition; </w:t>
      </w:r>
    </w:p>
    <w:p w:rsidR="00965A9F" w:rsidRPr="00E453D7" w:rsidRDefault="00965A9F" w:rsidP="00965A9F">
      <w:pPr>
        <w:ind w:left="720" w:right="-347"/>
        <w:jc w:val="both"/>
        <w:rPr>
          <w:rFonts w:ascii="Cambria" w:hAnsi="Cambria"/>
          <w:i/>
          <w:iCs/>
        </w:rPr>
      </w:pPr>
    </w:p>
    <w:p w:rsidR="00965A9F" w:rsidRPr="00E453D7" w:rsidRDefault="00965A9F" w:rsidP="00965A9F">
      <w:pPr>
        <w:ind w:left="720" w:right="-347"/>
        <w:jc w:val="both"/>
        <w:rPr>
          <w:rFonts w:ascii="Cambria" w:hAnsi="Cambria"/>
          <w:i/>
          <w:iCs/>
        </w:rPr>
      </w:pPr>
      <w:r w:rsidRPr="00E453D7">
        <w:rPr>
          <w:rFonts w:ascii="Cambria" w:hAnsi="Cambria"/>
          <w:i/>
          <w:iCs/>
        </w:rPr>
        <w:t xml:space="preserve">(c) assisting a person to express the person’s gender identity; </w:t>
      </w:r>
    </w:p>
    <w:p w:rsidR="00965A9F" w:rsidRPr="00E453D7" w:rsidRDefault="00965A9F" w:rsidP="00965A9F">
      <w:pPr>
        <w:ind w:left="720" w:right="-347"/>
        <w:jc w:val="both"/>
        <w:rPr>
          <w:rFonts w:ascii="Cambria" w:hAnsi="Cambria"/>
          <w:i/>
          <w:iCs/>
        </w:rPr>
      </w:pPr>
    </w:p>
    <w:p w:rsidR="00965A9F" w:rsidRPr="00E453D7" w:rsidRDefault="00965A9F" w:rsidP="00965A9F">
      <w:pPr>
        <w:ind w:left="720" w:right="-347"/>
        <w:jc w:val="both"/>
        <w:rPr>
          <w:rFonts w:ascii="Cambria" w:hAnsi="Cambria"/>
          <w:i/>
          <w:iCs/>
        </w:rPr>
      </w:pPr>
      <w:r w:rsidRPr="00E453D7">
        <w:rPr>
          <w:rFonts w:ascii="Cambria" w:hAnsi="Cambria"/>
          <w:i/>
          <w:iCs/>
        </w:rPr>
        <w:t xml:space="preserve">(d) providing acceptance, support or understanding of a person; </w:t>
      </w:r>
    </w:p>
    <w:p w:rsidR="00965A9F" w:rsidRPr="00E453D7" w:rsidRDefault="00965A9F" w:rsidP="00965A9F">
      <w:pPr>
        <w:ind w:left="720" w:right="-347"/>
        <w:jc w:val="both"/>
        <w:rPr>
          <w:rFonts w:ascii="Cambria" w:hAnsi="Cambria"/>
          <w:i/>
          <w:iCs/>
        </w:rPr>
      </w:pPr>
    </w:p>
    <w:p w:rsidR="00965A9F" w:rsidRPr="00E453D7" w:rsidRDefault="00965A9F" w:rsidP="00965A9F">
      <w:pPr>
        <w:ind w:left="720" w:right="-347"/>
        <w:jc w:val="both"/>
        <w:rPr>
          <w:rFonts w:ascii="Cambria" w:hAnsi="Cambria"/>
          <w:i/>
          <w:iCs/>
          <w:color w:val="000000" w:themeColor="text1"/>
        </w:rPr>
      </w:pPr>
      <w:r w:rsidRPr="00E453D7">
        <w:rPr>
          <w:rFonts w:ascii="Cambria" w:hAnsi="Cambria"/>
          <w:i/>
          <w:iCs/>
        </w:rPr>
        <w:t>(e) facilitating a person’s coping skills, development or identity exploration, or facilitating social support for the person.</w:t>
      </w:r>
    </w:p>
    <w:p w:rsidR="00CE5235" w:rsidRPr="00E453D7" w:rsidRDefault="00CE5235" w:rsidP="00CE5235">
      <w:pPr>
        <w:ind w:right="-347"/>
        <w:jc w:val="both"/>
        <w:rPr>
          <w:rFonts w:ascii="Cambria" w:hAnsi="Cambria"/>
          <w:b/>
          <w:bCs/>
          <w:color w:val="000000" w:themeColor="text1"/>
        </w:rPr>
      </w:pPr>
    </w:p>
    <w:p w:rsidR="00AE4231" w:rsidRPr="00E453D7" w:rsidRDefault="008A5CC1" w:rsidP="00AE4231">
      <w:pPr>
        <w:ind w:right="-347"/>
        <w:jc w:val="both"/>
        <w:rPr>
          <w:rFonts w:ascii="Cambria" w:hAnsi="Cambria"/>
          <w:b/>
          <w:bCs/>
          <w:color w:val="000000" w:themeColor="text1"/>
        </w:rPr>
      </w:pPr>
      <w:r w:rsidRPr="00E453D7">
        <w:rPr>
          <w:rFonts w:ascii="Cambria" w:hAnsi="Cambria"/>
          <w:b/>
          <w:bCs/>
          <w:color w:val="000000" w:themeColor="text1"/>
        </w:rPr>
        <w:t>Indirect conversion practices not addressed</w:t>
      </w:r>
      <w:r w:rsidR="001C7DA6" w:rsidRPr="00E453D7">
        <w:rPr>
          <w:rFonts w:ascii="Cambria" w:hAnsi="Cambria"/>
          <w:b/>
          <w:bCs/>
          <w:color w:val="000000" w:themeColor="text1"/>
        </w:rPr>
        <w:t xml:space="preserve"> in Bill</w:t>
      </w:r>
    </w:p>
    <w:p w:rsidR="00C77B00" w:rsidRPr="00E453D7" w:rsidRDefault="00AE4231" w:rsidP="00AE4231">
      <w:pPr>
        <w:ind w:right="-347"/>
        <w:jc w:val="both"/>
        <w:rPr>
          <w:rFonts w:ascii="Cambria" w:hAnsi="Cambria"/>
          <w:color w:val="000000" w:themeColor="text1"/>
        </w:rPr>
      </w:pPr>
      <w:r w:rsidRPr="00E453D7">
        <w:rPr>
          <w:rFonts w:ascii="Cambria" w:hAnsi="Cambria"/>
          <w:color w:val="000000" w:themeColor="text1"/>
        </w:rPr>
        <w:t>The most significant criticism of the Bill is its narrow focus on stamping out conversion practices through the criminal law.</w:t>
      </w:r>
      <w:r w:rsidR="008C3E71" w:rsidRPr="00E453D7">
        <w:rPr>
          <w:rFonts w:ascii="Cambria" w:hAnsi="Cambria"/>
          <w:color w:val="000000" w:themeColor="text1"/>
        </w:rPr>
        <w:t xml:space="preserve"> </w:t>
      </w:r>
      <w:r w:rsidRPr="00E453D7">
        <w:rPr>
          <w:rFonts w:ascii="Cambria" w:hAnsi="Cambria"/>
          <w:color w:val="000000" w:themeColor="text1"/>
        </w:rPr>
        <w:t>As the TLRI itself noted, criminal measures “should be a backstop measure of last resort”.</w:t>
      </w:r>
      <w:r w:rsidRPr="00E453D7">
        <w:rPr>
          <w:rStyle w:val="FootnoteReference"/>
          <w:rFonts w:ascii="Cambria" w:hAnsi="Cambria"/>
          <w:color w:val="000000" w:themeColor="text1"/>
        </w:rPr>
        <w:footnoteReference w:id="9"/>
      </w:r>
      <w:r w:rsidR="008C3E71" w:rsidRPr="00E453D7">
        <w:rPr>
          <w:rFonts w:ascii="Cambria" w:hAnsi="Cambria"/>
          <w:color w:val="000000" w:themeColor="text1"/>
        </w:rPr>
        <w:t xml:space="preserve"> </w:t>
      </w:r>
      <w:r w:rsidRPr="00E453D7">
        <w:rPr>
          <w:rFonts w:ascii="Cambria" w:hAnsi="Cambria"/>
          <w:color w:val="000000" w:themeColor="text1"/>
        </w:rPr>
        <w:t>In our opinion,</w:t>
      </w:r>
      <w:r w:rsidR="001C7DA6" w:rsidRPr="00E453D7">
        <w:rPr>
          <w:rFonts w:ascii="Cambria" w:hAnsi="Cambria"/>
          <w:color w:val="000000" w:themeColor="text1"/>
        </w:rPr>
        <w:t xml:space="preserve"> </w:t>
      </w:r>
      <w:r w:rsidRPr="00E453D7">
        <w:rPr>
          <w:rFonts w:ascii="Cambria" w:hAnsi="Cambria"/>
          <w:color w:val="000000" w:themeColor="text1"/>
        </w:rPr>
        <w:t>the criminal law in isolation is unlikely to result in societal change, particularly when conversion practices are hidden and where social stigma or other risks may dissuade or prevent members from raising a complaint. A better model would see</w:t>
      </w:r>
      <w:r w:rsidR="008A5CC1" w:rsidRPr="00E453D7">
        <w:rPr>
          <w:rFonts w:ascii="Cambria" w:hAnsi="Cambria"/>
          <w:color w:val="000000" w:themeColor="text1"/>
        </w:rPr>
        <w:t xml:space="preserve"> </w:t>
      </w:r>
      <w:r w:rsidRPr="00E453D7">
        <w:rPr>
          <w:rFonts w:ascii="Cambria" w:hAnsi="Cambria"/>
          <w:color w:val="000000"/>
          <w:bdr w:val="none" w:sz="0" w:space="0" w:color="auto" w:frame="1"/>
        </w:rPr>
        <w:t xml:space="preserve">criminal </w:t>
      </w:r>
      <w:r w:rsidR="008A5CC1" w:rsidRPr="00E453D7">
        <w:rPr>
          <w:rFonts w:ascii="Cambria" w:hAnsi="Cambria"/>
          <w:color w:val="000000"/>
          <w:bdr w:val="none" w:sz="0" w:space="0" w:color="auto" w:frame="1"/>
        </w:rPr>
        <w:t>sanctions</w:t>
      </w:r>
      <w:r w:rsidR="001C7DA6" w:rsidRPr="00E453D7">
        <w:rPr>
          <w:rFonts w:ascii="Cambria" w:hAnsi="Cambria"/>
          <w:color w:val="000000"/>
          <w:bdr w:val="none" w:sz="0" w:space="0" w:color="auto" w:frame="1"/>
        </w:rPr>
        <w:t xml:space="preserve"> imposed </w:t>
      </w:r>
      <w:r w:rsidR="008A5CC1" w:rsidRPr="00E453D7">
        <w:rPr>
          <w:rFonts w:ascii="Cambria" w:hAnsi="Cambria"/>
          <w:color w:val="000000"/>
          <w:bdr w:val="none" w:sz="0" w:space="0" w:color="auto" w:frame="1"/>
        </w:rPr>
        <w:t xml:space="preserve">for repeated or reckless direct conversion practices </w:t>
      </w:r>
      <w:r w:rsidRPr="00E453D7">
        <w:rPr>
          <w:rFonts w:ascii="Cambria" w:hAnsi="Cambria"/>
          <w:color w:val="000000"/>
          <w:bdr w:val="none" w:sz="0" w:space="0" w:color="auto" w:frame="1"/>
        </w:rPr>
        <w:t>an</w:t>
      </w:r>
      <w:r w:rsidR="008A5CC1" w:rsidRPr="00E453D7">
        <w:rPr>
          <w:rFonts w:ascii="Cambria" w:hAnsi="Cambria"/>
          <w:color w:val="000000"/>
          <w:bdr w:val="none" w:sz="0" w:space="0" w:color="auto" w:frame="1"/>
        </w:rPr>
        <w:t xml:space="preserve">d a </w:t>
      </w:r>
      <w:r w:rsidRPr="00E453D7">
        <w:rPr>
          <w:rFonts w:ascii="Cambria" w:hAnsi="Cambria"/>
          <w:color w:val="000000"/>
          <w:bdr w:val="none" w:sz="0" w:space="0" w:color="auto" w:frame="1"/>
        </w:rPr>
        <w:t>civil response</w:t>
      </w:r>
      <w:r w:rsidR="008A5CC1" w:rsidRPr="00E453D7">
        <w:rPr>
          <w:rFonts w:ascii="Cambria" w:hAnsi="Cambria"/>
          <w:color w:val="000000"/>
          <w:bdr w:val="none" w:sz="0" w:space="0" w:color="auto" w:frame="1"/>
        </w:rPr>
        <w:t xml:space="preserve"> scheme introduced for indirect conversion practices</w:t>
      </w:r>
      <w:r w:rsidRPr="00E453D7">
        <w:rPr>
          <w:rFonts w:ascii="Cambria" w:hAnsi="Cambria"/>
          <w:color w:val="000000"/>
          <w:bdr w:val="none" w:sz="0" w:space="0" w:color="auto" w:frame="1"/>
        </w:rPr>
        <w:t>.</w:t>
      </w:r>
      <w:r w:rsidR="000F0988" w:rsidRPr="00E453D7">
        <w:rPr>
          <w:rStyle w:val="FootnoteReference"/>
          <w:rFonts w:ascii="Cambria" w:hAnsi="Cambria"/>
          <w:color w:val="000000"/>
          <w:bdr w:val="none" w:sz="0" w:space="0" w:color="auto" w:frame="1"/>
        </w:rPr>
        <w:footnoteReference w:id="10"/>
      </w:r>
      <w:r w:rsidR="008A5CC1" w:rsidRPr="00E453D7">
        <w:rPr>
          <w:rFonts w:ascii="Cambria" w:hAnsi="Cambria"/>
          <w:color w:val="000000"/>
          <w:bdr w:val="none" w:sz="0" w:space="0" w:color="auto" w:frame="1"/>
        </w:rPr>
        <w:t xml:space="preserve"> </w:t>
      </w:r>
    </w:p>
    <w:p w:rsidR="00AE4231" w:rsidRPr="00E453D7" w:rsidRDefault="00AE4231" w:rsidP="00AE4231">
      <w:pPr>
        <w:ind w:right="-347"/>
        <w:jc w:val="both"/>
        <w:rPr>
          <w:rFonts w:ascii="Cambria" w:hAnsi="Cambria"/>
          <w:color w:val="000000" w:themeColor="text1"/>
        </w:rPr>
      </w:pPr>
      <w:r w:rsidRPr="00E453D7">
        <w:rPr>
          <w:rFonts w:ascii="Cambria" w:hAnsi="Cambria"/>
          <w:color w:val="000000" w:themeColor="text1"/>
        </w:rPr>
        <w:t xml:space="preserve">  </w:t>
      </w:r>
    </w:p>
    <w:p w:rsidR="00A10380" w:rsidRPr="00E453D7" w:rsidRDefault="00806C42" w:rsidP="00A10380">
      <w:pPr>
        <w:ind w:right="-347"/>
        <w:jc w:val="both"/>
        <w:rPr>
          <w:rFonts w:ascii="Cambria" w:hAnsi="Cambria"/>
          <w:b/>
          <w:bCs/>
          <w:color w:val="000000" w:themeColor="text1"/>
        </w:rPr>
      </w:pPr>
      <w:r w:rsidRPr="00E453D7">
        <w:rPr>
          <w:rFonts w:ascii="Cambria" w:hAnsi="Cambria"/>
          <w:b/>
          <w:bCs/>
          <w:i/>
          <w:iCs/>
          <w:color w:val="000000" w:themeColor="text1"/>
        </w:rPr>
        <w:t xml:space="preserve">Equal Opportunity Tasmania and the </w:t>
      </w:r>
      <w:r w:rsidR="00A10380" w:rsidRPr="00E453D7">
        <w:rPr>
          <w:rFonts w:ascii="Cambria" w:hAnsi="Cambria"/>
          <w:b/>
          <w:bCs/>
          <w:i/>
          <w:iCs/>
          <w:color w:val="000000" w:themeColor="text1"/>
        </w:rPr>
        <w:t>Anti-Discrimination Act 1998</w:t>
      </w:r>
      <w:r w:rsidR="00A10380" w:rsidRPr="00E453D7">
        <w:rPr>
          <w:rFonts w:ascii="Cambria" w:hAnsi="Cambria"/>
          <w:b/>
          <w:bCs/>
          <w:color w:val="000000" w:themeColor="text1"/>
        </w:rPr>
        <w:t xml:space="preserve"> (Tas)</w:t>
      </w:r>
    </w:p>
    <w:p w:rsidR="00806C42" w:rsidRPr="00E453D7" w:rsidRDefault="00343228" w:rsidP="00A10380">
      <w:pPr>
        <w:ind w:right="-347"/>
        <w:jc w:val="both"/>
        <w:rPr>
          <w:rFonts w:ascii="Cambria" w:hAnsi="Cambria"/>
          <w:color w:val="000000" w:themeColor="text1"/>
        </w:rPr>
      </w:pPr>
      <w:r w:rsidRPr="00E453D7">
        <w:rPr>
          <w:rFonts w:ascii="Cambria" w:hAnsi="Cambria"/>
          <w:color w:val="000000" w:themeColor="text1"/>
        </w:rPr>
        <w:t xml:space="preserve">The </w:t>
      </w:r>
      <w:r w:rsidR="00A55030" w:rsidRPr="00E453D7">
        <w:rPr>
          <w:rFonts w:ascii="Cambria" w:hAnsi="Cambria"/>
          <w:color w:val="000000" w:themeColor="text1"/>
        </w:rPr>
        <w:t>TLRI</w:t>
      </w:r>
      <w:r w:rsidRPr="00E453D7">
        <w:rPr>
          <w:rFonts w:ascii="Cambria" w:hAnsi="Cambria"/>
          <w:color w:val="000000" w:themeColor="text1"/>
        </w:rPr>
        <w:t xml:space="preserve"> noted that indirect conversion practices are “most appropriately described and regulated as discriminatory conduct”.</w:t>
      </w:r>
      <w:r w:rsidRPr="00E453D7">
        <w:rPr>
          <w:rStyle w:val="FootnoteReference"/>
          <w:rFonts w:ascii="Cambria" w:hAnsi="Cambria"/>
          <w:color w:val="000000" w:themeColor="text1"/>
        </w:rPr>
        <w:footnoteReference w:id="11"/>
      </w:r>
      <w:r w:rsidRPr="00E453D7">
        <w:rPr>
          <w:rFonts w:ascii="Cambria" w:hAnsi="Cambria"/>
          <w:color w:val="000000" w:themeColor="text1"/>
        </w:rPr>
        <w:t xml:space="preserve"> </w:t>
      </w:r>
      <w:r w:rsidR="00806C42" w:rsidRPr="00E453D7">
        <w:rPr>
          <w:rFonts w:ascii="Cambria" w:hAnsi="Cambria"/>
          <w:color w:val="000000" w:themeColor="text1"/>
        </w:rPr>
        <w:t xml:space="preserve">We strongly agree with the </w:t>
      </w:r>
      <w:r w:rsidR="00A55030" w:rsidRPr="00E453D7">
        <w:rPr>
          <w:rFonts w:ascii="Cambria" w:hAnsi="Cambria"/>
          <w:color w:val="000000" w:themeColor="text1"/>
        </w:rPr>
        <w:t>TLRI</w:t>
      </w:r>
      <w:r w:rsidR="00806C42" w:rsidRPr="00E453D7">
        <w:rPr>
          <w:rFonts w:ascii="Cambria" w:hAnsi="Cambria"/>
          <w:color w:val="000000" w:themeColor="text1"/>
        </w:rPr>
        <w:t xml:space="preserve"> that the Anti-Discrimination Commissioner and Equal Opportunity Tasmania should be provided with the power to investigate indirect conversion practices as well as assured appropriate resourcing to educate the public about indirect conversion practices. This role would be consistent with its role educating about discrimination</w:t>
      </w:r>
      <w:r w:rsidR="000F0988" w:rsidRPr="00E453D7">
        <w:rPr>
          <w:rFonts w:ascii="Cambria" w:hAnsi="Cambria"/>
          <w:color w:val="000000" w:themeColor="text1"/>
        </w:rPr>
        <w:t xml:space="preserve">. A model that should be adopted is found in Victoria where </w:t>
      </w:r>
      <w:r w:rsidR="000F0988" w:rsidRPr="00E453D7">
        <w:rPr>
          <w:rFonts w:ascii="Cambria" w:hAnsi="Cambria"/>
          <w:color w:val="000000"/>
          <w:bdr w:val="none" w:sz="0" w:space="0" w:color="auto" w:frame="1"/>
        </w:rPr>
        <w:t xml:space="preserve">the Victorian Equal Opportunity and Human Rights Commission has the resources to develop educative materials about conversion practices and its harmful impacts, undertake investigations and impose civil penalties whilst also allowing the police to prosecute more serious offences.   </w:t>
      </w:r>
      <w:r w:rsidR="00806C42" w:rsidRPr="00E453D7">
        <w:rPr>
          <w:rFonts w:ascii="Cambria" w:hAnsi="Cambria"/>
          <w:color w:val="000000" w:themeColor="text1"/>
        </w:rPr>
        <w:t xml:space="preserve">   </w:t>
      </w:r>
    </w:p>
    <w:p w:rsidR="00806C42" w:rsidRPr="00E453D7" w:rsidRDefault="00806C42" w:rsidP="00A10380">
      <w:pPr>
        <w:ind w:right="-347"/>
        <w:jc w:val="both"/>
        <w:rPr>
          <w:rFonts w:ascii="Cambria" w:hAnsi="Cambria"/>
          <w:color w:val="000000" w:themeColor="text1"/>
        </w:rPr>
      </w:pPr>
    </w:p>
    <w:p w:rsidR="00A10380" w:rsidRPr="00E453D7" w:rsidRDefault="004C44BF" w:rsidP="00A10380">
      <w:pPr>
        <w:ind w:right="-347"/>
        <w:jc w:val="both"/>
        <w:rPr>
          <w:rFonts w:ascii="Cambria" w:hAnsi="Cambria"/>
          <w:color w:val="000000" w:themeColor="text1"/>
        </w:rPr>
      </w:pPr>
      <w:r w:rsidRPr="00E453D7">
        <w:rPr>
          <w:rFonts w:ascii="Cambria" w:hAnsi="Cambria"/>
          <w:color w:val="000000" w:themeColor="text1"/>
        </w:rPr>
        <w:t>We also note that none</w:t>
      </w:r>
      <w:r w:rsidR="00A10380" w:rsidRPr="00E453D7">
        <w:rPr>
          <w:rFonts w:ascii="Cambria" w:hAnsi="Cambria"/>
          <w:color w:val="000000" w:themeColor="text1"/>
        </w:rPr>
        <w:t xml:space="preserve"> of the amendments recommended </w:t>
      </w:r>
      <w:r w:rsidR="00A55030" w:rsidRPr="00E453D7">
        <w:rPr>
          <w:rFonts w:ascii="Cambria" w:hAnsi="Cambria"/>
          <w:color w:val="000000" w:themeColor="text1"/>
        </w:rPr>
        <w:t xml:space="preserve">by the TLRI </w:t>
      </w:r>
      <w:r w:rsidR="00A10380" w:rsidRPr="00E453D7">
        <w:rPr>
          <w:rFonts w:ascii="Cambria" w:hAnsi="Cambria"/>
          <w:color w:val="000000" w:themeColor="text1"/>
        </w:rPr>
        <w:t xml:space="preserve">for inclusion in the </w:t>
      </w:r>
      <w:r w:rsidR="00A10380" w:rsidRPr="00E453D7">
        <w:rPr>
          <w:rFonts w:ascii="Cambria" w:hAnsi="Cambria"/>
          <w:i/>
          <w:iCs/>
          <w:color w:val="000000" w:themeColor="text1"/>
        </w:rPr>
        <w:t>Anti-Discrimination Act 1998</w:t>
      </w:r>
      <w:r w:rsidR="00A10380" w:rsidRPr="00E453D7">
        <w:rPr>
          <w:rFonts w:ascii="Cambria" w:hAnsi="Cambria"/>
          <w:color w:val="000000" w:themeColor="text1"/>
        </w:rPr>
        <w:t xml:space="preserve"> (Tas) are included in the draft Bill. These amendments included </w:t>
      </w:r>
      <w:r w:rsidR="00A10380" w:rsidRPr="00E453D7">
        <w:rPr>
          <w:rFonts w:ascii="Cambria" w:hAnsi="Cambria"/>
        </w:rPr>
        <w:t xml:space="preserve">section 19 to clarify that a public act promoting conversion practices amounts to incitement of hatred towards, serious contempt for or severe ridicule of another person or group of persons on the grounds of sexual orientation </w:t>
      </w:r>
      <w:r w:rsidR="00A10380" w:rsidRPr="00E453D7">
        <w:rPr>
          <w:rFonts w:ascii="Cambria" w:hAnsi="Cambria"/>
        </w:rPr>
        <w:lastRenderedPageBreak/>
        <w:t>and/or gender identity;</w:t>
      </w:r>
      <w:r w:rsidR="00A10380" w:rsidRPr="00E453D7">
        <w:rPr>
          <w:rStyle w:val="FootnoteReference"/>
          <w:rFonts w:ascii="Cambria" w:hAnsi="Cambria"/>
        </w:rPr>
        <w:footnoteReference w:id="12"/>
      </w:r>
      <w:r w:rsidR="00A10380" w:rsidRPr="00E453D7">
        <w:rPr>
          <w:rFonts w:ascii="Cambria" w:hAnsi="Cambria"/>
        </w:rPr>
        <w:t xml:space="preserve"> and providing the Anti-Discrimination Commissioner and Health Complaints Commissioner with the discretionary power to cooperate and coordinate with other state offices in investigations into alleged conversion practices.</w:t>
      </w:r>
      <w:r w:rsidR="00A10380" w:rsidRPr="00E453D7">
        <w:rPr>
          <w:rStyle w:val="FootnoteReference"/>
          <w:rFonts w:ascii="Cambria" w:hAnsi="Cambria"/>
        </w:rPr>
        <w:footnoteReference w:id="13"/>
      </w:r>
    </w:p>
    <w:p w:rsidR="00AE4231" w:rsidRPr="00E453D7" w:rsidRDefault="00AE4231" w:rsidP="00191C4E">
      <w:pPr>
        <w:ind w:right="-347"/>
        <w:jc w:val="both"/>
        <w:rPr>
          <w:rFonts w:ascii="Cambria" w:hAnsi="Cambria"/>
          <w:b/>
          <w:bCs/>
          <w:i/>
          <w:iCs/>
          <w:color w:val="000000" w:themeColor="text1"/>
        </w:rPr>
      </w:pPr>
    </w:p>
    <w:p w:rsidR="00744E45" w:rsidRPr="00E453D7" w:rsidRDefault="00744E45" w:rsidP="00744E45">
      <w:pPr>
        <w:ind w:right="-347"/>
        <w:jc w:val="both"/>
        <w:rPr>
          <w:rFonts w:ascii="Cambria" w:hAnsi="Cambria"/>
          <w:b/>
          <w:bCs/>
          <w:color w:val="000000"/>
        </w:rPr>
      </w:pPr>
      <w:r w:rsidRPr="00E453D7">
        <w:rPr>
          <w:rFonts w:ascii="Cambria" w:hAnsi="Cambria"/>
          <w:b/>
          <w:bCs/>
          <w:color w:val="000000"/>
        </w:rPr>
        <w:t>Consent</w:t>
      </w:r>
    </w:p>
    <w:p w:rsidR="00744E45" w:rsidRDefault="00744E45" w:rsidP="00744E45">
      <w:pPr>
        <w:ind w:right="-347"/>
        <w:jc w:val="both"/>
        <w:rPr>
          <w:rFonts w:ascii="Cambria" w:hAnsi="Cambria"/>
          <w:color w:val="000000"/>
        </w:rPr>
      </w:pPr>
      <w:r w:rsidRPr="00E453D7">
        <w:rPr>
          <w:rFonts w:ascii="Cambria" w:hAnsi="Cambria"/>
          <w:color w:val="000000"/>
        </w:rPr>
        <w:t>Both the Australian Medical Association and the Australian Psychological Society oppos</w:t>
      </w:r>
      <w:r w:rsidR="00E453D7">
        <w:rPr>
          <w:rFonts w:ascii="Cambria" w:hAnsi="Cambria"/>
          <w:color w:val="000000"/>
        </w:rPr>
        <w:t>e</w:t>
      </w:r>
      <w:r w:rsidRPr="00E453D7">
        <w:rPr>
          <w:rFonts w:ascii="Cambria" w:hAnsi="Cambria"/>
          <w:color w:val="000000"/>
        </w:rPr>
        <w:t xml:space="preserve"> conversion practices on the basis that they are ineffective and harmful.</w:t>
      </w:r>
      <w:r w:rsidRPr="00E453D7">
        <w:rPr>
          <w:rStyle w:val="FootnoteReference"/>
          <w:rFonts w:ascii="Cambria" w:hAnsi="Cambria"/>
          <w:color w:val="000000"/>
        </w:rPr>
        <w:footnoteReference w:id="14"/>
      </w:r>
      <w:r w:rsidRPr="00E453D7">
        <w:rPr>
          <w:rFonts w:ascii="Cambria" w:hAnsi="Cambria"/>
          <w:color w:val="000000"/>
        </w:rPr>
        <w:t xml:space="preserve"> Expressed in another way, sexual orientation and gender identity are not disorders, diseases, illnesses, deficiencies or disabilities. It is therefore puzzling that the draft Bill will continue to allow conversion practices to be carried out in circumstances where an adult consents and </w:t>
      </w:r>
      <w:r w:rsidRPr="00E453D7">
        <w:rPr>
          <w:rFonts w:ascii="Cambria" w:hAnsi="Cambria"/>
          <w:color w:val="000000"/>
          <w:bdr w:val="none" w:sz="0" w:space="0" w:color="auto" w:frame="1"/>
        </w:rPr>
        <w:t xml:space="preserve">understands that it could cause physical or mental harm. </w:t>
      </w:r>
      <w:r w:rsidRPr="00E453D7">
        <w:rPr>
          <w:rFonts w:ascii="Cambria" w:hAnsi="Cambria"/>
          <w:color w:val="000000"/>
        </w:rPr>
        <w:t xml:space="preserve">  We strongly agree with Rodney </w:t>
      </w:r>
      <w:proofErr w:type="spellStart"/>
      <w:r w:rsidRPr="00E453D7">
        <w:rPr>
          <w:rFonts w:ascii="Cambria" w:hAnsi="Cambria"/>
          <w:color w:val="000000"/>
        </w:rPr>
        <w:t>Croome</w:t>
      </w:r>
      <w:proofErr w:type="spellEnd"/>
      <w:r w:rsidRPr="00E453D7">
        <w:rPr>
          <w:rFonts w:ascii="Cambria" w:hAnsi="Cambria"/>
          <w:color w:val="000000"/>
        </w:rPr>
        <w:t xml:space="preserve"> AM that the Bill should remove consent as a defence because “it is impossible to consent to a ‘treatment’ that doesn’t work for a ‘condition’ that doesn’t exist”.</w:t>
      </w:r>
      <w:r w:rsidRPr="00E453D7">
        <w:rPr>
          <w:rStyle w:val="FootnoteReference"/>
          <w:rFonts w:ascii="Cambria" w:hAnsi="Cambria"/>
          <w:color w:val="000000"/>
        </w:rPr>
        <w:footnoteReference w:id="15"/>
      </w:r>
      <w:r w:rsidRPr="00E453D7">
        <w:rPr>
          <w:rFonts w:ascii="Cambria" w:hAnsi="Cambria"/>
          <w:color w:val="000000"/>
        </w:rPr>
        <w:t xml:space="preserve"> We recommend adoption of the Victorian model where no consent can be given to the carrying out of conversion practices.</w:t>
      </w:r>
      <w:r w:rsidRPr="00E453D7">
        <w:rPr>
          <w:rStyle w:val="FootnoteReference"/>
          <w:rFonts w:ascii="Cambria" w:hAnsi="Cambria"/>
          <w:color w:val="000000"/>
        </w:rPr>
        <w:footnoteReference w:id="16"/>
      </w:r>
      <w:r w:rsidRPr="00E453D7">
        <w:rPr>
          <w:rFonts w:ascii="Cambria" w:hAnsi="Cambria"/>
          <w:color w:val="000000"/>
        </w:rPr>
        <w:t xml:space="preserve"> </w:t>
      </w:r>
    </w:p>
    <w:p w:rsidR="00E453D7" w:rsidRDefault="00E453D7" w:rsidP="00744E45">
      <w:pPr>
        <w:ind w:right="-347"/>
        <w:jc w:val="both"/>
        <w:rPr>
          <w:rFonts w:ascii="Cambria" w:hAnsi="Cambria"/>
          <w:color w:val="000000"/>
        </w:rPr>
      </w:pPr>
    </w:p>
    <w:p w:rsidR="00E453D7" w:rsidRPr="00E453D7" w:rsidRDefault="00E453D7" w:rsidP="00744E45">
      <w:pPr>
        <w:ind w:right="-347"/>
        <w:jc w:val="both"/>
        <w:rPr>
          <w:rFonts w:ascii="Cambria" w:hAnsi="Cambria"/>
          <w:b/>
          <w:bCs/>
          <w:i/>
          <w:iCs/>
          <w:color w:val="000000"/>
        </w:rPr>
      </w:pPr>
      <w:r w:rsidRPr="00E453D7">
        <w:rPr>
          <w:rFonts w:ascii="Cambria" w:hAnsi="Cambria"/>
          <w:b/>
          <w:bCs/>
          <w:i/>
          <w:iCs/>
          <w:color w:val="000000"/>
        </w:rPr>
        <w:t>Health Services providers</w:t>
      </w:r>
    </w:p>
    <w:p w:rsidR="0083000C" w:rsidRDefault="00E453D7" w:rsidP="0083000C">
      <w:pPr>
        <w:ind w:right="-347"/>
        <w:jc w:val="both"/>
        <w:rPr>
          <w:rFonts w:ascii="Cambria" w:hAnsi="Cambria"/>
          <w:color w:val="000000" w:themeColor="text1"/>
        </w:rPr>
      </w:pPr>
      <w:r w:rsidRPr="009328A0">
        <w:rPr>
          <w:rFonts w:ascii="Cambria" w:hAnsi="Cambria"/>
          <w:color w:val="000000" w:themeColor="text1"/>
        </w:rPr>
        <w:t xml:space="preserve">As the Bill currently stands, conversion practices are </w:t>
      </w:r>
      <w:r w:rsidR="009328A0">
        <w:rPr>
          <w:rFonts w:ascii="Cambria" w:hAnsi="Cambria"/>
          <w:color w:val="000000" w:themeColor="text1"/>
        </w:rPr>
        <w:t>able to be carried out by</w:t>
      </w:r>
      <w:r w:rsidRPr="009328A0">
        <w:rPr>
          <w:rFonts w:ascii="Cambria" w:hAnsi="Cambria"/>
          <w:color w:val="000000" w:themeColor="text1"/>
        </w:rPr>
        <w:t xml:space="preserve"> ‘health service providers’. Pursuant to the </w:t>
      </w:r>
      <w:r w:rsidRPr="009328A0">
        <w:rPr>
          <w:rFonts w:ascii="Cambria" w:hAnsi="Cambria"/>
          <w:i/>
          <w:iCs/>
          <w:color w:val="000000" w:themeColor="text1"/>
        </w:rPr>
        <w:t>Health Complaints Act 1995</w:t>
      </w:r>
      <w:r w:rsidRPr="009328A0">
        <w:rPr>
          <w:rFonts w:ascii="Cambria" w:hAnsi="Cambria"/>
          <w:color w:val="000000" w:themeColor="text1"/>
        </w:rPr>
        <w:t xml:space="preserve"> (Tas) a health service provider is </w:t>
      </w:r>
      <w:r w:rsidR="009328A0">
        <w:rPr>
          <w:rFonts w:ascii="Cambria" w:hAnsi="Cambria"/>
          <w:color w:val="000000" w:themeColor="text1"/>
        </w:rPr>
        <w:t>defined broadly to include a person “</w:t>
      </w:r>
      <w:r w:rsidRPr="009328A0">
        <w:rPr>
          <w:rFonts w:ascii="Cambria" w:hAnsi="Cambria"/>
          <w:color w:val="000000" w:themeColor="text1"/>
        </w:rPr>
        <w:t>who holds himself, herself or itself out as being able to provide a health service”.</w:t>
      </w:r>
      <w:r w:rsidRPr="009328A0">
        <w:rPr>
          <w:rStyle w:val="FootnoteReference"/>
          <w:rFonts w:ascii="Cambria" w:hAnsi="Cambria"/>
          <w:color w:val="000000" w:themeColor="text1"/>
        </w:rPr>
        <w:footnoteReference w:id="17"/>
      </w:r>
      <w:r w:rsidRPr="009328A0">
        <w:rPr>
          <w:rFonts w:ascii="Cambria" w:hAnsi="Cambria"/>
          <w:color w:val="000000" w:themeColor="text1"/>
        </w:rPr>
        <w:t xml:space="preserve"> </w:t>
      </w:r>
      <w:r w:rsidR="0083000C">
        <w:rPr>
          <w:rFonts w:ascii="Cambria" w:hAnsi="Cambria"/>
          <w:color w:val="000000" w:themeColor="text1"/>
        </w:rPr>
        <w:t>A ‘health service’ is defined to include “any service provided by a provider for, or purportedly for, the care or treatment of another person”.</w:t>
      </w:r>
      <w:r w:rsidR="0083000C">
        <w:rPr>
          <w:rStyle w:val="FootnoteReference"/>
          <w:rFonts w:ascii="Cambria" w:hAnsi="Cambria"/>
          <w:color w:val="000000" w:themeColor="text1"/>
        </w:rPr>
        <w:footnoteReference w:id="18"/>
      </w:r>
      <w:r w:rsidR="0083000C">
        <w:rPr>
          <w:rFonts w:ascii="Cambria" w:hAnsi="Cambria"/>
          <w:color w:val="000000" w:themeColor="text1"/>
        </w:rPr>
        <w:t xml:space="preserve"> These broad definitions mean that anyone carrying out or seeking to carry out conversion practices is capable of being defined as a health service provider providing a health service. The Bill’s broad definition can be contrasted with Victoria which requires that a ‘health service provider’ be compliant with the Health </w:t>
      </w:r>
      <w:r w:rsidR="0083000C" w:rsidRPr="0083000C">
        <w:rPr>
          <w:rFonts w:ascii="Cambria" w:hAnsi="Cambria"/>
          <w:color w:val="000000" w:themeColor="text1"/>
        </w:rPr>
        <w:t>Practitioner Regulation National Law.</w:t>
      </w:r>
      <w:r w:rsidR="0083000C" w:rsidRPr="0083000C">
        <w:rPr>
          <w:rStyle w:val="FootnoteReference"/>
          <w:rFonts w:ascii="Cambria" w:hAnsi="Cambria"/>
          <w:color w:val="000000" w:themeColor="text1"/>
        </w:rPr>
        <w:footnoteReference w:id="19"/>
      </w:r>
      <w:r w:rsidR="0083000C" w:rsidRPr="0083000C">
        <w:rPr>
          <w:rFonts w:ascii="Cambria" w:hAnsi="Cambria"/>
          <w:color w:val="000000" w:themeColor="text1"/>
        </w:rPr>
        <w:t xml:space="preserve"> We strongly </w:t>
      </w:r>
      <w:r w:rsidR="003C3904">
        <w:rPr>
          <w:rFonts w:ascii="Cambria" w:hAnsi="Cambria"/>
          <w:color w:val="000000" w:themeColor="text1"/>
        </w:rPr>
        <w:t xml:space="preserve">believe that the purpose of the Bill, namely to “prevent harms caused by practices that attempt to change or eradicate a person’s sexual orientation or gender identity” cannot be met without </w:t>
      </w:r>
      <w:r w:rsidR="003C3904" w:rsidRPr="0083000C">
        <w:rPr>
          <w:rFonts w:ascii="Cambria" w:hAnsi="Cambria"/>
          <w:color w:val="000000" w:themeColor="text1"/>
        </w:rPr>
        <w:t xml:space="preserve">limiting the assessment or treatment of another person’s gender </w:t>
      </w:r>
      <w:r w:rsidR="003C3904">
        <w:rPr>
          <w:rFonts w:ascii="Cambria" w:hAnsi="Cambria"/>
          <w:color w:val="000000" w:themeColor="text1"/>
        </w:rPr>
        <w:t>identity or expression</w:t>
      </w:r>
      <w:r w:rsidR="003C3904" w:rsidRPr="0083000C">
        <w:rPr>
          <w:rFonts w:ascii="Cambria" w:hAnsi="Cambria"/>
          <w:color w:val="000000" w:themeColor="text1"/>
        </w:rPr>
        <w:t xml:space="preserve"> to appropriately trained clinicians</w:t>
      </w:r>
      <w:r w:rsidR="003C3904">
        <w:rPr>
          <w:rFonts w:ascii="Cambria" w:hAnsi="Cambria"/>
          <w:color w:val="000000" w:themeColor="text1"/>
        </w:rPr>
        <w:t>. We therefore recommend that the Bill adopt the Victorian model noted above</w:t>
      </w:r>
      <w:r w:rsidR="003C3904" w:rsidRPr="0083000C">
        <w:rPr>
          <w:rFonts w:ascii="Cambria" w:hAnsi="Cambria"/>
          <w:color w:val="000000" w:themeColor="text1"/>
        </w:rPr>
        <w:t>.</w:t>
      </w:r>
      <w:r w:rsidR="003C3904" w:rsidRPr="0083000C">
        <w:rPr>
          <w:rStyle w:val="FootnoteReference"/>
          <w:rFonts w:ascii="Cambria" w:hAnsi="Cambria"/>
          <w:color w:val="000000" w:themeColor="text1"/>
        </w:rPr>
        <w:footnoteReference w:id="20"/>
      </w:r>
      <w:r w:rsidR="003C3904">
        <w:rPr>
          <w:rFonts w:ascii="Cambria" w:hAnsi="Cambria"/>
          <w:color w:val="000000" w:themeColor="text1"/>
        </w:rPr>
        <w:t xml:space="preserve"> </w:t>
      </w:r>
    </w:p>
    <w:p w:rsidR="0083000C" w:rsidRDefault="0083000C" w:rsidP="00744E45">
      <w:pPr>
        <w:ind w:right="-347"/>
        <w:jc w:val="both"/>
        <w:rPr>
          <w:rFonts w:ascii="Cambria" w:hAnsi="Cambria"/>
          <w:color w:val="000000" w:themeColor="text1"/>
        </w:rPr>
      </w:pPr>
      <w:r>
        <w:rPr>
          <w:rFonts w:ascii="Cambria" w:hAnsi="Cambria"/>
          <w:color w:val="000000" w:themeColor="text1"/>
        </w:rPr>
        <w:t xml:space="preserve"> </w:t>
      </w:r>
      <w:bookmarkStart w:id="0" w:name="JS1@HS1@GC9@EN"/>
      <w:bookmarkEnd w:id="0"/>
    </w:p>
    <w:p w:rsidR="003C3904" w:rsidRDefault="003C3904" w:rsidP="00191C4E">
      <w:pPr>
        <w:ind w:right="-347"/>
        <w:jc w:val="both"/>
        <w:rPr>
          <w:rFonts w:ascii="Cambria" w:hAnsi="Cambria"/>
          <w:b/>
          <w:bCs/>
          <w:i/>
          <w:iCs/>
          <w:color w:val="000000" w:themeColor="text1"/>
        </w:rPr>
      </w:pPr>
    </w:p>
    <w:p w:rsidR="002C3D2D" w:rsidRPr="00E453D7" w:rsidRDefault="002C3D2D" w:rsidP="00191C4E">
      <w:pPr>
        <w:ind w:right="-347"/>
        <w:jc w:val="both"/>
        <w:rPr>
          <w:rFonts w:ascii="Cambria" w:hAnsi="Cambria"/>
          <w:b/>
          <w:bCs/>
          <w:color w:val="000000" w:themeColor="text1"/>
        </w:rPr>
      </w:pPr>
      <w:r w:rsidRPr="00E453D7">
        <w:rPr>
          <w:rFonts w:ascii="Cambria" w:hAnsi="Cambria"/>
          <w:b/>
          <w:bCs/>
          <w:i/>
          <w:iCs/>
          <w:color w:val="000000" w:themeColor="text1"/>
        </w:rPr>
        <w:lastRenderedPageBreak/>
        <w:t>Mental Health Act 2013</w:t>
      </w:r>
      <w:r w:rsidRPr="00E453D7">
        <w:rPr>
          <w:rFonts w:ascii="Cambria" w:hAnsi="Cambria"/>
          <w:b/>
          <w:bCs/>
          <w:color w:val="000000" w:themeColor="text1"/>
        </w:rPr>
        <w:t xml:space="preserve"> (Tas)</w:t>
      </w:r>
    </w:p>
    <w:p w:rsidR="002C3D2D" w:rsidRPr="00E453D7" w:rsidRDefault="00A55030" w:rsidP="00191C4E">
      <w:pPr>
        <w:ind w:right="-347"/>
        <w:jc w:val="both"/>
        <w:rPr>
          <w:rFonts w:ascii="Cambria" w:hAnsi="Cambria"/>
        </w:rPr>
      </w:pPr>
      <w:r w:rsidRPr="00E453D7">
        <w:rPr>
          <w:rFonts w:ascii="Cambria" w:hAnsi="Cambria"/>
          <w:color w:val="000000"/>
        </w:rPr>
        <w:t>The TLRI</w:t>
      </w:r>
      <w:r w:rsidR="002C3D2D" w:rsidRPr="00E453D7">
        <w:rPr>
          <w:rFonts w:ascii="Cambria" w:hAnsi="Cambria"/>
          <w:color w:val="000000"/>
        </w:rPr>
        <w:t xml:space="preserve"> recommended that the </w:t>
      </w:r>
      <w:r w:rsidR="002C3D2D" w:rsidRPr="00E453D7">
        <w:rPr>
          <w:rFonts w:ascii="Cambria" w:hAnsi="Cambria"/>
          <w:i/>
          <w:iCs/>
          <w:color w:val="000000"/>
        </w:rPr>
        <w:t>Mental Health Act 2013</w:t>
      </w:r>
      <w:r w:rsidR="002C3D2D" w:rsidRPr="00E453D7">
        <w:rPr>
          <w:rFonts w:ascii="Cambria" w:hAnsi="Cambria"/>
          <w:color w:val="000000"/>
        </w:rPr>
        <w:t xml:space="preserve"> (Tas)</w:t>
      </w:r>
      <w:r w:rsidR="002C3D2D" w:rsidRPr="00E453D7">
        <w:rPr>
          <w:rFonts w:ascii="Cambria" w:hAnsi="Cambria"/>
        </w:rPr>
        <w:t xml:space="preserve"> expressly clarify that a person is not to be taken to have a mental illness by reason only of that person’s gender identity or expression.</w:t>
      </w:r>
      <w:r w:rsidR="002C3D2D" w:rsidRPr="00E453D7">
        <w:rPr>
          <w:rStyle w:val="FootnoteReference"/>
          <w:rFonts w:ascii="Cambria" w:hAnsi="Cambria"/>
        </w:rPr>
        <w:footnoteReference w:id="21"/>
      </w:r>
      <w:r w:rsidR="002C3D2D" w:rsidRPr="00E453D7">
        <w:rPr>
          <w:rFonts w:ascii="Cambria" w:hAnsi="Cambria"/>
        </w:rPr>
        <w:t xml:space="preserve"> This recommendation has already b</w:t>
      </w:r>
      <w:r w:rsidR="00CE5235" w:rsidRPr="00E453D7">
        <w:rPr>
          <w:rFonts w:ascii="Cambria" w:hAnsi="Cambria"/>
        </w:rPr>
        <w:t>een implemented</w:t>
      </w:r>
      <w:r w:rsidR="002C3D2D" w:rsidRPr="00E453D7">
        <w:rPr>
          <w:rFonts w:ascii="Cambria" w:hAnsi="Cambria"/>
        </w:rPr>
        <w:t xml:space="preserve"> with the passing of the </w:t>
      </w:r>
      <w:r w:rsidR="002C3D2D" w:rsidRPr="00E453D7">
        <w:rPr>
          <w:rFonts w:ascii="Cambria" w:hAnsi="Cambria"/>
          <w:i/>
          <w:iCs/>
        </w:rPr>
        <w:t>Mental Health Amendment Bill 2022</w:t>
      </w:r>
      <w:r w:rsidR="002C3D2D" w:rsidRPr="00E453D7">
        <w:rPr>
          <w:rFonts w:ascii="Cambria" w:hAnsi="Cambria"/>
        </w:rPr>
        <w:t xml:space="preserve"> (Tas) and brings Tasmania into line with most Australian States and Territories.</w:t>
      </w:r>
      <w:r w:rsidR="002C3D2D" w:rsidRPr="00E453D7">
        <w:rPr>
          <w:rStyle w:val="FootnoteReference"/>
          <w:rFonts w:ascii="Cambria" w:hAnsi="Cambria"/>
        </w:rPr>
        <w:footnoteReference w:id="22"/>
      </w:r>
      <w:r w:rsidR="002C3D2D" w:rsidRPr="00E453D7">
        <w:rPr>
          <w:rFonts w:ascii="Cambria" w:hAnsi="Cambria"/>
        </w:rPr>
        <w:t xml:space="preserve"> However, the </w:t>
      </w:r>
      <w:r w:rsidRPr="00E453D7">
        <w:rPr>
          <w:rFonts w:ascii="Cambria" w:hAnsi="Cambria"/>
        </w:rPr>
        <w:t>TLRI</w:t>
      </w:r>
      <w:r w:rsidR="002C3D2D" w:rsidRPr="00E453D7">
        <w:rPr>
          <w:rFonts w:ascii="Cambria" w:hAnsi="Cambria"/>
        </w:rPr>
        <w:t xml:space="preserve"> also recommended the inclusion of a provision that a person must not purport to or actually undertake an assessment or treatment of another person’s sexual orientation </w:t>
      </w:r>
      <w:r w:rsidR="00965A9F" w:rsidRPr="00E453D7">
        <w:rPr>
          <w:rFonts w:ascii="Cambria" w:hAnsi="Cambria"/>
        </w:rPr>
        <w:t xml:space="preserve">unless </w:t>
      </w:r>
      <w:r w:rsidR="00965A9F" w:rsidRPr="00E453D7">
        <w:rPr>
          <w:rFonts w:ascii="Cambria" w:hAnsi="Cambria"/>
          <w:color w:val="000000" w:themeColor="text1"/>
        </w:rPr>
        <w:t>an appropriately trained clinician</w:t>
      </w:r>
      <w:r w:rsidR="002C3D2D" w:rsidRPr="00E453D7">
        <w:rPr>
          <w:rFonts w:ascii="Cambria" w:hAnsi="Cambria"/>
          <w:color w:val="000000" w:themeColor="text1"/>
        </w:rPr>
        <w:t>.</w:t>
      </w:r>
      <w:r w:rsidR="002C3D2D" w:rsidRPr="00E453D7">
        <w:rPr>
          <w:rStyle w:val="FootnoteReference"/>
          <w:rFonts w:ascii="Cambria" w:hAnsi="Cambria"/>
        </w:rPr>
        <w:footnoteReference w:id="23"/>
      </w:r>
      <w:r w:rsidR="002C3D2D" w:rsidRPr="00E453D7">
        <w:rPr>
          <w:rFonts w:ascii="Cambria" w:hAnsi="Cambria"/>
        </w:rPr>
        <w:t xml:space="preserve"> We strongly recommend that the Bill be amended to include this provision.  </w:t>
      </w:r>
    </w:p>
    <w:p w:rsidR="00712319" w:rsidRPr="00E453D7" w:rsidRDefault="00712319" w:rsidP="00191C4E">
      <w:pPr>
        <w:ind w:right="-347"/>
        <w:jc w:val="both"/>
        <w:rPr>
          <w:rFonts w:ascii="Cambria" w:hAnsi="Cambria"/>
          <w:color w:val="000000" w:themeColor="text1"/>
        </w:rPr>
      </w:pPr>
    </w:p>
    <w:p w:rsidR="006D260B" w:rsidRPr="00E453D7" w:rsidRDefault="006D260B" w:rsidP="00191C4E">
      <w:pPr>
        <w:ind w:right="-347"/>
        <w:jc w:val="both"/>
        <w:rPr>
          <w:rFonts w:ascii="Cambria" w:hAnsi="Cambria"/>
          <w:bCs/>
          <w:color w:val="000000" w:themeColor="text1"/>
        </w:rPr>
      </w:pPr>
      <w:r w:rsidRPr="00E453D7">
        <w:rPr>
          <w:rFonts w:ascii="Cambria" w:hAnsi="Cambria"/>
          <w:bCs/>
          <w:color w:val="000000" w:themeColor="text1"/>
        </w:rPr>
        <w:t>If we can be of any further assistance, please do not hesitate to contact us.</w:t>
      </w:r>
    </w:p>
    <w:p w:rsidR="006D260B" w:rsidRPr="00E453D7" w:rsidRDefault="006D260B" w:rsidP="00191C4E">
      <w:pPr>
        <w:ind w:right="-347"/>
        <w:jc w:val="both"/>
        <w:rPr>
          <w:rFonts w:ascii="Cambria" w:hAnsi="Cambria"/>
          <w:bCs/>
          <w:color w:val="000000" w:themeColor="text1"/>
        </w:rPr>
      </w:pPr>
    </w:p>
    <w:p w:rsidR="006D260B" w:rsidRPr="00E453D7" w:rsidRDefault="006D260B" w:rsidP="00191C4E">
      <w:pPr>
        <w:ind w:right="-347"/>
        <w:jc w:val="both"/>
        <w:rPr>
          <w:rFonts w:ascii="Cambria" w:hAnsi="Cambria"/>
          <w:bCs/>
          <w:color w:val="000000" w:themeColor="text1"/>
        </w:rPr>
      </w:pPr>
    </w:p>
    <w:p w:rsidR="006D260B" w:rsidRPr="00E453D7" w:rsidRDefault="006D260B" w:rsidP="00191C4E">
      <w:pPr>
        <w:ind w:right="-347"/>
        <w:jc w:val="both"/>
        <w:rPr>
          <w:rFonts w:ascii="Cambria" w:hAnsi="Cambria"/>
          <w:bCs/>
          <w:color w:val="000000" w:themeColor="text1"/>
        </w:rPr>
      </w:pPr>
      <w:r w:rsidRPr="00E453D7">
        <w:rPr>
          <w:rFonts w:ascii="Cambria" w:hAnsi="Cambria"/>
          <w:bCs/>
          <w:color w:val="000000" w:themeColor="text1"/>
        </w:rPr>
        <w:t>Yours faithfully,</w:t>
      </w:r>
    </w:p>
    <w:p w:rsidR="006D260B" w:rsidRPr="00E453D7" w:rsidRDefault="006D260B" w:rsidP="00191C4E">
      <w:pPr>
        <w:ind w:right="-347"/>
        <w:jc w:val="both"/>
        <w:rPr>
          <w:rFonts w:ascii="Cambria" w:hAnsi="Cambria"/>
          <w:bCs/>
          <w:color w:val="000000" w:themeColor="text1"/>
        </w:rPr>
      </w:pPr>
    </w:p>
    <w:p w:rsidR="006D260B" w:rsidRPr="00E453D7" w:rsidRDefault="006D260B" w:rsidP="00191C4E">
      <w:pPr>
        <w:ind w:right="-347"/>
        <w:jc w:val="both"/>
        <w:rPr>
          <w:rFonts w:ascii="Cambria" w:hAnsi="Cambria"/>
          <w:bCs/>
          <w:color w:val="000000" w:themeColor="text1"/>
        </w:rPr>
      </w:pPr>
    </w:p>
    <w:p w:rsidR="006D260B" w:rsidRPr="00E453D7" w:rsidRDefault="006D260B" w:rsidP="00191C4E">
      <w:pPr>
        <w:ind w:right="-347"/>
        <w:jc w:val="both"/>
        <w:rPr>
          <w:rFonts w:ascii="Cambria" w:hAnsi="Cambria"/>
          <w:bCs/>
          <w:color w:val="000000" w:themeColor="text1"/>
        </w:rPr>
      </w:pPr>
    </w:p>
    <w:p w:rsidR="006D260B" w:rsidRPr="00E453D7" w:rsidRDefault="006D260B" w:rsidP="00191C4E">
      <w:pPr>
        <w:ind w:right="-347"/>
        <w:jc w:val="both"/>
        <w:rPr>
          <w:rFonts w:ascii="Cambria" w:hAnsi="Cambria"/>
          <w:bCs/>
          <w:color w:val="000000" w:themeColor="text1"/>
        </w:rPr>
      </w:pPr>
      <w:r w:rsidRPr="00E453D7">
        <w:rPr>
          <w:rFonts w:ascii="Cambria" w:hAnsi="Cambria"/>
          <w:bCs/>
          <w:color w:val="000000" w:themeColor="text1"/>
        </w:rPr>
        <w:t xml:space="preserve">Benedict </w:t>
      </w:r>
      <w:proofErr w:type="spellStart"/>
      <w:r w:rsidRPr="00E453D7">
        <w:rPr>
          <w:rFonts w:ascii="Cambria" w:hAnsi="Cambria"/>
          <w:bCs/>
          <w:color w:val="000000" w:themeColor="text1"/>
        </w:rPr>
        <w:t>Bartl</w:t>
      </w:r>
      <w:proofErr w:type="spellEnd"/>
    </w:p>
    <w:p w:rsidR="006D260B" w:rsidRPr="00E453D7" w:rsidRDefault="006D260B" w:rsidP="00191C4E">
      <w:pPr>
        <w:ind w:right="-347"/>
        <w:jc w:val="both"/>
        <w:rPr>
          <w:rFonts w:ascii="Cambria" w:hAnsi="Cambria"/>
          <w:bCs/>
          <w:color w:val="000000" w:themeColor="text1"/>
        </w:rPr>
      </w:pPr>
      <w:r w:rsidRPr="00E453D7">
        <w:rPr>
          <w:rFonts w:ascii="Cambria" w:hAnsi="Cambria"/>
          <w:bCs/>
          <w:color w:val="000000" w:themeColor="text1"/>
        </w:rPr>
        <w:t>Policy Officer</w:t>
      </w:r>
    </w:p>
    <w:p w:rsidR="006D260B" w:rsidRPr="00E453D7" w:rsidRDefault="006D260B" w:rsidP="00191C4E">
      <w:pPr>
        <w:pBdr>
          <w:bottom w:val="single" w:sz="6" w:space="1" w:color="auto"/>
        </w:pBdr>
        <w:ind w:right="-347"/>
        <w:jc w:val="both"/>
        <w:rPr>
          <w:rFonts w:ascii="Cambria" w:hAnsi="Cambria"/>
          <w:b/>
          <w:bCs/>
          <w:color w:val="000000" w:themeColor="text1"/>
        </w:rPr>
      </w:pPr>
      <w:r w:rsidRPr="00E453D7">
        <w:rPr>
          <w:rFonts w:ascii="Cambria" w:hAnsi="Cambria"/>
          <w:b/>
          <w:bCs/>
          <w:color w:val="000000" w:themeColor="text1"/>
        </w:rPr>
        <w:t>Community Legal Centres Tasmania</w:t>
      </w:r>
    </w:p>
    <w:p w:rsidR="001C7DA6" w:rsidRPr="00920F02" w:rsidRDefault="001C7DA6" w:rsidP="00191C4E">
      <w:pPr>
        <w:shd w:val="clear" w:color="auto" w:fill="FFFFFF"/>
        <w:ind w:right="-347"/>
        <w:textAlignment w:val="baseline"/>
        <w:rPr>
          <w:rFonts w:ascii="Segoe UI" w:hAnsi="Segoe UI" w:cs="Segoe UI"/>
          <w:color w:val="242424"/>
          <w:sz w:val="23"/>
          <w:szCs w:val="23"/>
        </w:rPr>
      </w:pPr>
    </w:p>
    <w:sectPr w:rsidR="001C7DA6" w:rsidRPr="00920F02" w:rsidSect="003A60A8">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0FCE" w:rsidRDefault="00C00FCE" w:rsidP="006D260B">
      <w:r>
        <w:separator/>
      </w:r>
    </w:p>
  </w:endnote>
  <w:endnote w:type="continuationSeparator" w:id="0">
    <w:p w:rsidR="00C00FCE" w:rsidRDefault="00C00FCE" w:rsidP="006D2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CC7" w:rsidRDefault="00000000" w:rsidP="003A60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6CC7" w:rsidRDefault="00046CC7" w:rsidP="003A60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CC7" w:rsidRDefault="00000000" w:rsidP="003A60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46CC7" w:rsidRDefault="00046CC7" w:rsidP="003A60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0FCE" w:rsidRDefault="00C00FCE" w:rsidP="006D260B">
      <w:r>
        <w:separator/>
      </w:r>
    </w:p>
  </w:footnote>
  <w:footnote w:type="continuationSeparator" w:id="0">
    <w:p w:rsidR="00C00FCE" w:rsidRDefault="00C00FCE" w:rsidP="006D260B">
      <w:r>
        <w:continuationSeparator/>
      </w:r>
    </w:p>
  </w:footnote>
  <w:footnote w:id="1">
    <w:p w:rsidR="006D260B" w:rsidRPr="00C25F23" w:rsidRDefault="006D260B" w:rsidP="006D260B">
      <w:pPr>
        <w:pStyle w:val="FootnoteText"/>
        <w:rPr>
          <w:rFonts w:ascii="Cambria" w:hAnsi="Cambria"/>
          <w:sz w:val="20"/>
          <w:szCs w:val="20"/>
          <w:lang w:val="en-AU"/>
        </w:rPr>
      </w:pPr>
      <w:r w:rsidRPr="00C25F23">
        <w:rPr>
          <w:rStyle w:val="FootnoteReference"/>
          <w:rFonts w:ascii="Cambria" w:hAnsi="Cambria"/>
          <w:sz w:val="20"/>
          <w:szCs w:val="20"/>
        </w:rPr>
        <w:footnoteRef/>
      </w:r>
      <w:r w:rsidRPr="00C25F23">
        <w:rPr>
          <w:rFonts w:ascii="Cambria" w:hAnsi="Cambria"/>
          <w:sz w:val="20"/>
          <w:szCs w:val="20"/>
        </w:rPr>
        <w:t xml:space="preserve"> </w:t>
      </w:r>
      <w:r w:rsidRPr="00C25F23">
        <w:rPr>
          <w:rFonts w:ascii="Cambria" w:hAnsi="Cambria"/>
          <w:color w:val="000000" w:themeColor="text1"/>
          <w:sz w:val="20"/>
          <w:szCs w:val="20"/>
        </w:rPr>
        <w:t xml:space="preserve">CLC Tas would like to acknowledge those persons and </w:t>
      </w:r>
      <w:proofErr w:type="spellStart"/>
      <w:r w:rsidRPr="00C25F23">
        <w:rPr>
          <w:rFonts w:ascii="Cambria" w:hAnsi="Cambria"/>
          <w:color w:val="000000" w:themeColor="text1"/>
          <w:sz w:val="20"/>
          <w:szCs w:val="20"/>
        </w:rPr>
        <w:t>organisations</w:t>
      </w:r>
      <w:proofErr w:type="spellEnd"/>
      <w:r w:rsidRPr="00C25F23">
        <w:rPr>
          <w:rFonts w:ascii="Cambria" w:hAnsi="Cambria"/>
          <w:color w:val="000000" w:themeColor="text1"/>
          <w:sz w:val="20"/>
          <w:szCs w:val="20"/>
        </w:rPr>
        <w:t xml:space="preserve"> who gave freely of their time in assisting with our submission. </w:t>
      </w:r>
    </w:p>
  </w:footnote>
  <w:footnote w:id="2">
    <w:p w:rsidR="0055277A" w:rsidRPr="00C25F23" w:rsidRDefault="0055277A">
      <w:pPr>
        <w:pStyle w:val="FootnoteText"/>
        <w:rPr>
          <w:rFonts w:ascii="Cambria" w:hAnsi="Cambria"/>
          <w:sz w:val="20"/>
          <w:szCs w:val="20"/>
          <w:lang w:val="en-AU"/>
        </w:rPr>
      </w:pPr>
      <w:r w:rsidRPr="00C25F23">
        <w:rPr>
          <w:rStyle w:val="FootnoteReference"/>
          <w:rFonts w:ascii="Cambria" w:hAnsi="Cambria"/>
          <w:sz w:val="20"/>
          <w:szCs w:val="20"/>
        </w:rPr>
        <w:footnoteRef/>
      </w:r>
      <w:r w:rsidRPr="00C25F23">
        <w:rPr>
          <w:rFonts w:ascii="Cambria" w:hAnsi="Cambria"/>
          <w:sz w:val="20"/>
          <w:szCs w:val="20"/>
        </w:rPr>
        <w:t xml:space="preserve"> </w:t>
      </w:r>
      <w:r w:rsidRPr="00C25F23">
        <w:rPr>
          <w:rFonts w:ascii="Cambria" w:hAnsi="Cambria"/>
          <w:sz w:val="20"/>
          <w:szCs w:val="20"/>
          <w:lang w:val="en-AU"/>
        </w:rPr>
        <w:t xml:space="preserve">Tasmania Law Reform Institute, </w:t>
      </w:r>
      <w:r w:rsidRPr="00C25F23">
        <w:rPr>
          <w:rFonts w:ascii="Cambria" w:hAnsi="Cambria"/>
          <w:i/>
          <w:iCs/>
          <w:sz w:val="20"/>
          <w:szCs w:val="20"/>
          <w:lang w:val="en-AU"/>
        </w:rPr>
        <w:t>Sexual Orientation and Gender Identity Conversion Practices</w:t>
      </w:r>
      <w:r w:rsidRPr="00C25F23">
        <w:rPr>
          <w:rFonts w:ascii="Cambria" w:hAnsi="Cambria"/>
          <w:sz w:val="20"/>
          <w:szCs w:val="20"/>
          <w:lang w:val="en-AU"/>
        </w:rPr>
        <w:t xml:space="preserve"> </w:t>
      </w:r>
      <w:r w:rsidRPr="00C25F23">
        <w:rPr>
          <w:rFonts w:ascii="Cambria" w:hAnsi="Cambria"/>
          <w:sz w:val="20"/>
          <w:szCs w:val="20"/>
        </w:rPr>
        <w:t>at iii</w:t>
      </w:r>
      <w:r w:rsidRPr="00C25F23">
        <w:rPr>
          <w:rFonts w:ascii="Cambria" w:hAnsi="Cambria"/>
          <w:color w:val="000000"/>
          <w:sz w:val="20"/>
          <w:szCs w:val="20"/>
        </w:rPr>
        <w:t>.</w:t>
      </w:r>
    </w:p>
  </w:footnote>
  <w:footnote w:id="3">
    <w:p w:rsidR="003C3904" w:rsidRPr="00C25F23" w:rsidRDefault="003C3904">
      <w:pPr>
        <w:pStyle w:val="FootnoteText"/>
        <w:rPr>
          <w:rFonts w:ascii="Cambria" w:hAnsi="Cambria"/>
          <w:sz w:val="20"/>
          <w:szCs w:val="20"/>
          <w:lang w:val="en-AU"/>
        </w:rPr>
      </w:pPr>
      <w:r w:rsidRPr="00C25F23">
        <w:rPr>
          <w:rStyle w:val="FootnoteReference"/>
          <w:rFonts w:ascii="Cambria" w:hAnsi="Cambria"/>
          <w:sz w:val="20"/>
          <w:szCs w:val="20"/>
        </w:rPr>
        <w:footnoteRef/>
      </w:r>
      <w:r w:rsidRPr="00C25F23">
        <w:rPr>
          <w:rFonts w:ascii="Cambria" w:hAnsi="Cambria"/>
          <w:sz w:val="20"/>
          <w:szCs w:val="20"/>
        </w:rPr>
        <w:t xml:space="preserve"> Angela Dwyer, Ruby Grant, Ron Mason and Ash Barnes, </w:t>
      </w:r>
      <w:r w:rsidRPr="00C25F23">
        <w:rPr>
          <w:rFonts w:ascii="Cambria" w:hAnsi="Cambria"/>
          <w:i/>
          <w:iCs/>
          <w:sz w:val="20"/>
          <w:szCs w:val="20"/>
        </w:rPr>
        <w:t xml:space="preserve">‘Just listen properly, like with intent’: LGBTIQ+ Tasmanians: Telling us the story </w:t>
      </w:r>
      <w:r w:rsidRPr="00C25F23">
        <w:rPr>
          <w:rFonts w:ascii="Cambria" w:hAnsi="Cambria"/>
          <w:sz w:val="20"/>
          <w:szCs w:val="20"/>
        </w:rPr>
        <w:t>(Final Report, December 2021) at 75.</w:t>
      </w:r>
    </w:p>
  </w:footnote>
  <w:footnote w:id="4">
    <w:p w:rsidR="002E09B7" w:rsidRPr="00C25F23" w:rsidRDefault="002E09B7">
      <w:pPr>
        <w:pStyle w:val="FootnoteText"/>
        <w:rPr>
          <w:rFonts w:ascii="Cambria" w:hAnsi="Cambria"/>
          <w:sz w:val="20"/>
          <w:szCs w:val="20"/>
          <w:lang w:val="en-AU"/>
        </w:rPr>
      </w:pPr>
      <w:r w:rsidRPr="00C25F23">
        <w:rPr>
          <w:rStyle w:val="FootnoteReference"/>
          <w:rFonts w:ascii="Cambria" w:hAnsi="Cambria"/>
          <w:sz w:val="20"/>
          <w:szCs w:val="20"/>
        </w:rPr>
        <w:footnoteRef/>
      </w:r>
      <w:r w:rsidRPr="00C25F23">
        <w:rPr>
          <w:rFonts w:ascii="Cambria" w:hAnsi="Cambria"/>
          <w:sz w:val="20"/>
          <w:szCs w:val="20"/>
        </w:rPr>
        <w:t xml:space="preserve"> </w:t>
      </w:r>
      <w:r w:rsidRPr="00C25F23">
        <w:rPr>
          <w:rFonts w:ascii="Cambria" w:hAnsi="Cambria"/>
          <w:sz w:val="20"/>
          <w:szCs w:val="20"/>
          <w:lang w:val="en-AU"/>
        </w:rPr>
        <w:t xml:space="preserve">Tasmania Law Reform Institute, </w:t>
      </w:r>
      <w:r w:rsidRPr="00C25F23">
        <w:rPr>
          <w:rFonts w:ascii="Cambria" w:hAnsi="Cambria"/>
          <w:i/>
          <w:iCs/>
          <w:sz w:val="20"/>
          <w:szCs w:val="20"/>
          <w:lang w:val="en-AU"/>
        </w:rPr>
        <w:t>Sexual Orientation and Gender Identity Conversion Practices</w:t>
      </w:r>
      <w:r w:rsidRPr="00C25F23">
        <w:rPr>
          <w:rFonts w:ascii="Cambria" w:hAnsi="Cambria"/>
          <w:sz w:val="20"/>
          <w:szCs w:val="20"/>
          <w:lang w:val="en-AU"/>
        </w:rPr>
        <w:t xml:space="preserve"> </w:t>
      </w:r>
      <w:r w:rsidRPr="00C25F23">
        <w:rPr>
          <w:rFonts w:ascii="Cambria" w:hAnsi="Cambria"/>
          <w:sz w:val="20"/>
          <w:szCs w:val="20"/>
        </w:rPr>
        <w:t>at</w:t>
      </w:r>
      <w:r w:rsidR="0013740D" w:rsidRPr="00C25F23">
        <w:rPr>
          <w:rFonts w:ascii="Cambria" w:hAnsi="Cambria"/>
          <w:sz w:val="20"/>
          <w:szCs w:val="20"/>
        </w:rPr>
        <w:t xml:space="preserve"> iii</w:t>
      </w:r>
      <w:r w:rsidR="0013740D" w:rsidRPr="00C25F23">
        <w:rPr>
          <w:rFonts w:ascii="Cambria" w:hAnsi="Cambria"/>
          <w:color w:val="000000"/>
          <w:sz w:val="20"/>
          <w:szCs w:val="20"/>
        </w:rPr>
        <w:t xml:space="preserve">. </w:t>
      </w:r>
    </w:p>
  </w:footnote>
  <w:footnote w:id="5">
    <w:p w:rsidR="00C77B00" w:rsidRPr="00C25F23" w:rsidRDefault="00C77B00">
      <w:pPr>
        <w:pStyle w:val="FootnoteText"/>
        <w:rPr>
          <w:rFonts w:ascii="Cambria" w:hAnsi="Cambria"/>
          <w:sz w:val="20"/>
          <w:szCs w:val="20"/>
          <w:lang w:val="en-AU"/>
        </w:rPr>
      </w:pPr>
      <w:r w:rsidRPr="00C25F23">
        <w:rPr>
          <w:rStyle w:val="FootnoteReference"/>
          <w:rFonts w:ascii="Cambria" w:hAnsi="Cambria"/>
          <w:sz w:val="20"/>
          <w:szCs w:val="20"/>
        </w:rPr>
        <w:footnoteRef/>
      </w:r>
      <w:r w:rsidRPr="00C25F23">
        <w:rPr>
          <w:rFonts w:ascii="Cambria" w:hAnsi="Cambria"/>
          <w:sz w:val="20"/>
          <w:szCs w:val="20"/>
        </w:rPr>
        <w:t xml:space="preserve"> </w:t>
      </w:r>
      <w:r w:rsidRPr="00C25F23">
        <w:rPr>
          <w:rFonts w:ascii="Cambria" w:hAnsi="Cambria"/>
          <w:sz w:val="20"/>
          <w:szCs w:val="20"/>
          <w:lang w:val="en-AU"/>
        </w:rPr>
        <w:t xml:space="preserve">Chapter 5B of the </w:t>
      </w:r>
      <w:r w:rsidRPr="00C25F23">
        <w:rPr>
          <w:rFonts w:ascii="Cambria" w:hAnsi="Cambria"/>
          <w:i/>
          <w:iCs/>
          <w:sz w:val="20"/>
          <w:szCs w:val="20"/>
          <w:lang w:val="en-AU"/>
        </w:rPr>
        <w:t>Public Health Act 2005</w:t>
      </w:r>
      <w:r w:rsidRPr="00C25F23">
        <w:rPr>
          <w:rFonts w:ascii="Cambria" w:hAnsi="Cambria"/>
          <w:sz w:val="20"/>
          <w:szCs w:val="20"/>
          <w:lang w:val="en-AU"/>
        </w:rPr>
        <w:t xml:space="preserve"> (Qld). </w:t>
      </w:r>
    </w:p>
  </w:footnote>
  <w:footnote w:id="6">
    <w:p w:rsidR="001C7DA6" w:rsidRPr="00C25F23" w:rsidRDefault="001C7DA6">
      <w:pPr>
        <w:pStyle w:val="FootnoteText"/>
        <w:rPr>
          <w:rFonts w:ascii="Cambria" w:hAnsi="Cambria"/>
          <w:sz w:val="20"/>
          <w:szCs w:val="20"/>
          <w:lang w:val="en-AU"/>
        </w:rPr>
      </w:pPr>
      <w:r w:rsidRPr="00C25F23">
        <w:rPr>
          <w:rStyle w:val="FootnoteReference"/>
          <w:rFonts w:ascii="Cambria" w:hAnsi="Cambria"/>
          <w:sz w:val="20"/>
          <w:szCs w:val="20"/>
        </w:rPr>
        <w:footnoteRef/>
      </w:r>
      <w:r w:rsidRPr="00C25F23">
        <w:rPr>
          <w:rFonts w:ascii="Cambria" w:hAnsi="Cambria"/>
          <w:sz w:val="20"/>
          <w:szCs w:val="20"/>
        </w:rPr>
        <w:t xml:space="preserve"> </w:t>
      </w:r>
      <w:r w:rsidRPr="00C25F23">
        <w:rPr>
          <w:rFonts w:ascii="Cambria" w:hAnsi="Cambria"/>
          <w:i/>
          <w:iCs/>
          <w:sz w:val="20"/>
          <w:szCs w:val="20"/>
          <w:lang w:val="en-AU"/>
        </w:rPr>
        <w:t>Sexuality and Gender Identity Conversion Practices Act 2020</w:t>
      </w:r>
      <w:r w:rsidRPr="00C25F23">
        <w:rPr>
          <w:rFonts w:ascii="Cambria" w:hAnsi="Cambria"/>
          <w:sz w:val="20"/>
          <w:szCs w:val="20"/>
          <w:lang w:val="en-AU"/>
        </w:rPr>
        <w:t xml:space="preserve"> (ACT); </w:t>
      </w:r>
      <w:r w:rsidRPr="00C25F23">
        <w:rPr>
          <w:rFonts w:ascii="Cambria" w:hAnsi="Cambria"/>
          <w:i/>
          <w:iCs/>
          <w:sz w:val="20"/>
          <w:szCs w:val="20"/>
          <w:lang w:val="en-AU"/>
        </w:rPr>
        <w:t>Change or Suppression (Conversion) Practices Prohibition Act 2021</w:t>
      </w:r>
      <w:r w:rsidRPr="00C25F23">
        <w:rPr>
          <w:rFonts w:ascii="Cambria" w:hAnsi="Cambria"/>
          <w:sz w:val="20"/>
          <w:szCs w:val="20"/>
          <w:lang w:val="en-AU"/>
        </w:rPr>
        <w:t xml:space="preserve"> (Vic). </w:t>
      </w:r>
    </w:p>
  </w:footnote>
  <w:footnote w:id="7">
    <w:p w:rsidR="00C77B00" w:rsidRPr="00C25F23" w:rsidRDefault="00C77B00">
      <w:pPr>
        <w:pStyle w:val="FootnoteText"/>
        <w:rPr>
          <w:rFonts w:ascii="Cambria" w:hAnsi="Cambria"/>
          <w:sz w:val="20"/>
          <w:szCs w:val="20"/>
          <w:lang w:val="en-AU"/>
        </w:rPr>
      </w:pPr>
      <w:r w:rsidRPr="00C25F23">
        <w:rPr>
          <w:rStyle w:val="FootnoteReference"/>
          <w:rFonts w:ascii="Cambria" w:hAnsi="Cambria"/>
          <w:sz w:val="20"/>
          <w:szCs w:val="20"/>
        </w:rPr>
        <w:footnoteRef/>
      </w:r>
      <w:r w:rsidRPr="00C25F23">
        <w:rPr>
          <w:rFonts w:ascii="Cambria" w:hAnsi="Cambria"/>
          <w:sz w:val="20"/>
          <w:szCs w:val="20"/>
        </w:rPr>
        <w:t xml:space="preserve"> Jessica Kidd, ‘Bipartisan support pledged in NSW to ban gay conversion practices’, </w:t>
      </w:r>
      <w:r w:rsidRPr="00C25F23">
        <w:rPr>
          <w:rFonts w:ascii="Cambria" w:hAnsi="Cambria"/>
          <w:i/>
          <w:iCs/>
          <w:sz w:val="20"/>
          <w:szCs w:val="20"/>
        </w:rPr>
        <w:t>Australian Broadcasting Corporation</w:t>
      </w:r>
      <w:r w:rsidRPr="00C25F23">
        <w:rPr>
          <w:rFonts w:ascii="Cambria" w:hAnsi="Cambria"/>
          <w:sz w:val="20"/>
          <w:szCs w:val="20"/>
        </w:rPr>
        <w:t xml:space="preserve">, 17 February 2023. As found at </w:t>
      </w:r>
      <w:hyperlink r:id="rId1" w:history="1">
        <w:r w:rsidRPr="00C25F23">
          <w:rPr>
            <w:rStyle w:val="Hyperlink"/>
            <w:rFonts w:ascii="Cambria" w:hAnsi="Cambria"/>
            <w:sz w:val="20"/>
            <w:szCs w:val="20"/>
          </w:rPr>
          <w:t>https://www.abc.net.au/news/2023-02-17/nsw-bipartisan-support-in-for-gay-conversion-ban/101988632</w:t>
        </w:r>
      </w:hyperlink>
      <w:r w:rsidRPr="00C25F23">
        <w:rPr>
          <w:rFonts w:ascii="Cambria" w:hAnsi="Cambria"/>
          <w:sz w:val="20"/>
          <w:szCs w:val="20"/>
        </w:rPr>
        <w:t xml:space="preserve"> (accessed 19 January 2024). </w:t>
      </w:r>
    </w:p>
  </w:footnote>
  <w:footnote w:id="8">
    <w:p w:rsidR="00EA0F7F" w:rsidRPr="00C25F23" w:rsidRDefault="00EA0F7F" w:rsidP="00EA0F7F">
      <w:pPr>
        <w:pStyle w:val="FootnoteText"/>
        <w:rPr>
          <w:rFonts w:ascii="Cambria" w:hAnsi="Cambria"/>
          <w:sz w:val="20"/>
          <w:szCs w:val="20"/>
          <w:lang w:val="en-AU"/>
        </w:rPr>
      </w:pPr>
      <w:r w:rsidRPr="00C25F23">
        <w:rPr>
          <w:rStyle w:val="FootnoteReference"/>
          <w:rFonts w:ascii="Cambria" w:hAnsi="Cambria"/>
          <w:sz w:val="20"/>
          <w:szCs w:val="20"/>
        </w:rPr>
        <w:footnoteRef/>
      </w:r>
      <w:r w:rsidRPr="00C25F23">
        <w:rPr>
          <w:rFonts w:ascii="Cambria" w:hAnsi="Cambria"/>
          <w:sz w:val="20"/>
          <w:szCs w:val="20"/>
        </w:rPr>
        <w:t xml:space="preserve"> Section 5(1)(b) of the </w:t>
      </w:r>
      <w:r w:rsidRPr="00C25F23">
        <w:rPr>
          <w:rFonts w:ascii="Cambria" w:hAnsi="Cambria"/>
          <w:i/>
          <w:iCs/>
          <w:sz w:val="20"/>
          <w:szCs w:val="20"/>
        </w:rPr>
        <w:t>Change or Suppression (Conversion) Practices Prohibition Act 2021</w:t>
      </w:r>
      <w:r w:rsidRPr="00C25F23">
        <w:rPr>
          <w:rFonts w:ascii="Cambria" w:hAnsi="Cambria"/>
          <w:sz w:val="20"/>
          <w:szCs w:val="20"/>
        </w:rPr>
        <w:t xml:space="preserve"> (Vic); </w:t>
      </w:r>
      <w:r w:rsidRPr="00C25F23">
        <w:rPr>
          <w:rFonts w:ascii="Cambria" w:hAnsi="Cambria"/>
          <w:sz w:val="20"/>
          <w:szCs w:val="20"/>
          <w:lang w:val="en-AU"/>
        </w:rPr>
        <w:t xml:space="preserve">Section 213F of the </w:t>
      </w:r>
      <w:r w:rsidRPr="00C25F23">
        <w:rPr>
          <w:rFonts w:ascii="Cambria" w:hAnsi="Cambria"/>
          <w:i/>
          <w:iCs/>
          <w:sz w:val="20"/>
          <w:szCs w:val="20"/>
          <w:lang w:val="en-AU"/>
        </w:rPr>
        <w:t>Public Health Act 2005</w:t>
      </w:r>
      <w:r w:rsidRPr="00C25F23">
        <w:rPr>
          <w:rFonts w:ascii="Cambria" w:hAnsi="Cambria"/>
          <w:sz w:val="20"/>
          <w:szCs w:val="20"/>
          <w:lang w:val="en-AU"/>
        </w:rPr>
        <w:t xml:space="preserve"> (Qld). </w:t>
      </w:r>
      <w:r w:rsidRPr="00C25F23">
        <w:rPr>
          <w:rFonts w:ascii="Cambria" w:hAnsi="Cambria"/>
          <w:sz w:val="20"/>
          <w:szCs w:val="20"/>
        </w:rPr>
        <w:t xml:space="preserve"> </w:t>
      </w:r>
    </w:p>
  </w:footnote>
  <w:footnote w:id="9">
    <w:p w:rsidR="00AE4231" w:rsidRPr="00C25F23" w:rsidRDefault="00AE4231" w:rsidP="00AE4231">
      <w:pPr>
        <w:pStyle w:val="FootnoteText"/>
        <w:rPr>
          <w:rFonts w:ascii="Cambria" w:hAnsi="Cambria"/>
          <w:sz w:val="20"/>
          <w:szCs w:val="20"/>
          <w:lang w:val="en-AU"/>
        </w:rPr>
      </w:pPr>
      <w:r w:rsidRPr="00C25F23">
        <w:rPr>
          <w:rStyle w:val="FootnoteReference"/>
          <w:rFonts w:ascii="Cambria" w:hAnsi="Cambria"/>
          <w:sz w:val="20"/>
          <w:szCs w:val="20"/>
        </w:rPr>
        <w:footnoteRef/>
      </w:r>
      <w:r w:rsidRPr="00C25F23">
        <w:rPr>
          <w:rFonts w:ascii="Cambria" w:hAnsi="Cambria"/>
          <w:sz w:val="20"/>
          <w:szCs w:val="20"/>
        </w:rPr>
        <w:t xml:space="preserve"> </w:t>
      </w:r>
      <w:r w:rsidRPr="00C25F23">
        <w:rPr>
          <w:rFonts w:ascii="Cambria" w:hAnsi="Cambria"/>
          <w:sz w:val="20"/>
          <w:szCs w:val="20"/>
          <w:lang w:val="en-AU"/>
        </w:rPr>
        <w:t xml:space="preserve">Tasmania Law Reform Institute, </w:t>
      </w:r>
      <w:r w:rsidRPr="00C25F23">
        <w:rPr>
          <w:rFonts w:ascii="Cambria" w:hAnsi="Cambria"/>
          <w:i/>
          <w:iCs/>
          <w:sz w:val="20"/>
          <w:szCs w:val="20"/>
          <w:lang w:val="en-AU"/>
        </w:rPr>
        <w:t>Sexual Orientation and Gender Identity Conversion Practices</w:t>
      </w:r>
      <w:r w:rsidRPr="00C25F23">
        <w:rPr>
          <w:rFonts w:ascii="Cambria" w:hAnsi="Cambria"/>
          <w:sz w:val="20"/>
          <w:szCs w:val="20"/>
          <w:lang w:val="en-AU"/>
        </w:rPr>
        <w:t xml:space="preserve"> (Final Report No. 32) </w:t>
      </w:r>
      <w:r w:rsidRPr="00C25F23">
        <w:rPr>
          <w:rFonts w:ascii="Cambria" w:hAnsi="Cambria"/>
          <w:color w:val="000000"/>
          <w:sz w:val="20"/>
          <w:szCs w:val="20"/>
        </w:rPr>
        <w:t>at 116.</w:t>
      </w:r>
    </w:p>
  </w:footnote>
  <w:footnote w:id="10">
    <w:p w:rsidR="000F0988" w:rsidRPr="00C25F23" w:rsidRDefault="000F0988">
      <w:pPr>
        <w:pStyle w:val="FootnoteText"/>
        <w:rPr>
          <w:rFonts w:ascii="Cambria" w:hAnsi="Cambria"/>
          <w:sz w:val="20"/>
          <w:szCs w:val="20"/>
          <w:lang w:val="en-AU"/>
        </w:rPr>
      </w:pPr>
      <w:r w:rsidRPr="00C25F23">
        <w:rPr>
          <w:rStyle w:val="FootnoteReference"/>
          <w:rFonts w:ascii="Cambria" w:hAnsi="Cambria"/>
          <w:sz w:val="20"/>
          <w:szCs w:val="20"/>
        </w:rPr>
        <w:footnoteRef/>
      </w:r>
      <w:r w:rsidRPr="00C25F23">
        <w:rPr>
          <w:rFonts w:ascii="Cambria" w:hAnsi="Cambria"/>
          <w:sz w:val="20"/>
          <w:szCs w:val="20"/>
        </w:rPr>
        <w:t xml:space="preserve"> </w:t>
      </w:r>
      <w:r w:rsidRPr="00C25F23">
        <w:rPr>
          <w:rFonts w:ascii="Cambria" w:hAnsi="Cambria"/>
          <w:sz w:val="20"/>
          <w:szCs w:val="20"/>
          <w:lang w:val="en-AU"/>
        </w:rPr>
        <w:t xml:space="preserve">Tasmania Law Reform Institute, </w:t>
      </w:r>
      <w:r w:rsidRPr="00C25F23">
        <w:rPr>
          <w:rFonts w:ascii="Cambria" w:hAnsi="Cambria"/>
          <w:i/>
          <w:iCs/>
          <w:sz w:val="20"/>
          <w:szCs w:val="20"/>
          <w:lang w:val="en-AU"/>
        </w:rPr>
        <w:t>Sexual Orientation and Gender Identity Conversion Practices</w:t>
      </w:r>
      <w:r w:rsidRPr="00C25F23">
        <w:rPr>
          <w:rFonts w:ascii="Cambria" w:hAnsi="Cambria"/>
          <w:sz w:val="20"/>
          <w:szCs w:val="20"/>
          <w:lang w:val="en-AU"/>
        </w:rPr>
        <w:t xml:space="preserve"> (Final Report No. 32). </w:t>
      </w:r>
    </w:p>
  </w:footnote>
  <w:footnote w:id="11">
    <w:p w:rsidR="00343228" w:rsidRPr="00C25F23" w:rsidRDefault="00343228" w:rsidP="00343228">
      <w:pPr>
        <w:pStyle w:val="FootnoteText"/>
        <w:rPr>
          <w:rFonts w:ascii="Cambria" w:hAnsi="Cambria"/>
          <w:sz w:val="20"/>
          <w:szCs w:val="20"/>
          <w:lang w:val="en-AU"/>
        </w:rPr>
      </w:pPr>
      <w:r w:rsidRPr="00C25F23">
        <w:rPr>
          <w:rStyle w:val="FootnoteReference"/>
          <w:rFonts w:ascii="Cambria" w:hAnsi="Cambria"/>
          <w:sz w:val="20"/>
          <w:szCs w:val="20"/>
        </w:rPr>
        <w:footnoteRef/>
      </w:r>
      <w:r w:rsidRPr="00C25F23">
        <w:rPr>
          <w:rFonts w:ascii="Cambria" w:hAnsi="Cambria"/>
          <w:sz w:val="20"/>
          <w:szCs w:val="20"/>
        </w:rPr>
        <w:t xml:space="preserve"> </w:t>
      </w:r>
      <w:r w:rsidRPr="00C25F23">
        <w:rPr>
          <w:rFonts w:ascii="Cambria" w:hAnsi="Cambria"/>
          <w:sz w:val="20"/>
          <w:szCs w:val="20"/>
          <w:lang w:val="en-AU"/>
        </w:rPr>
        <w:t xml:space="preserve">Tasmania Law Reform Institute, </w:t>
      </w:r>
      <w:r w:rsidRPr="00C25F23">
        <w:rPr>
          <w:rFonts w:ascii="Cambria" w:hAnsi="Cambria"/>
          <w:i/>
          <w:iCs/>
          <w:sz w:val="20"/>
          <w:szCs w:val="20"/>
          <w:lang w:val="en-AU"/>
        </w:rPr>
        <w:t>Sexual Orientation and Gender Identity Conversion Practices</w:t>
      </w:r>
      <w:r w:rsidRPr="00C25F23">
        <w:rPr>
          <w:rFonts w:ascii="Cambria" w:hAnsi="Cambria"/>
          <w:sz w:val="20"/>
          <w:szCs w:val="20"/>
          <w:lang w:val="en-AU"/>
        </w:rPr>
        <w:t xml:space="preserve"> (Final Report No. 32) </w:t>
      </w:r>
      <w:r w:rsidRPr="00C25F23">
        <w:rPr>
          <w:rFonts w:ascii="Cambria" w:hAnsi="Cambria"/>
          <w:color w:val="000000"/>
          <w:sz w:val="20"/>
          <w:szCs w:val="20"/>
        </w:rPr>
        <w:t>at 142.</w:t>
      </w:r>
    </w:p>
  </w:footnote>
  <w:footnote w:id="12">
    <w:p w:rsidR="00A10380" w:rsidRPr="00C25F23" w:rsidRDefault="00A10380" w:rsidP="00A10380">
      <w:pPr>
        <w:pStyle w:val="FootnoteText"/>
        <w:rPr>
          <w:rFonts w:ascii="Cambria" w:hAnsi="Cambria"/>
          <w:sz w:val="20"/>
          <w:szCs w:val="20"/>
          <w:lang w:val="en-AU"/>
        </w:rPr>
      </w:pPr>
      <w:r w:rsidRPr="00C25F23">
        <w:rPr>
          <w:rStyle w:val="FootnoteReference"/>
          <w:rFonts w:ascii="Cambria" w:hAnsi="Cambria"/>
          <w:sz w:val="20"/>
          <w:szCs w:val="20"/>
        </w:rPr>
        <w:footnoteRef/>
      </w:r>
      <w:r w:rsidRPr="00C25F23">
        <w:rPr>
          <w:rFonts w:ascii="Cambria" w:hAnsi="Cambria"/>
          <w:sz w:val="20"/>
          <w:szCs w:val="20"/>
        </w:rPr>
        <w:t xml:space="preserve"> </w:t>
      </w:r>
      <w:r w:rsidRPr="00C25F23">
        <w:rPr>
          <w:rFonts w:ascii="Cambria" w:hAnsi="Cambria"/>
          <w:sz w:val="20"/>
          <w:szCs w:val="20"/>
          <w:lang w:val="en-AU"/>
        </w:rPr>
        <w:t xml:space="preserve">Tasmania Law Reform Institute, </w:t>
      </w:r>
      <w:r w:rsidRPr="00C25F23">
        <w:rPr>
          <w:rFonts w:ascii="Cambria" w:hAnsi="Cambria"/>
          <w:i/>
          <w:iCs/>
          <w:sz w:val="20"/>
          <w:szCs w:val="20"/>
          <w:lang w:val="en-AU"/>
        </w:rPr>
        <w:t>Sexual Orientation and Gender Identity Conversion Practices</w:t>
      </w:r>
      <w:r w:rsidRPr="00C25F23">
        <w:rPr>
          <w:rFonts w:ascii="Cambria" w:hAnsi="Cambria"/>
          <w:sz w:val="20"/>
          <w:szCs w:val="20"/>
          <w:lang w:val="en-AU"/>
        </w:rPr>
        <w:t xml:space="preserve"> (Final Report No. 32) </w:t>
      </w:r>
      <w:r w:rsidRPr="00C25F23">
        <w:rPr>
          <w:rFonts w:ascii="Cambria" w:hAnsi="Cambria"/>
          <w:color w:val="000000"/>
          <w:sz w:val="20"/>
          <w:szCs w:val="20"/>
        </w:rPr>
        <w:t>Recommendation 10 at 157.</w:t>
      </w:r>
    </w:p>
  </w:footnote>
  <w:footnote w:id="13">
    <w:p w:rsidR="00A10380" w:rsidRPr="00C25F23" w:rsidRDefault="00A10380" w:rsidP="00A10380">
      <w:pPr>
        <w:pStyle w:val="FootnoteText"/>
        <w:rPr>
          <w:rFonts w:ascii="Cambria" w:hAnsi="Cambria"/>
          <w:sz w:val="20"/>
          <w:szCs w:val="20"/>
          <w:lang w:val="en-AU"/>
        </w:rPr>
      </w:pPr>
      <w:r w:rsidRPr="00C25F23">
        <w:rPr>
          <w:rStyle w:val="FootnoteReference"/>
          <w:rFonts w:ascii="Cambria" w:hAnsi="Cambria"/>
          <w:sz w:val="20"/>
          <w:szCs w:val="20"/>
        </w:rPr>
        <w:footnoteRef/>
      </w:r>
      <w:r w:rsidRPr="00C25F23">
        <w:rPr>
          <w:rFonts w:ascii="Cambria" w:hAnsi="Cambria"/>
          <w:sz w:val="20"/>
          <w:szCs w:val="20"/>
        </w:rPr>
        <w:t xml:space="preserve"> </w:t>
      </w:r>
      <w:r w:rsidRPr="00C25F23">
        <w:rPr>
          <w:rFonts w:ascii="Cambria" w:hAnsi="Cambria"/>
          <w:sz w:val="20"/>
          <w:szCs w:val="20"/>
          <w:lang w:val="en-AU"/>
        </w:rPr>
        <w:t xml:space="preserve">Tasmania Law Reform Institute, </w:t>
      </w:r>
      <w:r w:rsidRPr="00C25F23">
        <w:rPr>
          <w:rFonts w:ascii="Cambria" w:hAnsi="Cambria"/>
          <w:i/>
          <w:iCs/>
          <w:sz w:val="20"/>
          <w:szCs w:val="20"/>
          <w:lang w:val="en-AU"/>
        </w:rPr>
        <w:t>Sexual Orientation and Gender Identity Conversion Practices</w:t>
      </w:r>
      <w:r w:rsidRPr="00C25F23">
        <w:rPr>
          <w:rFonts w:ascii="Cambria" w:hAnsi="Cambria"/>
          <w:sz w:val="20"/>
          <w:szCs w:val="20"/>
          <w:lang w:val="en-AU"/>
        </w:rPr>
        <w:t xml:space="preserve"> (Final Report No. 32) </w:t>
      </w:r>
      <w:r w:rsidRPr="00C25F23">
        <w:rPr>
          <w:rFonts w:ascii="Cambria" w:hAnsi="Cambria"/>
          <w:color w:val="000000"/>
          <w:sz w:val="20"/>
          <w:szCs w:val="20"/>
        </w:rPr>
        <w:t>Recommendation 11 and paragraph 7.3.15 at 158.</w:t>
      </w:r>
    </w:p>
  </w:footnote>
  <w:footnote w:id="14">
    <w:p w:rsidR="00744E45" w:rsidRPr="00C25F23" w:rsidRDefault="00744E45" w:rsidP="00744E45">
      <w:pPr>
        <w:pStyle w:val="FootnoteText"/>
        <w:rPr>
          <w:rFonts w:ascii="Cambria" w:hAnsi="Cambria"/>
          <w:sz w:val="20"/>
          <w:szCs w:val="20"/>
        </w:rPr>
      </w:pPr>
      <w:r w:rsidRPr="00C25F23">
        <w:rPr>
          <w:rStyle w:val="FootnoteReference"/>
          <w:rFonts w:ascii="Cambria" w:hAnsi="Cambria"/>
          <w:sz w:val="20"/>
          <w:szCs w:val="20"/>
        </w:rPr>
        <w:footnoteRef/>
      </w:r>
      <w:r w:rsidRPr="00C25F23">
        <w:rPr>
          <w:rFonts w:ascii="Cambria" w:hAnsi="Cambria"/>
          <w:sz w:val="20"/>
          <w:szCs w:val="20"/>
        </w:rPr>
        <w:t xml:space="preserve"> Australian Medical Association, </w:t>
      </w:r>
      <w:r w:rsidR="00A55030" w:rsidRPr="00C25F23">
        <w:rPr>
          <w:rFonts w:ascii="Cambria" w:hAnsi="Cambria"/>
          <w:sz w:val="20"/>
          <w:szCs w:val="20"/>
        </w:rPr>
        <w:t xml:space="preserve">LGBTQIA+ Health </w:t>
      </w:r>
      <w:r w:rsidRPr="00C25F23">
        <w:rPr>
          <w:rFonts w:ascii="Cambria" w:hAnsi="Cambria"/>
          <w:sz w:val="20"/>
          <w:szCs w:val="20"/>
        </w:rPr>
        <w:t xml:space="preserve">Position Statement; Australian Psychological Society, </w:t>
      </w:r>
      <w:r w:rsidR="00A55030" w:rsidRPr="00C25F23">
        <w:rPr>
          <w:rFonts w:ascii="Cambria" w:hAnsi="Cambria"/>
          <w:sz w:val="20"/>
          <w:szCs w:val="20"/>
        </w:rPr>
        <w:t>Use of</w:t>
      </w:r>
      <w:r w:rsidRPr="00C25F23">
        <w:rPr>
          <w:rFonts w:ascii="Cambria" w:hAnsi="Cambria"/>
          <w:sz w:val="20"/>
          <w:szCs w:val="20"/>
        </w:rPr>
        <w:t xml:space="preserve"> Psychological Practices that attempt to change </w:t>
      </w:r>
      <w:r w:rsidR="00A55030" w:rsidRPr="00C25F23">
        <w:rPr>
          <w:rFonts w:ascii="Cambria" w:hAnsi="Cambria"/>
          <w:sz w:val="20"/>
          <w:szCs w:val="20"/>
        </w:rPr>
        <w:t xml:space="preserve">or suppress a person’s sexual orientation or gender: Position statement. </w:t>
      </w:r>
    </w:p>
  </w:footnote>
  <w:footnote w:id="15">
    <w:p w:rsidR="00744E45" w:rsidRPr="00C25F23" w:rsidRDefault="00744E45" w:rsidP="00744E45">
      <w:pPr>
        <w:pStyle w:val="FootnoteText"/>
        <w:rPr>
          <w:rFonts w:ascii="Cambria" w:hAnsi="Cambria"/>
          <w:sz w:val="20"/>
          <w:szCs w:val="20"/>
          <w:lang w:val="en-AU"/>
        </w:rPr>
      </w:pPr>
      <w:r w:rsidRPr="00C25F23">
        <w:rPr>
          <w:rStyle w:val="FootnoteReference"/>
          <w:rFonts w:ascii="Cambria" w:hAnsi="Cambria"/>
          <w:sz w:val="20"/>
          <w:szCs w:val="20"/>
        </w:rPr>
        <w:footnoteRef/>
      </w:r>
      <w:r w:rsidRPr="00C25F23">
        <w:rPr>
          <w:rFonts w:ascii="Cambria" w:hAnsi="Cambria"/>
          <w:sz w:val="20"/>
          <w:szCs w:val="20"/>
        </w:rPr>
        <w:t xml:space="preserve"> </w:t>
      </w:r>
      <w:r w:rsidRPr="00C25F23">
        <w:rPr>
          <w:rFonts w:ascii="Cambria" w:hAnsi="Cambria"/>
          <w:sz w:val="20"/>
          <w:szCs w:val="20"/>
          <w:lang w:val="en-AU"/>
        </w:rPr>
        <w:t xml:space="preserve">Equality Tasmania, ‘Concern Conversion Bill will allow practices to continue’, 13 December 2023. As found at </w:t>
      </w:r>
      <w:hyperlink r:id="rId2" w:history="1">
        <w:r w:rsidRPr="00C25F23">
          <w:rPr>
            <w:rStyle w:val="Hyperlink"/>
            <w:rFonts w:ascii="Cambria" w:hAnsi="Cambria"/>
            <w:sz w:val="20"/>
            <w:szCs w:val="20"/>
            <w:lang w:val="en-AU"/>
          </w:rPr>
          <w:t>https://equalitytasmania.org.au/concern-conversion-bill-will-allow-practices-to-continue/</w:t>
        </w:r>
      </w:hyperlink>
      <w:r w:rsidRPr="00C25F23">
        <w:rPr>
          <w:rFonts w:ascii="Cambria" w:hAnsi="Cambria"/>
          <w:sz w:val="20"/>
          <w:szCs w:val="20"/>
          <w:lang w:val="en-AU"/>
        </w:rPr>
        <w:t xml:space="preserve"> (accessed 19 January 2024). </w:t>
      </w:r>
    </w:p>
  </w:footnote>
  <w:footnote w:id="16">
    <w:p w:rsidR="00744E45" w:rsidRPr="00C25F23" w:rsidRDefault="00744E45" w:rsidP="00744E45">
      <w:pPr>
        <w:pStyle w:val="FootnoteText"/>
        <w:rPr>
          <w:rFonts w:ascii="Cambria" w:hAnsi="Cambria"/>
          <w:sz w:val="20"/>
          <w:szCs w:val="20"/>
          <w:lang w:val="en-AU"/>
        </w:rPr>
      </w:pPr>
      <w:r w:rsidRPr="00C25F23">
        <w:rPr>
          <w:rStyle w:val="FootnoteReference"/>
          <w:rFonts w:ascii="Cambria" w:hAnsi="Cambria"/>
          <w:sz w:val="20"/>
          <w:szCs w:val="20"/>
        </w:rPr>
        <w:footnoteRef/>
      </w:r>
      <w:r w:rsidRPr="00C25F23">
        <w:rPr>
          <w:rFonts w:ascii="Cambria" w:hAnsi="Cambria"/>
          <w:sz w:val="20"/>
          <w:szCs w:val="20"/>
        </w:rPr>
        <w:t xml:space="preserve"> </w:t>
      </w:r>
      <w:r w:rsidRPr="00C25F23">
        <w:rPr>
          <w:rFonts w:ascii="Cambria" w:hAnsi="Cambria"/>
          <w:sz w:val="20"/>
          <w:szCs w:val="20"/>
          <w:lang w:val="en-AU"/>
        </w:rPr>
        <w:t xml:space="preserve">Section 5 of the </w:t>
      </w:r>
      <w:r w:rsidRPr="00C25F23">
        <w:rPr>
          <w:rFonts w:ascii="Cambria" w:hAnsi="Cambria"/>
          <w:i/>
          <w:iCs/>
          <w:sz w:val="20"/>
          <w:szCs w:val="20"/>
          <w:lang w:val="en-AU"/>
        </w:rPr>
        <w:t>Change or Suppression (Conversion) Practices Prohibition Act 2021</w:t>
      </w:r>
      <w:r w:rsidRPr="00C25F23">
        <w:rPr>
          <w:rFonts w:ascii="Cambria" w:hAnsi="Cambria"/>
          <w:sz w:val="20"/>
          <w:szCs w:val="20"/>
          <w:lang w:val="en-AU"/>
        </w:rPr>
        <w:t xml:space="preserve"> (Vic).  </w:t>
      </w:r>
    </w:p>
  </w:footnote>
  <w:footnote w:id="17">
    <w:p w:rsidR="00E453D7" w:rsidRPr="00C25F23" w:rsidRDefault="00E453D7">
      <w:pPr>
        <w:pStyle w:val="FootnoteText"/>
        <w:rPr>
          <w:rFonts w:ascii="Cambria" w:hAnsi="Cambria"/>
          <w:sz w:val="20"/>
          <w:szCs w:val="20"/>
          <w:lang w:val="en-AU"/>
        </w:rPr>
      </w:pPr>
      <w:r w:rsidRPr="00C25F23">
        <w:rPr>
          <w:rStyle w:val="FootnoteReference"/>
          <w:rFonts w:ascii="Cambria" w:hAnsi="Cambria"/>
          <w:sz w:val="20"/>
          <w:szCs w:val="20"/>
        </w:rPr>
        <w:footnoteRef/>
      </w:r>
      <w:r w:rsidRPr="00C25F23">
        <w:rPr>
          <w:rFonts w:ascii="Cambria" w:hAnsi="Cambria"/>
          <w:sz w:val="20"/>
          <w:szCs w:val="20"/>
        </w:rPr>
        <w:t xml:space="preserve"> </w:t>
      </w:r>
      <w:r w:rsidRPr="00C25F23">
        <w:rPr>
          <w:rFonts w:ascii="Cambria" w:hAnsi="Cambria"/>
          <w:sz w:val="20"/>
          <w:szCs w:val="20"/>
          <w:lang w:val="en-AU"/>
        </w:rPr>
        <w:t xml:space="preserve">Section 3(a)-(b) of the </w:t>
      </w:r>
      <w:r w:rsidRPr="00C25F23">
        <w:rPr>
          <w:rFonts w:ascii="Cambria" w:hAnsi="Cambria"/>
          <w:i/>
          <w:iCs/>
          <w:sz w:val="20"/>
          <w:szCs w:val="20"/>
          <w:lang w:val="en-AU"/>
        </w:rPr>
        <w:t>Health Complaints Act 1995</w:t>
      </w:r>
      <w:r w:rsidRPr="00C25F23">
        <w:rPr>
          <w:rFonts w:ascii="Cambria" w:hAnsi="Cambria"/>
          <w:sz w:val="20"/>
          <w:szCs w:val="20"/>
          <w:lang w:val="en-AU"/>
        </w:rPr>
        <w:t xml:space="preserve"> (Tas). </w:t>
      </w:r>
    </w:p>
  </w:footnote>
  <w:footnote w:id="18">
    <w:p w:rsidR="0083000C" w:rsidRPr="00C25F23" w:rsidRDefault="0083000C">
      <w:pPr>
        <w:pStyle w:val="FootnoteText"/>
        <w:rPr>
          <w:rFonts w:ascii="Cambria" w:hAnsi="Cambria"/>
          <w:sz w:val="20"/>
          <w:szCs w:val="20"/>
          <w:lang w:val="en-AU"/>
        </w:rPr>
      </w:pPr>
      <w:r w:rsidRPr="00C25F23">
        <w:rPr>
          <w:rStyle w:val="FootnoteReference"/>
          <w:rFonts w:ascii="Cambria" w:hAnsi="Cambria"/>
          <w:sz w:val="20"/>
          <w:szCs w:val="20"/>
        </w:rPr>
        <w:footnoteRef/>
      </w:r>
      <w:r w:rsidRPr="00C25F23">
        <w:rPr>
          <w:rFonts w:ascii="Cambria" w:hAnsi="Cambria"/>
          <w:sz w:val="20"/>
          <w:szCs w:val="20"/>
        </w:rPr>
        <w:t xml:space="preserve"> </w:t>
      </w:r>
      <w:r w:rsidRPr="00C25F23">
        <w:rPr>
          <w:rFonts w:ascii="Cambria" w:hAnsi="Cambria"/>
          <w:sz w:val="20"/>
          <w:szCs w:val="20"/>
          <w:lang w:val="en-AU"/>
        </w:rPr>
        <w:t xml:space="preserve">Schedule 1 Part 1 clause 8 of the </w:t>
      </w:r>
      <w:r w:rsidRPr="00C25F23">
        <w:rPr>
          <w:rFonts w:ascii="Cambria" w:hAnsi="Cambria"/>
          <w:i/>
          <w:iCs/>
          <w:sz w:val="20"/>
          <w:szCs w:val="20"/>
          <w:lang w:val="en-AU"/>
        </w:rPr>
        <w:t>Health Complaints Act 1995</w:t>
      </w:r>
      <w:r w:rsidRPr="00C25F23">
        <w:rPr>
          <w:rFonts w:ascii="Cambria" w:hAnsi="Cambria"/>
          <w:sz w:val="20"/>
          <w:szCs w:val="20"/>
          <w:lang w:val="en-AU"/>
        </w:rPr>
        <w:t xml:space="preserve"> (Tas).</w:t>
      </w:r>
    </w:p>
  </w:footnote>
  <w:footnote w:id="19">
    <w:p w:rsidR="0083000C" w:rsidRPr="00C25F23" w:rsidRDefault="0083000C" w:rsidP="0083000C">
      <w:pPr>
        <w:pStyle w:val="FootnoteText"/>
        <w:rPr>
          <w:rFonts w:ascii="Cambria" w:hAnsi="Cambria"/>
          <w:sz w:val="20"/>
          <w:szCs w:val="20"/>
          <w:lang w:val="en-AU"/>
        </w:rPr>
      </w:pPr>
      <w:r w:rsidRPr="00C25F23">
        <w:rPr>
          <w:rStyle w:val="FootnoteReference"/>
          <w:rFonts w:ascii="Cambria" w:hAnsi="Cambria"/>
          <w:sz w:val="20"/>
          <w:szCs w:val="20"/>
        </w:rPr>
        <w:footnoteRef/>
      </w:r>
      <w:r w:rsidRPr="00C25F23">
        <w:rPr>
          <w:rFonts w:ascii="Cambria" w:hAnsi="Cambria"/>
          <w:sz w:val="20"/>
          <w:szCs w:val="20"/>
        </w:rPr>
        <w:t xml:space="preserve"> Section 4 of the </w:t>
      </w:r>
      <w:r w:rsidRPr="00C25F23">
        <w:rPr>
          <w:rFonts w:ascii="Cambria" w:hAnsi="Cambria"/>
          <w:i/>
          <w:iCs/>
          <w:sz w:val="20"/>
          <w:szCs w:val="20"/>
          <w:lang w:val="en-AU"/>
        </w:rPr>
        <w:t>Change or Suppression (Conversion) Practices Prohibition Act 2021</w:t>
      </w:r>
      <w:r w:rsidRPr="00C25F23">
        <w:rPr>
          <w:rFonts w:ascii="Cambria" w:hAnsi="Cambria"/>
          <w:sz w:val="20"/>
          <w:szCs w:val="20"/>
          <w:lang w:val="en-AU"/>
        </w:rPr>
        <w:t xml:space="preserve"> (Vic).</w:t>
      </w:r>
    </w:p>
  </w:footnote>
  <w:footnote w:id="20">
    <w:p w:rsidR="003C3904" w:rsidRPr="00C25F23" w:rsidRDefault="003C3904" w:rsidP="003C3904">
      <w:pPr>
        <w:ind w:right="-347"/>
        <w:jc w:val="both"/>
        <w:rPr>
          <w:rFonts w:ascii="Cambria" w:hAnsi="Cambria"/>
          <w:color w:val="000000"/>
          <w:sz w:val="20"/>
          <w:szCs w:val="20"/>
        </w:rPr>
      </w:pPr>
      <w:r w:rsidRPr="00C25F23">
        <w:rPr>
          <w:rStyle w:val="FootnoteReference"/>
          <w:rFonts w:ascii="Cambria" w:hAnsi="Cambria"/>
          <w:sz w:val="20"/>
          <w:szCs w:val="20"/>
        </w:rPr>
        <w:footnoteRef/>
      </w:r>
      <w:r w:rsidRPr="00C25F23">
        <w:rPr>
          <w:rFonts w:ascii="Cambria" w:hAnsi="Cambria"/>
          <w:sz w:val="20"/>
          <w:szCs w:val="20"/>
        </w:rPr>
        <w:t xml:space="preserve"> Tasmania Law Reform Institute, </w:t>
      </w:r>
      <w:r w:rsidRPr="00C25F23">
        <w:rPr>
          <w:rFonts w:ascii="Cambria" w:hAnsi="Cambria"/>
          <w:i/>
          <w:iCs/>
          <w:sz w:val="20"/>
          <w:szCs w:val="20"/>
        </w:rPr>
        <w:t>Sexual Orientation and Gender Identity Conversion Practices</w:t>
      </w:r>
      <w:r w:rsidRPr="00C25F23">
        <w:rPr>
          <w:rFonts w:ascii="Cambria" w:hAnsi="Cambria"/>
          <w:sz w:val="20"/>
          <w:szCs w:val="20"/>
        </w:rPr>
        <w:t xml:space="preserve"> (Final Report No. 32), R</w:t>
      </w:r>
      <w:r w:rsidRPr="00C25F23">
        <w:rPr>
          <w:rFonts w:ascii="Cambria" w:hAnsi="Cambria"/>
          <w:color w:val="000000"/>
          <w:sz w:val="20"/>
          <w:szCs w:val="20"/>
        </w:rPr>
        <w:t xml:space="preserve">ecommendation 4 at 129. </w:t>
      </w:r>
    </w:p>
  </w:footnote>
  <w:footnote w:id="21">
    <w:p w:rsidR="002C3D2D" w:rsidRPr="00C25F23" w:rsidRDefault="002C3D2D" w:rsidP="002C3D2D">
      <w:pPr>
        <w:ind w:right="-347"/>
        <w:jc w:val="both"/>
        <w:rPr>
          <w:rFonts w:ascii="Cambria" w:hAnsi="Cambria"/>
          <w:sz w:val="20"/>
          <w:szCs w:val="20"/>
        </w:rPr>
      </w:pPr>
      <w:r w:rsidRPr="00C25F23">
        <w:rPr>
          <w:rStyle w:val="FootnoteReference"/>
          <w:rFonts w:ascii="Cambria" w:hAnsi="Cambria"/>
          <w:sz w:val="20"/>
          <w:szCs w:val="20"/>
        </w:rPr>
        <w:footnoteRef/>
      </w:r>
      <w:r w:rsidRPr="00C25F23">
        <w:rPr>
          <w:rFonts w:ascii="Cambria" w:hAnsi="Cambria"/>
          <w:sz w:val="20"/>
          <w:szCs w:val="20"/>
        </w:rPr>
        <w:t xml:space="preserve"> Tasmania Law Reform Institute, </w:t>
      </w:r>
      <w:r w:rsidRPr="00C25F23">
        <w:rPr>
          <w:rFonts w:ascii="Cambria" w:hAnsi="Cambria"/>
          <w:i/>
          <w:iCs/>
          <w:sz w:val="20"/>
          <w:szCs w:val="20"/>
        </w:rPr>
        <w:t>Sexual Orientation and Gender Identity Conversion Practices</w:t>
      </w:r>
      <w:r w:rsidRPr="00C25F23">
        <w:rPr>
          <w:rFonts w:ascii="Cambria" w:hAnsi="Cambria"/>
          <w:sz w:val="20"/>
          <w:szCs w:val="20"/>
        </w:rPr>
        <w:t xml:space="preserve"> (Final Report No. 32), recommendation 3 at 128</w:t>
      </w:r>
      <w:r w:rsidRPr="00C25F23">
        <w:rPr>
          <w:rFonts w:ascii="Cambria" w:hAnsi="Cambria"/>
          <w:color w:val="000000"/>
          <w:sz w:val="20"/>
          <w:szCs w:val="20"/>
        </w:rPr>
        <w:t xml:space="preserve">. </w:t>
      </w:r>
    </w:p>
  </w:footnote>
  <w:footnote w:id="22">
    <w:p w:rsidR="002C3D2D" w:rsidRPr="00C25F23" w:rsidRDefault="002C3D2D" w:rsidP="002C3D2D">
      <w:pPr>
        <w:pStyle w:val="FootnoteText"/>
        <w:rPr>
          <w:rFonts w:ascii="Cambria" w:hAnsi="Cambria"/>
          <w:sz w:val="20"/>
          <w:szCs w:val="20"/>
          <w:lang w:val="en-AU"/>
        </w:rPr>
      </w:pPr>
      <w:r w:rsidRPr="00C25F23">
        <w:rPr>
          <w:rStyle w:val="FootnoteReference"/>
          <w:rFonts w:ascii="Cambria" w:hAnsi="Cambria"/>
          <w:sz w:val="20"/>
          <w:szCs w:val="20"/>
        </w:rPr>
        <w:footnoteRef/>
      </w:r>
      <w:r w:rsidRPr="00C25F23">
        <w:rPr>
          <w:rFonts w:ascii="Cambria" w:hAnsi="Cambria"/>
          <w:sz w:val="20"/>
          <w:szCs w:val="20"/>
        </w:rPr>
        <w:t xml:space="preserve"> </w:t>
      </w:r>
      <w:r w:rsidRPr="00C25F23">
        <w:rPr>
          <w:rFonts w:ascii="Cambria" w:hAnsi="Cambria"/>
          <w:color w:val="000000" w:themeColor="text1"/>
          <w:sz w:val="20"/>
          <w:szCs w:val="20"/>
        </w:rPr>
        <w:t>See section 4(2)(d)(</w:t>
      </w:r>
      <w:proofErr w:type="spellStart"/>
      <w:r w:rsidRPr="00C25F23">
        <w:rPr>
          <w:rFonts w:ascii="Cambria" w:hAnsi="Cambria"/>
          <w:color w:val="000000" w:themeColor="text1"/>
          <w:sz w:val="20"/>
          <w:szCs w:val="20"/>
        </w:rPr>
        <w:t>i</w:t>
      </w:r>
      <w:proofErr w:type="spellEnd"/>
      <w:r w:rsidRPr="00C25F23">
        <w:rPr>
          <w:rFonts w:ascii="Cambria" w:hAnsi="Cambria"/>
          <w:color w:val="000000" w:themeColor="text1"/>
          <w:sz w:val="20"/>
          <w:szCs w:val="20"/>
        </w:rPr>
        <w:t xml:space="preserve">)-(ii) of the </w:t>
      </w:r>
      <w:r w:rsidRPr="00C25F23">
        <w:rPr>
          <w:rFonts w:ascii="Cambria" w:hAnsi="Cambria"/>
          <w:i/>
          <w:iCs/>
          <w:color w:val="000000" w:themeColor="text1"/>
          <w:sz w:val="20"/>
          <w:szCs w:val="20"/>
        </w:rPr>
        <w:t>Mental Health Act 2013</w:t>
      </w:r>
      <w:r w:rsidRPr="00C25F23">
        <w:rPr>
          <w:rFonts w:ascii="Cambria" w:hAnsi="Cambria"/>
          <w:color w:val="000000" w:themeColor="text1"/>
          <w:sz w:val="20"/>
          <w:szCs w:val="20"/>
        </w:rPr>
        <w:t xml:space="preserve"> (Tas). Also see section 35D(5)(l) of the </w:t>
      </w:r>
      <w:r w:rsidRPr="00C25F23">
        <w:rPr>
          <w:rFonts w:ascii="Cambria" w:hAnsi="Cambria"/>
          <w:i/>
          <w:iCs/>
          <w:color w:val="000000" w:themeColor="text1"/>
          <w:sz w:val="20"/>
          <w:szCs w:val="20"/>
        </w:rPr>
        <w:t>Guardianship and Administration Act 1995</w:t>
      </w:r>
      <w:r w:rsidRPr="00C25F23">
        <w:rPr>
          <w:rFonts w:ascii="Cambria" w:hAnsi="Cambria"/>
          <w:color w:val="000000" w:themeColor="text1"/>
          <w:sz w:val="20"/>
          <w:szCs w:val="20"/>
        </w:rPr>
        <w:t xml:space="preserve"> (Tas). In other jurisdictions see section 16(1)(d) of the </w:t>
      </w:r>
      <w:r w:rsidRPr="00C25F23">
        <w:rPr>
          <w:rFonts w:ascii="Cambria" w:hAnsi="Cambria"/>
          <w:i/>
          <w:iCs/>
          <w:color w:val="000000" w:themeColor="text1"/>
          <w:sz w:val="20"/>
          <w:szCs w:val="20"/>
        </w:rPr>
        <w:t>Mental Health Act 2007</w:t>
      </w:r>
      <w:r w:rsidRPr="00C25F23">
        <w:rPr>
          <w:rFonts w:ascii="Cambria" w:hAnsi="Cambria"/>
          <w:color w:val="000000" w:themeColor="text1"/>
          <w:sz w:val="20"/>
          <w:szCs w:val="20"/>
        </w:rPr>
        <w:t xml:space="preserve"> (NSW); section 4(2)(d) of the </w:t>
      </w:r>
      <w:r w:rsidRPr="00C25F23">
        <w:rPr>
          <w:rFonts w:ascii="Cambria" w:hAnsi="Cambria"/>
          <w:i/>
          <w:iCs/>
          <w:color w:val="000000" w:themeColor="text1"/>
          <w:sz w:val="20"/>
          <w:szCs w:val="20"/>
        </w:rPr>
        <w:t>Mental Health and Wellbeing Act 2022</w:t>
      </w:r>
      <w:r w:rsidRPr="00C25F23">
        <w:rPr>
          <w:rFonts w:ascii="Cambria" w:hAnsi="Cambria"/>
          <w:color w:val="000000" w:themeColor="text1"/>
          <w:sz w:val="20"/>
          <w:szCs w:val="20"/>
        </w:rPr>
        <w:t xml:space="preserve"> (Vic); section 10(2)(d) of the </w:t>
      </w:r>
      <w:r w:rsidRPr="00C25F23">
        <w:rPr>
          <w:rFonts w:ascii="Cambria" w:hAnsi="Cambria"/>
          <w:i/>
          <w:iCs/>
          <w:color w:val="000000" w:themeColor="text1"/>
          <w:sz w:val="20"/>
          <w:szCs w:val="20"/>
        </w:rPr>
        <w:t>Mental Health Act 2016</w:t>
      </w:r>
      <w:r w:rsidRPr="00C25F23">
        <w:rPr>
          <w:rFonts w:ascii="Cambria" w:hAnsi="Cambria"/>
          <w:color w:val="000000" w:themeColor="text1"/>
          <w:sz w:val="20"/>
          <w:szCs w:val="20"/>
        </w:rPr>
        <w:t xml:space="preserve"> (Qld); section 6(2)(e) of the </w:t>
      </w:r>
      <w:r w:rsidRPr="00C25F23">
        <w:rPr>
          <w:rFonts w:ascii="Cambria" w:hAnsi="Cambria"/>
          <w:i/>
          <w:iCs/>
          <w:color w:val="000000" w:themeColor="text1"/>
          <w:sz w:val="20"/>
          <w:szCs w:val="20"/>
        </w:rPr>
        <w:t>Mental Health Act 2014</w:t>
      </w:r>
      <w:r w:rsidRPr="00C25F23">
        <w:rPr>
          <w:rFonts w:ascii="Cambria" w:hAnsi="Cambria"/>
          <w:color w:val="000000" w:themeColor="text1"/>
          <w:sz w:val="20"/>
          <w:szCs w:val="20"/>
        </w:rPr>
        <w:t xml:space="preserve"> (WA); schedule 1(d) of the </w:t>
      </w:r>
      <w:r w:rsidRPr="00C25F23">
        <w:rPr>
          <w:rFonts w:ascii="Cambria" w:hAnsi="Cambria"/>
          <w:i/>
          <w:iCs/>
          <w:color w:val="000000" w:themeColor="text1"/>
          <w:sz w:val="20"/>
          <w:szCs w:val="20"/>
        </w:rPr>
        <w:t>Mental Health Act 2009</w:t>
      </w:r>
      <w:r w:rsidRPr="00C25F23">
        <w:rPr>
          <w:rFonts w:ascii="Cambria" w:hAnsi="Cambria"/>
          <w:color w:val="000000" w:themeColor="text1"/>
          <w:sz w:val="20"/>
          <w:szCs w:val="20"/>
        </w:rPr>
        <w:t xml:space="preserve"> (SA) and; section 11(d) of the </w:t>
      </w:r>
      <w:r w:rsidRPr="00C25F23">
        <w:rPr>
          <w:rFonts w:ascii="Cambria" w:hAnsi="Cambria"/>
          <w:i/>
          <w:iCs/>
          <w:color w:val="000000" w:themeColor="text1"/>
          <w:sz w:val="20"/>
          <w:szCs w:val="20"/>
        </w:rPr>
        <w:t>Mental Health Act 2015</w:t>
      </w:r>
      <w:r w:rsidRPr="00C25F23">
        <w:rPr>
          <w:rFonts w:ascii="Cambria" w:hAnsi="Cambria"/>
          <w:color w:val="000000" w:themeColor="text1"/>
          <w:sz w:val="20"/>
          <w:szCs w:val="20"/>
        </w:rPr>
        <w:t xml:space="preserve"> (ACT).  </w:t>
      </w:r>
    </w:p>
  </w:footnote>
  <w:footnote w:id="23">
    <w:p w:rsidR="002C3D2D" w:rsidRPr="005A4F4E" w:rsidRDefault="002C3D2D" w:rsidP="002C3D2D">
      <w:pPr>
        <w:ind w:right="-347"/>
        <w:jc w:val="both"/>
        <w:rPr>
          <w:rFonts w:ascii="Cambria" w:hAnsi="Cambria"/>
          <w:color w:val="000000"/>
          <w:sz w:val="20"/>
          <w:szCs w:val="20"/>
        </w:rPr>
      </w:pPr>
      <w:r w:rsidRPr="00C25F23">
        <w:rPr>
          <w:rStyle w:val="FootnoteReference"/>
          <w:rFonts w:ascii="Cambria" w:hAnsi="Cambria"/>
          <w:sz w:val="20"/>
          <w:szCs w:val="20"/>
        </w:rPr>
        <w:footnoteRef/>
      </w:r>
      <w:r w:rsidRPr="00C25F23">
        <w:rPr>
          <w:rFonts w:ascii="Cambria" w:hAnsi="Cambria"/>
          <w:sz w:val="20"/>
          <w:szCs w:val="20"/>
        </w:rPr>
        <w:t xml:space="preserve"> Tasmania Law Reform Institute, </w:t>
      </w:r>
      <w:r w:rsidRPr="00C25F23">
        <w:rPr>
          <w:rFonts w:ascii="Cambria" w:hAnsi="Cambria"/>
          <w:i/>
          <w:iCs/>
          <w:sz w:val="20"/>
          <w:szCs w:val="20"/>
        </w:rPr>
        <w:t>Sexual Orientation and Gender Identity Conversion Practices</w:t>
      </w:r>
      <w:r w:rsidRPr="00C25F23">
        <w:rPr>
          <w:rFonts w:ascii="Cambria" w:hAnsi="Cambria"/>
          <w:sz w:val="20"/>
          <w:szCs w:val="20"/>
        </w:rPr>
        <w:t xml:space="preserve"> (Final Report No. 32), R</w:t>
      </w:r>
      <w:r w:rsidRPr="00C25F23">
        <w:rPr>
          <w:rFonts w:ascii="Cambria" w:hAnsi="Cambria"/>
          <w:color w:val="000000"/>
          <w:sz w:val="20"/>
          <w:szCs w:val="20"/>
        </w:rPr>
        <w:t>ecommendation 2 at 126.</w:t>
      </w:r>
      <w:r w:rsidRPr="005A4F4E">
        <w:rPr>
          <w:rFonts w:ascii="Cambria" w:hAnsi="Cambria"/>
          <w:color w:val="000000"/>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A06A1"/>
    <w:multiLevelType w:val="hybridMultilevel"/>
    <w:tmpl w:val="96082956"/>
    <w:lvl w:ilvl="0" w:tplc="D7DEF6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F7121C"/>
    <w:multiLevelType w:val="hybridMultilevel"/>
    <w:tmpl w:val="24F07DF2"/>
    <w:lvl w:ilvl="0" w:tplc="1C847D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034B6E"/>
    <w:multiLevelType w:val="hybridMultilevel"/>
    <w:tmpl w:val="A64EA4C4"/>
    <w:lvl w:ilvl="0" w:tplc="B440B192">
      <w:start w:val="15"/>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CA721E"/>
    <w:multiLevelType w:val="hybridMultilevel"/>
    <w:tmpl w:val="33406B6C"/>
    <w:lvl w:ilvl="0" w:tplc="7C58DA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6671511">
    <w:abstractNumId w:val="2"/>
  </w:num>
  <w:num w:numId="2" w16cid:durableId="789054269">
    <w:abstractNumId w:val="0"/>
  </w:num>
  <w:num w:numId="3" w16cid:durableId="169411952">
    <w:abstractNumId w:val="3"/>
  </w:num>
  <w:num w:numId="4" w16cid:durableId="1356349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60B"/>
    <w:rsid w:val="00024572"/>
    <w:rsid w:val="00046CC7"/>
    <w:rsid w:val="000A3C3E"/>
    <w:rsid w:val="000B0CAE"/>
    <w:rsid w:val="000E4CF0"/>
    <w:rsid w:val="000F0988"/>
    <w:rsid w:val="0013740D"/>
    <w:rsid w:val="00155DCF"/>
    <w:rsid w:val="00173EC9"/>
    <w:rsid w:val="00191C4E"/>
    <w:rsid w:val="001C7DA6"/>
    <w:rsid w:val="002119A5"/>
    <w:rsid w:val="00215FCE"/>
    <w:rsid w:val="002C1C56"/>
    <w:rsid w:val="002C3D2D"/>
    <w:rsid w:val="002C48C7"/>
    <w:rsid w:val="002C4E38"/>
    <w:rsid w:val="002D7B5D"/>
    <w:rsid w:val="002E09B7"/>
    <w:rsid w:val="0033625A"/>
    <w:rsid w:val="00343228"/>
    <w:rsid w:val="00377905"/>
    <w:rsid w:val="0038086D"/>
    <w:rsid w:val="003C3904"/>
    <w:rsid w:val="00454A6D"/>
    <w:rsid w:val="00492DB8"/>
    <w:rsid w:val="004C44BF"/>
    <w:rsid w:val="00502249"/>
    <w:rsid w:val="0055277A"/>
    <w:rsid w:val="0058001D"/>
    <w:rsid w:val="005A4F4E"/>
    <w:rsid w:val="005B53E5"/>
    <w:rsid w:val="005F1DC3"/>
    <w:rsid w:val="0061201D"/>
    <w:rsid w:val="006146BF"/>
    <w:rsid w:val="006402C2"/>
    <w:rsid w:val="00651AD1"/>
    <w:rsid w:val="00660C85"/>
    <w:rsid w:val="006D260B"/>
    <w:rsid w:val="007116B0"/>
    <w:rsid w:val="00712319"/>
    <w:rsid w:val="00720852"/>
    <w:rsid w:val="00735048"/>
    <w:rsid w:val="00744E45"/>
    <w:rsid w:val="00765946"/>
    <w:rsid w:val="00787BCB"/>
    <w:rsid w:val="007D01C7"/>
    <w:rsid w:val="00806C42"/>
    <w:rsid w:val="008218D7"/>
    <w:rsid w:val="008237AA"/>
    <w:rsid w:val="0083000C"/>
    <w:rsid w:val="00886AD5"/>
    <w:rsid w:val="008A5CC1"/>
    <w:rsid w:val="008C08A4"/>
    <w:rsid w:val="008C3E71"/>
    <w:rsid w:val="008C5253"/>
    <w:rsid w:val="00913207"/>
    <w:rsid w:val="00920F02"/>
    <w:rsid w:val="009328A0"/>
    <w:rsid w:val="00965A9F"/>
    <w:rsid w:val="00971305"/>
    <w:rsid w:val="00977F30"/>
    <w:rsid w:val="00A007DC"/>
    <w:rsid w:val="00A10221"/>
    <w:rsid w:val="00A10380"/>
    <w:rsid w:val="00A12578"/>
    <w:rsid w:val="00A15AB8"/>
    <w:rsid w:val="00A55030"/>
    <w:rsid w:val="00A75975"/>
    <w:rsid w:val="00AE0A68"/>
    <w:rsid w:val="00AE1E5F"/>
    <w:rsid w:val="00AE4231"/>
    <w:rsid w:val="00B405B1"/>
    <w:rsid w:val="00C00FCE"/>
    <w:rsid w:val="00C010E9"/>
    <w:rsid w:val="00C25F23"/>
    <w:rsid w:val="00C41C44"/>
    <w:rsid w:val="00C444A2"/>
    <w:rsid w:val="00C52F50"/>
    <w:rsid w:val="00C663F6"/>
    <w:rsid w:val="00C77B00"/>
    <w:rsid w:val="00C83509"/>
    <w:rsid w:val="00C95DFD"/>
    <w:rsid w:val="00CD0897"/>
    <w:rsid w:val="00CD3B51"/>
    <w:rsid w:val="00CE5235"/>
    <w:rsid w:val="00DB1E8F"/>
    <w:rsid w:val="00DE2582"/>
    <w:rsid w:val="00DF39EB"/>
    <w:rsid w:val="00E04EC6"/>
    <w:rsid w:val="00E453D7"/>
    <w:rsid w:val="00E85220"/>
    <w:rsid w:val="00EA0F7F"/>
    <w:rsid w:val="00EB368A"/>
    <w:rsid w:val="00F40C4D"/>
    <w:rsid w:val="00F45B8D"/>
    <w:rsid w:val="00FF41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271AC22"/>
  <w15:chartTrackingRefBased/>
  <w15:docId w15:val="{F322D336-3F6D-B94B-BE70-AA777509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DCF"/>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Footnote Text Char Char Char Char Char Char Char,Footnote Text Char Char Char Char Char Char,Footnote Text Char Char Char Char Char Char Char Char Char Char Char Char Char Char Char Char Char,single space Char,single space"/>
    <w:basedOn w:val="Normal"/>
    <w:link w:val="FootnoteTextChar"/>
    <w:uiPriority w:val="99"/>
    <w:unhideWhenUsed/>
    <w:rsid w:val="006D260B"/>
    <w:rPr>
      <w:rFonts w:asciiTheme="minorHAnsi" w:eastAsiaTheme="minorEastAsia" w:hAnsiTheme="minorHAnsi" w:cstheme="minorBidi"/>
      <w:lang w:val="en-US" w:eastAsia="en-US"/>
    </w:rPr>
  </w:style>
  <w:style w:type="character" w:customStyle="1" w:styleId="FootnoteTextChar">
    <w:name w:val="Footnote Text Char"/>
    <w:aliases w:val="Footnote Char,Text Char,Footnote Text Char Char Char Char Char Char Char Char,Footnote Text Char Char Char Char Char Char Char1,Footnote Text Char Char Char Char Char Char Char Char Char Char Char Char Char Char Char Char Char Char"/>
    <w:basedOn w:val="DefaultParagraphFont"/>
    <w:link w:val="FootnoteText"/>
    <w:uiPriority w:val="99"/>
    <w:rsid w:val="006D260B"/>
    <w:rPr>
      <w:rFonts w:eastAsiaTheme="minorEastAsia"/>
      <w:kern w:val="0"/>
      <w:lang w:val="en-US"/>
      <w14:ligatures w14:val="none"/>
    </w:rPr>
  </w:style>
  <w:style w:type="character" w:styleId="FootnoteReference">
    <w:name w:val="footnote reference"/>
    <w:aliases w:val="Footnotes refss"/>
    <w:basedOn w:val="DefaultParagraphFont"/>
    <w:uiPriority w:val="99"/>
    <w:unhideWhenUsed/>
    <w:rsid w:val="006D260B"/>
    <w:rPr>
      <w:vertAlign w:val="superscript"/>
    </w:rPr>
  </w:style>
  <w:style w:type="character" w:styleId="Hyperlink">
    <w:name w:val="Hyperlink"/>
    <w:basedOn w:val="DefaultParagraphFont"/>
    <w:uiPriority w:val="99"/>
    <w:unhideWhenUsed/>
    <w:rsid w:val="006D260B"/>
    <w:rPr>
      <w:color w:val="0563C1" w:themeColor="hyperlink"/>
      <w:u w:val="single"/>
    </w:rPr>
  </w:style>
  <w:style w:type="paragraph" w:styleId="Footer">
    <w:name w:val="footer"/>
    <w:basedOn w:val="Normal"/>
    <w:link w:val="FooterChar"/>
    <w:uiPriority w:val="99"/>
    <w:unhideWhenUsed/>
    <w:rsid w:val="006D260B"/>
    <w:pPr>
      <w:tabs>
        <w:tab w:val="center" w:pos="4513"/>
        <w:tab w:val="right" w:pos="9026"/>
      </w:tabs>
    </w:pPr>
    <w:rPr>
      <w:rFonts w:asciiTheme="minorHAnsi" w:eastAsiaTheme="minorEastAsia" w:hAnsiTheme="minorHAnsi" w:cstheme="minorBidi"/>
      <w:lang w:val="en-US" w:eastAsia="en-US"/>
    </w:rPr>
  </w:style>
  <w:style w:type="character" w:customStyle="1" w:styleId="FooterChar">
    <w:name w:val="Footer Char"/>
    <w:basedOn w:val="DefaultParagraphFont"/>
    <w:link w:val="Footer"/>
    <w:uiPriority w:val="99"/>
    <w:rsid w:val="006D260B"/>
    <w:rPr>
      <w:rFonts w:eastAsiaTheme="minorEastAsia"/>
      <w:kern w:val="0"/>
      <w:lang w:val="en-US"/>
      <w14:ligatures w14:val="none"/>
    </w:rPr>
  </w:style>
  <w:style w:type="character" w:styleId="PageNumber">
    <w:name w:val="page number"/>
    <w:basedOn w:val="DefaultParagraphFont"/>
    <w:uiPriority w:val="99"/>
    <w:semiHidden/>
    <w:unhideWhenUsed/>
    <w:rsid w:val="006D260B"/>
  </w:style>
  <w:style w:type="paragraph" w:styleId="ListParagraph">
    <w:name w:val="List Paragraph"/>
    <w:basedOn w:val="Normal"/>
    <w:uiPriority w:val="34"/>
    <w:qFormat/>
    <w:rsid w:val="006D260B"/>
    <w:pPr>
      <w:ind w:left="720"/>
      <w:contextualSpacing/>
    </w:pPr>
    <w:rPr>
      <w:rFonts w:asciiTheme="minorHAnsi" w:eastAsiaTheme="minorEastAsia" w:hAnsiTheme="minorHAnsi" w:cstheme="minorBidi"/>
      <w:lang w:val="en-US" w:eastAsia="en-US"/>
    </w:rPr>
  </w:style>
  <w:style w:type="character" w:styleId="UnresolvedMention">
    <w:name w:val="Unresolved Mention"/>
    <w:basedOn w:val="DefaultParagraphFont"/>
    <w:uiPriority w:val="99"/>
    <w:semiHidden/>
    <w:unhideWhenUsed/>
    <w:rsid w:val="00AE0A68"/>
    <w:rPr>
      <w:color w:val="605E5C"/>
      <w:shd w:val="clear" w:color="auto" w:fill="E1DFDD"/>
    </w:rPr>
  </w:style>
  <w:style w:type="paragraph" w:styleId="NoSpacing">
    <w:name w:val="No Spacing"/>
    <w:uiPriority w:val="1"/>
    <w:qFormat/>
    <w:rsid w:val="000A3C3E"/>
    <w:rPr>
      <w:rFonts w:ascii="Times New Roman" w:eastAsia="Times New Roman" w:hAnsi="Times New Roman" w:cs="Times New Roman"/>
      <w:kern w:val="0"/>
      <w:lang w:eastAsia="en-GB"/>
      <w14:ligatures w14:val="none"/>
    </w:rPr>
  </w:style>
  <w:style w:type="paragraph" w:styleId="NormalWeb">
    <w:name w:val="Normal (Web)"/>
    <w:basedOn w:val="Normal"/>
    <w:uiPriority w:val="99"/>
    <w:unhideWhenUsed/>
    <w:rsid w:val="000A3C3E"/>
    <w:pPr>
      <w:spacing w:before="100" w:beforeAutospacing="1" w:after="100" w:afterAutospacing="1"/>
    </w:pPr>
  </w:style>
  <w:style w:type="character" w:customStyle="1" w:styleId="-h">
    <w:name w:val="-h"/>
    <w:basedOn w:val="DefaultParagraphFont"/>
    <w:rsid w:val="00A12578"/>
  </w:style>
  <w:style w:type="paragraph" w:customStyle="1" w:styleId="normal-p">
    <w:name w:val="normal-p"/>
    <w:basedOn w:val="Normal"/>
    <w:rsid w:val="00A12578"/>
    <w:pPr>
      <w:spacing w:before="100" w:beforeAutospacing="1" w:after="100" w:afterAutospacing="1"/>
    </w:pPr>
  </w:style>
  <w:style w:type="character" w:customStyle="1" w:styleId="normal-h">
    <w:name w:val="normal-h"/>
    <w:basedOn w:val="DefaultParagraphFont"/>
    <w:rsid w:val="00A12578"/>
  </w:style>
  <w:style w:type="paragraph" w:customStyle="1" w:styleId="DraftHeading1">
    <w:name w:val="Draft Heading 1"/>
    <w:basedOn w:val="Normal"/>
    <w:next w:val="Normal"/>
    <w:link w:val="DraftHeading1Char"/>
    <w:rsid w:val="00A10221"/>
    <w:pPr>
      <w:overflowPunct w:val="0"/>
      <w:autoSpaceDE w:val="0"/>
      <w:autoSpaceDN w:val="0"/>
      <w:adjustRightInd w:val="0"/>
      <w:spacing w:before="120"/>
      <w:textAlignment w:val="baseline"/>
      <w:outlineLvl w:val="2"/>
    </w:pPr>
    <w:rPr>
      <w:b/>
      <w:lang w:eastAsia="en-US"/>
    </w:rPr>
  </w:style>
  <w:style w:type="paragraph" w:customStyle="1" w:styleId="DraftHeading2">
    <w:name w:val="Draft Heading 2"/>
    <w:basedOn w:val="Normal"/>
    <w:next w:val="Normal"/>
    <w:link w:val="DraftHeading2Char"/>
    <w:rsid w:val="00A10221"/>
    <w:pPr>
      <w:overflowPunct w:val="0"/>
      <w:autoSpaceDE w:val="0"/>
      <w:autoSpaceDN w:val="0"/>
      <w:adjustRightInd w:val="0"/>
      <w:spacing w:before="120"/>
      <w:textAlignment w:val="baseline"/>
    </w:pPr>
    <w:rPr>
      <w:szCs w:val="20"/>
      <w:lang w:eastAsia="en-US"/>
    </w:rPr>
  </w:style>
  <w:style w:type="paragraph" w:customStyle="1" w:styleId="DraftHeading3">
    <w:name w:val="Draft Heading 3"/>
    <w:basedOn w:val="Normal"/>
    <w:next w:val="Normal"/>
    <w:rsid w:val="00A10221"/>
    <w:pPr>
      <w:overflowPunct w:val="0"/>
      <w:autoSpaceDE w:val="0"/>
      <w:autoSpaceDN w:val="0"/>
      <w:adjustRightInd w:val="0"/>
      <w:spacing w:before="120"/>
      <w:textAlignment w:val="baseline"/>
    </w:pPr>
    <w:rPr>
      <w:szCs w:val="20"/>
      <w:lang w:eastAsia="en-US"/>
    </w:rPr>
  </w:style>
  <w:style w:type="paragraph" w:customStyle="1" w:styleId="DraftHeading4">
    <w:name w:val="Draft Heading 4"/>
    <w:basedOn w:val="Normal"/>
    <w:next w:val="Normal"/>
    <w:rsid w:val="00A10221"/>
    <w:pPr>
      <w:overflowPunct w:val="0"/>
      <w:autoSpaceDE w:val="0"/>
      <w:autoSpaceDN w:val="0"/>
      <w:adjustRightInd w:val="0"/>
      <w:spacing w:before="120"/>
      <w:textAlignment w:val="baseline"/>
    </w:pPr>
    <w:rPr>
      <w:szCs w:val="20"/>
      <w:lang w:eastAsia="en-US"/>
    </w:rPr>
  </w:style>
  <w:style w:type="character" w:customStyle="1" w:styleId="DraftHeading1Char">
    <w:name w:val="Draft Heading 1 Char"/>
    <w:basedOn w:val="DefaultParagraphFont"/>
    <w:link w:val="DraftHeading1"/>
    <w:locked/>
    <w:rsid w:val="00A10221"/>
    <w:rPr>
      <w:rFonts w:ascii="Times New Roman" w:eastAsia="Times New Roman" w:hAnsi="Times New Roman" w:cs="Times New Roman"/>
      <w:b/>
      <w:kern w:val="0"/>
      <w14:ligatures w14:val="none"/>
    </w:rPr>
  </w:style>
  <w:style w:type="character" w:customStyle="1" w:styleId="DraftHeading2Char">
    <w:name w:val="Draft Heading 2 Char"/>
    <w:basedOn w:val="DefaultParagraphFont"/>
    <w:link w:val="DraftHeading2"/>
    <w:locked/>
    <w:rsid w:val="00A10221"/>
    <w:rPr>
      <w:rFonts w:ascii="Times New Roman" w:eastAsia="Times New Roman" w:hAnsi="Times New Roman" w:cs="Times New Roman"/>
      <w:kern w:val="0"/>
      <w:szCs w:val="20"/>
      <w14:ligatures w14:val="none"/>
    </w:rPr>
  </w:style>
  <w:style w:type="character" w:customStyle="1" w:styleId="listnumber">
    <w:name w:val="listnumber"/>
    <w:basedOn w:val="DefaultParagraphFont"/>
    <w:rsid w:val="00CD3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95871">
      <w:bodyDiv w:val="1"/>
      <w:marLeft w:val="0"/>
      <w:marRight w:val="0"/>
      <w:marTop w:val="0"/>
      <w:marBottom w:val="0"/>
      <w:divBdr>
        <w:top w:val="none" w:sz="0" w:space="0" w:color="auto"/>
        <w:left w:val="none" w:sz="0" w:space="0" w:color="auto"/>
        <w:bottom w:val="none" w:sz="0" w:space="0" w:color="auto"/>
        <w:right w:val="none" w:sz="0" w:space="0" w:color="auto"/>
      </w:divBdr>
    </w:div>
    <w:div w:id="924995379">
      <w:bodyDiv w:val="1"/>
      <w:marLeft w:val="0"/>
      <w:marRight w:val="0"/>
      <w:marTop w:val="0"/>
      <w:marBottom w:val="0"/>
      <w:divBdr>
        <w:top w:val="none" w:sz="0" w:space="0" w:color="auto"/>
        <w:left w:val="none" w:sz="0" w:space="0" w:color="auto"/>
        <w:bottom w:val="none" w:sz="0" w:space="0" w:color="auto"/>
        <w:right w:val="none" w:sz="0" w:space="0" w:color="auto"/>
      </w:divBdr>
      <w:divsChild>
        <w:div w:id="1871143184">
          <w:blockQuote w:val="1"/>
          <w:marLeft w:val="720"/>
          <w:marRight w:val="0"/>
          <w:marTop w:val="120"/>
          <w:marBottom w:val="120"/>
          <w:divBdr>
            <w:top w:val="none" w:sz="0" w:space="0" w:color="auto"/>
            <w:left w:val="none" w:sz="0" w:space="0" w:color="auto"/>
            <w:bottom w:val="none" w:sz="0" w:space="0" w:color="auto"/>
            <w:right w:val="none" w:sz="0" w:space="0" w:color="auto"/>
          </w:divBdr>
        </w:div>
      </w:divsChild>
    </w:div>
    <w:div w:id="997920709">
      <w:bodyDiv w:val="1"/>
      <w:marLeft w:val="0"/>
      <w:marRight w:val="0"/>
      <w:marTop w:val="0"/>
      <w:marBottom w:val="0"/>
      <w:divBdr>
        <w:top w:val="none" w:sz="0" w:space="0" w:color="auto"/>
        <w:left w:val="none" w:sz="0" w:space="0" w:color="auto"/>
        <w:bottom w:val="none" w:sz="0" w:space="0" w:color="auto"/>
        <w:right w:val="none" w:sz="0" w:space="0" w:color="auto"/>
      </w:divBdr>
      <w:divsChild>
        <w:div w:id="1147668883">
          <w:marLeft w:val="0"/>
          <w:marRight w:val="0"/>
          <w:marTop w:val="0"/>
          <w:marBottom w:val="0"/>
          <w:divBdr>
            <w:top w:val="none" w:sz="0" w:space="0" w:color="auto"/>
            <w:left w:val="none" w:sz="0" w:space="0" w:color="auto"/>
            <w:bottom w:val="none" w:sz="0" w:space="0" w:color="auto"/>
            <w:right w:val="none" w:sz="0" w:space="0" w:color="auto"/>
          </w:divBdr>
        </w:div>
        <w:div w:id="1225412703">
          <w:marLeft w:val="0"/>
          <w:marRight w:val="0"/>
          <w:marTop w:val="0"/>
          <w:marBottom w:val="0"/>
          <w:divBdr>
            <w:top w:val="none" w:sz="0" w:space="0" w:color="auto"/>
            <w:left w:val="none" w:sz="0" w:space="0" w:color="auto"/>
            <w:bottom w:val="none" w:sz="0" w:space="0" w:color="auto"/>
            <w:right w:val="none" w:sz="0" w:space="0" w:color="auto"/>
          </w:divBdr>
        </w:div>
        <w:div w:id="1510216514">
          <w:marLeft w:val="0"/>
          <w:marRight w:val="0"/>
          <w:marTop w:val="0"/>
          <w:marBottom w:val="0"/>
          <w:divBdr>
            <w:top w:val="none" w:sz="0" w:space="0" w:color="auto"/>
            <w:left w:val="none" w:sz="0" w:space="0" w:color="auto"/>
            <w:bottom w:val="none" w:sz="0" w:space="0" w:color="auto"/>
            <w:right w:val="none" w:sz="0" w:space="0" w:color="auto"/>
          </w:divBdr>
        </w:div>
        <w:div w:id="1805853111">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535457600">
              <w:blockQuote w:val="1"/>
              <w:marLeft w:val="0"/>
              <w:marRight w:val="0"/>
              <w:marTop w:val="120"/>
              <w:marBottom w:val="120"/>
              <w:divBdr>
                <w:top w:val="none" w:sz="0" w:space="0" w:color="auto"/>
                <w:left w:val="none" w:sz="0" w:space="0" w:color="auto"/>
                <w:bottom w:val="none" w:sz="0" w:space="0" w:color="auto"/>
                <w:right w:val="none" w:sz="0" w:space="0" w:color="auto"/>
              </w:divBdr>
            </w:div>
            <w:div w:id="185264163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950357499">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643542698">
              <w:blockQuote w:val="1"/>
              <w:marLeft w:val="0"/>
              <w:marRight w:val="0"/>
              <w:marTop w:val="120"/>
              <w:marBottom w:val="120"/>
              <w:divBdr>
                <w:top w:val="none" w:sz="0" w:space="0" w:color="auto"/>
                <w:left w:val="none" w:sz="0" w:space="0" w:color="auto"/>
                <w:bottom w:val="none" w:sz="0" w:space="0" w:color="auto"/>
                <w:right w:val="none" w:sz="0" w:space="0" w:color="auto"/>
              </w:divBdr>
              <w:divsChild>
                <w:div w:id="2028867784">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14179503">
                      <w:blockQuote w:val="1"/>
                      <w:marLeft w:val="0"/>
                      <w:marRight w:val="0"/>
                      <w:marTop w:val="120"/>
                      <w:marBottom w:val="120"/>
                      <w:divBdr>
                        <w:top w:val="none" w:sz="0" w:space="0" w:color="auto"/>
                        <w:left w:val="none" w:sz="0" w:space="0" w:color="auto"/>
                        <w:bottom w:val="none" w:sz="0" w:space="0" w:color="auto"/>
                        <w:right w:val="none" w:sz="0" w:space="0" w:color="auto"/>
                      </w:divBdr>
                    </w:div>
                    <w:div w:id="2637816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8169234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984188751">
          <w:blockQuote w:val="1"/>
          <w:marLeft w:val="0"/>
          <w:marRight w:val="0"/>
          <w:marTop w:val="100"/>
          <w:marBottom w:val="100"/>
          <w:divBdr>
            <w:top w:val="none" w:sz="0" w:space="0" w:color="auto"/>
            <w:left w:val="none" w:sz="0" w:space="0" w:color="auto"/>
            <w:bottom w:val="none" w:sz="0" w:space="0" w:color="auto"/>
            <w:right w:val="none" w:sz="0" w:space="0" w:color="auto"/>
          </w:divBdr>
        </w:div>
        <w:div w:id="1791976970">
          <w:blockQuote w:val="1"/>
          <w:marLeft w:val="720"/>
          <w:marRight w:val="0"/>
          <w:marTop w:val="120"/>
          <w:marBottom w:val="120"/>
          <w:divBdr>
            <w:top w:val="none" w:sz="0" w:space="0" w:color="auto"/>
            <w:left w:val="none" w:sz="0" w:space="0" w:color="auto"/>
            <w:bottom w:val="none" w:sz="0" w:space="0" w:color="auto"/>
            <w:right w:val="none" w:sz="0" w:space="0" w:color="auto"/>
          </w:divBdr>
        </w:div>
        <w:div w:id="949892972">
          <w:blockQuote w:val="1"/>
          <w:marLeft w:val="720"/>
          <w:marRight w:val="0"/>
          <w:marTop w:val="120"/>
          <w:marBottom w:val="120"/>
          <w:divBdr>
            <w:top w:val="none" w:sz="0" w:space="0" w:color="auto"/>
            <w:left w:val="none" w:sz="0" w:space="0" w:color="auto"/>
            <w:bottom w:val="none" w:sz="0" w:space="0" w:color="auto"/>
            <w:right w:val="none" w:sz="0" w:space="0" w:color="auto"/>
          </w:divBdr>
        </w:div>
      </w:divsChild>
    </w:div>
    <w:div w:id="1041174387">
      <w:bodyDiv w:val="1"/>
      <w:marLeft w:val="0"/>
      <w:marRight w:val="0"/>
      <w:marTop w:val="0"/>
      <w:marBottom w:val="0"/>
      <w:divBdr>
        <w:top w:val="none" w:sz="0" w:space="0" w:color="auto"/>
        <w:left w:val="none" w:sz="0" w:space="0" w:color="auto"/>
        <w:bottom w:val="none" w:sz="0" w:space="0" w:color="auto"/>
        <w:right w:val="none" w:sz="0" w:space="0" w:color="auto"/>
      </w:divBdr>
      <w:divsChild>
        <w:div w:id="564992223">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877083433">
              <w:blockQuote w:val="1"/>
              <w:marLeft w:val="0"/>
              <w:marRight w:val="0"/>
              <w:marTop w:val="120"/>
              <w:marBottom w:val="120"/>
              <w:divBdr>
                <w:top w:val="none" w:sz="0" w:space="0" w:color="auto"/>
                <w:left w:val="none" w:sz="0" w:space="0" w:color="auto"/>
                <w:bottom w:val="none" w:sz="0" w:space="0" w:color="auto"/>
                <w:right w:val="none" w:sz="0" w:space="0" w:color="auto"/>
              </w:divBdr>
            </w:div>
            <w:div w:id="188278554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91590951">
      <w:bodyDiv w:val="1"/>
      <w:marLeft w:val="0"/>
      <w:marRight w:val="0"/>
      <w:marTop w:val="0"/>
      <w:marBottom w:val="0"/>
      <w:divBdr>
        <w:top w:val="none" w:sz="0" w:space="0" w:color="auto"/>
        <w:left w:val="none" w:sz="0" w:space="0" w:color="auto"/>
        <w:bottom w:val="none" w:sz="0" w:space="0" w:color="auto"/>
        <w:right w:val="none" w:sz="0" w:space="0" w:color="auto"/>
      </w:divBdr>
    </w:div>
    <w:div w:id="1346246461">
      <w:bodyDiv w:val="1"/>
      <w:marLeft w:val="0"/>
      <w:marRight w:val="0"/>
      <w:marTop w:val="0"/>
      <w:marBottom w:val="0"/>
      <w:divBdr>
        <w:top w:val="none" w:sz="0" w:space="0" w:color="auto"/>
        <w:left w:val="none" w:sz="0" w:space="0" w:color="auto"/>
        <w:bottom w:val="none" w:sz="0" w:space="0" w:color="auto"/>
        <w:right w:val="none" w:sz="0" w:space="0" w:color="auto"/>
      </w:divBdr>
      <w:divsChild>
        <w:div w:id="1661303549">
          <w:marLeft w:val="0"/>
          <w:marRight w:val="0"/>
          <w:marTop w:val="0"/>
          <w:marBottom w:val="0"/>
          <w:divBdr>
            <w:top w:val="none" w:sz="0" w:space="0" w:color="auto"/>
            <w:left w:val="none" w:sz="0" w:space="0" w:color="auto"/>
            <w:bottom w:val="none" w:sz="0" w:space="0" w:color="auto"/>
            <w:right w:val="none" w:sz="0" w:space="0" w:color="auto"/>
          </w:divBdr>
        </w:div>
        <w:div w:id="1759935562">
          <w:marLeft w:val="0"/>
          <w:marRight w:val="0"/>
          <w:marTop w:val="0"/>
          <w:marBottom w:val="0"/>
          <w:divBdr>
            <w:top w:val="none" w:sz="0" w:space="0" w:color="auto"/>
            <w:left w:val="none" w:sz="0" w:space="0" w:color="auto"/>
            <w:bottom w:val="none" w:sz="0" w:space="0" w:color="auto"/>
            <w:right w:val="none" w:sz="0" w:space="0" w:color="auto"/>
          </w:divBdr>
        </w:div>
        <w:div w:id="1088699993">
          <w:marLeft w:val="0"/>
          <w:marRight w:val="0"/>
          <w:marTop w:val="0"/>
          <w:marBottom w:val="0"/>
          <w:divBdr>
            <w:top w:val="none" w:sz="0" w:space="0" w:color="auto"/>
            <w:left w:val="none" w:sz="0" w:space="0" w:color="auto"/>
            <w:bottom w:val="none" w:sz="0" w:space="0" w:color="auto"/>
            <w:right w:val="none" w:sz="0" w:space="0" w:color="auto"/>
          </w:divBdr>
        </w:div>
        <w:div w:id="92753152">
          <w:marLeft w:val="0"/>
          <w:marRight w:val="0"/>
          <w:marTop w:val="0"/>
          <w:marBottom w:val="0"/>
          <w:divBdr>
            <w:top w:val="none" w:sz="0" w:space="0" w:color="auto"/>
            <w:left w:val="none" w:sz="0" w:space="0" w:color="auto"/>
            <w:bottom w:val="none" w:sz="0" w:space="0" w:color="auto"/>
            <w:right w:val="none" w:sz="0" w:space="0" w:color="auto"/>
          </w:divBdr>
        </w:div>
        <w:div w:id="145516760">
          <w:marLeft w:val="0"/>
          <w:marRight w:val="0"/>
          <w:marTop w:val="0"/>
          <w:marBottom w:val="0"/>
          <w:divBdr>
            <w:top w:val="none" w:sz="0" w:space="0" w:color="auto"/>
            <w:left w:val="none" w:sz="0" w:space="0" w:color="auto"/>
            <w:bottom w:val="none" w:sz="0" w:space="0" w:color="auto"/>
            <w:right w:val="none" w:sz="0" w:space="0" w:color="auto"/>
          </w:divBdr>
        </w:div>
        <w:div w:id="1358896559">
          <w:marLeft w:val="0"/>
          <w:marRight w:val="0"/>
          <w:marTop w:val="0"/>
          <w:marBottom w:val="0"/>
          <w:divBdr>
            <w:top w:val="none" w:sz="0" w:space="0" w:color="auto"/>
            <w:left w:val="none" w:sz="0" w:space="0" w:color="auto"/>
            <w:bottom w:val="none" w:sz="0" w:space="0" w:color="auto"/>
            <w:right w:val="none" w:sz="0" w:space="0" w:color="auto"/>
          </w:divBdr>
        </w:div>
        <w:div w:id="1342390572">
          <w:marLeft w:val="0"/>
          <w:marRight w:val="0"/>
          <w:marTop w:val="0"/>
          <w:marBottom w:val="0"/>
          <w:divBdr>
            <w:top w:val="none" w:sz="0" w:space="0" w:color="auto"/>
            <w:left w:val="none" w:sz="0" w:space="0" w:color="auto"/>
            <w:bottom w:val="none" w:sz="0" w:space="0" w:color="auto"/>
            <w:right w:val="none" w:sz="0" w:space="0" w:color="auto"/>
          </w:divBdr>
        </w:div>
      </w:divsChild>
    </w:div>
    <w:div w:id="1686322587">
      <w:bodyDiv w:val="1"/>
      <w:marLeft w:val="0"/>
      <w:marRight w:val="0"/>
      <w:marTop w:val="0"/>
      <w:marBottom w:val="0"/>
      <w:divBdr>
        <w:top w:val="none" w:sz="0" w:space="0" w:color="auto"/>
        <w:left w:val="none" w:sz="0" w:space="0" w:color="auto"/>
        <w:bottom w:val="none" w:sz="0" w:space="0" w:color="auto"/>
        <w:right w:val="none" w:sz="0" w:space="0" w:color="auto"/>
      </w:divBdr>
    </w:div>
    <w:div w:id="1757903325">
      <w:bodyDiv w:val="1"/>
      <w:marLeft w:val="0"/>
      <w:marRight w:val="0"/>
      <w:marTop w:val="0"/>
      <w:marBottom w:val="0"/>
      <w:divBdr>
        <w:top w:val="none" w:sz="0" w:space="0" w:color="auto"/>
        <w:left w:val="none" w:sz="0" w:space="0" w:color="auto"/>
        <w:bottom w:val="none" w:sz="0" w:space="0" w:color="auto"/>
        <w:right w:val="none" w:sz="0" w:space="0" w:color="auto"/>
      </w:divBdr>
      <w:divsChild>
        <w:div w:id="1023482575">
          <w:blockQuote w:val="1"/>
          <w:marLeft w:val="600"/>
          <w:marRight w:val="0"/>
          <w:marTop w:val="80"/>
          <w:marBottom w:val="80"/>
          <w:divBdr>
            <w:top w:val="none" w:sz="0" w:space="0" w:color="auto"/>
            <w:left w:val="none" w:sz="0" w:space="0" w:color="auto"/>
            <w:bottom w:val="none" w:sz="0" w:space="0" w:color="auto"/>
            <w:right w:val="none" w:sz="0" w:space="0" w:color="auto"/>
          </w:divBdr>
        </w:div>
        <w:div w:id="338579221">
          <w:blockQuote w:val="1"/>
          <w:marLeft w:val="600"/>
          <w:marRight w:val="0"/>
          <w:marTop w:val="80"/>
          <w:marBottom w:val="80"/>
          <w:divBdr>
            <w:top w:val="none" w:sz="0" w:space="0" w:color="auto"/>
            <w:left w:val="none" w:sz="0" w:space="0" w:color="auto"/>
            <w:bottom w:val="none" w:sz="0" w:space="0" w:color="auto"/>
            <w:right w:val="none" w:sz="0" w:space="0" w:color="auto"/>
          </w:divBdr>
        </w:div>
        <w:div w:id="1755317628">
          <w:blockQuote w:val="1"/>
          <w:marLeft w:val="600"/>
          <w:marRight w:val="0"/>
          <w:marTop w:val="8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veyoursay@justice.tas.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equalitytasmania.org.au/concern-conversion-bill-will-allow-practices-to-continue/" TargetMode="External"/><Relationship Id="rId1" Type="http://schemas.openxmlformats.org/officeDocument/2006/relationships/hyperlink" Target="https://www.abc.net.au/news/2023-02-17/nsw-bipartisan-support-in-for-gay-conversion-ban/1019886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2024-02-25T21:37:00Z</cp:lastPrinted>
  <dcterms:created xsi:type="dcterms:W3CDTF">2024-02-26T01:24:00Z</dcterms:created>
  <dcterms:modified xsi:type="dcterms:W3CDTF">2024-02-26T01:24:00Z</dcterms:modified>
</cp:coreProperties>
</file>