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16F" w:rsidRPr="00404F7A" w:rsidRDefault="0010716F" w:rsidP="0010716F">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706601C9" wp14:editId="145F6E96">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10716F" w:rsidRPr="00C8369E" w:rsidRDefault="0010716F" w:rsidP="0010716F">
      <w:pPr>
        <w:ind w:right="-205"/>
        <w:jc w:val="both"/>
        <w:rPr>
          <w:rFonts w:ascii="Cambria" w:hAnsi="Cambria"/>
          <w:color w:val="000000" w:themeColor="text1"/>
        </w:rPr>
      </w:pPr>
    </w:p>
    <w:p w:rsidR="0010716F" w:rsidRPr="00C8369E" w:rsidRDefault="0010716F" w:rsidP="0010716F">
      <w:pPr>
        <w:ind w:right="-205"/>
        <w:jc w:val="both"/>
        <w:rPr>
          <w:rFonts w:ascii="Cambria" w:hAnsi="Cambria"/>
          <w:color w:val="000000" w:themeColor="text1"/>
        </w:rPr>
      </w:pPr>
    </w:p>
    <w:p w:rsidR="0010716F" w:rsidRPr="00C8369E" w:rsidRDefault="0010716F" w:rsidP="0010716F">
      <w:pPr>
        <w:ind w:right="-205"/>
        <w:jc w:val="both"/>
        <w:rPr>
          <w:rFonts w:ascii="Cambria" w:hAnsi="Cambria"/>
          <w:color w:val="000000" w:themeColor="text1"/>
        </w:rPr>
      </w:pPr>
      <w:r w:rsidRPr="00C8369E">
        <w:rPr>
          <w:rFonts w:ascii="Cambria" w:hAnsi="Cambria"/>
          <w:color w:val="000000" w:themeColor="text1"/>
        </w:rPr>
        <w:t>5 February 2024</w:t>
      </w:r>
    </w:p>
    <w:p w:rsidR="0010716F" w:rsidRPr="00C8369E" w:rsidRDefault="0010716F" w:rsidP="0010716F">
      <w:pPr>
        <w:ind w:right="-347"/>
        <w:rPr>
          <w:rFonts w:ascii="Cambria" w:hAnsi="Cambria"/>
          <w:color w:val="000000" w:themeColor="text1"/>
        </w:rPr>
      </w:pPr>
    </w:p>
    <w:p w:rsidR="0010716F" w:rsidRPr="00C8369E" w:rsidRDefault="0010716F" w:rsidP="0010716F">
      <w:pPr>
        <w:ind w:right="-347"/>
        <w:rPr>
          <w:rFonts w:ascii="Cambria" w:hAnsi="Cambria"/>
          <w:color w:val="000000" w:themeColor="text1"/>
        </w:rPr>
      </w:pPr>
      <w:r w:rsidRPr="00C8369E">
        <w:rPr>
          <w:rFonts w:ascii="Cambria" w:hAnsi="Cambria"/>
          <w:color w:val="000000" w:themeColor="text1"/>
        </w:rPr>
        <w:t>WorkSafe Tasmania</w:t>
      </w:r>
    </w:p>
    <w:p w:rsidR="0010716F" w:rsidRPr="00C8369E" w:rsidRDefault="0010716F" w:rsidP="0010716F">
      <w:pPr>
        <w:ind w:right="-347"/>
        <w:rPr>
          <w:rFonts w:ascii="Cambria" w:hAnsi="Cambria"/>
          <w:color w:val="000000" w:themeColor="text1"/>
        </w:rPr>
      </w:pPr>
      <w:r w:rsidRPr="00C8369E">
        <w:rPr>
          <w:rFonts w:ascii="Cambria" w:hAnsi="Cambria"/>
          <w:color w:val="000000" w:themeColor="text1"/>
        </w:rPr>
        <w:t>Department of Justice</w:t>
      </w:r>
    </w:p>
    <w:p w:rsidR="0010716F" w:rsidRPr="00C8369E" w:rsidRDefault="0010716F" w:rsidP="0010716F">
      <w:pPr>
        <w:ind w:right="-347"/>
        <w:rPr>
          <w:rFonts w:ascii="Cambria" w:hAnsi="Cambria"/>
          <w:color w:val="000000" w:themeColor="text1"/>
        </w:rPr>
      </w:pPr>
      <w:r w:rsidRPr="00C8369E">
        <w:rPr>
          <w:rFonts w:ascii="Cambria" w:hAnsi="Cambria"/>
          <w:color w:val="000000" w:themeColor="text1"/>
        </w:rPr>
        <w:t>PO Box 56</w:t>
      </w:r>
    </w:p>
    <w:p w:rsidR="0010716F" w:rsidRPr="00C8369E" w:rsidRDefault="0010716F" w:rsidP="0010716F">
      <w:pPr>
        <w:ind w:right="-347"/>
        <w:rPr>
          <w:rFonts w:ascii="Cambria" w:hAnsi="Cambria"/>
          <w:color w:val="000000" w:themeColor="text1"/>
        </w:rPr>
      </w:pPr>
      <w:r w:rsidRPr="00C8369E">
        <w:rPr>
          <w:rFonts w:ascii="Cambria" w:hAnsi="Cambria"/>
          <w:color w:val="000000" w:themeColor="text1"/>
        </w:rPr>
        <w:t>Rosny Park TAS 7018</w:t>
      </w:r>
    </w:p>
    <w:p w:rsidR="0010716F" w:rsidRPr="00C8369E" w:rsidRDefault="0010716F" w:rsidP="0010716F">
      <w:pPr>
        <w:ind w:right="-347"/>
        <w:rPr>
          <w:rFonts w:ascii="Cambria" w:hAnsi="Cambria"/>
          <w:color w:val="000000" w:themeColor="text1"/>
        </w:rPr>
      </w:pPr>
      <w:proofErr w:type="spellStart"/>
      <w:r w:rsidRPr="00C8369E">
        <w:rPr>
          <w:rFonts w:ascii="Cambria" w:hAnsi="Cambria"/>
          <w:color w:val="000000" w:themeColor="text1"/>
        </w:rPr>
        <w:t>attn:</w:t>
      </w:r>
      <w:proofErr w:type="spellEnd"/>
      <w:r w:rsidRPr="00C8369E">
        <w:rPr>
          <w:rFonts w:ascii="Cambria" w:hAnsi="Cambria"/>
          <w:color w:val="000000" w:themeColor="text1"/>
        </w:rPr>
        <w:t xml:space="preserve"> Acting Director of Policy and Projects</w:t>
      </w:r>
      <w:r w:rsidRPr="00C8369E">
        <w:rPr>
          <w:rFonts w:ascii="Cambria" w:hAnsi="Cambria"/>
          <w:color w:val="000000" w:themeColor="text1"/>
        </w:rPr>
        <w:tab/>
      </w:r>
      <w:r w:rsidRPr="00C8369E">
        <w:rPr>
          <w:rFonts w:ascii="Cambria" w:hAnsi="Cambria"/>
          <w:color w:val="000000" w:themeColor="text1"/>
        </w:rPr>
        <w:tab/>
      </w:r>
      <w:r w:rsidRPr="00C8369E">
        <w:rPr>
          <w:rFonts w:ascii="Cambria" w:hAnsi="Cambria"/>
          <w:color w:val="000000" w:themeColor="text1"/>
        </w:rPr>
        <w:tab/>
      </w:r>
    </w:p>
    <w:p w:rsidR="0010716F" w:rsidRPr="00C8369E" w:rsidRDefault="0010716F" w:rsidP="0010716F">
      <w:pPr>
        <w:ind w:left="3600" w:right="-347" w:firstLine="720"/>
        <w:rPr>
          <w:rFonts w:ascii="Cambria" w:hAnsi="Cambria"/>
          <w:color w:val="000000" w:themeColor="text1"/>
        </w:rPr>
      </w:pPr>
      <w:r w:rsidRPr="00C8369E">
        <w:rPr>
          <w:rFonts w:ascii="Cambria" w:hAnsi="Cambria"/>
          <w:i/>
          <w:iCs/>
          <w:color w:val="000000" w:themeColor="text1"/>
        </w:rPr>
        <w:t xml:space="preserve">via email: </w:t>
      </w:r>
      <w:hyperlink r:id="rId8" w:history="1">
        <w:r w:rsidRPr="00C8369E">
          <w:rPr>
            <w:rStyle w:val="Hyperlink"/>
            <w:rFonts w:ascii="Cambria" w:eastAsiaTheme="majorEastAsia" w:hAnsi="Cambria"/>
            <w:i/>
            <w:iCs/>
          </w:rPr>
          <w:t>worksafepolicy@justice.tas.gov.au</w:t>
        </w:r>
      </w:hyperlink>
    </w:p>
    <w:p w:rsidR="0010716F" w:rsidRPr="00C8369E" w:rsidRDefault="0010716F" w:rsidP="0010716F">
      <w:pPr>
        <w:ind w:right="-347"/>
        <w:rPr>
          <w:rFonts w:ascii="Cambria" w:hAnsi="Cambria"/>
          <w:color w:val="000000" w:themeColor="text1"/>
        </w:rPr>
      </w:pPr>
    </w:p>
    <w:p w:rsidR="0010716F" w:rsidRPr="00C8369E" w:rsidRDefault="0010716F" w:rsidP="0010716F">
      <w:pPr>
        <w:ind w:right="-347"/>
        <w:rPr>
          <w:rFonts w:ascii="Cambria" w:hAnsi="Cambria"/>
          <w:color w:val="000000" w:themeColor="text1"/>
        </w:rPr>
      </w:pPr>
      <w:r w:rsidRPr="00C8369E">
        <w:rPr>
          <w:rFonts w:ascii="Cambria" w:hAnsi="Cambria"/>
          <w:color w:val="000000" w:themeColor="text1"/>
        </w:rPr>
        <w:t xml:space="preserve">To </w:t>
      </w:r>
      <w:proofErr w:type="spellStart"/>
      <w:r w:rsidRPr="00C8369E">
        <w:rPr>
          <w:rFonts w:ascii="Cambria" w:hAnsi="Cambria"/>
          <w:color w:val="000000" w:themeColor="text1"/>
        </w:rPr>
        <w:t>Lindi</w:t>
      </w:r>
      <w:proofErr w:type="spellEnd"/>
      <w:r w:rsidRPr="00C8369E">
        <w:rPr>
          <w:rFonts w:ascii="Cambria" w:hAnsi="Cambria"/>
          <w:color w:val="000000" w:themeColor="text1"/>
        </w:rPr>
        <w:t xml:space="preserve"> Bell,  </w:t>
      </w:r>
    </w:p>
    <w:p w:rsidR="0010716F" w:rsidRPr="00C8369E" w:rsidRDefault="0010716F" w:rsidP="0010716F">
      <w:pPr>
        <w:pBdr>
          <w:bottom w:val="single" w:sz="6" w:space="1" w:color="auto"/>
        </w:pBdr>
        <w:jc w:val="both"/>
        <w:rPr>
          <w:rFonts w:ascii="Cambria" w:hAnsi="Cambria"/>
          <w:b/>
          <w:color w:val="000000" w:themeColor="text1"/>
        </w:rPr>
      </w:pPr>
      <w:r w:rsidRPr="00C8369E">
        <w:rPr>
          <w:rFonts w:ascii="Cambria" w:hAnsi="Cambria"/>
          <w:b/>
          <w:color w:val="000000" w:themeColor="text1"/>
        </w:rPr>
        <w:t xml:space="preserve">Re: </w:t>
      </w:r>
      <w:r w:rsidRPr="00C8369E">
        <w:rPr>
          <w:rFonts w:ascii="Cambria" w:hAnsi="Cambria"/>
          <w:b/>
          <w:bCs/>
          <w:i/>
          <w:iCs/>
          <w:color w:val="000000" w:themeColor="text1"/>
        </w:rPr>
        <w:t>Consultation on Industrial Manslaughter Offence</w:t>
      </w:r>
    </w:p>
    <w:p w:rsidR="0010716F" w:rsidRPr="00C8369E" w:rsidRDefault="0010716F" w:rsidP="0010716F">
      <w:pPr>
        <w:ind w:right="-64"/>
        <w:jc w:val="both"/>
        <w:rPr>
          <w:rFonts w:ascii="Cambria" w:hAnsi="Cambria"/>
          <w:color w:val="000000" w:themeColor="text1"/>
        </w:rPr>
      </w:pPr>
    </w:p>
    <w:p w:rsidR="0010716F" w:rsidRPr="00C8369E" w:rsidRDefault="0010716F" w:rsidP="0010716F">
      <w:pPr>
        <w:ind w:right="-347"/>
        <w:jc w:val="both"/>
        <w:rPr>
          <w:rFonts w:ascii="Cambria" w:hAnsi="Cambria"/>
          <w:color w:val="000000" w:themeColor="text1"/>
        </w:rPr>
      </w:pPr>
      <w:r w:rsidRPr="00C8369E">
        <w:rPr>
          <w:rFonts w:ascii="Cambria" w:hAnsi="Cambria" w:cs="Calibri"/>
          <w:color w:val="000000" w:themeColor="text1"/>
        </w:rPr>
        <w:t>Community Legal Centres Tasmania (CLC Tas)</w:t>
      </w:r>
      <w:r w:rsidRPr="00C8369E">
        <w:rPr>
          <w:rFonts w:ascii="Cambria" w:hAnsi="Cambria"/>
          <w:color w:val="000000" w:themeColor="text1"/>
        </w:rPr>
        <w:t xml:space="preserve"> welcomes the opportunity to provide comment on the consultation into introducing an industrial manslaughter offence</w:t>
      </w:r>
      <w:r w:rsidR="00856B44" w:rsidRPr="00C8369E">
        <w:rPr>
          <w:rFonts w:ascii="Cambria" w:hAnsi="Cambria"/>
          <w:color w:val="000000" w:themeColor="text1"/>
        </w:rPr>
        <w:t xml:space="preserve"> in Tasmania</w:t>
      </w:r>
      <w:r w:rsidRPr="00C8369E">
        <w:rPr>
          <w:rFonts w:ascii="Cambria" w:hAnsi="Cambria"/>
          <w:iCs/>
          <w:color w:val="000000" w:themeColor="text1"/>
        </w:rPr>
        <w:t>.</w:t>
      </w:r>
      <w:r w:rsidRPr="00C8369E">
        <w:rPr>
          <w:rStyle w:val="FootnoteReference"/>
          <w:rFonts w:ascii="Cambria" w:hAnsi="Cambria"/>
          <w:iCs/>
          <w:color w:val="000000" w:themeColor="text1"/>
        </w:rPr>
        <w:footnoteReference w:id="1"/>
      </w:r>
      <w:r w:rsidR="00856B44" w:rsidRPr="00C8369E">
        <w:rPr>
          <w:rFonts w:ascii="Cambria" w:hAnsi="Cambria"/>
          <w:iCs/>
          <w:color w:val="000000" w:themeColor="text1"/>
        </w:rPr>
        <w:t xml:space="preserve"> Twenty years ago, the Tasmania Law Reform Institute commenced work on</w:t>
      </w:r>
      <w:r w:rsidR="00EC547E" w:rsidRPr="00C8369E">
        <w:rPr>
          <w:rFonts w:ascii="Cambria" w:hAnsi="Cambria"/>
          <w:iCs/>
          <w:color w:val="000000" w:themeColor="text1"/>
        </w:rPr>
        <w:t xml:space="preserve"> </w:t>
      </w:r>
      <w:r w:rsidR="006B053D" w:rsidRPr="00C8369E">
        <w:rPr>
          <w:rFonts w:ascii="Cambria" w:hAnsi="Cambria"/>
          <w:iCs/>
          <w:color w:val="000000" w:themeColor="text1"/>
        </w:rPr>
        <w:t>its</w:t>
      </w:r>
      <w:r w:rsidR="00856B44" w:rsidRPr="00C8369E">
        <w:rPr>
          <w:rFonts w:ascii="Cambria" w:hAnsi="Cambria"/>
          <w:iCs/>
          <w:color w:val="000000" w:themeColor="text1"/>
        </w:rPr>
        <w:t xml:space="preserve"> </w:t>
      </w:r>
      <w:r w:rsidR="00856B44" w:rsidRPr="00C8369E">
        <w:rPr>
          <w:rFonts w:ascii="Cambria" w:hAnsi="Cambria"/>
          <w:i/>
          <w:color w:val="000000" w:themeColor="text1"/>
        </w:rPr>
        <w:t>Criminal Liability of Organisations</w:t>
      </w:r>
      <w:r w:rsidR="00856B44" w:rsidRPr="00C8369E">
        <w:rPr>
          <w:rFonts w:ascii="Cambria" w:hAnsi="Cambria"/>
          <w:iCs/>
          <w:color w:val="000000" w:themeColor="text1"/>
        </w:rPr>
        <w:t xml:space="preserve"> </w:t>
      </w:r>
      <w:r w:rsidR="006B053D" w:rsidRPr="00C8369E">
        <w:rPr>
          <w:rFonts w:ascii="Cambria" w:hAnsi="Cambria"/>
          <w:iCs/>
          <w:color w:val="000000" w:themeColor="text1"/>
        </w:rPr>
        <w:t xml:space="preserve">project </w:t>
      </w:r>
      <w:r w:rsidR="00856B44" w:rsidRPr="00C8369E">
        <w:rPr>
          <w:rFonts w:ascii="Cambria" w:hAnsi="Cambria"/>
          <w:iCs/>
          <w:color w:val="000000" w:themeColor="text1"/>
        </w:rPr>
        <w:t xml:space="preserve">which </w:t>
      </w:r>
      <w:r w:rsidR="00EC547E" w:rsidRPr="00C8369E">
        <w:rPr>
          <w:rFonts w:ascii="Cambria" w:hAnsi="Cambria"/>
          <w:iCs/>
          <w:color w:val="000000" w:themeColor="text1"/>
        </w:rPr>
        <w:t>recommended</w:t>
      </w:r>
      <w:r w:rsidR="00856B44" w:rsidRPr="00C8369E">
        <w:rPr>
          <w:rFonts w:ascii="Cambria" w:hAnsi="Cambria"/>
          <w:iCs/>
          <w:color w:val="000000" w:themeColor="text1"/>
        </w:rPr>
        <w:t xml:space="preserve"> criminal law </w:t>
      </w:r>
      <w:r w:rsidR="00EC547E" w:rsidRPr="00C8369E">
        <w:rPr>
          <w:rFonts w:ascii="Cambria" w:hAnsi="Cambria"/>
          <w:iCs/>
          <w:color w:val="000000" w:themeColor="text1"/>
        </w:rPr>
        <w:t xml:space="preserve">reform </w:t>
      </w:r>
      <w:r w:rsidR="009F5B07" w:rsidRPr="00C8369E">
        <w:rPr>
          <w:rFonts w:ascii="Cambria" w:hAnsi="Cambria"/>
          <w:iCs/>
          <w:color w:val="000000" w:themeColor="text1"/>
        </w:rPr>
        <w:t xml:space="preserve">for </w:t>
      </w:r>
      <w:r w:rsidR="00856B44" w:rsidRPr="00C8369E">
        <w:rPr>
          <w:rFonts w:ascii="Cambria" w:hAnsi="Cambria"/>
          <w:iCs/>
          <w:color w:val="000000" w:themeColor="text1"/>
        </w:rPr>
        <w:t>corporations and other entities wrongfully caus</w:t>
      </w:r>
      <w:r w:rsidR="00EC547E" w:rsidRPr="00C8369E">
        <w:rPr>
          <w:rFonts w:ascii="Cambria" w:hAnsi="Cambria"/>
          <w:iCs/>
          <w:color w:val="000000" w:themeColor="text1"/>
        </w:rPr>
        <w:t>ing</w:t>
      </w:r>
      <w:r w:rsidR="00856B44" w:rsidRPr="00C8369E">
        <w:rPr>
          <w:rFonts w:ascii="Cambria" w:hAnsi="Cambria"/>
          <w:iCs/>
          <w:color w:val="000000" w:themeColor="text1"/>
        </w:rPr>
        <w:t xml:space="preserve"> the death or serious injury of natural person</w:t>
      </w:r>
      <w:r w:rsidR="00DD4CC3" w:rsidRPr="00C8369E">
        <w:rPr>
          <w:rFonts w:ascii="Cambria" w:hAnsi="Cambria"/>
          <w:iCs/>
          <w:color w:val="000000" w:themeColor="text1"/>
        </w:rPr>
        <w:t>s</w:t>
      </w:r>
      <w:r w:rsidR="00856B44" w:rsidRPr="00C8369E">
        <w:rPr>
          <w:rFonts w:ascii="Cambria" w:hAnsi="Cambria"/>
          <w:iCs/>
          <w:color w:val="000000" w:themeColor="text1"/>
        </w:rPr>
        <w:t>.</w:t>
      </w:r>
      <w:r w:rsidR="00856B44" w:rsidRPr="00C8369E">
        <w:rPr>
          <w:rStyle w:val="FootnoteReference"/>
          <w:rFonts w:ascii="Cambria" w:hAnsi="Cambria"/>
          <w:iCs/>
          <w:color w:val="000000" w:themeColor="text1"/>
        </w:rPr>
        <w:footnoteReference w:id="2"/>
      </w:r>
      <w:r w:rsidR="006B053D" w:rsidRPr="00C8369E">
        <w:rPr>
          <w:rFonts w:ascii="Cambria" w:hAnsi="Cambria"/>
          <w:iCs/>
          <w:color w:val="000000" w:themeColor="text1"/>
        </w:rPr>
        <w:t xml:space="preserve"> </w:t>
      </w:r>
      <w:r w:rsidR="00EC547E" w:rsidRPr="00C8369E">
        <w:rPr>
          <w:rFonts w:ascii="Cambria" w:hAnsi="Cambria"/>
          <w:iCs/>
          <w:color w:val="000000" w:themeColor="text1"/>
        </w:rPr>
        <w:t>Since then</w:t>
      </w:r>
      <w:r w:rsidR="00DD4CC3" w:rsidRPr="00C8369E">
        <w:rPr>
          <w:rFonts w:ascii="Cambria" w:hAnsi="Cambria"/>
          <w:iCs/>
          <w:color w:val="000000" w:themeColor="text1"/>
        </w:rPr>
        <w:t>, the Commonwealth and all</w:t>
      </w:r>
      <w:r w:rsidR="00480B17" w:rsidRPr="00C8369E">
        <w:rPr>
          <w:rFonts w:ascii="Cambria" w:hAnsi="Cambria"/>
          <w:iCs/>
          <w:color w:val="000000" w:themeColor="text1"/>
        </w:rPr>
        <w:t xml:space="preserve"> </w:t>
      </w:r>
      <w:r w:rsidR="00EC547E" w:rsidRPr="00C8369E">
        <w:rPr>
          <w:rFonts w:ascii="Cambria" w:hAnsi="Cambria"/>
          <w:iCs/>
          <w:color w:val="000000" w:themeColor="text1"/>
        </w:rPr>
        <w:t xml:space="preserve">States and Territories have </w:t>
      </w:r>
      <w:r w:rsidR="009F5B07" w:rsidRPr="00C8369E">
        <w:rPr>
          <w:rFonts w:ascii="Cambria" w:hAnsi="Cambria"/>
          <w:iCs/>
          <w:color w:val="000000" w:themeColor="text1"/>
        </w:rPr>
        <w:t>either introduced industrial manslaughter offences or committed to do so.</w:t>
      </w:r>
      <w:r w:rsidR="00EC547E" w:rsidRPr="00C8369E">
        <w:rPr>
          <w:rFonts w:ascii="Cambria" w:hAnsi="Cambria"/>
          <w:iCs/>
          <w:color w:val="000000" w:themeColor="text1"/>
        </w:rPr>
        <w:t xml:space="preserve"> Whilst Tasmania </w:t>
      </w:r>
      <w:r w:rsidR="009F5B07" w:rsidRPr="00C8369E">
        <w:rPr>
          <w:rFonts w:ascii="Cambria" w:hAnsi="Cambria"/>
          <w:iCs/>
          <w:color w:val="000000" w:themeColor="text1"/>
        </w:rPr>
        <w:t>is likely to be</w:t>
      </w:r>
      <w:r w:rsidR="00EC547E" w:rsidRPr="00C8369E">
        <w:rPr>
          <w:rFonts w:ascii="Cambria" w:hAnsi="Cambria"/>
          <w:iCs/>
          <w:color w:val="000000" w:themeColor="text1"/>
        </w:rPr>
        <w:t xml:space="preserve"> the last Australian jurisdiction to introduce an industrial manslaughter offence, the Government is to be commended for finally committing to its introduction.  </w:t>
      </w:r>
    </w:p>
    <w:p w:rsidR="0010716F" w:rsidRPr="00C8369E" w:rsidRDefault="0010716F" w:rsidP="0010716F">
      <w:pPr>
        <w:ind w:right="-347"/>
        <w:jc w:val="both"/>
        <w:rPr>
          <w:rFonts w:ascii="Cambria" w:hAnsi="Cambria"/>
          <w:color w:val="000000" w:themeColor="text1"/>
        </w:rPr>
      </w:pPr>
    </w:p>
    <w:p w:rsidR="00EC547E" w:rsidRPr="00C8369E" w:rsidRDefault="0010716F" w:rsidP="007F4E3E">
      <w:pPr>
        <w:ind w:right="-347"/>
        <w:jc w:val="both"/>
        <w:rPr>
          <w:rFonts w:ascii="Cambria" w:hAnsi="Cambria" w:cs="Arial"/>
          <w:color w:val="000000" w:themeColor="text1"/>
        </w:rPr>
      </w:pPr>
      <w:r w:rsidRPr="00C8369E">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EC547E" w:rsidRPr="00C8369E" w:rsidRDefault="00EC547E" w:rsidP="007F4E3E">
      <w:pPr>
        <w:ind w:right="-347"/>
        <w:jc w:val="both"/>
        <w:rPr>
          <w:rFonts w:ascii="Cambria" w:eastAsia="Times New Roman" w:hAnsi="Cambria" w:cs="Arial"/>
          <w:color w:val="000000" w:themeColor="text1"/>
          <w:kern w:val="0"/>
          <w:lang w:eastAsia="en-GB"/>
          <w14:ligatures w14:val="none"/>
        </w:rPr>
      </w:pPr>
    </w:p>
    <w:p w:rsidR="00EC547E" w:rsidRPr="00C8369E" w:rsidRDefault="00480B17" w:rsidP="007F4E3E">
      <w:pPr>
        <w:ind w:right="-347"/>
        <w:jc w:val="both"/>
        <w:rPr>
          <w:rFonts w:ascii="Cambria" w:eastAsia="Times New Roman" w:hAnsi="Cambria" w:cs="Arial"/>
          <w:b/>
          <w:bCs/>
          <w:color w:val="000000" w:themeColor="text1"/>
          <w:kern w:val="0"/>
          <w:lang w:eastAsia="en-GB"/>
          <w14:ligatures w14:val="none"/>
        </w:rPr>
      </w:pPr>
      <w:r w:rsidRPr="00C8369E">
        <w:rPr>
          <w:rFonts w:ascii="Cambria" w:eastAsia="Times New Roman" w:hAnsi="Cambria" w:cs="Arial"/>
          <w:b/>
          <w:bCs/>
          <w:color w:val="000000" w:themeColor="text1"/>
          <w:kern w:val="0"/>
          <w:lang w:eastAsia="en-GB"/>
          <w14:ligatures w14:val="none"/>
        </w:rPr>
        <w:t xml:space="preserve">The case for an industrial manslaughter offence in the </w:t>
      </w:r>
      <w:r w:rsidRPr="00C8369E">
        <w:rPr>
          <w:rFonts w:ascii="Cambria" w:eastAsia="Times New Roman" w:hAnsi="Cambria" w:cs="Arial"/>
          <w:b/>
          <w:bCs/>
          <w:i/>
          <w:iCs/>
          <w:color w:val="000000" w:themeColor="text1"/>
          <w:kern w:val="0"/>
          <w:lang w:eastAsia="en-GB"/>
          <w14:ligatures w14:val="none"/>
        </w:rPr>
        <w:t>Work Health and Safety Act 2012</w:t>
      </w:r>
      <w:r w:rsidRPr="00C8369E">
        <w:rPr>
          <w:rFonts w:ascii="Cambria" w:eastAsia="Times New Roman" w:hAnsi="Cambria" w:cs="Arial"/>
          <w:b/>
          <w:bCs/>
          <w:color w:val="000000" w:themeColor="text1"/>
          <w:kern w:val="0"/>
          <w:lang w:eastAsia="en-GB"/>
          <w14:ligatures w14:val="none"/>
        </w:rPr>
        <w:t xml:space="preserve"> (Tas)  </w:t>
      </w:r>
    </w:p>
    <w:p w:rsidR="00396995" w:rsidRPr="00C8369E" w:rsidRDefault="00B63CB8" w:rsidP="007F4E3E">
      <w:pPr>
        <w:ind w:right="-347"/>
        <w:jc w:val="both"/>
        <w:rPr>
          <w:rFonts w:ascii="Cambria" w:eastAsia="Times New Roman" w:hAnsi="Cambria" w:cs="Arial"/>
          <w:color w:val="000000" w:themeColor="text1"/>
          <w:kern w:val="0"/>
          <w:lang w:eastAsia="en-GB"/>
          <w14:ligatures w14:val="none"/>
        </w:rPr>
      </w:pPr>
      <w:r w:rsidRPr="00C8369E">
        <w:rPr>
          <w:rFonts w:ascii="Cambria" w:eastAsia="Times New Roman" w:hAnsi="Cambria" w:cs="Arial"/>
          <w:color w:val="000000" w:themeColor="text1"/>
          <w:kern w:val="0"/>
          <w:lang w:eastAsia="en-GB"/>
          <w14:ligatures w14:val="none"/>
        </w:rPr>
        <w:t>As the law currently stands, it is extremely difficult to prosecute a successful manslaughter conviction against a</w:t>
      </w:r>
      <w:r w:rsidR="00480B17" w:rsidRPr="00C8369E">
        <w:rPr>
          <w:rFonts w:ascii="Cambria" w:eastAsia="Times New Roman" w:hAnsi="Cambria" w:cs="Arial"/>
          <w:color w:val="000000" w:themeColor="text1"/>
          <w:kern w:val="0"/>
          <w:lang w:eastAsia="en-GB"/>
          <w14:ligatures w14:val="none"/>
        </w:rPr>
        <w:t xml:space="preserve"> corporation</w:t>
      </w:r>
      <w:r w:rsidRPr="00C8369E">
        <w:rPr>
          <w:rFonts w:ascii="Cambria" w:eastAsia="Times New Roman" w:hAnsi="Cambria" w:cs="Arial"/>
          <w:color w:val="000000" w:themeColor="text1"/>
          <w:kern w:val="0"/>
          <w:lang w:eastAsia="en-GB"/>
          <w14:ligatures w14:val="none"/>
        </w:rPr>
        <w:t xml:space="preserve">. This is because the </w:t>
      </w:r>
      <w:r w:rsidR="00DD4CC3" w:rsidRPr="00C8369E">
        <w:rPr>
          <w:rFonts w:ascii="Cambria" w:eastAsia="Times New Roman" w:hAnsi="Cambria" w:cs="Arial"/>
          <w:color w:val="000000" w:themeColor="text1"/>
          <w:kern w:val="0"/>
          <w:lang w:eastAsia="en-GB"/>
          <w14:ligatures w14:val="none"/>
        </w:rPr>
        <w:t xml:space="preserve">test established in </w:t>
      </w:r>
      <w:r w:rsidR="005771A2" w:rsidRPr="00C8369E">
        <w:rPr>
          <w:rFonts w:ascii="Cambria" w:eastAsia="Times New Roman" w:hAnsi="Cambria" w:cs="Arial"/>
          <w:color w:val="000000" w:themeColor="text1"/>
          <w:kern w:val="0"/>
          <w:lang w:eastAsia="en-GB"/>
          <w14:ligatures w14:val="none"/>
        </w:rPr>
        <w:t>common law</w:t>
      </w:r>
      <w:r w:rsidRPr="00C8369E">
        <w:rPr>
          <w:rFonts w:ascii="Cambria" w:eastAsia="Times New Roman" w:hAnsi="Cambria" w:cs="Arial"/>
          <w:color w:val="000000" w:themeColor="text1"/>
          <w:kern w:val="0"/>
          <w:lang w:eastAsia="en-GB"/>
          <w14:ligatures w14:val="none"/>
        </w:rPr>
        <w:t xml:space="preserve"> requires the identification of a grossly negligent individual</w:t>
      </w:r>
      <w:r w:rsidR="00166D7E" w:rsidRPr="00C8369E">
        <w:rPr>
          <w:rFonts w:ascii="Cambria" w:eastAsia="Times New Roman" w:hAnsi="Cambria" w:cs="Arial"/>
          <w:color w:val="000000" w:themeColor="text1"/>
          <w:kern w:val="0"/>
          <w:lang w:eastAsia="en-GB"/>
          <w14:ligatures w14:val="none"/>
        </w:rPr>
        <w:t>/</w:t>
      </w:r>
      <w:r w:rsidRPr="00C8369E">
        <w:rPr>
          <w:rFonts w:ascii="Cambria" w:eastAsia="Times New Roman" w:hAnsi="Cambria" w:cs="Arial"/>
          <w:color w:val="000000" w:themeColor="text1"/>
          <w:kern w:val="0"/>
          <w:lang w:eastAsia="en-GB"/>
          <w14:ligatures w14:val="none"/>
        </w:rPr>
        <w:t>s</w:t>
      </w:r>
      <w:r w:rsidR="00480B17" w:rsidRPr="00C8369E">
        <w:rPr>
          <w:rFonts w:ascii="Cambria" w:eastAsia="Times New Roman" w:hAnsi="Cambria" w:cs="Arial"/>
          <w:color w:val="000000" w:themeColor="text1"/>
          <w:kern w:val="0"/>
          <w:lang w:eastAsia="en-GB"/>
          <w14:ligatures w14:val="none"/>
        </w:rPr>
        <w:t xml:space="preserve"> </w:t>
      </w:r>
      <w:r w:rsidRPr="00C8369E">
        <w:rPr>
          <w:rFonts w:ascii="Cambria" w:eastAsia="Times New Roman" w:hAnsi="Cambria" w:cs="Arial"/>
          <w:color w:val="000000" w:themeColor="text1"/>
          <w:kern w:val="0"/>
          <w:lang w:eastAsia="en-GB"/>
          <w14:ligatures w14:val="none"/>
        </w:rPr>
        <w:t xml:space="preserve">who is the embodiment of the </w:t>
      </w:r>
      <w:r w:rsidR="00396995" w:rsidRPr="00C8369E">
        <w:rPr>
          <w:rFonts w:ascii="Cambria" w:eastAsia="Times New Roman" w:hAnsi="Cambria" w:cs="Arial"/>
          <w:color w:val="000000" w:themeColor="text1"/>
          <w:kern w:val="0"/>
          <w:lang w:eastAsia="en-GB"/>
          <w14:ligatures w14:val="none"/>
        </w:rPr>
        <w:t xml:space="preserve">corporation </w:t>
      </w:r>
      <w:r w:rsidRPr="00C8369E">
        <w:rPr>
          <w:rFonts w:ascii="Cambria" w:eastAsia="Times New Roman" w:hAnsi="Cambria" w:cs="Arial"/>
          <w:color w:val="000000" w:themeColor="text1"/>
          <w:kern w:val="0"/>
          <w:lang w:eastAsia="en-GB"/>
          <w14:ligatures w14:val="none"/>
        </w:rPr>
        <w:t>and whose conduct and state of mind are attributable to the corporation</w:t>
      </w:r>
      <w:r w:rsidR="009F5B07" w:rsidRPr="00C8369E">
        <w:rPr>
          <w:rFonts w:ascii="Cambria" w:eastAsia="Times New Roman" w:hAnsi="Cambria" w:cs="Arial"/>
          <w:color w:val="000000" w:themeColor="text1"/>
          <w:kern w:val="0"/>
          <w:lang w:eastAsia="en-GB"/>
          <w14:ligatures w14:val="none"/>
        </w:rPr>
        <w:t xml:space="preserve"> (the identification doctrine)</w:t>
      </w:r>
      <w:r w:rsidRPr="00C8369E">
        <w:rPr>
          <w:rFonts w:ascii="Cambria" w:eastAsia="Times New Roman" w:hAnsi="Cambria" w:cs="Arial"/>
          <w:color w:val="000000" w:themeColor="text1"/>
          <w:kern w:val="0"/>
          <w:lang w:eastAsia="en-GB"/>
          <w14:ligatures w14:val="none"/>
        </w:rPr>
        <w:t>.</w:t>
      </w:r>
      <w:r w:rsidR="00C6157B" w:rsidRPr="00C8369E">
        <w:rPr>
          <w:rStyle w:val="FootnoteReference"/>
          <w:rFonts w:ascii="Cambria" w:eastAsia="Times New Roman" w:hAnsi="Cambria" w:cs="Arial"/>
          <w:color w:val="000000" w:themeColor="text1"/>
          <w:kern w:val="0"/>
          <w:lang w:eastAsia="en-GB"/>
          <w14:ligatures w14:val="none"/>
        </w:rPr>
        <w:footnoteReference w:id="3"/>
      </w:r>
      <w:r w:rsidR="002F155E" w:rsidRPr="00C8369E">
        <w:rPr>
          <w:rFonts w:ascii="Cambria" w:eastAsia="Times New Roman" w:hAnsi="Cambria" w:cs="Arial"/>
          <w:color w:val="000000" w:themeColor="text1"/>
          <w:kern w:val="0"/>
          <w:lang w:eastAsia="en-GB"/>
          <w14:ligatures w14:val="none"/>
        </w:rPr>
        <w:t xml:space="preserve"> </w:t>
      </w:r>
      <w:r w:rsidR="008902C1" w:rsidRPr="00C8369E">
        <w:rPr>
          <w:rFonts w:ascii="Cambria" w:eastAsia="Times New Roman" w:hAnsi="Cambria" w:cs="Arial"/>
          <w:color w:val="000000" w:themeColor="text1"/>
          <w:kern w:val="0"/>
          <w:lang w:eastAsia="en-GB"/>
          <w14:ligatures w14:val="none"/>
        </w:rPr>
        <w:t xml:space="preserve">Reliance on the actions and state of mind of individuals constituting the </w:t>
      </w:r>
      <w:r w:rsidR="00396995" w:rsidRPr="00C8369E">
        <w:rPr>
          <w:rFonts w:ascii="Cambria" w:eastAsia="Times New Roman" w:hAnsi="Cambria" w:cs="Arial"/>
          <w:color w:val="000000" w:themeColor="text1"/>
          <w:kern w:val="0"/>
          <w:lang w:eastAsia="en-GB"/>
          <w14:ligatures w14:val="none"/>
        </w:rPr>
        <w:t>‘</w:t>
      </w:r>
      <w:r w:rsidR="008902C1" w:rsidRPr="00C8369E">
        <w:rPr>
          <w:rFonts w:ascii="Cambria" w:eastAsia="Times New Roman" w:hAnsi="Cambria" w:cs="Arial"/>
          <w:color w:val="000000" w:themeColor="text1"/>
          <w:kern w:val="0"/>
          <w:lang w:eastAsia="en-GB"/>
          <w14:ligatures w14:val="none"/>
        </w:rPr>
        <w:t>controlling mind</w:t>
      </w:r>
      <w:r w:rsidR="00396995" w:rsidRPr="00C8369E">
        <w:rPr>
          <w:rFonts w:ascii="Cambria" w:eastAsia="Times New Roman" w:hAnsi="Cambria" w:cs="Arial"/>
          <w:color w:val="000000" w:themeColor="text1"/>
          <w:kern w:val="0"/>
          <w:lang w:eastAsia="en-GB"/>
          <w14:ligatures w14:val="none"/>
        </w:rPr>
        <w:t>’</w:t>
      </w:r>
      <w:r w:rsidR="008902C1" w:rsidRPr="00C8369E">
        <w:rPr>
          <w:rFonts w:ascii="Cambria" w:eastAsia="Times New Roman" w:hAnsi="Cambria" w:cs="Arial"/>
          <w:color w:val="000000" w:themeColor="text1"/>
          <w:kern w:val="0"/>
          <w:lang w:eastAsia="en-GB"/>
          <w14:ligatures w14:val="none"/>
        </w:rPr>
        <w:t xml:space="preserve"> of an organisation has been the subject of much academic criticism due </w:t>
      </w:r>
      <w:r w:rsidR="008902C1" w:rsidRPr="00C8369E">
        <w:rPr>
          <w:rFonts w:ascii="Cambria" w:eastAsia="Times New Roman" w:hAnsi="Cambria" w:cs="Arial"/>
          <w:color w:val="000000" w:themeColor="text1"/>
          <w:kern w:val="0"/>
          <w:lang w:eastAsia="en-GB"/>
          <w14:ligatures w14:val="none"/>
        </w:rPr>
        <w:lastRenderedPageBreak/>
        <w:t xml:space="preserve">to </w:t>
      </w:r>
      <w:r w:rsidR="005771A2" w:rsidRPr="00C8369E">
        <w:rPr>
          <w:rFonts w:ascii="Cambria" w:eastAsia="Times New Roman" w:hAnsi="Cambria" w:cs="Arial"/>
          <w:color w:val="000000" w:themeColor="text1"/>
          <w:kern w:val="0"/>
          <w:lang w:eastAsia="en-GB"/>
          <w14:ligatures w14:val="none"/>
        </w:rPr>
        <w:t>the size of many corporations and the increasing delegation of responsibility to relatively junior staff.</w:t>
      </w:r>
      <w:r w:rsidR="006B053D" w:rsidRPr="00C8369E">
        <w:rPr>
          <w:rFonts w:ascii="Cambria" w:eastAsia="Times New Roman" w:hAnsi="Cambria" w:cs="Arial"/>
          <w:color w:val="000000" w:themeColor="text1"/>
          <w:kern w:val="0"/>
          <w:lang w:eastAsia="en-GB"/>
          <w14:ligatures w14:val="none"/>
        </w:rPr>
        <w:t xml:space="preserve"> </w:t>
      </w:r>
    </w:p>
    <w:p w:rsidR="00396995" w:rsidRPr="00C8369E" w:rsidRDefault="00396995" w:rsidP="007F4E3E">
      <w:pPr>
        <w:ind w:right="-347"/>
        <w:jc w:val="both"/>
        <w:rPr>
          <w:rFonts w:ascii="Cambria" w:eastAsia="Times New Roman" w:hAnsi="Cambria" w:cs="Arial"/>
          <w:color w:val="000000" w:themeColor="text1"/>
          <w:kern w:val="0"/>
          <w:lang w:eastAsia="en-GB"/>
          <w14:ligatures w14:val="none"/>
        </w:rPr>
      </w:pPr>
    </w:p>
    <w:p w:rsidR="00166D7E" w:rsidRPr="00C8369E" w:rsidRDefault="002F155E" w:rsidP="007F4E3E">
      <w:pPr>
        <w:ind w:right="-347"/>
        <w:jc w:val="both"/>
        <w:rPr>
          <w:rFonts w:ascii="Cambria" w:eastAsia="Times New Roman" w:hAnsi="Cambria" w:cs="Arial"/>
          <w:color w:val="000000" w:themeColor="text1"/>
          <w:kern w:val="0"/>
          <w:lang w:eastAsia="en-GB"/>
          <w14:ligatures w14:val="none"/>
        </w:rPr>
      </w:pPr>
      <w:r w:rsidRPr="00C8369E">
        <w:rPr>
          <w:rFonts w:ascii="Cambria" w:eastAsia="Times New Roman" w:hAnsi="Cambria" w:cs="Arial"/>
          <w:color w:val="000000" w:themeColor="text1"/>
          <w:kern w:val="0"/>
          <w:lang w:eastAsia="en-GB"/>
          <w14:ligatures w14:val="none"/>
        </w:rPr>
        <w:t>The</w:t>
      </w:r>
      <w:r w:rsidR="00EB78DF" w:rsidRPr="00C8369E">
        <w:rPr>
          <w:rFonts w:ascii="Cambria" w:eastAsia="Times New Roman" w:hAnsi="Cambria" w:cs="Arial"/>
          <w:color w:val="000000" w:themeColor="text1"/>
          <w:kern w:val="0"/>
          <w:lang w:eastAsia="en-GB"/>
          <w14:ligatures w14:val="none"/>
        </w:rPr>
        <w:t xml:space="preserve"> Tasmania Law Reform Institute </w:t>
      </w:r>
      <w:r w:rsidR="009F5B07" w:rsidRPr="00C8369E">
        <w:rPr>
          <w:rFonts w:ascii="Cambria" w:eastAsia="Times New Roman" w:hAnsi="Cambria" w:cs="Arial"/>
          <w:color w:val="000000" w:themeColor="text1"/>
          <w:kern w:val="0"/>
          <w:lang w:eastAsia="en-GB"/>
          <w14:ligatures w14:val="none"/>
        </w:rPr>
        <w:t xml:space="preserve">(TLRI) </w:t>
      </w:r>
      <w:r w:rsidR="00EB78DF" w:rsidRPr="00C8369E">
        <w:rPr>
          <w:rFonts w:ascii="Cambria" w:eastAsia="Times New Roman" w:hAnsi="Cambria" w:cs="Arial"/>
          <w:color w:val="000000" w:themeColor="text1"/>
          <w:kern w:val="0"/>
          <w:lang w:eastAsia="en-GB"/>
          <w14:ligatures w14:val="none"/>
        </w:rPr>
        <w:t xml:space="preserve">recognised the limitations of the identification doctrine </w:t>
      </w:r>
      <w:r w:rsidR="007F4E3E" w:rsidRPr="00C8369E">
        <w:rPr>
          <w:rFonts w:ascii="Cambria" w:eastAsia="Times New Roman" w:hAnsi="Cambria" w:cs="Arial"/>
          <w:color w:val="000000" w:themeColor="text1"/>
          <w:kern w:val="0"/>
          <w:lang w:eastAsia="en-GB"/>
          <w14:ligatures w14:val="none"/>
        </w:rPr>
        <w:t>in Australia noting that “all of the organisations that have been successfully prosecuted for manslaughter have been small companies in which the directors took an active part in the day-to-day operations of the company”.</w:t>
      </w:r>
      <w:r w:rsidR="007F4E3E" w:rsidRPr="00C8369E">
        <w:rPr>
          <w:rStyle w:val="FootnoteReference"/>
          <w:rFonts w:ascii="Cambria" w:eastAsia="Times New Roman" w:hAnsi="Cambria" w:cs="Arial"/>
          <w:color w:val="000000" w:themeColor="text1"/>
          <w:kern w:val="0"/>
          <w:lang w:eastAsia="en-GB"/>
          <w14:ligatures w14:val="none"/>
        </w:rPr>
        <w:footnoteReference w:id="4"/>
      </w:r>
      <w:r w:rsidR="00EB511A" w:rsidRPr="00C8369E">
        <w:rPr>
          <w:rFonts w:ascii="Cambria" w:eastAsia="Times New Roman" w:hAnsi="Cambria" w:cs="Arial"/>
          <w:color w:val="000000" w:themeColor="text1"/>
          <w:kern w:val="0"/>
          <w:lang w:eastAsia="en-GB"/>
          <w14:ligatures w14:val="none"/>
        </w:rPr>
        <w:t xml:space="preserve"> In Tasmania, the TLRI found that there had never been a prosecution for a traditional </w:t>
      </w:r>
      <w:r w:rsidR="006E4F49" w:rsidRPr="00C8369E">
        <w:rPr>
          <w:rFonts w:ascii="Cambria" w:eastAsia="Times New Roman" w:hAnsi="Cambria" w:cs="Arial"/>
          <w:color w:val="000000" w:themeColor="text1"/>
          <w:kern w:val="0"/>
          <w:lang w:eastAsia="en-GB"/>
          <w14:ligatures w14:val="none"/>
        </w:rPr>
        <w:t xml:space="preserve">crime in the </w:t>
      </w:r>
      <w:r w:rsidR="006E4F49" w:rsidRPr="00C8369E">
        <w:rPr>
          <w:rFonts w:ascii="Cambria" w:eastAsia="Times New Roman" w:hAnsi="Cambria" w:cs="Arial"/>
          <w:i/>
          <w:iCs/>
          <w:color w:val="000000" w:themeColor="text1"/>
          <w:kern w:val="0"/>
          <w:lang w:eastAsia="en-GB"/>
          <w14:ligatures w14:val="none"/>
        </w:rPr>
        <w:t>Criminal Code</w:t>
      </w:r>
      <w:r w:rsidR="006E4F49" w:rsidRPr="00C8369E">
        <w:rPr>
          <w:rFonts w:ascii="Cambria" w:eastAsia="Times New Roman" w:hAnsi="Cambria" w:cs="Arial"/>
          <w:color w:val="000000" w:themeColor="text1"/>
          <w:kern w:val="0"/>
          <w:lang w:eastAsia="en-GB"/>
          <w14:ligatures w14:val="none"/>
        </w:rPr>
        <w:t xml:space="preserve"> brought against a corporation responsible for the death or serious injury of another.</w:t>
      </w:r>
      <w:r w:rsidR="006E4F49" w:rsidRPr="00C8369E">
        <w:rPr>
          <w:rStyle w:val="FootnoteReference"/>
          <w:rFonts w:ascii="Cambria" w:eastAsia="Times New Roman" w:hAnsi="Cambria" w:cs="Arial"/>
          <w:color w:val="000000" w:themeColor="text1"/>
          <w:kern w:val="0"/>
          <w:lang w:eastAsia="en-GB"/>
          <w14:ligatures w14:val="none"/>
        </w:rPr>
        <w:footnoteReference w:id="5"/>
      </w:r>
      <w:r w:rsidR="006E4F49" w:rsidRPr="00C8369E">
        <w:rPr>
          <w:rFonts w:ascii="Cambria" w:eastAsia="Times New Roman" w:hAnsi="Cambria" w:cs="Arial"/>
          <w:color w:val="000000" w:themeColor="text1"/>
          <w:kern w:val="0"/>
          <w:lang w:eastAsia="en-GB"/>
          <w14:ligatures w14:val="none"/>
        </w:rPr>
        <w:t xml:space="preserve"> </w:t>
      </w:r>
      <w:r w:rsidR="00396995" w:rsidRPr="00C8369E">
        <w:rPr>
          <w:rFonts w:ascii="Cambria" w:eastAsia="Times New Roman" w:hAnsi="Cambria" w:cs="Arial"/>
          <w:color w:val="000000" w:themeColor="text1"/>
          <w:kern w:val="0"/>
          <w:lang w:eastAsia="en-GB"/>
          <w14:ligatures w14:val="none"/>
        </w:rPr>
        <w:t>The failure of the common law to reflect modern organisational decision</w:t>
      </w:r>
      <w:r w:rsidR="00EB511A" w:rsidRPr="00C8369E">
        <w:rPr>
          <w:rFonts w:ascii="Cambria" w:eastAsia="Times New Roman" w:hAnsi="Cambria" w:cs="Arial"/>
          <w:color w:val="000000" w:themeColor="text1"/>
          <w:kern w:val="0"/>
          <w:lang w:eastAsia="en-GB"/>
          <w14:ligatures w14:val="none"/>
        </w:rPr>
        <w:t>-</w:t>
      </w:r>
      <w:r w:rsidR="00396995" w:rsidRPr="00C8369E">
        <w:rPr>
          <w:rFonts w:ascii="Cambria" w:eastAsia="Times New Roman" w:hAnsi="Cambria" w:cs="Arial"/>
          <w:color w:val="000000" w:themeColor="text1"/>
          <w:kern w:val="0"/>
          <w:lang w:eastAsia="en-GB"/>
          <w14:ligatures w14:val="none"/>
        </w:rPr>
        <w:t xml:space="preserve">making led the </w:t>
      </w:r>
      <w:r w:rsidR="00856B44" w:rsidRPr="00C8369E">
        <w:rPr>
          <w:rFonts w:ascii="Cambria" w:eastAsia="Times New Roman" w:hAnsi="Cambria" w:cs="Arial"/>
          <w:color w:val="000000" w:themeColor="text1"/>
          <w:kern w:val="0"/>
          <w:lang w:eastAsia="en-GB"/>
          <w14:ligatures w14:val="none"/>
        </w:rPr>
        <w:t xml:space="preserve">TLRI </w:t>
      </w:r>
      <w:r w:rsidR="00396995" w:rsidRPr="00C8369E">
        <w:rPr>
          <w:rFonts w:ascii="Cambria" w:eastAsia="Times New Roman" w:hAnsi="Cambria" w:cs="Arial"/>
          <w:color w:val="000000" w:themeColor="text1"/>
          <w:kern w:val="0"/>
          <w:lang w:eastAsia="en-GB"/>
          <w14:ligatures w14:val="none"/>
        </w:rPr>
        <w:t xml:space="preserve">to </w:t>
      </w:r>
      <w:r w:rsidR="00856B44" w:rsidRPr="00C8369E">
        <w:rPr>
          <w:rFonts w:ascii="Cambria" w:eastAsia="Times New Roman" w:hAnsi="Cambria" w:cs="Arial"/>
          <w:color w:val="000000" w:themeColor="text1"/>
          <w:kern w:val="0"/>
          <w:lang w:eastAsia="en-GB"/>
          <w14:ligatures w14:val="none"/>
        </w:rPr>
        <w:t>recommend</w:t>
      </w:r>
      <w:r w:rsidR="006B053D" w:rsidRPr="00C8369E">
        <w:rPr>
          <w:rFonts w:ascii="Cambria" w:eastAsia="Times New Roman" w:hAnsi="Cambria" w:cs="Arial"/>
          <w:color w:val="000000" w:themeColor="text1"/>
          <w:kern w:val="0"/>
          <w:lang w:eastAsia="en-GB"/>
          <w14:ligatures w14:val="none"/>
        </w:rPr>
        <w:t xml:space="preserve"> the introduction of specialised principles of criminal responsibility for organisations </w:t>
      </w:r>
      <w:r w:rsidR="00396995" w:rsidRPr="00C8369E">
        <w:rPr>
          <w:rFonts w:ascii="Cambria" w:eastAsia="Times New Roman" w:hAnsi="Cambria" w:cs="Arial"/>
          <w:color w:val="000000" w:themeColor="text1"/>
          <w:kern w:val="0"/>
          <w:lang w:eastAsia="en-GB"/>
          <w14:ligatures w14:val="none"/>
        </w:rPr>
        <w:t>which in turn would</w:t>
      </w:r>
      <w:r w:rsidR="006B053D" w:rsidRPr="00C8369E">
        <w:rPr>
          <w:rFonts w:ascii="Cambria" w:eastAsia="Times New Roman" w:hAnsi="Cambria" w:cs="Arial"/>
          <w:color w:val="000000" w:themeColor="text1"/>
          <w:kern w:val="0"/>
          <w:lang w:eastAsia="en-GB"/>
          <w14:ligatures w14:val="none"/>
        </w:rPr>
        <w:t xml:space="preserve"> make it easier to successfully prosecute</w:t>
      </w:r>
      <w:r w:rsidR="006B053D" w:rsidRPr="00C8369E">
        <w:rPr>
          <w:rFonts w:ascii="Cambria" w:hAnsi="Cambria"/>
          <w:iCs/>
          <w:color w:val="000000" w:themeColor="text1"/>
        </w:rPr>
        <w:t xml:space="preserve"> </w:t>
      </w:r>
      <w:r w:rsidR="00C6157B" w:rsidRPr="00C8369E">
        <w:rPr>
          <w:rFonts w:ascii="Cambria" w:hAnsi="Cambria"/>
          <w:iCs/>
          <w:color w:val="000000" w:themeColor="text1"/>
        </w:rPr>
        <w:t>for</w:t>
      </w:r>
      <w:r w:rsidR="006B053D" w:rsidRPr="00C8369E">
        <w:rPr>
          <w:rFonts w:ascii="Cambria" w:hAnsi="Cambria"/>
          <w:iCs/>
          <w:color w:val="000000" w:themeColor="text1"/>
        </w:rPr>
        <w:t xml:space="preserve"> death or serious injury.</w:t>
      </w:r>
      <w:r w:rsidR="006B053D" w:rsidRPr="00C8369E">
        <w:rPr>
          <w:rStyle w:val="FootnoteReference"/>
          <w:rFonts w:ascii="Cambria" w:hAnsi="Cambria"/>
          <w:iCs/>
          <w:color w:val="000000" w:themeColor="text1"/>
        </w:rPr>
        <w:footnoteReference w:id="6"/>
      </w:r>
    </w:p>
    <w:p w:rsidR="00396995" w:rsidRPr="00C8369E" w:rsidRDefault="00396995" w:rsidP="007F4E3E">
      <w:pPr>
        <w:ind w:right="-347"/>
        <w:jc w:val="both"/>
        <w:rPr>
          <w:rFonts w:ascii="Cambria" w:eastAsia="Times New Roman" w:hAnsi="Cambria" w:cs="Arial"/>
          <w:color w:val="000000" w:themeColor="text1"/>
          <w:kern w:val="0"/>
          <w:lang w:eastAsia="en-GB"/>
          <w14:ligatures w14:val="none"/>
        </w:rPr>
      </w:pPr>
    </w:p>
    <w:p w:rsidR="00A2216E" w:rsidRPr="00C8369E" w:rsidRDefault="007F4E3E" w:rsidP="00A2216E">
      <w:pPr>
        <w:ind w:right="-347"/>
        <w:jc w:val="both"/>
        <w:rPr>
          <w:rFonts w:ascii="Cambria" w:eastAsia="Times New Roman" w:hAnsi="Cambria" w:cs="Arial"/>
          <w:color w:val="000000" w:themeColor="text1"/>
          <w:kern w:val="0"/>
          <w:lang w:eastAsia="en-GB"/>
          <w14:ligatures w14:val="none"/>
        </w:rPr>
      </w:pPr>
      <w:r w:rsidRPr="00C8369E">
        <w:rPr>
          <w:rFonts w:ascii="Cambria" w:eastAsia="Times New Roman" w:hAnsi="Cambria" w:cs="Arial"/>
          <w:color w:val="000000" w:themeColor="text1"/>
          <w:kern w:val="0"/>
          <w:lang w:eastAsia="en-GB"/>
          <w14:ligatures w14:val="none"/>
        </w:rPr>
        <w:t>In 2018</w:t>
      </w:r>
      <w:r w:rsidR="00166D7E" w:rsidRPr="00C8369E">
        <w:rPr>
          <w:rFonts w:ascii="Cambria" w:eastAsia="Times New Roman" w:hAnsi="Cambria" w:cs="Arial"/>
          <w:color w:val="000000" w:themeColor="text1"/>
          <w:kern w:val="0"/>
          <w:lang w:eastAsia="en-GB"/>
          <w14:ligatures w14:val="none"/>
        </w:rPr>
        <w:t>, Work Safe Australia’s</w:t>
      </w:r>
      <w:r w:rsidR="00173B8D" w:rsidRPr="00C8369E">
        <w:rPr>
          <w:rFonts w:ascii="Cambria" w:eastAsia="Times New Roman" w:hAnsi="Cambria" w:cs="Arial"/>
          <w:color w:val="000000" w:themeColor="text1"/>
          <w:kern w:val="0"/>
          <w:lang w:eastAsia="en-GB"/>
          <w14:ligatures w14:val="none"/>
        </w:rPr>
        <w:t xml:space="preserve"> </w:t>
      </w:r>
      <w:r w:rsidRPr="00C8369E">
        <w:rPr>
          <w:rFonts w:ascii="Cambria" w:eastAsia="Times New Roman" w:hAnsi="Cambria" w:cs="Arial"/>
          <w:i/>
          <w:iCs/>
          <w:color w:val="000000" w:themeColor="text1"/>
          <w:kern w:val="0"/>
          <w:lang w:eastAsia="en-GB"/>
          <w14:ligatures w14:val="none"/>
        </w:rPr>
        <w:t>Review of the model Work Health and Safety Laws</w:t>
      </w:r>
      <w:r w:rsidR="00396995" w:rsidRPr="00C8369E">
        <w:rPr>
          <w:rFonts w:ascii="Cambria" w:eastAsia="Times New Roman" w:hAnsi="Cambria" w:cs="Arial"/>
          <w:i/>
          <w:iCs/>
          <w:color w:val="000000" w:themeColor="text1"/>
          <w:kern w:val="0"/>
          <w:lang w:eastAsia="en-GB"/>
          <w14:ligatures w14:val="none"/>
        </w:rPr>
        <w:t xml:space="preserve"> </w:t>
      </w:r>
      <w:r w:rsidRPr="00C8369E">
        <w:rPr>
          <w:rFonts w:ascii="Cambria" w:eastAsia="Times New Roman" w:hAnsi="Cambria" w:cs="Arial"/>
          <w:color w:val="000000" w:themeColor="text1"/>
          <w:kern w:val="0"/>
          <w:lang w:eastAsia="en-GB"/>
          <w14:ligatures w14:val="none"/>
        </w:rPr>
        <w:t>recommended the introduction of industrial manslaughter offences in Work</w:t>
      </w:r>
      <w:r w:rsidR="00480B17" w:rsidRPr="00C8369E">
        <w:rPr>
          <w:rFonts w:ascii="Cambria" w:eastAsia="Times New Roman" w:hAnsi="Cambria" w:cs="Arial"/>
          <w:color w:val="000000" w:themeColor="text1"/>
          <w:kern w:val="0"/>
          <w:lang w:eastAsia="en-GB"/>
          <w14:ligatures w14:val="none"/>
        </w:rPr>
        <w:t xml:space="preserve"> </w:t>
      </w:r>
      <w:r w:rsidRPr="00C8369E">
        <w:rPr>
          <w:rFonts w:ascii="Cambria" w:eastAsia="Times New Roman" w:hAnsi="Cambria" w:cs="Arial"/>
          <w:color w:val="000000" w:themeColor="text1"/>
          <w:kern w:val="0"/>
          <w:lang w:eastAsia="en-GB"/>
          <w14:ligatures w14:val="none"/>
        </w:rPr>
        <w:t>Health and Safety legislation.</w:t>
      </w:r>
      <w:r w:rsidR="00480B17" w:rsidRPr="00C8369E">
        <w:rPr>
          <w:rStyle w:val="FootnoteReference"/>
          <w:rFonts w:ascii="Cambria" w:eastAsia="Times New Roman" w:hAnsi="Cambria" w:cs="Arial"/>
          <w:color w:val="000000" w:themeColor="text1"/>
          <w:kern w:val="0"/>
          <w:lang w:eastAsia="en-GB"/>
          <w14:ligatures w14:val="none"/>
        </w:rPr>
        <w:footnoteReference w:id="7"/>
      </w:r>
      <w:r w:rsidRPr="00C8369E">
        <w:rPr>
          <w:rFonts w:ascii="Cambria" w:eastAsia="Times New Roman" w:hAnsi="Cambria" w:cs="Arial"/>
          <w:color w:val="000000" w:themeColor="text1"/>
          <w:kern w:val="0"/>
          <w:lang w:eastAsia="en-GB"/>
          <w14:ligatures w14:val="none"/>
        </w:rPr>
        <w:t xml:space="preserve"> In the same year, a Senate inquiry recommended that the model Workplace Health and Safety legislation be amended to provide for an industrial manslaughter offence.</w:t>
      </w:r>
      <w:r w:rsidRPr="00C8369E">
        <w:rPr>
          <w:rStyle w:val="FootnoteReference"/>
          <w:rFonts w:ascii="Cambria" w:eastAsia="Times New Roman" w:hAnsi="Cambria" w:cs="Arial"/>
          <w:color w:val="000000" w:themeColor="text1"/>
          <w:kern w:val="0"/>
          <w:lang w:eastAsia="en-GB"/>
          <w14:ligatures w14:val="none"/>
        </w:rPr>
        <w:footnoteReference w:id="8"/>
      </w:r>
      <w:r w:rsidRPr="00C8369E">
        <w:rPr>
          <w:rFonts w:ascii="Cambria" w:eastAsia="Times New Roman" w:hAnsi="Cambria" w:cs="Arial"/>
          <w:color w:val="000000" w:themeColor="text1"/>
          <w:kern w:val="0"/>
          <w:lang w:eastAsia="en-GB"/>
          <w14:ligatures w14:val="none"/>
        </w:rPr>
        <w:t xml:space="preserve"> </w:t>
      </w:r>
    </w:p>
    <w:p w:rsidR="00A2216E" w:rsidRPr="00C8369E" w:rsidRDefault="00A2216E" w:rsidP="00A2216E">
      <w:pPr>
        <w:ind w:right="-347"/>
        <w:jc w:val="both"/>
        <w:rPr>
          <w:rFonts w:ascii="Cambria" w:eastAsia="Times New Roman" w:hAnsi="Cambria" w:cs="Arial"/>
          <w:color w:val="000000" w:themeColor="text1"/>
          <w:kern w:val="0"/>
          <w:lang w:eastAsia="en-GB"/>
          <w14:ligatures w14:val="none"/>
        </w:rPr>
      </w:pPr>
    </w:p>
    <w:p w:rsidR="00C8166B" w:rsidRPr="00C8369E" w:rsidRDefault="00DD4CC3" w:rsidP="00A2216E">
      <w:pPr>
        <w:ind w:right="-347"/>
        <w:jc w:val="both"/>
        <w:rPr>
          <w:rFonts w:ascii="Cambria" w:hAnsi="Cambria"/>
        </w:rPr>
      </w:pPr>
      <w:r w:rsidRPr="00C8369E">
        <w:rPr>
          <w:rFonts w:ascii="Cambria" w:hAnsi="Cambria"/>
        </w:rPr>
        <w:t>All</w:t>
      </w:r>
      <w:r w:rsidR="009F5B07" w:rsidRPr="00C8369E">
        <w:rPr>
          <w:rFonts w:ascii="Cambria" w:hAnsi="Cambria"/>
        </w:rPr>
        <w:t xml:space="preserve"> Australian jurisdictions </w:t>
      </w:r>
      <w:r w:rsidR="00B503D1" w:rsidRPr="00C8369E">
        <w:rPr>
          <w:rFonts w:ascii="Cambria" w:hAnsi="Cambria"/>
        </w:rPr>
        <w:t xml:space="preserve">except New South Wales and Tasmania </w:t>
      </w:r>
      <w:r w:rsidR="009F5B07" w:rsidRPr="00C8369E">
        <w:rPr>
          <w:rFonts w:ascii="Cambria" w:hAnsi="Cambria"/>
        </w:rPr>
        <w:t xml:space="preserve">have </w:t>
      </w:r>
      <w:r w:rsidRPr="00C8369E">
        <w:rPr>
          <w:rFonts w:ascii="Cambria" w:hAnsi="Cambria"/>
        </w:rPr>
        <w:t xml:space="preserve">now </w:t>
      </w:r>
      <w:r w:rsidR="009F5B07" w:rsidRPr="00C8369E">
        <w:rPr>
          <w:rFonts w:ascii="Cambria" w:hAnsi="Cambria"/>
        </w:rPr>
        <w:t>amended their Work Health and Safety Acts</w:t>
      </w:r>
      <w:r w:rsidR="00C4206C" w:rsidRPr="00C8369E">
        <w:rPr>
          <w:rFonts w:ascii="Cambria" w:hAnsi="Cambria"/>
        </w:rPr>
        <w:t xml:space="preserve"> to introduce industrial manslaughter provisions.</w:t>
      </w:r>
      <w:r w:rsidR="00C4206C" w:rsidRPr="00C8369E">
        <w:rPr>
          <w:rStyle w:val="FootnoteReference"/>
          <w:rFonts w:ascii="Cambria" w:hAnsi="Cambria"/>
        </w:rPr>
        <w:footnoteReference w:id="9"/>
      </w:r>
      <w:r w:rsidR="009F5B07" w:rsidRPr="00C8369E">
        <w:rPr>
          <w:rFonts w:ascii="Cambria" w:hAnsi="Cambria"/>
        </w:rPr>
        <w:t xml:space="preserve"> </w:t>
      </w:r>
      <w:r w:rsidR="00B503D1" w:rsidRPr="00C8369E">
        <w:rPr>
          <w:rFonts w:ascii="Cambria" w:hAnsi="Cambria"/>
        </w:rPr>
        <w:t xml:space="preserve">In New South Wales </w:t>
      </w:r>
      <w:r w:rsidR="000B6921" w:rsidRPr="00C8369E">
        <w:rPr>
          <w:rFonts w:ascii="Cambria" w:hAnsi="Cambria"/>
        </w:rPr>
        <w:t>the Government committed in October 2023 to introducing an industrial manslaughter offence.</w:t>
      </w:r>
      <w:r w:rsidR="000B6921" w:rsidRPr="00C8369E">
        <w:rPr>
          <w:rStyle w:val="FootnoteReference"/>
          <w:rFonts w:ascii="Cambria" w:hAnsi="Cambria"/>
        </w:rPr>
        <w:footnoteReference w:id="10"/>
      </w:r>
      <w:r w:rsidR="000B6921" w:rsidRPr="00C8369E">
        <w:rPr>
          <w:rFonts w:ascii="Cambria" w:hAnsi="Cambria"/>
        </w:rPr>
        <w:t xml:space="preserve"> </w:t>
      </w:r>
    </w:p>
    <w:p w:rsidR="00C8166B" w:rsidRPr="00C8369E" w:rsidRDefault="00C8166B" w:rsidP="00A2216E">
      <w:pPr>
        <w:ind w:right="-347"/>
        <w:jc w:val="both"/>
        <w:rPr>
          <w:rFonts w:ascii="Cambria" w:hAnsi="Cambria"/>
        </w:rPr>
      </w:pPr>
    </w:p>
    <w:p w:rsidR="00A2216E" w:rsidRPr="00C8369E" w:rsidRDefault="00A2216E" w:rsidP="00A2216E">
      <w:pPr>
        <w:ind w:right="-347"/>
        <w:jc w:val="both"/>
        <w:rPr>
          <w:rFonts w:ascii="Cambria" w:hAnsi="Cambria"/>
        </w:rPr>
      </w:pPr>
      <w:r w:rsidRPr="00C8369E">
        <w:rPr>
          <w:rFonts w:ascii="Cambria" w:hAnsi="Cambria"/>
          <w:b/>
          <w:bCs/>
        </w:rPr>
        <w:t xml:space="preserve">Negligence </w:t>
      </w:r>
      <w:r w:rsidR="00C8369E">
        <w:rPr>
          <w:rFonts w:ascii="Cambria" w:hAnsi="Cambria"/>
          <w:b/>
          <w:bCs/>
        </w:rPr>
        <w:t>or</w:t>
      </w:r>
      <w:r w:rsidRPr="00C8369E">
        <w:rPr>
          <w:rFonts w:ascii="Cambria" w:hAnsi="Cambria"/>
          <w:b/>
          <w:bCs/>
        </w:rPr>
        <w:t xml:space="preserve"> Gross Negligence</w:t>
      </w:r>
      <w:r w:rsidR="00C8369E">
        <w:rPr>
          <w:rFonts w:ascii="Cambria" w:hAnsi="Cambria"/>
          <w:b/>
          <w:bCs/>
        </w:rPr>
        <w:t>?</w:t>
      </w:r>
    </w:p>
    <w:p w:rsidR="00852908" w:rsidRPr="00422F9C" w:rsidRDefault="000F0821" w:rsidP="00A2216E">
      <w:pPr>
        <w:ind w:right="-347"/>
        <w:jc w:val="both"/>
        <w:rPr>
          <w:rFonts w:ascii="Cambria" w:eastAsia="Times New Roman" w:hAnsi="Cambria" w:cs="Arial"/>
          <w:color w:val="000000" w:themeColor="text1"/>
          <w:kern w:val="0"/>
          <w:lang w:eastAsia="en-GB"/>
          <w14:ligatures w14:val="none"/>
        </w:rPr>
      </w:pPr>
      <w:r w:rsidRPr="00C8369E">
        <w:rPr>
          <w:rFonts w:ascii="Cambria" w:eastAsia="Times New Roman" w:hAnsi="Cambria" w:cs="Arial"/>
          <w:color w:val="000000" w:themeColor="text1"/>
          <w:kern w:val="0"/>
          <w:lang w:eastAsia="en-GB"/>
          <w14:ligatures w14:val="none"/>
        </w:rPr>
        <w:t xml:space="preserve">The proposed offence requires a person to engage in conduct that amounts to </w:t>
      </w:r>
      <w:r w:rsidR="00852908" w:rsidRPr="00C8369E">
        <w:rPr>
          <w:rFonts w:ascii="Cambria" w:eastAsia="Times New Roman" w:hAnsi="Cambria" w:cs="Arial"/>
          <w:color w:val="000000" w:themeColor="text1"/>
          <w:kern w:val="0"/>
          <w:lang w:eastAsia="en-GB"/>
          <w14:ligatures w14:val="none"/>
        </w:rPr>
        <w:t>‘</w:t>
      </w:r>
      <w:r w:rsidRPr="00C8369E">
        <w:rPr>
          <w:rFonts w:ascii="Cambria" w:eastAsia="Times New Roman" w:hAnsi="Cambria" w:cs="Arial"/>
          <w:color w:val="000000" w:themeColor="text1"/>
          <w:kern w:val="0"/>
          <w:lang w:eastAsia="en-GB"/>
          <w14:ligatures w14:val="none"/>
        </w:rPr>
        <w:t>gross negligence</w:t>
      </w:r>
      <w:r w:rsidR="00852908" w:rsidRPr="00C8369E">
        <w:rPr>
          <w:rFonts w:ascii="Cambria" w:eastAsia="Times New Roman" w:hAnsi="Cambria" w:cs="Arial"/>
          <w:color w:val="000000" w:themeColor="text1"/>
          <w:kern w:val="0"/>
          <w:lang w:eastAsia="en-GB"/>
          <w14:ligatures w14:val="none"/>
        </w:rPr>
        <w:t>’</w:t>
      </w:r>
      <w:r w:rsidRPr="00C8369E">
        <w:rPr>
          <w:rFonts w:ascii="Cambria" w:eastAsia="Times New Roman" w:hAnsi="Cambria" w:cs="Arial"/>
          <w:color w:val="000000" w:themeColor="text1"/>
          <w:kern w:val="0"/>
          <w:lang w:eastAsia="en-GB"/>
          <w14:ligatures w14:val="none"/>
        </w:rPr>
        <w:t>. Gross negligence is not defined but in common law has been defined as</w:t>
      </w:r>
      <w:r w:rsidR="00007B77" w:rsidRPr="00C8369E">
        <w:rPr>
          <w:rFonts w:ascii="Cambria" w:eastAsia="Times New Roman" w:hAnsi="Cambria" w:cs="Arial"/>
          <w:color w:val="000000" w:themeColor="text1"/>
          <w:kern w:val="0"/>
          <w:lang w:eastAsia="en-GB"/>
          <w14:ligatures w14:val="none"/>
        </w:rPr>
        <w:t xml:space="preserve"> negligence which shows such disregard for the life and safety of others to be deserving of criminal punishment.</w:t>
      </w:r>
      <w:r w:rsidR="00007B77" w:rsidRPr="00C8369E">
        <w:rPr>
          <w:rStyle w:val="FootnoteReference"/>
          <w:rFonts w:ascii="Cambria" w:eastAsia="Times New Roman" w:hAnsi="Cambria" w:cs="Arial"/>
          <w:color w:val="000000" w:themeColor="text1"/>
          <w:kern w:val="0"/>
          <w:lang w:eastAsia="en-GB"/>
          <w14:ligatures w14:val="none"/>
        </w:rPr>
        <w:footnoteReference w:id="11"/>
      </w:r>
      <w:r w:rsidR="00422F9C" w:rsidRPr="00C8369E">
        <w:rPr>
          <w:rFonts w:ascii="Cambria" w:eastAsia="Times New Roman" w:hAnsi="Cambria" w:cs="Arial"/>
          <w:color w:val="000000" w:themeColor="text1"/>
          <w:kern w:val="0"/>
          <w:lang w:eastAsia="en-GB"/>
          <w14:ligatures w14:val="none"/>
        </w:rPr>
        <w:t xml:space="preserve"> </w:t>
      </w:r>
      <w:r w:rsidR="00852908" w:rsidRPr="00C8369E">
        <w:rPr>
          <w:rFonts w:ascii="Cambria" w:eastAsia="Times New Roman" w:hAnsi="Cambria" w:cs="Arial"/>
          <w:color w:val="000000" w:themeColor="text1"/>
          <w:kern w:val="0"/>
          <w:lang w:eastAsia="en-GB"/>
          <w14:ligatures w14:val="none"/>
        </w:rPr>
        <w:t xml:space="preserve">We strongly believe that the applicable test should be negligence </w:t>
      </w:r>
      <w:r w:rsidR="00852908" w:rsidRPr="00422F9C">
        <w:rPr>
          <w:rFonts w:ascii="Cambria" w:eastAsia="Times New Roman" w:hAnsi="Cambria" w:cs="Arial"/>
          <w:color w:val="000000" w:themeColor="text1"/>
          <w:kern w:val="0"/>
          <w:lang w:eastAsia="en-GB"/>
          <w14:ligatures w14:val="none"/>
        </w:rPr>
        <w:t>rather than gross negligence. In Queensland, prior to its industrial manslaughter legislation being introduced a review of workplace health and safety legislation found:</w:t>
      </w:r>
      <w:r w:rsidR="00852908" w:rsidRPr="00422F9C">
        <w:rPr>
          <w:rStyle w:val="FootnoteReference"/>
          <w:rFonts w:ascii="Cambria" w:eastAsia="Times New Roman" w:hAnsi="Cambria" w:cs="Arial"/>
          <w:color w:val="000000" w:themeColor="text1"/>
          <w:kern w:val="0"/>
          <w:lang w:eastAsia="en-GB"/>
          <w14:ligatures w14:val="none"/>
        </w:rPr>
        <w:footnoteReference w:id="12"/>
      </w:r>
    </w:p>
    <w:p w:rsidR="00852908" w:rsidRPr="00422F9C" w:rsidRDefault="00852908" w:rsidP="00A2216E">
      <w:pPr>
        <w:ind w:right="-347"/>
        <w:jc w:val="both"/>
        <w:rPr>
          <w:rFonts w:ascii="Cambria" w:eastAsia="Times New Roman" w:hAnsi="Cambria" w:cs="Arial"/>
          <w:color w:val="000000" w:themeColor="text1"/>
          <w:kern w:val="0"/>
          <w:lang w:eastAsia="en-GB"/>
          <w14:ligatures w14:val="none"/>
        </w:rPr>
      </w:pPr>
    </w:p>
    <w:p w:rsidR="000F0821" w:rsidRPr="00422F9C" w:rsidRDefault="00852908" w:rsidP="00852908">
      <w:pPr>
        <w:ind w:left="720" w:right="-347"/>
        <w:jc w:val="both"/>
        <w:rPr>
          <w:rFonts w:ascii="Cambria" w:hAnsi="Cambria"/>
          <w:i/>
          <w:iCs/>
          <w:color w:val="000000" w:themeColor="text1"/>
        </w:rPr>
      </w:pPr>
      <w:r w:rsidRPr="00422F9C">
        <w:rPr>
          <w:rFonts w:ascii="Cambria" w:hAnsi="Cambria"/>
          <w:i/>
          <w:iCs/>
          <w:color w:val="000000" w:themeColor="text1"/>
        </w:rPr>
        <w:t>In terms of terminology, it is the view of the Review that the offence should be that of ‘negligence’ causing death as opposed to ‘gross negligence’ causing death. The rationale for this view is that gross negligence has a particular legal meaning that requires more than negligence. The consequence of this is that it may make prosecutions more difficult to pursue and may be the reason minimal prosecutions have been pursued in jurisdictions who have industrial manslaughter provisions.</w:t>
      </w:r>
      <w:r w:rsidR="00422F9C" w:rsidRPr="00422F9C">
        <w:rPr>
          <w:rFonts w:ascii="Cambria" w:hAnsi="Cambria"/>
          <w:i/>
          <w:iCs/>
          <w:color w:val="000000" w:themeColor="text1"/>
        </w:rPr>
        <w:t xml:space="preserve"> </w:t>
      </w:r>
      <w:r w:rsidRPr="00422F9C">
        <w:rPr>
          <w:rFonts w:ascii="Cambria" w:hAnsi="Cambria"/>
          <w:i/>
          <w:iCs/>
          <w:color w:val="000000" w:themeColor="text1"/>
        </w:rPr>
        <w:t>Subsequently, proving negligence to the criminal standard of proof is considered to be the appropriate framing for the new offence.</w:t>
      </w:r>
    </w:p>
    <w:p w:rsidR="000F0821" w:rsidRPr="00422F9C" w:rsidRDefault="000F0821" w:rsidP="00A2216E">
      <w:pPr>
        <w:ind w:right="-347"/>
        <w:jc w:val="both"/>
        <w:rPr>
          <w:rFonts w:ascii="Cambria" w:hAnsi="Cambria"/>
        </w:rPr>
      </w:pPr>
    </w:p>
    <w:p w:rsidR="009F5B07" w:rsidRDefault="00C8166B" w:rsidP="00EF4F7B">
      <w:pPr>
        <w:ind w:right="-347"/>
        <w:jc w:val="both"/>
        <w:rPr>
          <w:rFonts w:ascii="Cambria" w:hAnsi="Cambria"/>
        </w:rPr>
      </w:pPr>
      <w:r>
        <w:rPr>
          <w:rFonts w:ascii="Cambria" w:hAnsi="Cambria"/>
        </w:rPr>
        <w:t>As well as Queensland,</w:t>
      </w:r>
      <w:r>
        <w:rPr>
          <w:rStyle w:val="FootnoteReference"/>
          <w:rFonts w:ascii="Cambria" w:hAnsi="Cambria"/>
        </w:rPr>
        <w:footnoteReference w:id="13"/>
      </w:r>
      <w:r>
        <w:rPr>
          <w:rFonts w:ascii="Cambria" w:hAnsi="Cambria"/>
        </w:rPr>
        <w:t xml:space="preserve"> </w:t>
      </w:r>
      <w:r w:rsidR="00422F9C">
        <w:rPr>
          <w:rFonts w:ascii="Cambria" w:hAnsi="Cambria"/>
        </w:rPr>
        <w:t>negligence has been adopted as the appropriate</w:t>
      </w:r>
      <w:r w:rsidR="00EF4F7B">
        <w:rPr>
          <w:rFonts w:ascii="Cambria" w:hAnsi="Cambria"/>
        </w:rPr>
        <w:t xml:space="preserve"> standard</w:t>
      </w:r>
      <w:r w:rsidR="00422F9C">
        <w:rPr>
          <w:rFonts w:ascii="Cambria" w:hAnsi="Cambria"/>
        </w:rPr>
        <w:t xml:space="preserve"> in Victoria,</w:t>
      </w:r>
      <w:r w:rsidR="00422F9C">
        <w:rPr>
          <w:rStyle w:val="FootnoteReference"/>
          <w:rFonts w:ascii="Cambria" w:hAnsi="Cambria"/>
        </w:rPr>
        <w:footnoteReference w:id="14"/>
      </w:r>
      <w:r w:rsidR="00422F9C">
        <w:rPr>
          <w:rFonts w:ascii="Cambria" w:hAnsi="Cambria"/>
        </w:rPr>
        <w:t xml:space="preserve"> the Australian Capital Territory</w:t>
      </w:r>
      <w:r w:rsidR="00422F9C">
        <w:rPr>
          <w:rStyle w:val="FootnoteReference"/>
          <w:rFonts w:ascii="Cambria" w:hAnsi="Cambria"/>
        </w:rPr>
        <w:footnoteReference w:id="15"/>
      </w:r>
      <w:r w:rsidR="00422F9C">
        <w:rPr>
          <w:rFonts w:ascii="Cambria" w:hAnsi="Cambria"/>
        </w:rPr>
        <w:t xml:space="preserve"> </w:t>
      </w:r>
      <w:r w:rsidR="000E095E">
        <w:rPr>
          <w:rFonts w:ascii="Cambria" w:hAnsi="Cambria"/>
        </w:rPr>
        <w:t xml:space="preserve">and </w:t>
      </w:r>
      <w:r w:rsidR="00422F9C">
        <w:rPr>
          <w:rFonts w:ascii="Cambria" w:hAnsi="Cambria"/>
        </w:rPr>
        <w:t>the Northern Territory</w:t>
      </w:r>
      <w:r w:rsidR="000E095E">
        <w:rPr>
          <w:rFonts w:ascii="Cambria" w:hAnsi="Cambria"/>
        </w:rPr>
        <w:t>.</w:t>
      </w:r>
      <w:r>
        <w:rPr>
          <w:rStyle w:val="FootnoteReference"/>
          <w:rFonts w:ascii="Cambria" w:hAnsi="Cambria"/>
        </w:rPr>
        <w:footnoteReference w:id="16"/>
      </w:r>
      <w:r w:rsidR="00422F9C">
        <w:rPr>
          <w:rFonts w:ascii="Cambria" w:hAnsi="Cambria"/>
        </w:rPr>
        <w:t xml:space="preserve"> </w:t>
      </w:r>
      <w:r w:rsidR="000E095E">
        <w:rPr>
          <w:rFonts w:ascii="Cambria" w:hAnsi="Cambria"/>
        </w:rPr>
        <w:t>At a</w:t>
      </w:r>
      <w:r w:rsidR="00EF4F7B">
        <w:rPr>
          <w:rFonts w:ascii="Cambria" w:hAnsi="Cambria"/>
        </w:rPr>
        <w:t xml:space="preserve"> Commonwealth</w:t>
      </w:r>
      <w:r w:rsidR="000E095E">
        <w:rPr>
          <w:rFonts w:ascii="Cambria" w:hAnsi="Cambria"/>
        </w:rPr>
        <w:t xml:space="preserve"> level, a Bill has passed the House of Representatives and is currently before the Senate which would </w:t>
      </w:r>
      <w:r w:rsidR="00EB511A">
        <w:rPr>
          <w:rFonts w:ascii="Cambria" w:hAnsi="Cambria"/>
        </w:rPr>
        <w:t>adopt</w:t>
      </w:r>
      <w:r w:rsidR="000E095E">
        <w:rPr>
          <w:rFonts w:ascii="Cambria" w:hAnsi="Cambria"/>
        </w:rPr>
        <w:t xml:space="preserve"> negligence</w:t>
      </w:r>
      <w:r w:rsidR="00EF4F7B">
        <w:rPr>
          <w:rFonts w:ascii="Cambria" w:hAnsi="Cambria"/>
        </w:rPr>
        <w:t xml:space="preserve"> as the appropriate standard</w:t>
      </w:r>
      <w:r w:rsidR="000E095E">
        <w:rPr>
          <w:rFonts w:ascii="Cambria" w:hAnsi="Cambria"/>
        </w:rPr>
        <w:t>.</w:t>
      </w:r>
      <w:r w:rsidR="000E095E">
        <w:rPr>
          <w:rStyle w:val="FootnoteReference"/>
          <w:rFonts w:ascii="Cambria" w:hAnsi="Cambria"/>
        </w:rPr>
        <w:footnoteReference w:id="17"/>
      </w:r>
      <w:r w:rsidR="00DD4CC3">
        <w:rPr>
          <w:rFonts w:ascii="Cambria" w:hAnsi="Cambria"/>
        </w:rPr>
        <w:t xml:space="preserve"> </w:t>
      </w:r>
    </w:p>
    <w:p w:rsidR="006E4F49" w:rsidRDefault="006E4F49" w:rsidP="00EF4F7B">
      <w:pPr>
        <w:ind w:right="-347"/>
        <w:jc w:val="both"/>
        <w:rPr>
          <w:rFonts w:ascii="Cambria" w:hAnsi="Cambria"/>
        </w:rPr>
      </w:pPr>
    </w:p>
    <w:p w:rsidR="004B0557" w:rsidRDefault="006E4F49" w:rsidP="004B0557">
      <w:pPr>
        <w:ind w:right="-347"/>
        <w:jc w:val="both"/>
        <w:rPr>
          <w:rFonts w:ascii="Cambria" w:hAnsi="Cambria"/>
        </w:rPr>
      </w:pPr>
      <w:r>
        <w:rPr>
          <w:rFonts w:ascii="Cambria" w:hAnsi="Cambria"/>
        </w:rPr>
        <w:t xml:space="preserve">If </w:t>
      </w:r>
      <w:r w:rsidR="00A61C4A">
        <w:rPr>
          <w:rFonts w:ascii="Cambria" w:hAnsi="Cambria"/>
        </w:rPr>
        <w:t xml:space="preserve">Tasmania does adopt the negligence standard as the majority of Australian jurisdictions have done, the </w:t>
      </w:r>
      <w:r w:rsidR="0078480B">
        <w:rPr>
          <w:rFonts w:ascii="Cambria" w:hAnsi="Cambria"/>
        </w:rPr>
        <w:t xml:space="preserve">fault element should be defined </w:t>
      </w:r>
      <w:r w:rsidR="00C8369E">
        <w:rPr>
          <w:rFonts w:ascii="Cambria" w:hAnsi="Cambria"/>
        </w:rPr>
        <w:t>and clarified</w:t>
      </w:r>
      <w:r w:rsidR="00A61C4A">
        <w:rPr>
          <w:rFonts w:ascii="Cambria" w:hAnsi="Cambria"/>
        </w:rPr>
        <w:t>.</w:t>
      </w:r>
      <w:r w:rsidR="0078480B">
        <w:rPr>
          <w:rFonts w:ascii="Cambria" w:hAnsi="Cambria"/>
        </w:rPr>
        <w:t xml:space="preserve"> </w:t>
      </w:r>
      <w:r w:rsidR="00C8369E">
        <w:rPr>
          <w:rFonts w:ascii="Cambria" w:hAnsi="Cambria"/>
        </w:rPr>
        <w:t>A model that should be considered is s</w:t>
      </w:r>
      <w:r w:rsidR="0078480B">
        <w:rPr>
          <w:rFonts w:ascii="Cambria" w:hAnsi="Cambria"/>
        </w:rPr>
        <w:t xml:space="preserve">ection 39E </w:t>
      </w:r>
      <w:r w:rsidR="00C8369E">
        <w:rPr>
          <w:rFonts w:ascii="Cambria" w:hAnsi="Cambria"/>
        </w:rPr>
        <w:t xml:space="preserve">of the </w:t>
      </w:r>
      <w:r w:rsidR="00C8369E" w:rsidRPr="00C8369E">
        <w:rPr>
          <w:rFonts w:ascii="Cambria" w:hAnsi="Cambria"/>
          <w:i/>
          <w:iCs/>
        </w:rPr>
        <w:t>Occupational Health and Safety Act 2004</w:t>
      </w:r>
      <w:r w:rsidR="00C8369E">
        <w:rPr>
          <w:rFonts w:ascii="Cambria" w:hAnsi="Cambria"/>
        </w:rPr>
        <w:t xml:space="preserve"> (Vic) which defines ‘negligence’ as follows: </w:t>
      </w:r>
      <w:r w:rsidR="00A61C4A">
        <w:rPr>
          <w:rFonts w:ascii="Cambria" w:hAnsi="Cambria"/>
        </w:rPr>
        <w:t xml:space="preserve"> </w:t>
      </w:r>
    </w:p>
    <w:p w:rsidR="0078480B" w:rsidRDefault="0078480B" w:rsidP="00EF4F7B">
      <w:pPr>
        <w:ind w:right="-347"/>
        <w:jc w:val="both"/>
        <w:rPr>
          <w:rFonts w:ascii="Cambria" w:hAnsi="Cambria"/>
        </w:rPr>
      </w:pPr>
    </w:p>
    <w:p w:rsidR="0078480B" w:rsidRPr="0078480B" w:rsidRDefault="0078480B" w:rsidP="0078480B">
      <w:pPr>
        <w:ind w:left="720" w:right="-347"/>
        <w:jc w:val="both"/>
        <w:rPr>
          <w:rFonts w:ascii="Cambria" w:hAnsi="Cambria"/>
          <w:b/>
          <w:bCs/>
          <w:i/>
          <w:iCs/>
          <w:sz w:val="22"/>
          <w:szCs w:val="22"/>
        </w:rPr>
      </w:pPr>
      <w:r w:rsidRPr="0078480B">
        <w:rPr>
          <w:rFonts w:ascii="Cambria" w:hAnsi="Cambria"/>
          <w:b/>
          <w:bCs/>
          <w:i/>
          <w:iCs/>
          <w:sz w:val="22"/>
          <w:szCs w:val="22"/>
        </w:rPr>
        <w:t xml:space="preserve">39E When is conduct negligent? </w:t>
      </w:r>
    </w:p>
    <w:p w:rsidR="0078480B" w:rsidRPr="0078480B" w:rsidRDefault="0078480B" w:rsidP="0078480B">
      <w:pPr>
        <w:ind w:left="720" w:right="-347"/>
        <w:jc w:val="both"/>
        <w:rPr>
          <w:rFonts w:ascii="Cambria" w:hAnsi="Cambria"/>
          <w:i/>
          <w:iCs/>
          <w:sz w:val="22"/>
          <w:szCs w:val="22"/>
        </w:rPr>
      </w:pPr>
      <w:r w:rsidRPr="0078480B">
        <w:rPr>
          <w:rFonts w:ascii="Cambria" w:hAnsi="Cambria"/>
          <w:i/>
          <w:iCs/>
          <w:sz w:val="22"/>
          <w:szCs w:val="22"/>
        </w:rPr>
        <w:t xml:space="preserve">(1) Conduct is negligent for the purposes of this Part if it involves— </w:t>
      </w:r>
    </w:p>
    <w:p w:rsidR="0078480B" w:rsidRPr="0078480B" w:rsidRDefault="0078480B" w:rsidP="0078480B">
      <w:pPr>
        <w:ind w:left="1440" w:right="-347"/>
        <w:jc w:val="both"/>
        <w:rPr>
          <w:rFonts w:ascii="Cambria" w:hAnsi="Cambria"/>
          <w:i/>
          <w:iCs/>
          <w:sz w:val="22"/>
          <w:szCs w:val="22"/>
        </w:rPr>
      </w:pPr>
      <w:r w:rsidRPr="0078480B">
        <w:rPr>
          <w:rFonts w:ascii="Cambria" w:hAnsi="Cambria"/>
          <w:i/>
          <w:iCs/>
          <w:sz w:val="22"/>
          <w:szCs w:val="22"/>
        </w:rPr>
        <w:t xml:space="preserve">(a) a great falling short of the standard of care that would have been taken by a reasonable person in the circumstances in which the conduct was engaged in; and </w:t>
      </w:r>
    </w:p>
    <w:p w:rsidR="0078480B" w:rsidRPr="0078480B" w:rsidRDefault="0078480B" w:rsidP="0078480B">
      <w:pPr>
        <w:ind w:left="720" w:right="-347" w:firstLine="720"/>
        <w:jc w:val="both"/>
        <w:rPr>
          <w:rFonts w:ascii="Cambria" w:hAnsi="Cambria"/>
          <w:i/>
          <w:iCs/>
          <w:sz w:val="22"/>
          <w:szCs w:val="22"/>
        </w:rPr>
      </w:pPr>
    </w:p>
    <w:p w:rsidR="0078480B" w:rsidRPr="0078480B" w:rsidRDefault="0078480B" w:rsidP="0078480B">
      <w:pPr>
        <w:ind w:left="720" w:right="-347" w:firstLine="720"/>
        <w:jc w:val="both"/>
        <w:rPr>
          <w:rFonts w:ascii="Cambria" w:hAnsi="Cambria"/>
          <w:i/>
          <w:iCs/>
          <w:sz w:val="22"/>
          <w:szCs w:val="22"/>
        </w:rPr>
      </w:pPr>
      <w:r w:rsidRPr="0078480B">
        <w:rPr>
          <w:rFonts w:ascii="Cambria" w:hAnsi="Cambria"/>
          <w:i/>
          <w:iCs/>
          <w:sz w:val="22"/>
          <w:szCs w:val="22"/>
        </w:rPr>
        <w:t xml:space="preserve">(b) a high risk of— </w:t>
      </w:r>
    </w:p>
    <w:p w:rsidR="0078480B" w:rsidRPr="0078480B" w:rsidRDefault="0078480B" w:rsidP="0078480B">
      <w:pPr>
        <w:ind w:left="1440" w:right="-347" w:firstLine="720"/>
        <w:jc w:val="both"/>
        <w:rPr>
          <w:rFonts w:ascii="Cambria" w:hAnsi="Cambria"/>
          <w:i/>
          <w:iCs/>
          <w:sz w:val="22"/>
          <w:szCs w:val="22"/>
        </w:rPr>
      </w:pPr>
    </w:p>
    <w:p w:rsidR="0078480B" w:rsidRPr="0078480B" w:rsidRDefault="0078480B" w:rsidP="00C8369E">
      <w:pPr>
        <w:ind w:left="1440" w:right="-347" w:firstLine="720"/>
        <w:jc w:val="both"/>
        <w:rPr>
          <w:rFonts w:ascii="Cambria" w:hAnsi="Cambria"/>
          <w:i/>
          <w:iCs/>
          <w:sz w:val="22"/>
          <w:szCs w:val="22"/>
        </w:rPr>
      </w:pPr>
      <w:r w:rsidRPr="0078480B">
        <w:rPr>
          <w:rFonts w:ascii="Cambria" w:hAnsi="Cambria"/>
          <w:i/>
          <w:iCs/>
          <w:sz w:val="22"/>
          <w:szCs w:val="22"/>
        </w:rPr>
        <w:t>(</w:t>
      </w:r>
      <w:proofErr w:type="spellStart"/>
      <w:r w:rsidRPr="0078480B">
        <w:rPr>
          <w:rFonts w:ascii="Cambria" w:hAnsi="Cambria"/>
          <w:i/>
          <w:iCs/>
          <w:sz w:val="22"/>
          <w:szCs w:val="22"/>
        </w:rPr>
        <w:t>i</w:t>
      </w:r>
      <w:proofErr w:type="spellEnd"/>
      <w:r w:rsidRPr="0078480B">
        <w:rPr>
          <w:rFonts w:ascii="Cambria" w:hAnsi="Cambria"/>
          <w:i/>
          <w:iCs/>
          <w:sz w:val="22"/>
          <w:szCs w:val="22"/>
        </w:rPr>
        <w:t xml:space="preserve">) death; or </w:t>
      </w:r>
    </w:p>
    <w:p w:rsidR="0078480B" w:rsidRPr="0078480B" w:rsidRDefault="0078480B" w:rsidP="00C8369E">
      <w:pPr>
        <w:ind w:left="1440" w:right="-347" w:firstLine="720"/>
        <w:jc w:val="both"/>
        <w:rPr>
          <w:rFonts w:ascii="Cambria" w:hAnsi="Cambria"/>
          <w:i/>
          <w:iCs/>
          <w:sz w:val="22"/>
          <w:szCs w:val="22"/>
        </w:rPr>
      </w:pPr>
      <w:r w:rsidRPr="0078480B">
        <w:rPr>
          <w:rFonts w:ascii="Cambria" w:hAnsi="Cambria"/>
          <w:i/>
          <w:iCs/>
          <w:sz w:val="22"/>
          <w:szCs w:val="22"/>
        </w:rPr>
        <w:t xml:space="preserve">(ii) serious injury; or </w:t>
      </w:r>
    </w:p>
    <w:p w:rsidR="0078480B" w:rsidRPr="0078480B" w:rsidRDefault="0078480B" w:rsidP="0078480B">
      <w:pPr>
        <w:ind w:left="1440" w:right="-347" w:firstLine="720"/>
        <w:jc w:val="both"/>
        <w:rPr>
          <w:rFonts w:ascii="Cambria" w:hAnsi="Cambria"/>
          <w:i/>
          <w:iCs/>
          <w:sz w:val="22"/>
          <w:szCs w:val="22"/>
        </w:rPr>
      </w:pPr>
      <w:r w:rsidRPr="0078480B">
        <w:rPr>
          <w:rFonts w:ascii="Cambria" w:hAnsi="Cambria"/>
          <w:i/>
          <w:iCs/>
          <w:sz w:val="22"/>
          <w:szCs w:val="22"/>
        </w:rPr>
        <w:t xml:space="preserve">(iii) serious illness. </w:t>
      </w:r>
    </w:p>
    <w:p w:rsidR="0078480B" w:rsidRPr="0078480B" w:rsidRDefault="0078480B" w:rsidP="0078480B">
      <w:pPr>
        <w:ind w:left="720" w:right="-347"/>
        <w:jc w:val="both"/>
        <w:rPr>
          <w:rFonts w:ascii="Cambria" w:hAnsi="Cambria"/>
          <w:sz w:val="22"/>
          <w:szCs w:val="22"/>
        </w:rPr>
      </w:pPr>
    </w:p>
    <w:p w:rsidR="00A61C4A" w:rsidRPr="0078480B" w:rsidRDefault="0078480B" w:rsidP="0078480B">
      <w:pPr>
        <w:ind w:left="720" w:right="-347"/>
        <w:jc w:val="both"/>
        <w:rPr>
          <w:rFonts w:ascii="Cambria" w:hAnsi="Cambria"/>
          <w:i/>
          <w:iCs/>
          <w:sz w:val="22"/>
          <w:szCs w:val="22"/>
        </w:rPr>
      </w:pPr>
      <w:r w:rsidRPr="0078480B">
        <w:rPr>
          <w:rFonts w:ascii="Cambria" w:hAnsi="Cambria"/>
          <w:i/>
          <w:iCs/>
          <w:sz w:val="22"/>
          <w:szCs w:val="22"/>
        </w:rPr>
        <w:t>(2) In determining whether conduct engaged in by a body corporate is negligent for the purposes of this Part—</w:t>
      </w:r>
    </w:p>
    <w:p w:rsidR="0078480B" w:rsidRPr="0078480B" w:rsidRDefault="0078480B" w:rsidP="0078480B">
      <w:pPr>
        <w:ind w:left="720" w:right="-347"/>
        <w:jc w:val="both"/>
        <w:rPr>
          <w:rFonts w:ascii="Cambria" w:hAnsi="Cambria"/>
          <w:i/>
          <w:iCs/>
          <w:sz w:val="22"/>
          <w:szCs w:val="22"/>
        </w:rPr>
      </w:pPr>
    </w:p>
    <w:p w:rsidR="0078480B" w:rsidRPr="0078480B" w:rsidRDefault="0078480B" w:rsidP="0078480B">
      <w:pPr>
        <w:ind w:left="720" w:right="-347" w:firstLine="720"/>
        <w:jc w:val="both"/>
        <w:rPr>
          <w:rFonts w:ascii="Cambria" w:hAnsi="Cambria"/>
          <w:i/>
          <w:iCs/>
          <w:sz w:val="22"/>
          <w:szCs w:val="22"/>
        </w:rPr>
      </w:pPr>
      <w:r w:rsidRPr="0078480B">
        <w:rPr>
          <w:rFonts w:ascii="Cambria" w:hAnsi="Cambria"/>
          <w:i/>
          <w:iCs/>
          <w:sz w:val="22"/>
          <w:szCs w:val="22"/>
        </w:rPr>
        <w:t xml:space="preserve">(a) what matters is the conduct engaged in by the body corporate itself; and </w:t>
      </w:r>
    </w:p>
    <w:p w:rsidR="00C8369E" w:rsidRDefault="00C8369E" w:rsidP="0078480B">
      <w:pPr>
        <w:ind w:left="1440" w:right="-347"/>
        <w:jc w:val="both"/>
        <w:rPr>
          <w:rFonts w:ascii="Cambria" w:hAnsi="Cambria"/>
          <w:i/>
          <w:iCs/>
          <w:sz w:val="22"/>
          <w:szCs w:val="22"/>
        </w:rPr>
      </w:pPr>
    </w:p>
    <w:p w:rsidR="0078480B" w:rsidRPr="0078480B" w:rsidRDefault="0078480B" w:rsidP="0078480B">
      <w:pPr>
        <w:ind w:left="1440" w:right="-347"/>
        <w:jc w:val="both"/>
        <w:rPr>
          <w:rFonts w:ascii="Cambria" w:hAnsi="Cambria"/>
          <w:i/>
          <w:iCs/>
          <w:sz w:val="22"/>
          <w:szCs w:val="22"/>
        </w:rPr>
      </w:pPr>
      <w:r w:rsidRPr="0078480B">
        <w:rPr>
          <w:rFonts w:ascii="Cambria" w:hAnsi="Cambria"/>
          <w:i/>
          <w:iCs/>
          <w:sz w:val="22"/>
          <w:szCs w:val="22"/>
        </w:rPr>
        <w:t xml:space="preserve">(b) it does not matter whether the conduct is, or is not, conduct imputed to the body corporate under section 143; and </w:t>
      </w:r>
    </w:p>
    <w:p w:rsidR="0078480B" w:rsidRPr="0078480B" w:rsidRDefault="0078480B" w:rsidP="0078480B">
      <w:pPr>
        <w:ind w:left="720" w:right="-347"/>
        <w:jc w:val="both"/>
        <w:rPr>
          <w:rFonts w:ascii="Cambria" w:hAnsi="Cambria"/>
          <w:i/>
          <w:iCs/>
          <w:sz w:val="22"/>
          <w:szCs w:val="22"/>
        </w:rPr>
      </w:pPr>
    </w:p>
    <w:p w:rsidR="0078480B" w:rsidRPr="0078480B" w:rsidRDefault="0078480B" w:rsidP="0078480B">
      <w:pPr>
        <w:ind w:left="1440" w:right="-347"/>
        <w:jc w:val="both"/>
        <w:rPr>
          <w:rFonts w:ascii="Cambria" w:hAnsi="Cambria"/>
          <w:i/>
          <w:iCs/>
          <w:sz w:val="22"/>
          <w:szCs w:val="22"/>
        </w:rPr>
      </w:pPr>
      <w:r w:rsidRPr="0078480B">
        <w:rPr>
          <w:rFonts w:ascii="Cambria" w:hAnsi="Cambria"/>
          <w:i/>
          <w:iCs/>
          <w:sz w:val="22"/>
          <w:szCs w:val="22"/>
        </w:rPr>
        <w:t xml:space="preserve">(c) it does not matter whether any of the body corporate's officers were involved in all or any part of the conduct; and </w:t>
      </w:r>
    </w:p>
    <w:p w:rsidR="0078480B" w:rsidRPr="0078480B" w:rsidRDefault="0078480B" w:rsidP="0078480B">
      <w:pPr>
        <w:ind w:left="720" w:right="-347"/>
        <w:jc w:val="both"/>
        <w:rPr>
          <w:rFonts w:ascii="Cambria" w:hAnsi="Cambria"/>
          <w:i/>
          <w:iCs/>
          <w:sz w:val="22"/>
          <w:szCs w:val="22"/>
        </w:rPr>
      </w:pPr>
    </w:p>
    <w:p w:rsidR="00A61C4A" w:rsidRPr="0078480B" w:rsidRDefault="0078480B" w:rsidP="0078480B">
      <w:pPr>
        <w:ind w:left="1440" w:right="-347"/>
        <w:jc w:val="both"/>
        <w:rPr>
          <w:rFonts w:ascii="Cambria" w:hAnsi="Cambria"/>
          <w:i/>
          <w:iCs/>
          <w:sz w:val="22"/>
          <w:szCs w:val="22"/>
        </w:rPr>
      </w:pPr>
      <w:r w:rsidRPr="0078480B">
        <w:rPr>
          <w:rFonts w:ascii="Cambria" w:hAnsi="Cambria"/>
          <w:i/>
          <w:iCs/>
          <w:sz w:val="22"/>
          <w:szCs w:val="22"/>
        </w:rPr>
        <w:t>(d) the standard to be applied under subsection (1)(a) is the standard of care that would have been taken by a reasonable body corporate in the circumstances in which the conduct was engaged in.</w:t>
      </w:r>
    </w:p>
    <w:p w:rsidR="0078480B" w:rsidRDefault="0078480B" w:rsidP="00EF4F7B">
      <w:pPr>
        <w:ind w:right="-347"/>
        <w:jc w:val="both"/>
        <w:rPr>
          <w:rFonts w:ascii="Cambria" w:hAnsi="Cambria"/>
        </w:rPr>
      </w:pPr>
    </w:p>
    <w:p w:rsidR="004B0557" w:rsidRPr="004B0557" w:rsidRDefault="004B0557" w:rsidP="004B0557">
      <w:pPr>
        <w:ind w:right="-347"/>
        <w:jc w:val="both"/>
        <w:rPr>
          <w:rFonts w:ascii="Cambria" w:hAnsi="Cambria"/>
          <w:b/>
          <w:bCs/>
        </w:rPr>
      </w:pPr>
      <w:r w:rsidRPr="004B0557">
        <w:rPr>
          <w:rFonts w:ascii="Cambria" w:hAnsi="Cambria"/>
          <w:b/>
          <w:bCs/>
        </w:rPr>
        <w:lastRenderedPageBreak/>
        <w:t xml:space="preserve">Sentencing </w:t>
      </w:r>
    </w:p>
    <w:p w:rsidR="002C2B72" w:rsidRDefault="004B0557" w:rsidP="004B0557">
      <w:pPr>
        <w:ind w:right="-347"/>
        <w:jc w:val="both"/>
        <w:rPr>
          <w:rFonts w:ascii="Cambria" w:hAnsi="Cambria"/>
        </w:rPr>
      </w:pPr>
      <w:r w:rsidRPr="004B0557">
        <w:rPr>
          <w:rFonts w:ascii="Cambria" w:hAnsi="Cambria"/>
        </w:rPr>
        <w:t>A successful industrial manslaughter prosecution should result in a sentence that denounces the conduct</w:t>
      </w:r>
      <w:r w:rsidR="00036938">
        <w:rPr>
          <w:rFonts w:ascii="Cambria" w:hAnsi="Cambria"/>
        </w:rPr>
        <w:t xml:space="preserve">, </w:t>
      </w:r>
      <w:r w:rsidR="00036938" w:rsidRPr="004B0557">
        <w:rPr>
          <w:rFonts w:ascii="Cambria" w:hAnsi="Cambria"/>
        </w:rPr>
        <w:t>deters</w:t>
      </w:r>
      <w:r w:rsidR="00036938">
        <w:rPr>
          <w:rFonts w:ascii="Cambria" w:hAnsi="Cambria"/>
        </w:rPr>
        <w:t xml:space="preserve"> </w:t>
      </w:r>
      <w:r w:rsidRPr="004B0557">
        <w:rPr>
          <w:rFonts w:ascii="Cambria" w:hAnsi="Cambria"/>
        </w:rPr>
        <w:t>and leads to rehabilitation.</w:t>
      </w:r>
      <w:r w:rsidR="00036938">
        <w:rPr>
          <w:rFonts w:ascii="Cambria" w:hAnsi="Cambria"/>
        </w:rPr>
        <w:t xml:space="preserve"> </w:t>
      </w:r>
      <w:r>
        <w:rPr>
          <w:rFonts w:ascii="Cambria" w:hAnsi="Cambria"/>
        </w:rPr>
        <w:t xml:space="preserve">We strongly believe that the maximum sentence for industrial manslaughter in the </w:t>
      </w:r>
      <w:r w:rsidRPr="004B0557">
        <w:rPr>
          <w:rFonts w:ascii="Cambria" w:hAnsi="Cambria"/>
          <w:i/>
          <w:iCs/>
        </w:rPr>
        <w:t>Work Health and Safety Act 2012</w:t>
      </w:r>
      <w:r>
        <w:rPr>
          <w:rFonts w:ascii="Cambria" w:hAnsi="Cambria"/>
        </w:rPr>
        <w:t xml:space="preserve"> (Tas) should </w:t>
      </w:r>
      <w:r w:rsidR="00036938">
        <w:rPr>
          <w:rFonts w:ascii="Cambria" w:hAnsi="Cambria"/>
        </w:rPr>
        <w:t xml:space="preserve">mirror a </w:t>
      </w:r>
      <w:r>
        <w:rPr>
          <w:rFonts w:ascii="Cambria" w:hAnsi="Cambria"/>
        </w:rPr>
        <w:t xml:space="preserve">manslaughter conviction pursuant to the </w:t>
      </w:r>
      <w:r w:rsidRPr="004B0557">
        <w:rPr>
          <w:rFonts w:ascii="Cambria" w:hAnsi="Cambria"/>
          <w:i/>
          <w:iCs/>
        </w:rPr>
        <w:t>Criminal Code Act 1924</w:t>
      </w:r>
      <w:r>
        <w:rPr>
          <w:rFonts w:ascii="Cambria" w:hAnsi="Cambria"/>
        </w:rPr>
        <w:t xml:space="preserve"> (Tas). The reason for this is </w:t>
      </w:r>
      <w:r w:rsidR="002C2B72">
        <w:rPr>
          <w:rFonts w:ascii="Cambria" w:hAnsi="Cambria"/>
        </w:rPr>
        <w:t xml:space="preserve">that the threat of a life sentence carries important symbolism and is more likely to lead to greater vigilance by persons to ensure that their policies, procedures and practices meet the requisite standard of care. </w:t>
      </w:r>
    </w:p>
    <w:p w:rsidR="002C2B72" w:rsidRDefault="002C2B72" w:rsidP="004B0557">
      <w:pPr>
        <w:ind w:right="-347"/>
        <w:jc w:val="both"/>
        <w:rPr>
          <w:rFonts w:ascii="Cambria" w:hAnsi="Cambria"/>
        </w:rPr>
      </w:pPr>
    </w:p>
    <w:p w:rsidR="00EB1926" w:rsidRPr="00AB0A09" w:rsidRDefault="002C2B72" w:rsidP="004B0557">
      <w:pPr>
        <w:ind w:right="-347"/>
        <w:jc w:val="both"/>
        <w:rPr>
          <w:rFonts w:ascii="Cambria" w:hAnsi="Cambria"/>
        </w:rPr>
      </w:pPr>
      <w:r w:rsidRPr="00AB0A09">
        <w:rPr>
          <w:rFonts w:ascii="Cambria" w:hAnsi="Cambria"/>
        </w:rPr>
        <w:t>We also believe that</w:t>
      </w:r>
      <w:r w:rsidR="00EB1926" w:rsidRPr="00AB0A09">
        <w:rPr>
          <w:rFonts w:ascii="Cambria" w:hAnsi="Cambria"/>
        </w:rPr>
        <w:t xml:space="preserve"> a greater range of sentences should be made available because the offender will often not be a natural person.</w:t>
      </w:r>
      <w:r w:rsidR="00AC6BE3" w:rsidRPr="00AB0A09">
        <w:rPr>
          <w:rFonts w:ascii="Cambria" w:hAnsi="Cambria"/>
        </w:rPr>
        <w:t xml:space="preserve"> Organisations cannot be imprisoned and their dissolution will often have spill over effects to genuinely innocent parties. As well, a fine </w:t>
      </w:r>
      <w:r w:rsidR="00AB0A09" w:rsidRPr="00AB0A09">
        <w:rPr>
          <w:rFonts w:ascii="Cambria" w:hAnsi="Cambria"/>
        </w:rPr>
        <w:t xml:space="preserve">may amount to a ‘deterrence trap’ which describes </w:t>
      </w:r>
      <w:r w:rsidR="00AB0A09">
        <w:rPr>
          <w:rFonts w:ascii="Cambria" w:hAnsi="Cambria"/>
        </w:rPr>
        <w:t>“</w:t>
      </w:r>
      <w:r w:rsidR="00AB0A09" w:rsidRPr="00AB0A09">
        <w:rPr>
          <w:rFonts w:ascii="Cambria" w:hAnsi="Cambria"/>
        </w:rPr>
        <w:t>the situation where the only way to make it rational to comply with the law is to set penalties so high as to jeopardise the economic viability of corporations</w:t>
      </w:r>
      <w:r w:rsidR="00AB0A09">
        <w:rPr>
          <w:rFonts w:ascii="Cambria" w:hAnsi="Cambria"/>
        </w:rPr>
        <w:t>”</w:t>
      </w:r>
      <w:r w:rsidR="00AB0A09" w:rsidRPr="00AB0A09">
        <w:rPr>
          <w:rFonts w:ascii="Cambria" w:hAnsi="Cambria"/>
        </w:rPr>
        <w:t>.</w:t>
      </w:r>
      <w:r w:rsidR="00AB0A09" w:rsidRPr="00AB0A09">
        <w:rPr>
          <w:rStyle w:val="FootnoteReference"/>
          <w:rFonts w:ascii="Cambria" w:hAnsi="Cambria"/>
        </w:rPr>
        <w:footnoteReference w:id="18"/>
      </w:r>
      <w:r w:rsidR="00AB0A09">
        <w:rPr>
          <w:rFonts w:ascii="Cambria" w:hAnsi="Cambria"/>
        </w:rPr>
        <w:t xml:space="preserve"> </w:t>
      </w:r>
      <w:r w:rsidR="00EB1926">
        <w:rPr>
          <w:rFonts w:ascii="Cambria" w:hAnsi="Cambria"/>
        </w:rPr>
        <w:t xml:space="preserve">The </w:t>
      </w:r>
      <w:r w:rsidR="00EB1926" w:rsidRPr="00C8369E">
        <w:rPr>
          <w:rFonts w:ascii="Cambria" w:hAnsi="Cambria"/>
          <w:iCs/>
          <w:color w:val="000000" w:themeColor="text1"/>
        </w:rPr>
        <w:t>TLRI</w:t>
      </w:r>
      <w:r w:rsidR="00EB1926">
        <w:rPr>
          <w:rFonts w:ascii="Cambria" w:hAnsi="Cambria"/>
          <w:iCs/>
          <w:color w:val="000000" w:themeColor="text1"/>
        </w:rPr>
        <w:t xml:space="preserve">’s </w:t>
      </w:r>
      <w:r w:rsidR="00EB1926" w:rsidRPr="00C8369E">
        <w:rPr>
          <w:rFonts w:ascii="Cambria" w:hAnsi="Cambria"/>
          <w:i/>
          <w:color w:val="000000" w:themeColor="text1"/>
        </w:rPr>
        <w:t>Criminal Liability of Organisations</w:t>
      </w:r>
      <w:r w:rsidR="00EB1926">
        <w:rPr>
          <w:rFonts w:ascii="Cambria" w:hAnsi="Cambria"/>
          <w:i/>
          <w:color w:val="000000" w:themeColor="text1"/>
        </w:rPr>
        <w:t xml:space="preserve"> </w:t>
      </w:r>
      <w:r w:rsidR="00EB1926">
        <w:rPr>
          <w:rFonts w:ascii="Cambria" w:hAnsi="Cambria"/>
          <w:iCs/>
          <w:color w:val="000000" w:themeColor="text1"/>
        </w:rPr>
        <w:t>noted that if sentencing purposes are to be met a broader range of sentencing options for organisations were required:</w:t>
      </w:r>
      <w:r w:rsidR="00EB1926" w:rsidRPr="00C8369E">
        <w:rPr>
          <w:rStyle w:val="FootnoteReference"/>
          <w:rFonts w:ascii="Cambria" w:hAnsi="Cambria"/>
          <w:iCs/>
          <w:color w:val="000000" w:themeColor="text1"/>
        </w:rPr>
        <w:footnoteReference w:id="19"/>
      </w:r>
    </w:p>
    <w:p w:rsidR="00EB1926" w:rsidRDefault="00EB1926" w:rsidP="004B0557">
      <w:pPr>
        <w:ind w:right="-347"/>
        <w:jc w:val="both"/>
        <w:rPr>
          <w:rFonts w:ascii="Cambria" w:hAnsi="Cambria"/>
          <w:iCs/>
          <w:color w:val="000000" w:themeColor="text1"/>
        </w:rPr>
      </w:pPr>
    </w:p>
    <w:p w:rsidR="00EB1926" w:rsidRPr="00EB1926" w:rsidRDefault="00EB1926" w:rsidP="00EB1926">
      <w:pPr>
        <w:ind w:left="720" w:right="-347"/>
        <w:jc w:val="both"/>
        <w:rPr>
          <w:rFonts w:ascii="Cambria" w:hAnsi="Cambria"/>
          <w:i/>
          <w:iCs/>
          <w:color w:val="000000" w:themeColor="text1"/>
        </w:rPr>
      </w:pPr>
      <w:r w:rsidRPr="00EB1926">
        <w:rPr>
          <w:rFonts w:ascii="Cambria" w:hAnsi="Cambria"/>
          <w:i/>
          <w:iCs/>
          <w:color w:val="000000" w:themeColor="text1"/>
        </w:rPr>
        <w:t>Ideally, the sentence will achieve some or all of the purposes of punishment (such as denunciation, deterrence, rectification and reassurance), will not result in spill-over effects (see below) to genuinely innocent parties, and will avoid the ‘deterrence trap’ (see below). This report concludes that while fines and other traditional sentencing options may be able to achieve these goals in some instances, the potential flexibility of these options is not currently being realised, and furthermore, in many cases sentencing options more specifically designed to deal with organizations are required. This report recommends expanding the range of sentencing options available for sentencing organizations in Tasmania to allow these goals to be better met.</w:t>
      </w:r>
    </w:p>
    <w:p w:rsidR="00AC6BE3" w:rsidRDefault="00AC6BE3" w:rsidP="004B0557">
      <w:pPr>
        <w:ind w:right="-347"/>
        <w:jc w:val="both"/>
      </w:pPr>
    </w:p>
    <w:p w:rsidR="003176EA" w:rsidRDefault="00AC6BE3" w:rsidP="00AB0A09">
      <w:pPr>
        <w:ind w:right="-347"/>
        <w:jc w:val="both"/>
        <w:rPr>
          <w:rFonts w:ascii="Cambria" w:hAnsi="Cambria"/>
          <w:iCs/>
          <w:color w:val="000000" w:themeColor="text1"/>
        </w:rPr>
      </w:pPr>
      <w:r>
        <w:t>T</w:t>
      </w:r>
      <w:r w:rsidR="00EB1926">
        <w:rPr>
          <w:rFonts w:ascii="Cambria" w:hAnsi="Cambria"/>
          <w:iCs/>
          <w:color w:val="000000" w:themeColor="text1"/>
        </w:rPr>
        <w:t xml:space="preserve">he </w:t>
      </w:r>
      <w:r w:rsidR="00EB1926" w:rsidRPr="00AC6BE3">
        <w:rPr>
          <w:rFonts w:ascii="Cambria" w:hAnsi="Cambria"/>
          <w:i/>
          <w:color w:val="000000" w:themeColor="text1"/>
        </w:rPr>
        <w:t>Work Health and Safety Act 2012</w:t>
      </w:r>
      <w:r w:rsidR="00EB1926">
        <w:rPr>
          <w:rFonts w:ascii="Cambria" w:hAnsi="Cambria"/>
          <w:iCs/>
          <w:color w:val="000000" w:themeColor="text1"/>
        </w:rPr>
        <w:t xml:space="preserve"> (Tas) does</w:t>
      </w:r>
      <w:r>
        <w:rPr>
          <w:rFonts w:ascii="Cambria" w:hAnsi="Cambria"/>
          <w:iCs/>
          <w:color w:val="000000" w:themeColor="text1"/>
        </w:rPr>
        <w:t xml:space="preserve"> provide alternative sentencing options including </w:t>
      </w:r>
      <w:r w:rsidR="00EB1926">
        <w:rPr>
          <w:rFonts w:ascii="Cambria" w:hAnsi="Cambria"/>
          <w:iCs/>
          <w:color w:val="000000" w:themeColor="text1"/>
        </w:rPr>
        <w:t>adverse publicity</w:t>
      </w:r>
      <w:r>
        <w:rPr>
          <w:rFonts w:ascii="Cambria" w:hAnsi="Cambria"/>
          <w:iCs/>
          <w:color w:val="000000" w:themeColor="text1"/>
        </w:rPr>
        <w:t xml:space="preserve"> orders</w:t>
      </w:r>
      <w:r w:rsidR="00EB1926">
        <w:rPr>
          <w:rFonts w:ascii="Cambria" w:hAnsi="Cambria"/>
          <w:iCs/>
          <w:color w:val="000000" w:themeColor="text1"/>
        </w:rPr>
        <w:t>, restoration</w:t>
      </w:r>
      <w:r>
        <w:rPr>
          <w:rFonts w:ascii="Cambria" w:hAnsi="Cambria"/>
          <w:iCs/>
          <w:color w:val="000000" w:themeColor="text1"/>
        </w:rPr>
        <w:t xml:space="preserve"> orders, </w:t>
      </w:r>
      <w:r w:rsidR="00EB1926">
        <w:rPr>
          <w:rFonts w:ascii="Cambria" w:hAnsi="Cambria"/>
          <w:iCs/>
          <w:color w:val="000000" w:themeColor="text1"/>
        </w:rPr>
        <w:t>work health and safety project</w:t>
      </w:r>
      <w:r>
        <w:rPr>
          <w:rFonts w:ascii="Cambria" w:hAnsi="Cambria"/>
          <w:iCs/>
          <w:color w:val="000000" w:themeColor="text1"/>
        </w:rPr>
        <w:t xml:space="preserve"> orders and training orders.</w:t>
      </w:r>
      <w:r w:rsidR="00EB1926">
        <w:rPr>
          <w:rStyle w:val="FootnoteReference"/>
          <w:rFonts w:ascii="Cambria" w:hAnsi="Cambria"/>
          <w:iCs/>
          <w:color w:val="000000" w:themeColor="text1"/>
        </w:rPr>
        <w:footnoteReference w:id="20"/>
      </w:r>
      <w:r w:rsidR="00EB1926">
        <w:rPr>
          <w:rFonts w:ascii="Cambria" w:hAnsi="Cambria"/>
          <w:iCs/>
          <w:color w:val="000000" w:themeColor="text1"/>
        </w:rPr>
        <w:t xml:space="preserve"> </w:t>
      </w:r>
      <w:r>
        <w:rPr>
          <w:rFonts w:ascii="Cambria" w:hAnsi="Cambria"/>
          <w:iCs/>
          <w:color w:val="000000" w:themeColor="text1"/>
        </w:rPr>
        <w:t>Nevertheless, there are other orders that the TLRI recommended should be available to address organisational wrong-doing including disqualification orders and punitive injunctions.</w:t>
      </w:r>
      <w:r>
        <w:rPr>
          <w:rStyle w:val="FootnoteReference"/>
          <w:rFonts w:ascii="Cambria" w:hAnsi="Cambria"/>
          <w:iCs/>
          <w:color w:val="000000" w:themeColor="text1"/>
        </w:rPr>
        <w:footnoteReference w:id="21"/>
      </w:r>
      <w:r>
        <w:rPr>
          <w:rFonts w:ascii="Cambria" w:hAnsi="Cambria"/>
          <w:iCs/>
          <w:color w:val="000000" w:themeColor="text1"/>
        </w:rPr>
        <w:t xml:space="preserve">   </w:t>
      </w:r>
      <w:r w:rsidR="00EB1926">
        <w:rPr>
          <w:rFonts w:ascii="Cambria" w:hAnsi="Cambria"/>
          <w:iCs/>
          <w:color w:val="000000" w:themeColor="text1"/>
        </w:rPr>
        <w:t xml:space="preserve">  </w:t>
      </w:r>
    </w:p>
    <w:p w:rsidR="00AB0A09" w:rsidRDefault="00AB0A09" w:rsidP="00AB0A09">
      <w:pPr>
        <w:ind w:right="-347"/>
        <w:jc w:val="both"/>
        <w:rPr>
          <w:rFonts w:ascii="Cambria" w:hAnsi="Cambria"/>
          <w:iCs/>
          <w:color w:val="000000" w:themeColor="text1"/>
        </w:rPr>
      </w:pPr>
    </w:p>
    <w:p w:rsidR="00782400" w:rsidRPr="00EB74B2" w:rsidRDefault="0097494B" w:rsidP="00F22CD6">
      <w:pPr>
        <w:pStyle w:val="xmsonormal"/>
        <w:shd w:val="clear" w:color="auto" w:fill="FFFFFF"/>
        <w:spacing w:before="0" w:beforeAutospacing="0" w:after="0" w:afterAutospacing="0"/>
        <w:jc w:val="both"/>
        <w:rPr>
          <w:rFonts w:ascii="Cambria" w:hAnsi="Cambria"/>
          <w:b/>
          <w:bCs/>
          <w:color w:val="000000" w:themeColor="text1"/>
        </w:rPr>
      </w:pPr>
      <w:r w:rsidRPr="00EB74B2">
        <w:rPr>
          <w:rFonts w:ascii="Cambria" w:hAnsi="Cambria"/>
          <w:b/>
          <w:bCs/>
          <w:color w:val="000000" w:themeColor="text1"/>
        </w:rPr>
        <w:t>Family Liaison Officer</w:t>
      </w:r>
    </w:p>
    <w:p w:rsidR="0097494B" w:rsidRPr="00EB74B2" w:rsidRDefault="0097494B" w:rsidP="00F22CD6">
      <w:pPr>
        <w:pStyle w:val="xmsonormal"/>
        <w:shd w:val="clear" w:color="auto" w:fill="FFFFFF"/>
        <w:spacing w:before="0" w:beforeAutospacing="0" w:after="0" w:afterAutospacing="0"/>
        <w:jc w:val="both"/>
        <w:rPr>
          <w:rFonts w:ascii="Cambria" w:hAnsi="Cambria"/>
          <w:color w:val="000000" w:themeColor="text1"/>
        </w:rPr>
      </w:pPr>
      <w:r w:rsidRPr="00EB74B2">
        <w:rPr>
          <w:rFonts w:ascii="Cambria" w:hAnsi="Cambria"/>
          <w:color w:val="000000" w:themeColor="text1"/>
        </w:rPr>
        <w:t>The introduction of an industrial manslaughter offence should not be created in a vacuum. As well as the ability to prosecute and sanction it is also important that support is provided to victims and their families. In Victoria, Family Liaison Officer position</w:t>
      </w:r>
      <w:r w:rsidR="00F22CD6" w:rsidRPr="00EB74B2">
        <w:rPr>
          <w:rFonts w:ascii="Cambria" w:hAnsi="Cambria"/>
          <w:color w:val="000000" w:themeColor="text1"/>
        </w:rPr>
        <w:t>s</w:t>
      </w:r>
      <w:r w:rsidRPr="00EB74B2">
        <w:rPr>
          <w:rFonts w:ascii="Cambria" w:hAnsi="Cambria"/>
          <w:color w:val="000000" w:themeColor="text1"/>
        </w:rPr>
        <w:t xml:space="preserve"> ha</w:t>
      </w:r>
      <w:r w:rsidR="00F22CD6" w:rsidRPr="00EB74B2">
        <w:rPr>
          <w:rFonts w:ascii="Cambria" w:hAnsi="Cambria"/>
          <w:color w:val="000000" w:themeColor="text1"/>
        </w:rPr>
        <w:t>ve</w:t>
      </w:r>
      <w:r w:rsidRPr="00EB74B2">
        <w:rPr>
          <w:rFonts w:ascii="Cambria" w:hAnsi="Cambria"/>
          <w:color w:val="000000" w:themeColor="text1"/>
        </w:rPr>
        <w:t xml:space="preserve"> been created to </w:t>
      </w:r>
      <w:r w:rsidR="00F22CD6" w:rsidRPr="00EB74B2">
        <w:rPr>
          <w:rFonts w:ascii="Cambria" w:hAnsi="Cambria"/>
          <w:color w:val="000000" w:themeColor="text1"/>
        </w:rPr>
        <w:t>provide support to</w:t>
      </w:r>
      <w:r w:rsidRPr="00EB74B2">
        <w:rPr>
          <w:rFonts w:ascii="Cambria" w:hAnsi="Cambria"/>
          <w:color w:val="000000" w:themeColor="text1"/>
        </w:rPr>
        <w:t xml:space="preserve"> families whose loved one has died at work a</w:t>
      </w:r>
      <w:r w:rsidR="00F22CD6" w:rsidRPr="00EB74B2">
        <w:rPr>
          <w:rFonts w:ascii="Cambria" w:hAnsi="Cambria"/>
          <w:color w:val="000000" w:themeColor="text1"/>
        </w:rPr>
        <w:t>s well as</w:t>
      </w:r>
      <w:r w:rsidRPr="00EB74B2">
        <w:rPr>
          <w:rFonts w:ascii="Cambria" w:hAnsi="Cambria"/>
          <w:color w:val="000000" w:themeColor="text1"/>
        </w:rPr>
        <w:t xml:space="preserve"> workers who have been seriously injured </w:t>
      </w:r>
      <w:r w:rsidR="00F22CD6" w:rsidRPr="00EB74B2">
        <w:rPr>
          <w:rFonts w:ascii="Cambria" w:hAnsi="Cambria"/>
          <w:color w:val="000000" w:themeColor="text1"/>
        </w:rPr>
        <w:t>where</w:t>
      </w:r>
      <w:r w:rsidRPr="00EB74B2">
        <w:rPr>
          <w:rFonts w:ascii="Cambria" w:hAnsi="Cambria"/>
          <w:color w:val="000000" w:themeColor="text1"/>
        </w:rPr>
        <w:t xml:space="preserve"> there is a criminal prosecution. The role of the Family Liaison Officer includes:</w:t>
      </w:r>
      <w:r w:rsidRPr="00EB74B2">
        <w:rPr>
          <w:rStyle w:val="FootnoteReference"/>
          <w:rFonts w:ascii="Cambria" w:hAnsi="Cambria"/>
          <w:color w:val="000000" w:themeColor="text1"/>
        </w:rPr>
        <w:footnoteReference w:id="22"/>
      </w:r>
    </w:p>
    <w:p w:rsidR="0097494B" w:rsidRPr="00EB74B2" w:rsidRDefault="0097494B" w:rsidP="00F22CD6">
      <w:pPr>
        <w:numPr>
          <w:ilvl w:val="0"/>
          <w:numId w:val="1"/>
        </w:numPr>
        <w:shd w:val="clear" w:color="auto" w:fill="FFFFFF"/>
        <w:spacing w:before="100" w:beforeAutospacing="1" w:after="120"/>
        <w:rPr>
          <w:rFonts w:ascii="Cambria" w:eastAsia="Times New Roman" w:hAnsi="Cambria" w:cs="Arial"/>
          <w:color w:val="000000" w:themeColor="text1"/>
          <w:kern w:val="0"/>
          <w:lang w:eastAsia="en-GB"/>
          <w14:ligatures w14:val="none"/>
        </w:rPr>
      </w:pPr>
      <w:r w:rsidRPr="00EB74B2">
        <w:rPr>
          <w:rFonts w:ascii="Cambria" w:eastAsia="Times New Roman" w:hAnsi="Cambria" w:cs="Arial"/>
          <w:color w:val="000000" w:themeColor="text1"/>
          <w:kern w:val="0"/>
          <w:lang w:eastAsia="en-GB"/>
          <w14:ligatures w14:val="none"/>
        </w:rPr>
        <w:lastRenderedPageBreak/>
        <w:t>keep interested parties informed about the investigation and prosecution processes</w:t>
      </w:r>
    </w:p>
    <w:p w:rsidR="0097494B" w:rsidRPr="00EB74B2" w:rsidRDefault="0097494B" w:rsidP="00F22CD6">
      <w:pPr>
        <w:numPr>
          <w:ilvl w:val="0"/>
          <w:numId w:val="1"/>
        </w:numPr>
        <w:shd w:val="clear" w:color="auto" w:fill="FFFFFF"/>
        <w:spacing w:before="100" w:beforeAutospacing="1" w:after="120"/>
        <w:rPr>
          <w:rFonts w:ascii="Cambria" w:eastAsia="Times New Roman" w:hAnsi="Cambria" w:cs="Arial"/>
          <w:color w:val="000000" w:themeColor="text1"/>
          <w:kern w:val="0"/>
          <w:lang w:eastAsia="en-GB"/>
          <w14:ligatures w14:val="none"/>
        </w:rPr>
      </w:pPr>
      <w:r w:rsidRPr="00EB74B2">
        <w:rPr>
          <w:rFonts w:ascii="Cambria" w:eastAsia="Times New Roman" w:hAnsi="Cambria" w:cs="Arial"/>
          <w:color w:val="000000" w:themeColor="text1"/>
          <w:kern w:val="0"/>
          <w:lang w:eastAsia="en-GB"/>
          <w14:ligatures w14:val="none"/>
        </w:rPr>
        <w:t>help interested parties understand court processes</w:t>
      </w:r>
    </w:p>
    <w:p w:rsidR="0097494B" w:rsidRPr="00EB74B2" w:rsidRDefault="0097494B" w:rsidP="00F22CD6">
      <w:pPr>
        <w:numPr>
          <w:ilvl w:val="0"/>
          <w:numId w:val="1"/>
        </w:numPr>
        <w:shd w:val="clear" w:color="auto" w:fill="FFFFFF"/>
        <w:spacing w:before="100" w:beforeAutospacing="1" w:after="120"/>
        <w:rPr>
          <w:rFonts w:ascii="Cambria" w:eastAsia="Times New Roman" w:hAnsi="Cambria" w:cs="Arial"/>
          <w:color w:val="000000" w:themeColor="text1"/>
          <w:kern w:val="0"/>
          <w:lang w:eastAsia="en-GB"/>
          <w14:ligatures w14:val="none"/>
        </w:rPr>
      </w:pPr>
      <w:r w:rsidRPr="00EB74B2">
        <w:rPr>
          <w:rFonts w:ascii="Cambria" w:eastAsia="Times New Roman" w:hAnsi="Cambria" w:cs="Arial"/>
          <w:color w:val="000000" w:themeColor="text1"/>
          <w:kern w:val="0"/>
          <w:lang w:eastAsia="en-GB"/>
          <w14:ligatures w14:val="none"/>
        </w:rPr>
        <w:t>help interested parties get to court and support them on the day</w:t>
      </w:r>
    </w:p>
    <w:p w:rsidR="0097494B" w:rsidRPr="00EB74B2" w:rsidRDefault="0097494B" w:rsidP="00F22CD6">
      <w:pPr>
        <w:numPr>
          <w:ilvl w:val="0"/>
          <w:numId w:val="1"/>
        </w:numPr>
        <w:shd w:val="clear" w:color="auto" w:fill="FFFFFF"/>
        <w:spacing w:before="100" w:beforeAutospacing="1"/>
        <w:rPr>
          <w:rFonts w:ascii="Cambria" w:eastAsia="Times New Roman" w:hAnsi="Cambria" w:cs="Arial"/>
          <w:color w:val="000000" w:themeColor="text1"/>
          <w:kern w:val="0"/>
          <w:lang w:eastAsia="en-GB"/>
          <w14:ligatures w14:val="none"/>
        </w:rPr>
      </w:pPr>
      <w:r w:rsidRPr="00EB74B2">
        <w:rPr>
          <w:rFonts w:ascii="Cambria" w:eastAsia="Times New Roman" w:hAnsi="Cambria" w:cs="Arial"/>
          <w:color w:val="000000" w:themeColor="text1"/>
          <w:kern w:val="0"/>
          <w:lang w:eastAsia="en-GB"/>
          <w14:ligatures w14:val="none"/>
        </w:rPr>
        <w:t>connect interested parties with other support services</w:t>
      </w:r>
    </w:p>
    <w:p w:rsidR="0097494B" w:rsidRPr="00EB74B2" w:rsidRDefault="0097494B" w:rsidP="00F22CD6">
      <w:pPr>
        <w:pStyle w:val="xmsonormal"/>
        <w:shd w:val="clear" w:color="auto" w:fill="FFFFFF"/>
        <w:spacing w:before="0" w:beforeAutospacing="0" w:after="0" w:afterAutospacing="0"/>
        <w:jc w:val="both"/>
        <w:rPr>
          <w:rFonts w:ascii="Cambria" w:hAnsi="Cambria"/>
          <w:color w:val="000000" w:themeColor="text1"/>
        </w:rPr>
      </w:pPr>
    </w:p>
    <w:p w:rsidR="0097494B" w:rsidRPr="00EB74B2" w:rsidRDefault="00F22CD6" w:rsidP="00F22CD6">
      <w:pPr>
        <w:pStyle w:val="xmsonormal"/>
        <w:shd w:val="clear" w:color="auto" w:fill="FFFFFF"/>
        <w:spacing w:before="0" w:beforeAutospacing="0" w:after="0" w:afterAutospacing="0"/>
        <w:jc w:val="both"/>
        <w:rPr>
          <w:rFonts w:ascii="Cambria" w:hAnsi="Cambria"/>
          <w:color w:val="000000" w:themeColor="text1"/>
        </w:rPr>
      </w:pPr>
      <w:r w:rsidRPr="00EB74B2">
        <w:rPr>
          <w:rFonts w:ascii="Cambria" w:hAnsi="Cambria"/>
          <w:color w:val="000000" w:themeColor="text1"/>
        </w:rPr>
        <w:t xml:space="preserve">We strongly believe that an industrial manslaughter offence in Tasmania should be introduced </w:t>
      </w:r>
      <w:r w:rsidR="00F51437">
        <w:rPr>
          <w:rFonts w:ascii="Cambria" w:hAnsi="Cambria"/>
          <w:color w:val="000000" w:themeColor="text1"/>
        </w:rPr>
        <w:t>and</w:t>
      </w:r>
      <w:r w:rsidRPr="00EB74B2">
        <w:rPr>
          <w:rFonts w:ascii="Cambria" w:hAnsi="Cambria"/>
          <w:color w:val="000000" w:themeColor="text1"/>
        </w:rPr>
        <w:t xml:space="preserve"> Family Liaison Officer position</w:t>
      </w:r>
      <w:r w:rsidR="0070439B" w:rsidRPr="00EB74B2">
        <w:rPr>
          <w:rFonts w:ascii="Cambria" w:hAnsi="Cambria"/>
          <w:color w:val="000000" w:themeColor="text1"/>
        </w:rPr>
        <w:t>/s</w:t>
      </w:r>
      <w:r w:rsidRPr="00EB74B2">
        <w:rPr>
          <w:rFonts w:ascii="Cambria" w:hAnsi="Cambria"/>
          <w:color w:val="000000" w:themeColor="text1"/>
        </w:rPr>
        <w:t xml:space="preserve"> being created. The </w:t>
      </w:r>
      <w:r w:rsidR="0070439B" w:rsidRPr="00EB74B2">
        <w:rPr>
          <w:rFonts w:ascii="Cambria" w:hAnsi="Cambria"/>
          <w:color w:val="000000" w:themeColor="text1"/>
        </w:rPr>
        <w:t>role</w:t>
      </w:r>
      <w:r w:rsidRPr="00EB74B2">
        <w:rPr>
          <w:rFonts w:ascii="Cambria" w:hAnsi="Cambria"/>
          <w:color w:val="000000" w:themeColor="text1"/>
        </w:rPr>
        <w:t xml:space="preserve"> could be </w:t>
      </w:r>
      <w:r w:rsidR="0070439B" w:rsidRPr="00EB74B2">
        <w:rPr>
          <w:rFonts w:ascii="Cambria" w:hAnsi="Cambria"/>
          <w:color w:val="000000" w:themeColor="text1"/>
        </w:rPr>
        <w:t>incorporated</w:t>
      </w:r>
      <w:r w:rsidRPr="00EB74B2">
        <w:rPr>
          <w:rFonts w:ascii="Cambria" w:hAnsi="Cambria"/>
          <w:color w:val="000000" w:themeColor="text1"/>
        </w:rPr>
        <w:t xml:space="preserve"> within WorkSafe Tasmania</w:t>
      </w:r>
      <w:r w:rsidR="0070439B" w:rsidRPr="00EB74B2">
        <w:rPr>
          <w:rFonts w:ascii="Cambria" w:hAnsi="Cambria"/>
          <w:color w:val="000000" w:themeColor="text1"/>
        </w:rPr>
        <w:t>’s existing workforce</w:t>
      </w:r>
      <w:r w:rsidRPr="00EB74B2">
        <w:rPr>
          <w:rFonts w:ascii="Cambria" w:hAnsi="Cambria"/>
          <w:color w:val="000000" w:themeColor="text1"/>
        </w:rPr>
        <w:t xml:space="preserve"> or alternatively Worker Assist and should have a similar role as that carried out in Victoria.   </w:t>
      </w:r>
    </w:p>
    <w:p w:rsidR="0097494B" w:rsidRDefault="0097494B" w:rsidP="0064287A">
      <w:pPr>
        <w:pStyle w:val="xmsonormal"/>
        <w:shd w:val="clear" w:color="auto" w:fill="FFFFFF"/>
        <w:spacing w:before="0" w:beforeAutospacing="0" w:after="0" w:afterAutospacing="0"/>
      </w:pPr>
    </w:p>
    <w:p w:rsidR="00F22CD6" w:rsidRDefault="00F22CD6" w:rsidP="00F22CD6">
      <w:pPr>
        <w:ind w:right="-347"/>
        <w:jc w:val="both"/>
        <w:rPr>
          <w:rFonts w:ascii="Cambria" w:hAnsi="Cambria"/>
          <w:iCs/>
          <w:color w:val="000000" w:themeColor="text1"/>
        </w:rPr>
      </w:pPr>
      <w:r>
        <w:rPr>
          <w:rFonts w:ascii="Cambria" w:hAnsi="Cambria"/>
          <w:iCs/>
          <w:color w:val="000000" w:themeColor="text1"/>
        </w:rPr>
        <w:t>If you have any queries, please do not hesitate to contact us.</w:t>
      </w:r>
    </w:p>
    <w:p w:rsidR="00F22CD6" w:rsidRDefault="00F22CD6" w:rsidP="00F22CD6">
      <w:pPr>
        <w:ind w:right="-347"/>
        <w:jc w:val="both"/>
        <w:rPr>
          <w:rFonts w:ascii="Cambria" w:hAnsi="Cambria"/>
          <w:iCs/>
          <w:color w:val="000000" w:themeColor="text1"/>
        </w:rPr>
      </w:pPr>
    </w:p>
    <w:p w:rsidR="00EB74B2" w:rsidRDefault="00EB74B2" w:rsidP="00F22CD6">
      <w:pPr>
        <w:ind w:right="-347"/>
        <w:jc w:val="both"/>
        <w:rPr>
          <w:rFonts w:ascii="Cambria" w:hAnsi="Cambria"/>
          <w:iCs/>
          <w:color w:val="000000" w:themeColor="text1"/>
        </w:rPr>
      </w:pPr>
    </w:p>
    <w:p w:rsidR="00F22CD6" w:rsidRDefault="00F22CD6" w:rsidP="00F22CD6">
      <w:pPr>
        <w:ind w:right="-347"/>
        <w:jc w:val="both"/>
        <w:rPr>
          <w:rFonts w:ascii="Cambria" w:hAnsi="Cambria"/>
          <w:iCs/>
          <w:color w:val="000000" w:themeColor="text1"/>
        </w:rPr>
      </w:pPr>
      <w:r>
        <w:rPr>
          <w:rFonts w:ascii="Cambria" w:hAnsi="Cambria"/>
          <w:iCs/>
          <w:color w:val="000000" w:themeColor="text1"/>
        </w:rPr>
        <w:t>Yours faithfully,</w:t>
      </w:r>
    </w:p>
    <w:p w:rsidR="00F22CD6" w:rsidRDefault="00F22CD6" w:rsidP="00F22CD6">
      <w:pPr>
        <w:ind w:right="-347"/>
        <w:jc w:val="both"/>
        <w:rPr>
          <w:rFonts w:ascii="Cambria" w:hAnsi="Cambria"/>
          <w:iCs/>
          <w:color w:val="000000" w:themeColor="text1"/>
        </w:rPr>
      </w:pPr>
    </w:p>
    <w:p w:rsidR="00F22CD6" w:rsidRDefault="00F22CD6" w:rsidP="00F22CD6">
      <w:pPr>
        <w:ind w:right="-347"/>
        <w:jc w:val="both"/>
        <w:rPr>
          <w:rFonts w:ascii="Cambria" w:hAnsi="Cambria"/>
          <w:iCs/>
          <w:color w:val="000000" w:themeColor="text1"/>
        </w:rPr>
      </w:pPr>
    </w:p>
    <w:p w:rsidR="00EB74B2" w:rsidRDefault="00EB74B2" w:rsidP="00F22CD6">
      <w:pPr>
        <w:ind w:right="-347"/>
        <w:jc w:val="both"/>
        <w:rPr>
          <w:rFonts w:ascii="Cambria" w:hAnsi="Cambria"/>
          <w:iCs/>
          <w:color w:val="000000" w:themeColor="text1"/>
        </w:rPr>
      </w:pPr>
    </w:p>
    <w:p w:rsidR="00F22CD6" w:rsidRDefault="00F22CD6" w:rsidP="00F22CD6">
      <w:pPr>
        <w:ind w:right="-347"/>
        <w:jc w:val="both"/>
        <w:rPr>
          <w:rFonts w:ascii="Cambria" w:hAnsi="Cambria"/>
          <w:iCs/>
          <w:color w:val="000000" w:themeColor="text1"/>
        </w:rPr>
      </w:pPr>
      <w:r>
        <w:rPr>
          <w:rFonts w:ascii="Cambria" w:hAnsi="Cambria"/>
          <w:iCs/>
          <w:color w:val="000000" w:themeColor="text1"/>
        </w:rPr>
        <w:t xml:space="preserve">Benedict </w:t>
      </w:r>
      <w:proofErr w:type="spellStart"/>
      <w:r>
        <w:rPr>
          <w:rFonts w:ascii="Cambria" w:hAnsi="Cambria"/>
          <w:iCs/>
          <w:color w:val="000000" w:themeColor="text1"/>
        </w:rPr>
        <w:t>Bartl</w:t>
      </w:r>
      <w:proofErr w:type="spellEnd"/>
    </w:p>
    <w:p w:rsidR="00F22CD6" w:rsidRDefault="00F22CD6" w:rsidP="00F22CD6">
      <w:pPr>
        <w:ind w:right="-347"/>
        <w:jc w:val="both"/>
        <w:rPr>
          <w:rFonts w:ascii="Cambria" w:hAnsi="Cambria"/>
          <w:iCs/>
          <w:color w:val="000000" w:themeColor="text1"/>
        </w:rPr>
      </w:pPr>
      <w:r>
        <w:rPr>
          <w:rFonts w:ascii="Cambria" w:hAnsi="Cambria"/>
          <w:iCs/>
          <w:color w:val="000000" w:themeColor="text1"/>
        </w:rPr>
        <w:t>Policy Officer</w:t>
      </w:r>
    </w:p>
    <w:p w:rsidR="00F22CD6" w:rsidRPr="00AB0A09" w:rsidRDefault="00F22CD6" w:rsidP="00F22CD6">
      <w:pPr>
        <w:pBdr>
          <w:bottom w:val="single" w:sz="6" w:space="1" w:color="auto"/>
        </w:pBdr>
        <w:ind w:right="-347"/>
        <w:jc w:val="both"/>
        <w:rPr>
          <w:rFonts w:ascii="Cambria" w:hAnsi="Cambria"/>
          <w:b/>
          <w:bCs/>
          <w:iCs/>
          <w:color w:val="000000" w:themeColor="text1"/>
        </w:rPr>
      </w:pPr>
      <w:r w:rsidRPr="00AB0A09">
        <w:rPr>
          <w:rFonts w:ascii="Cambria" w:hAnsi="Cambria"/>
          <w:b/>
          <w:bCs/>
          <w:iCs/>
          <w:color w:val="000000" w:themeColor="text1"/>
        </w:rPr>
        <w:t>Community Legal Centres Tasmania</w:t>
      </w:r>
    </w:p>
    <w:p w:rsidR="00F22CD6" w:rsidRPr="00AB0A09" w:rsidRDefault="00F22CD6" w:rsidP="00F22CD6">
      <w:pPr>
        <w:ind w:right="-347"/>
        <w:jc w:val="both"/>
        <w:rPr>
          <w:rFonts w:ascii="Cambria" w:hAnsi="Cambria"/>
          <w:iCs/>
          <w:color w:val="000000" w:themeColor="text1"/>
        </w:rPr>
      </w:pPr>
    </w:p>
    <w:sectPr w:rsidR="00F22CD6" w:rsidRPr="00AB0A09" w:rsidSect="00215F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B02" w:rsidRDefault="00AE5B02" w:rsidP="0010716F">
      <w:r>
        <w:separator/>
      </w:r>
    </w:p>
  </w:endnote>
  <w:endnote w:type="continuationSeparator" w:id="0">
    <w:p w:rsidR="00AE5B02" w:rsidRDefault="00AE5B02" w:rsidP="0010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25001"/>
      <w:docPartObj>
        <w:docPartGallery w:val="Page Numbers (Bottom of Page)"/>
        <w:docPartUnique/>
      </w:docPartObj>
    </w:sdtPr>
    <w:sdtContent>
      <w:p w:rsidR="00C8369E" w:rsidRDefault="00C8369E"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8369E" w:rsidRDefault="00C8369E" w:rsidP="00C83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397805"/>
      <w:docPartObj>
        <w:docPartGallery w:val="Page Numbers (Bottom of Page)"/>
        <w:docPartUnique/>
      </w:docPartObj>
    </w:sdtPr>
    <w:sdtContent>
      <w:p w:rsidR="00C8369E" w:rsidRDefault="00C8369E"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8369E" w:rsidRDefault="00C8369E" w:rsidP="00C83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B02" w:rsidRDefault="00AE5B02" w:rsidP="0010716F">
      <w:r>
        <w:separator/>
      </w:r>
    </w:p>
  </w:footnote>
  <w:footnote w:type="continuationSeparator" w:id="0">
    <w:p w:rsidR="00AE5B02" w:rsidRDefault="00AE5B02" w:rsidP="0010716F">
      <w:r>
        <w:continuationSeparator/>
      </w:r>
    </w:p>
  </w:footnote>
  <w:footnote w:id="1">
    <w:p w:rsidR="0010716F" w:rsidRPr="00EB74B2" w:rsidRDefault="0010716F" w:rsidP="0010716F">
      <w:pPr>
        <w:pStyle w:val="FootnoteText"/>
        <w:rPr>
          <w:rFonts w:ascii="Cambria" w:hAnsi="Cambria"/>
          <w:color w:val="000000" w:themeColor="text1"/>
          <w:sz w:val="20"/>
          <w:szCs w:val="20"/>
        </w:rPr>
      </w:pPr>
      <w:r w:rsidRPr="00EB74B2">
        <w:rPr>
          <w:rStyle w:val="FootnoteReference"/>
          <w:rFonts w:ascii="Cambria" w:hAnsi="Cambria"/>
          <w:color w:val="000000" w:themeColor="text1"/>
          <w:sz w:val="20"/>
          <w:szCs w:val="20"/>
        </w:rPr>
        <w:footnoteRef/>
      </w:r>
      <w:r w:rsidRPr="00EB74B2">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856B44" w:rsidRPr="00EB74B2" w:rsidRDefault="00856B44">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Tasmania Law Reform Institute, </w:t>
      </w:r>
      <w:r w:rsidRPr="00EB74B2">
        <w:rPr>
          <w:rFonts w:ascii="Cambria" w:hAnsi="Cambria"/>
          <w:i/>
          <w:iCs/>
          <w:sz w:val="20"/>
          <w:szCs w:val="20"/>
        </w:rPr>
        <w:t>Criminal Liability of Organisations</w:t>
      </w:r>
      <w:r w:rsidRPr="00EB74B2">
        <w:rPr>
          <w:rFonts w:ascii="Cambria" w:hAnsi="Cambria"/>
          <w:sz w:val="20"/>
          <w:szCs w:val="20"/>
        </w:rPr>
        <w:t xml:space="preserve"> (Final Report No. 9: April 2007) at 28.</w:t>
      </w:r>
    </w:p>
  </w:footnote>
  <w:footnote w:id="3">
    <w:p w:rsidR="00C6157B" w:rsidRPr="00EB74B2" w:rsidRDefault="00C6157B">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w:t>
      </w:r>
      <w:r w:rsidRPr="00EB74B2">
        <w:rPr>
          <w:rFonts w:ascii="Cambria" w:hAnsi="Cambria"/>
          <w:i/>
          <w:iCs/>
          <w:sz w:val="20"/>
          <w:szCs w:val="20"/>
        </w:rPr>
        <w:t xml:space="preserve">Tesco Supermarkets v </w:t>
      </w:r>
      <w:proofErr w:type="spellStart"/>
      <w:r w:rsidRPr="00EB74B2">
        <w:rPr>
          <w:rFonts w:ascii="Cambria" w:hAnsi="Cambria"/>
          <w:i/>
          <w:iCs/>
          <w:sz w:val="20"/>
          <w:szCs w:val="20"/>
        </w:rPr>
        <w:t>Nattrass</w:t>
      </w:r>
      <w:proofErr w:type="spellEnd"/>
      <w:r w:rsidRPr="00EB74B2">
        <w:rPr>
          <w:rFonts w:ascii="Cambria" w:hAnsi="Cambria"/>
          <w:sz w:val="20"/>
          <w:szCs w:val="20"/>
        </w:rPr>
        <w:t xml:space="preserve"> [1972] AC 153 at 170.</w:t>
      </w:r>
    </w:p>
  </w:footnote>
  <w:footnote w:id="4">
    <w:p w:rsidR="007F4E3E" w:rsidRPr="00EB74B2" w:rsidRDefault="007F4E3E">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Tasmania Law Reform Institute, </w:t>
      </w:r>
      <w:r w:rsidRPr="00EB74B2">
        <w:rPr>
          <w:rFonts w:ascii="Cambria" w:hAnsi="Cambria"/>
          <w:i/>
          <w:iCs/>
          <w:sz w:val="20"/>
          <w:szCs w:val="20"/>
        </w:rPr>
        <w:t>Criminal Liability of Organisations</w:t>
      </w:r>
      <w:r w:rsidRPr="00EB74B2">
        <w:rPr>
          <w:rFonts w:ascii="Cambria" w:hAnsi="Cambria"/>
          <w:sz w:val="20"/>
          <w:szCs w:val="20"/>
        </w:rPr>
        <w:t xml:space="preserve"> (Final Report No. 9: April 2007) at 28.</w:t>
      </w:r>
    </w:p>
  </w:footnote>
  <w:footnote w:id="5">
    <w:p w:rsidR="006E4F49" w:rsidRPr="00EB74B2" w:rsidRDefault="006E4F49">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w:t>
      </w:r>
      <w:r w:rsidR="00EB74B2" w:rsidRPr="00EB74B2">
        <w:rPr>
          <w:rFonts w:ascii="Cambria" w:hAnsi="Cambria"/>
          <w:sz w:val="20"/>
          <w:szCs w:val="20"/>
        </w:rPr>
        <w:t xml:space="preserve">Tasmania Law Reform Institute, </w:t>
      </w:r>
      <w:r w:rsidR="00EB74B2">
        <w:rPr>
          <w:rFonts w:ascii="Cambria" w:hAnsi="Cambria"/>
          <w:sz w:val="20"/>
          <w:szCs w:val="20"/>
        </w:rPr>
        <w:t xml:space="preserve">op. cit. </w:t>
      </w:r>
      <w:r w:rsidRPr="00EB74B2">
        <w:rPr>
          <w:rFonts w:ascii="Cambria" w:hAnsi="Cambria"/>
          <w:sz w:val="20"/>
          <w:szCs w:val="20"/>
        </w:rPr>
        <w:t>at 29.</w:t>
      </w:r>
    </w:p>
  </w:footnote>
  <w:footnote w:id="6">
    <w:p w:rsidR="006B053D" w:rsidRPr="00EB74B2" w:rsidRDefault="006B053D" w:rsidP="006B053D">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w:t>
      </w:r>
      <w:r w:rsidR="00EB74B2" w:rsidRPr="00EB74B2">
        <w:rPr>
          <w:rFonts w:ascii="Cambria" w:hAnsi="Cambria"/>
          <w:sz w:val="20"/>
          <w:szCs w:val="20"/>
        </w:rPr>
        <w:t xml:space="preserve">Tasmania Law Reform Institute, </w:t>
      </w:r>
      <w:r w:rsidR="00EB74B2">
        <w:rPr>
          <w:rFonts w:ascii="Cambria" w:hAnsi="Cambria"/>
          <w:sz w:val="20"/>
          <w:szCs w:val="20"/>
        </w:rPr>
        <w:t xml:space="preserve">op. cit. </w:t>
      </w:r>
      <w:r w:rsidR="00EB74B2" w:rsidRPr="00EB74B2">
        <w:rPr>
          <w:rFonts w:ascii="Cambria" w:hAnsi="Cambria"/>
          <w:sz w:val="20"/>
          <w:szCs w:val="20"/>
        </w:rPr>
        <w:t xml:space="preserve">at </w:t>
      </w:r>
      <w:r w:rsidR="00EB74B2">
        <w:rPr>
          <w:rFonts w:ascii="Cambria" w:hAnsi="Cambria"/>
          <w:sz w:val="20"/>
          <w:szCs w:val="20"/>
        </w:rPr>
        <w:t>11</w:t>
      </w:r>
      <w:r w:rsidR="00EB74B2" w:rsidRPr="00EB74B2">
        <w:rPr>
          <w:rFonts w:ascii="Cambria" w:hAnsi="Cambria"/>
          <w:sz w:val="20"/>
          <w:szCs w:val="20"/>
        </w:rPr>
        <w:t>.</w:t>
      </w:r>
    </w:p>
  </w:footnote>
  <w:footnote w:id="7">
    <w:p w:rsidR="00480B17" w:rsidRPr="00EB74B2" w:rsidRDefault="00480B17" w:rsidP="00480B17">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Safe Work Australia, </w:t>
      </w:r>
      <w:r w:rsidRPr="00EB74B2">
        <w:rPr>
          <w:rFonts w:ascii="Cambria" w:hAnsi="Cambria" w:cs="Arial"/>
          <w:i/>
          <w:iCs/>
          <w:color w:val="202124"/>
          <w:sz w:val="20"/>
          <w:szCs w:val="20"/>
        </w:rPr>
        <w:t>Review of the model Work Health and Safety Laws</w:t>
      </w:r>
      <w:r w:rsidRPr="00EB74B2">
        <w:rPr>
          <w:rFonts w:ascii="Cambria" w:hAnsi="Cambria" w:cs="Arial"/>
          <w:color w:val="202124"/>
          <w:sz w:val="20"/>
          <w:szCs w:val="20"/>
        </w:rPr>
        <w:t xml:space="preserve"> (Final Report December 2018). </w:t>
      </w:r>
      <w:r w:rsidRPr="00EB74B2">
        <w:rPr>
          <w:rFonts w:ascii="Cambria" w:hAnsi="Cambria"/>
          <w:sz w:val="20"/>
          <w:szCs w:val="20"/>
        </w:rPr>
        <w:t xml:space="preserve"> </w:t>
      </w:r>
    </w:p>
  </w:footnote>
  <w:footnote w:id="8">
    <w:p w:rsidR="007F4E3E" w:rsidRPr="00EB74B2" w:rsidRDefault="007F4E3E" w:rsidP="007F4E3E">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Senate Education and Employment References Committee, </w:t>
      </w:r>
      <w:r w:rsidRPr="00EB74B2">
        <w:rPr>
          <w:rFonts w:ascii="Cambria" w:hAnsi="Cambria"/>
          <w:i/>
          <w:iCs/>
          <w:sz w:val="20"/>
          <w:szCs w:val="20"/>
        </w:rPr>
        <w:t>They never came home—the framework surrounding the prevention, investigation and prosecution of industrial deaths in Australia</w:t>
      </w:r>
      <w:r w:rsidRPr="00EB74B2">
        <w:rPr>
          <w:rFonts w:ascii="Cambria" w:hAnsi="Cambria"/>
          <w:sz w:val="20"/>
          <w:szCs w:val="20"/>
        </w:rPr>
        <w:t xml:space="preserve"> (Commonwealth of Australia: Canberra, 2018) paras 5.2–5.54 and Recommendation 13.</w:t>
      </w:r>
    </w:p>
  </w:footnote>
  <w:footnote w:id="9">
    <w:p w:rsidR="00C4206C" w:rsidRPr="00EB74B2" w:rsidRDefault="00C4206C">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Part 5A of the </w:t>
      </w:r>
      <w:r w:rsidRPr="00EB74B2">
        <w:rPr>
          <w:rFonts w:ascii="Cambria" w:hAnsi="Cambria"/>
          <w:i/>
          <w:iCs/>
          <w:sz w:val="20"/>
          <w:szCs w:val="20"/>
        </w:rPr>
        <w:t>Occupational Health and Safety Act 2004</w:t>
      </w:r>
      <w:r w:rsidRPr="00EB74B2">
        <w:rPr>
          <w:rFonts w:ascii="Cambria" w:hAnsi="Cambria"/>
          <w:sz w:val="20"/>
          <w:szCs w:val="20"/>
        </w:rPr>
        <w:t xml:space="preserve"> (Vic); Division 2.6 of the </w:t>
      </w:r>
      <w:r w:rsidRPr="00EB74B2">
        <w:rPr>
          <w:rFonts w:ascii="Cambria" w:hAnsi="Cambria"/>
          <w:i/>
          <w:iCs/>
          <w:sz w:val="20"/>
          <w:szCs w:val="20"/>
        </w:rPr>
        <w:t>Work Health and Safety Act 2011</w:t>
      </w:r>
      <w:r w:rsidRPr="00EB74B2">
        <w:rPr>
          <w:rFonts w:ascii="Cambria" w:hAnsi="Cambria"/>
          <w:sz w:val="20"/>
          <w:szCs w:val="20"/>
        </w:rPr>
        <w:t xml:space="preserve"> (ACT); Part 2A of the </w:t>
      </w:r>
      <w:r w:rsidRPr="00EB74B2">
        <w:rPr>
          <w:rFonts w:ascii="Cambria" w:hAnsi="Cambria"/>
          <w:i/>
          <w:iCs/>
          <w:sz w:val="20"/>
          <w:szCs w:val="20"/>
        </w:rPr>
        <w:t>Work Health and Safety Act 2011</w:t>
      </w:r>
      <w:r w:rsidRPr="00EB74B2">
        <w:rPr>
          <w:rFonts w:ascii="Cambria" w:hAnsi="Cambria"/>
          <w:sz w:val="20"/>
          <w:szCs w:val="20"/>
        </w:rPr>
        <w:t xml:space="preserve"> (Qld); Division 6 of the </w:t>
      </w:r>
      <w:r w:rsidRPr="00EB74B2">
        <w:rPr>
          <w:rFonts w:ascii="Cambria" w:hAnsi="Cambria"/>
          <w:i/>
          <w:iCs/>
          <w:sz w:val="20"/>
          <w:szCs w:val="20"/>
        </w:rPr>
        <w:t>Work Health and Safety (National Uniform Legislation) Act 2011</w:t>
      </w:r>
      <w:r w:rsidRPr="00EB74B2">
        <w:rPr>
          <w:rFonts w:ascii="Cambria" w:hAnsi="Cambria"/>
          <w:sz w:val="20"/>
          <w:szCs w:val="20"/>
        </w:rPr>
        <w:t xml:space="preserve"> (NT);</w:t>
      </w:r>
      <w:r w:rsidR="007250D9" w:rsidRPr="00EB74B2">
        <w:rPr>
          <w:rFonts w:ascii="Cambria" w:hAnsi="Cambria"/>
          <w:sz w:val="20"/>
          <w:szCs w:val="20"/>
        </w:rPr>
        <w:t xml:space="preserve"> </w:t>
      </w:r>
      <w:r w:rsidR="00B503D1" w:rsidRPr="00EB74B2">
        <w:rPr>
          <w:rFonts w:ascii="Cambria" w:hAnsi="Cambria"/>
          <w:i/>
          <w:iCs/>
          <w:sz w:val="20"/>
          <w:szCs w:val="20"/>
        </w:rPr>
        <w:t>Work Health and Safety (Industrial Manslaughter) Amendment Bill 2023</w:t>
      </w:r>
      <w:r w:rsidR="00B503D1" w:rsidRPr="00EB74B2">
        <w:rPr>
          <w:rFonts w:ascii="Cambria" w:hAnsi="Cambria"/>
          <w:sz w:val="20"/>
          <w:szCs w:val="20"/>
        </w:rPr>
        <w:t xml:space="preserve"> (SA) has passed both houses of the South Australian Parliament but not due to commence until mid-2024; Section 30A of the </w:t>
      </w:r>
      <w:r w:rsidR="00B503D1" w:rsidRPr="00EB74B2">
        <w:rPr>
          <w:rFonts w:ascii="Cambria" w:hAnsi="Cambria"/>
          <w:i/>
          <w:iCs/>
          <w:sz w:val="20"/>
          <w:szCs w:val="20"/>
        </w:rPr>
        <w:t>Work Health and Safety Act 2020</w:t>
      </w:r>
      <w:r w:rsidR="00B503D1" w:rsidRPr="00EB74B2">
        <w:rPr>
          <w:rFonts w:ascii="Cambria" w:hAnsi="Cambria"/>
          <w:sz w:val="20"/>
          <w:szCs w:val="20"/>
        </w:rPr>
        <w:t xml:space="preserve"> (WA).   </w:t>
      </w:r>
      <w:r w:rsidRPr="00EB74B2">
        <w:rPr>
          <w:rFonts w:ascii="Cambria" w:hAnsi="Cambria"/>
          <w:sz w:val="20"/>
          <w:szCs w:val="20"/>
        </w:rPr>
        <w:t xml:space="preserve">   </w:t>
      </w:r>
    </w:p>
  </w:footnote>
  <w:footnote w:id="10">
    <w:p w:rsidR="000B6921" w:rsidRPr="00EB74B2" w:rsidRDefault="000B6921">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New South Wales Government, </w:t>
      </w:r>
      <w:r w:rsidRPr="00EB74B2">
        <w:rPr>
          <w:rFonts w:ascii="Cambria" w:hAnsi="Cambria"/>
          <w:i/>
          <w:iCs/>
          <w:sz w:val="20"/>
          <w:szCs w:val="20"/>
        </w:rPr>
        <w:t>Industrial manslaughter law to be introduced in NSW</w:t>
      </w:r>
      <w:r w:rsidRPr="00EB74B2">
        <w:rPr>
          <w:rFonts w:ascii="Cambria" w:hAnsi="Cambria"/>
          <w:sz w:val="20"/>
          <w:szCs w:val="20"/>
        </w:rPr>
        <w:t xml:space="preserve"> (Minister for Work Health and Safety). As found at </w:t>
      </w:r>
      <w:hyperlink r:id="rId1" w:history="1">
        <w:r w:rsidRPr="00EB74B2">
          <w:rPr>
            <w:rStyle w:val="Hyperlink"/>
            <w:rFonts w:ascii="Cambria" w:hAnsi="Cambria"/>
            <w:sz w:val="20"/>
            <w:szCs w:val="20"/>
          </w:rPr>
          <w:t>https://www.nsw.gov.au/media-releases/industrial-manslaughter-law-to-be-introduced-nsw</w:t>
        </w:r>
      </w:hyperlink>
      <w:r w:rsidRPr="00EB74B2">
        <w:rPr>
          <w:rFonts w:ascii="Cambria" w:hAnsi="Cambria"/>
          <w:sz w:val="20"/>
          <w:szCs w:val="20"/>
        </w:rPr>
        <w:t xml:space="preserve"> (accessed 31 January 2024).  </w:t>
      </w:r>
    </w:p>
  </w:footnote>
  <w:footnote w:id="11">
    <w:p w:rsidR="00007B77" w:rsidRPr="00EB74B2" w:rsidRDefault="00007B77">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w:t>
      </w:r>
      <w:r w:rsidRPr="00EB74B2">
        <w:rPr>
          <w:rFonts w:ascii="Cambria" w:hAnsi="Cambria"/>
          <w:i/>
          <w:iCs/>
          <w:sz w:val="20"/>
          <w:szCs w:val="20"/>
        </w:rPr>
        <w:t>Bateman</w:t>
      </w:r>
      <w:r w:rsidRPr="00EB74B2">
        <w:rPr>
          <w:rFonts w:ascii="Cambria" w:hAnsi="Cambria"/>
          <w:sz w:val="20"/>
          <w:szCs w:val="20"/>
        </w:rPr>
        <w:t xml:space="preserve"> (1925) CR App R 8, 11; </w:t>
      </w:r>
      <w:proofErr w:type="spellStart"/>
      <w:r w:rsidRPr="00EB74B2">
        <w:rPr>
          <w:rFonts w:ascii="Cambria" w:hAnsi="Cambria"/>
          <w:i/>
          <w:iCs/>
          <w:sz w:val="20"/>
          <w:szCs w:val="20"/>
        </w:rPr>
        <w:t>Nydam</w:t>
      </w:r>
      <w:proofErr w:type="spellEnd"/>
      <w:r w:rsidRPr="00EB74B2">
        <w:rPr>
          <w:rFonts w:ascii="Cambria" w:hAnsi="Cambria"/>
          <w:i/>
          <w:iCs/>
          <w:sz w:val="20"/>
          <w:szCs w:val="20"/>
        </w:rPr>
        <w:t xml:space="preserve"> v The Queen</w:t>
      </w:r>
      <w:r w:rsidRPr="00EB74B2">
        <w:rPr>
          <w:rFonts w:ascii="Cambria" w:hAnsi="Cambria"/>
          <w:sz w:val="20"/>
          <w:szCs w:val="20"/>
        </w:rPr>
        <w:t xml:space="preserve"> [1977] VR 430, 445.</w:t>
      </w:r>
    </w:p>
  </w:footnote>
  <w:footnote w:id="12">
    <w:p w:rsidR="00852908" w:rsidRPr="00EB74B2" w:rsidRDefault="00852908">
      <w:pPr>
        <w:pStyle w:val="FootnoteText"/>
        <w:rPr>
          <w:rFonts w:ascii="Cambria" w:hAnsi="Cambria"/>
          <w:sz w:val="20"/>
          <w:szCs w:val="20"/>
        </w:rPr>
      </w:pPr>
      <w:r w:rsidRPr="00EB74B2">
        <w:rPr>
          <w:rStyle w:val="FootnoteReference"/>
          <w:rFonts w:ascii="Cambria" w:hAnsi="Cambria"/>
          <w:sz w:val="20"/>
          <w:szCs w:val="20"/>
        </w:rPr>
        <w:footnoteRef/>
      </w:r>
      <w:r w:rsidR="00F92054" w:rsidRPr="00EB74B2">
        <w:rPr>
          <w:rFonts w:ascii="Cambria" w:hAnsi="Cambria"/>
          <w:sz w:val="20"/>
          <w:szCs w:val="20"/>
        </w:rPr>
        <w:t xml:space="preserve"> Tim Lyons</w:t>
      </w:r>
      <w:r w:rsidRPr="00EB74B2">
        <w:rPr>
          <w:rFonts w:ascii="Cambria" w:hAnsi="Cambria"/>
          <w:sz w:val="20"/>
          <w:szCs w:val="20"/>
        </w:rPr>
        <w:t xml:space="preserve">, </w:t>
      </w:r>
      <w:r w:rsidRPr="00EB74B2">
        <w:rPr>
          <w:rFonts w:ascii="Cambria" w:hAnsi="Cambria"/>
          <w:i/>
          <w:iCs/>
          <w:sz w:val="20"/>
          <w:szCs w:val="20"/>
        </w:rPr>
        <w:t>Best Practice Review of Workplace Health and Safety Queensland</w:t>
      </w:r>
      <w:r w:rsidR="00F92054" w:rsidRPr="00EB74B2">
        <w:rPr>
          <w:rFonts w:ascii="Cambria" w:hAnsi="Cambria"/>
          <w:i/>
          <w:iCs/>
          <w:sz w:val="20"/>
          <w:szCs w:val="20"/>
        </w:rPr>
        <w:t xml:space="preserve"> – Final Report</w:t>
      </w:r>
      <w:r w:rsidRPr="00EB74B2">
        <w:rPr>
          <w:rFonts w:ascii="Cambria" w:hAnsi="Cambria"/>
          <w:sz w:val="20"/>
          <w:szCs w:val="20"/>
        </w:rPr>
        <w:t xml:space="preserve"> (</w:t>
      </w:r>
      <w:proofErr w:type="spellStart"/>
      <w:r w:rsidR="00F92054" w:rsidRPr="00EB74B2">
        <w:rPr>
          <w:rFonts w:ascii="Cambria" w:hAnsi="Cambria"/>
          <w:sz w:val="20"/>
          <w:szCs w:val="20"/>
        </w:rPr>
        <w:t>Worksafe</w:t>
      </w:r>
      <w:proofErr w:type="spellEnd"/>
      <w:r w:rsidR="00F92054" w:rsidRPr="00EB74B2">
        <w:rPr>
          <w:rFonts w:ascii="Cambria" w:hAnsi="Cambria"/>
          <w:sz w:val="20"/>
          <w:szCs w:val="20"/>
        </w:rPr>
        <w:t xml:space="preserve"> Queensland</w:t>
      </w:r>
      <w:r w:rsidRPr="00EB74B2">
        <w:rPr>
          <w:rFonts w:ascii="Cambria" w:hAnsi="Cambria"/>
          <w:sz w:val="20"/>
          <w:szCs w:val="20"/>
        </w:rPr>
        <w:t>: July 2017)</w:t>
      </w:r>
      <w:r w:rsidR="00422F9C" w:rsidRPr="00EB74B2">
        <w:rPr>
          <w:rFonts w:ascii="Cambria" w:hAnsi="Cambria"/>
          <w:sz w:val="20"/>
          <w:szCs w:val="20"/>
        </w:rPr>
        <w:t xml:space="preserve"> at </w:t>
      </w:r>
      <w:r w:rsidR="00C8166B" w:rsidRPr="00EB74B2">
        <w:rPr>
          <w:rFonts w:ascii="Cambria" w:hAnsi="Cambria"/>
          <w:sz w:val="20"/>
          <w:szCs w:val="20"/>
        </w:rPr>
        <w:t xml:space="preserve">113. Also see recommendation 46. </w:t>
      </w:r>
    </w:p>
  </w:footnote>
  <w:footnote w:id="13">
    <w:p w:rsidR="00C8166B" w:rsidRPr="00EB74B2" w:rsidRDefault="00C8166B">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Section 34(1)(c) of the </w:t>
      </w:r>
      <w:r w:rsidRPr="00EB74B2">
        <w:rPr>
          <w:rFonts w:ascii="Cambria" w:hAnsi="Cambria"/>
          <w:i/>
          <w:iCs/>
          <w:sz w:val="20"/>
          <w:szCs w:val="20"/>
        </w:rPr>
        <w:t>Work Health and Safety Act 2011</w:t>
      </w:r>
      <w:r w:rsidRPr="00EB74B2">
        <w:rPr>
          <w:rFonts w:ascii="Cambria" w:hAnsi="Cambria"/>
          <w:sz w:val="20"/>
          <w:szCs w:val="20"/>
        </w:rPr>
        <w:t xml:space="preserve"> (Qld).  </w:t>
      </w:r>
    </w:p>
  </w:footnote>
  <w:footnote w:id="14">
    <w:p w:rsidR="00422F9C" w:rsidRPr="00EB74B2" w:rsidRDefault="00422F9C">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Section 39E of the of the </w:t>
      </w:r>
      <w:r w:rsidRPr="00EB74B2">
        <w:rPr>
          <w:rFonts w:ascii="Cambria" w:hAnsi="Cambria"/>
          <w:i/>
          <w:iCs/>
          <w:sz w:val="20"/>
          <w:szCs w:val="20"/>
        </w:rPr>
        <w:t>Occupational Health and Safety Act 2004</w:t>
      </w:r>
      <w:r w:rsidRPr="00EB74B2">
        <w:rPr>
          <w:rFonts w:ascii="Cambria" w:hAnsi="Cambria"/>
          <w:sz w:val="20"/>
          <w:szCs w:val="20"/>
        </w:rPr>
        <w:t xml:space="preserve"> (Vic).  </w:t>
      </w:r>
    </w:p>
  </w:footnote>
  <w:footnote w:id="15">
    <w:p w:rsidR="00422F9C" w:rsidRPr="00EB74B2" w:rsidRDefault="00422F9C">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Section 34(1)(f) of the </w:t>
      </w:r>
      <w:r w:rsidRPr="00EB74B2">
        <w:rPr>
          <w:rFonts w:ascii="Cambria" w:hAnsi="Cambria"/>
          <w:i/>
          <w:iCs/>
          <w:sz w:val="20"/>
          <w:szCs w:val="20"/>
        </w:rPr>
        <w:t>Work Health and Safety Act 2011</w:t>
      </w:r>
      <w:r w:rsidRPr="00EB74B2">
        <w:rPr>
          <w:rFonts w:ascii="Cambria" w:hAnsi="Cambria"/>
          <w:sz w:val="20"/>
          <w:szCs w:val="20"/>
        </w:rPr>
        <w:t xml:space="preserve"> (ACT).  </w:t>
      </w:r>
    </w:p>
  </w:footnote>
  <w:footnote w:id="16">
    <w:p w:rsidR="00C8166B" w:rsidRPr="00EB74B2" w:rsidRDefault="00C8166B">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Section 34B(1)(e) of the </w:t>
      </w:r>
      <w:r w:rsidRPr="00EB74B2">
        <w:rPr>
          <w:rFonts w:ascii="Cambria" w:hAnsi="Cambria"/>
          <w:i/>
          <w:iCs/>
          <w:sz w:val="20"/>
          <w:szCs w:val="20"/>
        </w:rPr>
        <w:t>Work Health and Safety (National Uniform Legislation) Act 2011</w:t>
      </w:r>
      <w:r w:rsidRPr="00EB74B2">
        <w:rPr>
          <w:rFonts w:ascii="Cambria" w:hAnsi="Cambria"/>
          <w:sz w:val="20"/>
          <w:szCs w:val="20"/>
        </w:rPr>
        <w:t xml:space="preserve"> (NT).   </w:t>
      </w:r>
    </w:p>
  </w:footnote>
  <w:footnote w:id="17">
    <w:p w:rsidR="000E095E" w:rsidRPr="00EB74B2" w:rsidRDefault="000E095E">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Section 30A of the </w:t>
      </w:r>
      <w:r w:rsidRPr="00EB74B2">
        <w:rPr>
          <w:rFonts w:ascii="Cambria" w:hAnsi="Cambria"/>
          <w:i/>
          <w:iCs/>
          <w:sz w:val="20"/>
          <w:szCs w:val="20"/>
        </w:rPr>
        <w:t>Fair Work Legislation Amendment (Closing Loopholes</w:t>
      </w:r>
      <w:r w:rsidR="00512D3E" w:rsidRPr="00EB74B2">
        <w:rPr>
          <w:rFonts w:ascii="Cambria" w:hAnsi="Cambria"/>
          <w:i/>
          <w:iCs/>
          <w:sz w:val="20"/>
          <w:szCs w:val="20"/>
        </w:rPr>
        <w:t xml:space="preserve"> No. 2</w:t>
      </w:r>
      <w:r w:rsidRPr="00EB74B2">
        <w:rPr>
          <w:rFonts w:ascii="Cambria" w:hAnsi="Cambria"/>
          <w:i/>
          <w:iCs/>
          <w:sz w:val="20"/>
          <w:szCs w:val="20"/>
        </w:rPr>
        <w:t>) Bill 2023</w:t>
      </w:r>
      <w:r w:rsidRPr="00EB74B2">
        <w:rPr>
          <w:rFonts w:ascii="Cambria" w:hAnsi="Cambria"/>
          <w:sz w:val="20"/>
          <w:szCs w:val="20"/>
        </w:rPr>
        <w:t xml:space="preserve">. </w:t>
      </w:r>
    </w:p>
  </w:footnote>
  <w:footnote w:id="18">
    <w:p w:rsidR="00AB0A09" w:rsidRPr="00EB74B2" w:rsidRDefault="00AB0A09">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B</w:t>
      </w:r>
      <w:r w:rsidR="00EB74B2">
        <w:rPr>
          <w:rFonts w:ascii="Cambria" w:hAnsi="Cambria"/>
          <w:sz w:val="20"/>
          <w:szCs w:val="20"/>
        </w:rPr>
        <w:t>rent</w:t>
      </w:r>
      <w:r w:rsidRPr="00EB74B2">
        <w:rPr>
          <w:rFonts w:ascii="Cambria" w:hAnsi="Cambria"/>
          <w:sz w:val="20"/>
          <w:szCs w:val="20"/>
        </w:rPr>
        <w:t xml:space="preserve"> </w:t>
      </w:r>
      <w:proofErr w:type="spellStart"/>
      <w:r w:rsidRPr="00EB74B2">
        <w:rPr>
          <w:rFonts w:ascii="Cambria" w:hAnsi="Cambria"/>
          <w:sz w:val="20"/>
          <w:szCs w:val="20"/>
        </w:rPr>
        <w:t>Fisse</w:t>
      </w:r>
      <w:proofErr w:type="spellEnd"/>
      <w:r w:rsidRPr="00EB74B2">
        <w:rPr>
          <w:rFonts w:ascii="Cambria" w:hAnsi="Cambria"/>
          <w:sz w:val="20"/>
          <w:szCs w:val="20"/>
        </w:rPr>
        <w:t xml:space="preserve"> &amp; J</w:t>
      </w:r>
      <w:r w:rsidR="00EB74B2">
        <w:rPr>
          <w:rFonts w:ascii="Cambria" w:hAnsi="Cambria"/>
          <w:sz w:val="20"/>
          <w:szCs w:val="20"/>
        </w:rPr>
        <w:t>ohn</w:t>
      </w:r>
      <w:r w:rsidRPr="00EB74B2">
        <w:rPr>
          <w:rFonts w:ascii="Cambria" w:hAnsi="Cambria"/>
          <w:sz w:val="20"/>
          <w:szCs w:val="20"/>
        </w:rPr>
        <w:t xml:space="preserve"> Braithwaite, </w:t>
      </w:r>
      <w:r w:rsidRPr="00EB74B2">
        <w:rPr>
          <w:rFonts w:ascii="Cambria" w:hAnsi="Cambria"/>
          <w:i/>
          <w:iCs/>
          <w:sz w:val="20"/>
          <w:szCs w:val="20"/>
        </w:rPr>
        <w:t>Corporations, Crime and Accountability</w:t>
      </w:r>
      <w:r w:rsidRPr="00EB74B2">
        <w:rPr>
          <w:rFonts w:ascii="Cambria" w:hAnsi="Cambria"/>
          <w:sz w:val="20"/>
          <w:szCs w:val="20"/>
        </w:rPr>
        <w:t xml:space="preserve"> (1993) at 136. As found in Tasmania Law Reform Institute, </w:t>
      </w:r>
      <w:r w:rsidRPr="00EB74B2">
        <w:rPr>
          <w:rFonts w:ascii="Cambria" w:hAnsi="Cambria"/>
          <w:i/>
          <w:iCs/>
          <w:sz w:val="20"/>
          <w:szCs w:val="20"/>
        </w:rPr>
        <w:t>Criminal Liability of Organisations</w:t>
      </w:r>
      <w:r w:rsidRPr="00EB74B2">
        <w:rPr>
          <w:rFonts w:ascii="Cambria" w:hAnsi="Cambria"/>
          <w:sz w:val="20"/>
          <w:szCs w:val="20"/>
        </w:rPr>
        <w:t xml:space="preserve"> (Final Report No. 9: April 2007) at 58. </w:t>
      </w:r>
    </w:p>
  </w:footnote>
  <w:footnote w:id="19">
    <w:p w:rsidR="00EB1926" w:rsidRPr="00EB74B2" w:rsidRDefault="00EB1926" w:rsidP="00EB1926">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Tasmania Law Reform Institute,</w:t>
      </w:r>
      <w:r w:rsidR="00EB74B2">
        <w:rPr>
          <w:rFonts w:ascii="Cambria" w:hAnsi="Cambria"/>
          <w:sz w:val="20"/>
          <w:szCs w:val="20"/>
        </w:rPr>
        <w:t xml:space="preserve"> op. cit. </w:t>
      </w:r>
      <w:r w:rsidRPr="00EB74B2">
        <w:rPr>
          <w:rFonts w:ascii="Cambria" w:hAnsi="Cambria"/>
          <w:sz w:val="20"/>
          <w:szCs w:val="20"/>
        </w:rPr>
        <w:t>at 55.</w:t>
      </w:r>
    </w:p>
  </w:footnote>
  <w:footnote w:id="20">
    <w:p w:rsidR="00EB1926" w:rsidRPr="00EB74B2" w:rsidRDefault="00EB1926">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Sections 236, 237, 238 </w:t>
      </w:r>
      <w:r w:rsidR="00AC6BE3" w:rsidRPr="00EB74B2">
        <w:rPr>
          <w:rFonts w:ascii="Cambria" w:hAnsi="Cambria"/>
          <w:sz w:val="20"/>
          <w:szCs w:val="20"/>
        </w:rPr>
        <w:t xml:space="preserve">and 241 </w:t>
      </w:r>
      <w:r w:rsidRPr="00EB74B2">
        <w:rPr>
          <w:rFonts w:ascii="Cambria" w:hAnsi="Cambria"/>
          <w:sz w:val="20"/>
          <w:szCs w:val="20"/>
        </w:rPr>
        <w:t xml:space="preserve">of the </w:t>
      </w:r>
      <w:r w:rsidRPr="00EB74B2">
        <w:rPr>
          <w:rFonts w:ascii="Cambria" w:hAnsi="Cambria"/>
          <w:i/>
          <w:color w:val="000000" w:themeColor="text1"/>
          <w:sz w:val="20"/>
          <w:szCs w:val="20"/>
        </w:rPr>
        <w:t>Work Health and Safety Act 2012</w:t>
      </w:r>
      <w:r w:rsidRPr="00EB74B2">
        <w:rPr>
          <w:rFonts w:ascii="Cambria" w:hAnsi="Cambria"/>
          <w:iCs/>
          <w:color w:val="000000" w:themeColor="text1"/>
          <w:sz w:val="20"/>
          <w:szCs w:val="20"/>
        </w:rPr>
        <w:t xml:space="preserve"> (Tas). </w:t>
      </w:r>
    </w:p>
  </w:footnote>
  <w:footnote w:id="21">
    <w:p w:rsidR="00AC6BE3" w:rsidRPr="00EB74B2" w:rsidRDefault="00AC6BE3">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Tasmania Law Reform Institute, </w:t>
      </w:r>
      <w:r w:rsidRPr="00EB74B2">
        <w:rPr>
          <w:rFonts w:ascii="Cambria" w:hAnsi="Cambria"/>
          <w:i/>
          <w:iCs/>
          <w:sz w:val="20"/>
          <w:szCs w:val="20"/>
        </w:rPr>
        <w:t>Criminal Liability of Organisations</w:t>
      </w:r>
      <w:r w:rsidRPr="00EB74B2">
        <w:rPr>
          <w:rFonts w:ascii="Cambria" w:hAnsi="Cambria"/>
          <w:sz w:val="20"/>
          <w:szCs w:val="20"/>
        </w:rPr>
        <w:t xml:space="preserve"> (Final Report No. 9: April 2007) Recommendation 7.</w:t>
      </w:r>
    </w:p>
  </w:footnote>
  <w:footnote w:id="22">
    <w:p w:rsidR="0097494B" w:rsidRPr="00F22CD6" w:rsidRDefault="0097494B">
      <w:pPr>
        <w:pStyle w:val="FootnoteText"/>
        <w:rPr>
          <w:rFonts w:ascii="Cambria" w:hAnsi="Cambria"/>
          <w:sz w:val="20"/>
          <w:szCs w:val="20"/>
        </w:rPr>
      </w:pPr>
      <w:r w:rsidRPr="00EB74B2">
        <w:rPr>
          <w:rStyle w:val="FootnoteReference"/>
          <w:rFonts w:ascii="Cambria" w:hAnsi="Cambria"/>
          <w:sz w:val="20"/>
          <w:szCs w:val="20"/>
        </w:rPr>
        <w:footnoteRef/>
      </w:r>
      <w:r w:rsidRPr="00EB74B2">
        <w:rPr>
          <w:rFonts w:ascii="Cambria" w:hAnsi="Cambria"/>
          <w:sz w:val="20"/>
          <w:szCs w:val="20"/>
        </w:rPr>
        <w:t xml:space="preserve"> WorkSafe Victoria, WorkSafe’s Family Liaison Officer. As found at </w:t>
      </w:r>
      <w:hyperlink r:id="rId2" w:history="1">
        <w:r w:rsidRPr="00EB74B2">
          <w:rPr>
            <w:rStyle w:val="Hyperlink"/>
            <w:rFonts w:ascii="Cambria" w:hAnsi="Cambria"/>
            <w:sz w:val="20"/>
            <w:szCs w:val="20"/>
          </w:rPr>
          <w:t>https://www.worksafe.vic.gov.au/worksafes-family-liaison-officer</w:t>
        </w:r>
      </w:hyperlink>
      <w:r w:rsidRPr="00EB74B2">
        <w:rPr>
          <w:rFonts w:ascii="Cambria" w:hAnsi="Cambria"/>
          <w:sz w:val="20"/>
          <w:szCs w:val="20"/>
        </w:rPr>
        <w:t xml:space="preserve"> (accessed 4 February 2024).</w:t>
      </w:r>
      <w:r w:rsidRPr="00F22CD6">
        <w:rPr>
          <w:rFonts w:ascii="Cambria" w:hAnsi="Cambria"/>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5C7F"/>
    <w:multiLevelType w:val="multilevel"/>
    <w:tmpl w:val="5AC4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936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1C"/>
    <w:rsid w:val="00007B77"/>
    <w:rsid w:val="00024572"/>
    <w:rsid w:val="00036938"/>
    <w:rsid w:val="0004550F"/>
    <w:rsid w:val="0005236C"/>
    <w:rsid w:val="000A32B4"/>
    <w:rsid w:val="000B6921"/>
    <w:rsid w:val="000D2DA0"/>
    <w:rsid w:val="000E095E"/>
    <w:rsid w:val="000E4CF0"/>
    <w:rsid w:val="000E6A9A"/>
    <w:rsid w:val="000F0821"/>
    <w:rsid w:val="0010716F"/>
    <w:rsid w:val="0012796C"/>
    <w:rsid w:val="00147E9B"/>
    <w:rsid w:val="00157347"/>
    <w:rsid w:val="00166D7E"/>
    <w:rsid w:val="00173B8D"/>
    <w:rsid w:val="001E531E"/>
    <w:rsid w:val="002136D5"/>
    <w:rsid w:val="00215FCE"/>
    <w:rsid w:val="002215CC"/>
    <w:rsid w:val="002238A4"/>
    <w:rsid w:val="0026711C"/>
    <w:rsid w:val="00282C67"/>
    <w:rsid w:val="002C2B72"/>
    <w:rsid w:val="002F155E"/>
    <w:rsid w:val="003176EA"/>
    <w:rsid w:val="00342FDC"/>
    <w:rsid w:val="00345208"/>
    <w:rsid w:val="0036122F"/>
    <w:rsid w:val="0036545A"/>
    <w:rsid w:val="00396995"/>
    <w:rsid w:val="003D54BE"/>
    <w:rsid w:val="00411D8F"/>
    <w:rsid w:val="00417D11"/>
    <w:rsid w:val="00422F9C"/>
    <w:rsid w:val="00480B17"/>
    <w:rsid w:val="004B0557"/>
    <w:rsid w:val="004C4564"/>
    <w:rsid w:val="004C7DD9"/>
    <w:rsid w:val="004E0D1A"/>
    <w:rsid w:val="004F12AF"/>
    <w:rsid w:val="00512D3E"/>
    <w:rsid w:val="00541BC3"/>
    <w:rsid w:val="0056428F"/>
    <w:rsid w:val="005771A2"/>
    <w:rsid w:val="005D3C6E"/>
    <w:rsid w:val="005E29C2"/>
    <w:rsid w:val="006238E3"/>
    <w:rsid w:val="0064287A"/>
    <w:rsid w:val="00656FBA"/>
    <w:rsid w:val="006B053D"/>
    <w:rsid w:val="006E4F49"/>
    <w:rsid w:val="0070258B"/>
    <w:rsid w:val="0070439B"/>
    <w:rsid w:val="00724CA7"/>
    <w:rsid w:val="007250D9"/>
    <w:rsid w:val="0073424D"/>
    <w:rsid w:val="00747918"/>
    <w:rsid w:val="00782400"/>
    <w:rsid w:val="00783F39"/>
    <w:rsid w:val="0078480B"/>
    <w:rsid w:val="007A3DAC"/>
    <w:rsid w:val="007B2934"/>
    <w:rsid w:val="007F4E3E"/>
    <w:rsid w:val="0080517B"/>
    <w:rsid w:val="00852908"/>
    <w:rsid w:val="00856B44"/>
    <w:rsid w:val="0086242F"/>
    <w:rsid w:val="008902C1"/>
    <w:rsid w:val="008A3DE3"/>
    <w:rsid w:val="008C489C"/>
    <w:rsid w:val="008C7009"/>
    <w:rsid w:val="008F1D7C"/>
    <w:rsid w:val="009665DA"/>
    <w:rsid w:val="0097494B"/>
    <w:rsid w:val="009F5B07"/>
    <w:rsid w:val="00A2216E"/>
    <w:rsid w:val="00A50A14"/>
    <w:rsid w:val="00A5242B"/>
    <w:rsid w:val="00A61C4A"/>
    <w:rsid w:val="00A65255"/>
    <w:rsid w:val="00A77822"/>
    <w:rsid w:val="00AB0A09"/>
    <w:rsid w:val="00AC6BE3"/>
    <w:rsid w:val="00AD227A"/>
    <w:rsid w:val="00AD3090"/>
    <w:rsid w:val="00AE5B02"/>
    <w:rsid w:val="00AF5BF7"/>
    <w:rsid w:val="00AF7A66"/>
    <w:rsid w:val="00B01469"/>
    <w:rsid w:val="00B05CF7"/>
    <w:rsid w:val="00B503D1"/>
    <w:rsid w:val="00B63CB8"/>
    <w:rsid w:val="00B6488B"/>
    <w:rsid w:val="00B77DD9"/>
    <w:rsid w:val="00B94349"/>
    <w:rsid w:val="00BA57FF"/>
    <w:rsid w:val="00BD4396"/>
    <w:rsid w:val="00C4206C"/>
    <w:rsid w:val="00C442DB"/>
    <w:rsid w:val="00C6157B"/>
    <w:rsid w:val="00C80414"/>
    <w:rsid w:val="00C8166B"/>
    <w:rsid w:val="00C83509"/>
    <w:rsid w:val="00C8369E"/>
    <w:rsid w:val="00C946DE"/>
    <w:rsid w:val="00CA7CE8"/>
    <w:rsid w:val="00CC07CC"/>
    <w:rsid w:val="00CD05DC"/>
    <w:rsid w:val="00CF1766"/>
    <w:rsid w:val="00D90533"/>
    <w:rsid w:val="00D93B05"/>
    <w:rsid w:val="00DA5DE1"/>
    <w:rsid w:val="00DA5FD2"/>
    <w:rsid w:val="00DB62F6"/>
    <w:rsid w:val="00DD4CC3"/>
    <w:rsid w:val="00E07BF3"/>
    <w:rsid w:val="00E730DE"/>
    <w:rsid w:val="00E7666A"/>
    <w:rsid w:val="00E84662"/>
    <w:rsid w:val="00E92779"/>
    <w:rsid w:val="00EB1926"/>
    <w:rsid w:val="00EB511A"/>
    <w:rsid w:val="00EB74B2"/>
    <w:rsid w:val="00EB78DF"/>
    <w:rsid w:val="00EC547E"/>
    <w:rsid w:val="00ED34E1"/>
    <w:rsid w:val="00ED7BA1"/>
    <w:rsid w:val="00EF4F7B"/>
    <w:rsid w:val="00F00693"/>
    <w:rsid w:val="00F11B12"/>
    <w:rsid w:val="00F22CD6"/>
    <w:rsid w:val="00F51437"/>
    <w:rsid w:val="00F92054"/>
    <w:rsid w:val="00F926E6"/>
    <w:rsid w:val="00FA14E8"/>
    <w:rsid w:val="00FC3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8FE2D6A"/>
  <w15:chartTrackingRefBased/>
  <w15:docId w15:val="{40EC734A-A976-9044-A892-24F02F07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6711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711C"/>
    <w:rPr>
      <w:color w:val="0563C1" w:themeColor="hyperlink"/>
      <w:u w:val="single"/>
    </w:rPr>
  </w:style>
  <w:style w:type="character" w:styleId="UnresolvedMention">
    <w:name w:val="Unresolved Mention"/>
    <w:basedOn w:val="DefaultParagraphFont"/>
    <w:uiPriority w:val="99"/>
    <w:semiHidden/>
    <w:unhideWhenUsed/>
    <w:rsid w:val="0010716F"/>
    <w:rPr>
      <w:color w:val="605E5C"/>
      <w:shd w:val="clear" w:color="auto" w:fill="E1DFDD"/>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10716F"/>
    <w:rPr>
      <w:rFonts w:ascii="Times New Roman" w:eastAsia="Times New Roman" w:hAnsi="Times New Roman" w:cs="Times New Roman"/>
      <w:kern w:val="0"/>
      <w:lang w:eastAsia="en-GB"/>
      <w14:ligatures w14:val="none"/>
    </w:rPr>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10716F"/>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10716F"/>
    <w:rPr>
      <w:vertAlign w:val="superscript"/>
    </w:rPr>
  </w:style>
  <w:style w:type="paragraph" w:styleId="NormalWeb">
    <w:name w:val="Normal (Web)"/>
    <w:basedOn w:val="Normal"/>
    <w:uiPriority w:val="99"/>
    <w:semiHidden/>
    <w:unhideWhenUsed/>
    <w:rsid w:val="00342FD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gkelc">
    <w:name w:val="hgkelc"/>
    <w:basedOn w:val="DefaultParagraphFont"/>
    <w:rsid w:val="00342FDC"/>
  </w:style>
  <w:style w:type="paragraph" w:styleId="Footer">
    <w:name w:val="footer"/>
    <w:basedOn w:val="Normal"/>
    <w:link w:val="FooterChar"/>
    <w:uiPriority w:val="99"/>
    <w:unhideWhenUsed/>
    <w:rsid w:val="00C8369E"/>
    <w:pPr>
      <w:tabs>
        <w:tab w:val="center" w:pos="4513"/>
        <w:tab w:val="right" w:pos="9026"/>
      </w:tabs>
    </w:pPr>
  </w:style>
  <w:style w:type="character" w:customStyle="1" w:styleId="FooterChar">
    <w:name w:val="Footer Char"/>
    <w:basedOn w:val="DefaultParagraphFont"/>
    <w:link w:val="Footer"/>
    <w:uiPriority w:val="99"/>
    <w:rsid w:val="00C8369E"/>
  </w:style>
  <w:style w:type="character" w:styleId="PageNumber">
    <w:name w:val="page number"/>
    <w:basedOn w:val="DefaultParagraphFont"/>
    <w:uiPriority w:val="99"/>
    <w:semiHidden/>
    <w:unhideWhenUsed/>
    <w:rsid w:val="00C8369E"/>
  </w:style>
  <w:style w:type="paragraph" w:customStyle="1" w:styleId="headingparagraph">
    <w:name w:val="headingparagraph"/>
    <w:basedOn w:val="Normal"/>
    <w:rsid w:val="00F22CD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6094">
      <w:bodyDiv w:val="1"/>
      <w:marLeft w:val="0"/>
      <w:marRight w:val="0"/>
      <w:marTop w:val="0"/>
      <w:marBottom w:val="0"/>
      <w:divBdr>
        <w:top w:val="none" w:sz="0" w:space="0" w:color="auto"/>
        <w:left w:val="none" w:sz="0" w:space="0" w:color="auto"/>
        <w:bottom w:val="none" w:sz="0" w:space="0" w:color="auto"/>
        <w:right w:val="none" w:sz="0" w:space="0" w:color="auto"/>
      </w:divBdr>
      <w:divsChild>
        <w:div w:id="15211185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223055061">
              <w:blockQuote w:val="1"/>
              <w:marLeft w:val="0"/>
              <w:marRight w:val="0"/>
              <w:marTop w:val="120"/>
              <w:marBottom w:val="120"/>
              <w:divBdr>
                <w:top w:val="none" w:sz="0" w:space="0" w:color="auto"/>
                <w:left w:val="none" w:sz="0" w:space="0" w:color="auto"/>
                <w:bottom w:val="none" w:sz="0" w:space="0" w:color="auto"/>
                <w:right w:val="none" w:sz="0" w:space="0" w:color="auto"/>
              </w:divBdr>
              <w:divsChild>
                <w:div w:id="149325593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573515450">
                      <w:blockQuote w:val="1"/>
                      <w:marLeft w:val="0"/>
                      <w:marRight w:val="0"/>
                      <w:marTop w:val="120"/>
                      <w:marBottom w:val="120"/>
                      <w:divBdr>
                        <w:top w:val="none" w:sz="0" w:space="0" w:color="auto"/>
                        <w:left w:val="none" w:sz="0" w:space="0" w:color="auto"/>
                        <w:bottom w:val="none" w:sz="0" w:space="0" w:color="auto"/>
                        <w:right w:val="none" w:sz="0" w:space="0" w:color="auto"/>
                      </w:divBdr>
                    </w:div>
                    <w:div w:id="94064853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8661028">
              <w:blockQuote w:val="1"/>
              <w:marLeft w:val="0"/>
              <w:marRight w:val="0"/>
              <w:marTop w:val="120"/>
              <w:marBottom w:val="120"/>
              <w:divBdr>
                <w:top w:val="none" w:sz="0" w:space="0" w:color="auto"/>
                <w:left w:val="none" w:sz="0" w:space="0" w:color="auto"/>
                <w:bottom w:val="none" w:sz="0" w:space="0" w:color="auto"/>
                <w:right w:val="none" w:sz="0" w:space="0" w:color="auto"/>
              </w:divBdr>
            </w:div>
            <w:div w:id="2137989774">
              <w:blockQuote w:val="1"/>
              <w:marLeft w:val="0"/>
              <w:marRight w:val="0"/>
              <w:marTop w:val="120"/>
              <w:marBottom w:val="120"/>
              <w:divBdr>
                <w:top w:val="none" w:sz="0" w:space="0" w:color="auto"/>
                <w:left w:val="none" w:sz="0" w:space="0" w:color="auto"/>
                <w:bottom w:val="none" w:sz="0" w:space="0" w:color="auto"/>
                <w:right w:val="none" w:sz="0" w:space="0" w:color="auto"/>
              </w:divBdr>
            </w:div>
            <w:div w:id="562448968">
              <w:blockQuote w:val="1"/>
              <w:marLeft w:val="0"/>
              <w:marRight w:val="0"/>
              <w:marTop w:val="120"/>
              <w:marBottom w:val="120"/>
              <w:divBdr>
                <w:top w:val="none" w:sz="0" w:space="0" w:color="auto"/>
                <w:left w:val="none" w:sz="0" w:space="0" w:color="auto"/>
                <w:bottom w:val="none" w:sz="0" w:space="0" w:color="auto"/>
                <w:right w:val="none" w:sz="0" w:space="0" w:color="auto"/>
              </w:divBdr>
            </w:div>
            <w:div w:id="980231550">
              <w:blockQuote w:val="1"/>
              <w:marLeft w:val="0"/>
              <w:marRight w:val="0"/>
              <w:marTop w:val="120"/>
              <w:marBottom w:val="120"/>
              <w:divBdr>
                <w:top w:val="none" w:sz="0" w:space="0" w:color="auto"/>
                <w:left w:val="none" w:sz="0" w:space="0" w:color="auto"/>
                <w:bottom w:val="none" w:sz="0" w:space="0" w:color="auto"/>
                <w:right w:val="none" w:sz="0" w:space="0" w:color="auto"/>
              </w:divBdr>
            </w:div>
            <w:div w:id="1521969230">
              <w:blockQuote w:val="1"/>
              <w:marLeft w:val="0"/>
              <w:marRight w:val="0"/>
              <w:marTop w:val="120"/>
              <w:marBottom w:val="120"/>
              <w:divBdr>
                <w:top w:val="none" w:sz="0" w:space="0" w:color="auto"/>
                <w:left w:val="none" w:sz="0" w:space="0" w:color="auto"/>
                <w:bottom w:val="none" w:sz="0" w:space="0" w:color="auto"/>
                <w:right w:val="none" w:sz="0" w:space="0" w:color="auto"/>
              </w:divBdr>
            </w:div>
            <w:div w:id="214313811">
              <w:blockQuote w:val="1"/>
              <w:marLeft w:val="0"/>
              <w:marRight w:val="0"/>
              <w:marTop w:val="120"/>
              <w:marBottom w:val="120"/>
              <w:divBdr>
                <w:top w:val="none" w:sz="0" w:space="0" w:color="auto"/>
                <w:left w:val="none" w:sz="0" w:space="0" w:color="auto"/>
                <w:bottom w:val="none" w:sz="0" w:space="0" w:color="auto"/>
                <w:right w:val="none" w:sz="0" w:space="0" w:color="auto"/>
              </w:divBdr>
            </w:div>
            <w:div w:id="1004627512">
              <w:blockQuote w:val="1"/>
              <w:marLeft w:val="0"/>
              <w:marRight w:val="0"/>
              <w:marTop w:val="120"/>
              <w:marBottom w:val="120"/>
              <w:divBdr>
                <w:top w:val="none" w:sz="0" w:space="0" w:color="auto"/>
                <w:left w:val="none" w:sz="0" w:space="0" w:color="auto"/>
                <w:bottom w:val="none" w:sz="0" w:space="0" w:color="auto"/>
                <w:right w:val="none" w:sz="0" w:space="0" w:color="auto"/>
              </w:divBdr>
              <w:divsChild>
                <w:div w:id="609901736">
                  <w:blockQuote w:val="1"/>
                  <w:marLeft w:val="7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22757606">
      <w:bodyDiv w:val="1"/>
      <w:marLeft w:val="0"/>
      <w:marRight w:val="0"/>
      <w:marTop w:val="0"/>
      <w:marBottom w:val="0"/>
      <w:divBdr>
        <w:top w:val="none" w:sz="0" w:space="0" w:color="auto"/>
        <w:left w:val="none" w:sz="0" w:space="0" w:color="auto"/>
        <w:bottom w:val="none" w:sz="0" w:space="0" w:color="auto"/>
        <w:right w:val="none" w:sz="0" w:space="0" w:color="auto"/>
      </w:divBdr>
    </w:div>
    <w:div w:id="1743746842">
      <w:bodyDiv w:val="1"/>
      <w:marLeft w:val="0"/>
      <w:marRight w:val="0"/>
      <w:marTop w:val="0"/>
      <w:marBottom w:val="0"/>
      <w:divBdr>
        <w:top w:val="none" w:sz="0" w:space="0" w:color="auto"/>
        <w:left w:val="none" w:sz="0" w:space="0" w:color="auto"/>
        <w:bottom w:val="none" w:sz="0" w:space="0" w:color="auto"/>
        <w:right w:val="none" w:sz="0" w:space="0" w:color="auto"/>
      </w:divBdr>
    </w:div>
    <w:div w:id="2084334699">
      <w:bodyDiv w:val="1"/>
      <w:marLeft w:val="0"/>
      <w:marRight w:val="0"/>
      <w:marTop w:val="0"/>
      <w:marBottom w:val="0"/>
      <w:divBdr>
        <w:top w:val="none" w:sz="0" w:space="0" w:color="auto"/>
        <w:left w:val="none" w:sz="0" w:space="0" w:color="auto"/>
        <w:bottom w:val="none" w:sz="0" w:space="0" w:color="auto"/>
        <w:right w:val="none" w:sz="0" w:space="0" w:color="auto"/>
      </w:divBdr>
      <w:divsChild>
        <w:div w:id="2094161218">
          <w:marLeft w:val="0"/>
          <w:marRight w:val="0"/>
          <w:marTop w:val="0"/>
          <w:marBottom w:val="0"/>
          <w:divBdr>
            <w:top w:val="none" w:sz="0" w:space="0" w:color="auto"/>
            <w:left w:val="none" w:sz="0" w:space="0" w:color="auto"/>
            <w:bottom w:val="none" w:sz="0" w:space="0" w:color="auto"/>
            <w:right w:val="none" w:sz="0" w:space="0" w:color="auto"/>
          </w:divBdr>
          <w:divsChild>
            <w:div w:id="1158495893">
              <w:marLeft w:val="0"/>
              <w:marRight w:val="0"/>
              <w:marTop w:val="0"/>
              <w:marBottom w:val="0"/>
              <w:divBdr>
                <w:top w:val="none" w:sz="0" w:space="0" w:color="auto"/>
                <w:left w:val="none" w:sz="0" w:space="0" w:color="auto"/>
                <w:bottom w:val="none" w:sz="0" w:space="0" w:color="auto"/>
                <w:right w:val="none" w:sz="0" w:space="0" w:color="auto"/>
              </w:divBdr>
            </w:div>
          </w:divsChild>
        </w:div>
        <w:div w:id="1215193291">
          <w:marLeft w:val="0"/>
          <w:marRight w:val="0"/>
          <w:marTop w:val="0"/>
          <w:marBottom w:val="0"/>
          <w:divBdr>
            <w:top w:val="none" w:sz="0" w:space="0" w:color="auto"/>
            <w:left w:val="none" w:sz="0" w:space="0" w:color="auto"/>
            <w:bottom w:val="none" w:sz="0" w:space="0" w:color="auto"/>
            <w:right w:val="none" w:sz="0" w:space="0" w:color="auto"/>
          </w:divBdr>
          <w:divsChild>
            <w:div w:id="985401790">
              <w:marLeft w:val="0"/>
              <w:marRight w:val="0"/>
              <w:marTop w:val="0"/>
              <w:marBottom w:val="0"/>
              <w:divBdr>
                <w:top w:val="none" w:sz="0" w:space="0" w:color="auto"/>
                <w:left w:val="none" w:sz="0" w:space="0" w:color="auto"/>
                <w:bottom w:val="none" w:sz="0" w:space="0" w:color="auto"/>
                <w:right w:val="none" w:sz="0" w:space="0" w:color="auto"/>
              </w:divBdr>
              <w:divsChild>
                <w:div w:id="1932467564">
                  <w:marLeft w:val="0"/>
                  <w:marRight w:val="0"/>
                  <w:marTop w:val="0"/>
                  <w:marBottom w:val="0"/>
                  <w:divBdr>
                    <w:top w:val="none" w:sz="0" w:space="0" w:color="auto"/>
                    <w:left w:val="none" w:sz="0" w:space="0" w:color="auto"/>
                    <w:bottom w:val="none" w:sz="0" w:space="0" w:color="auto"/>
                    <w:right w:val="none" w:sz="0" w:space="0" w:color="auto"/>
                  </w:divBdr>
                  <w:divsChild>
                    <w:div w:id="1325086817">
                      <w:marLeft w:val="0"/>
                      <w:marRight w:val="0"/>
                      <w:marTop w:val="0"/>
                      <w:marBottom w:val="0"/>
                      <w:divBdr>
                        <w:top w:val="none" w:sz="0" w:space="0" w:color="auto"/>
                        <w:left w:val="none" w:sz="0" w:space="0" w:color="auto"/>
                        <w:bottom w:val="none" w:sz="0" w:space="0" w:color="auto"/>
                        <w:right w:val="none" w:sz="0" w:space="0" w:color="auto"/>
                      </w:divBdr>
                      <w:divsChild>
                        <w:div w:id="738941667">
                          <w:marLeft w:val="0"/>
                          <w:marRight w:val="0"/>
                          <w:marTop w:val="0"/>
                          <w:marBottom w:val="0"/>
                          <w:divBdr>
                            <w:top w:val="none" w:sz="0" w:space="0" w:color="auto"/>
                            <w:left w:val="none" w:sz="0" w:space="0" w:color="auto"/>
                            <w:bottom w:val="none" w:sz="0" w:space="0" w:color="auto"/>
                            <w:right w:val="none" w:sz="0" w:space="0" w:color="auto"/>
                          </w:divBdr>
                          <w:divsChild>
                            <w:div w:id="12279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safepolicy@justice.tas.gov.au%20@utas.edu.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orksafe.vic.gov.au/worksafes-family-liaison-officer" TargetMode="External"/><Relationship Id="rId1" Type="http://schemas.openxmlformats.org/officeDocument/2006/relationships/hyperlink" Target="https://www.nsw.gov.au/media-releases/industrial-manslaughter-law-to-be-introduced-n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2024-02-05T06:55:00Z</cp:lastPrinted>
  <dcterms:created xsi:type="dcterms:W3CDTF">2024-02-05T03:55:00Z</dcterms:created>
  <dcterms:modified xsi:type="dcterms:W3CDTF">2024-02-05T06:56:00Z</dcterms:modified>
</cp:coreProperties>
</file>