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BE5" w:rsidRPr="00404F7A" w:rsidRDefault="00E21BE5" w:rsidP="00E21BE5">
      <w:pPr>
        <w:ind w:right="-205"/>
        <w:jc w:val="center"/>
        <w:rPr>
          <w:rFonts w:ascii="Cambria" w:hAnsi="Cambria"/>
          <w:color w:val="000000" w:themeColor="text1"/>
          <w:sz w:val="23"/>
          <w:szCs w:val="23"/>
        </w:rPr>
      </w:pPr>
      <w:r w:rsidRPr="00BC0D6B">
        <w:rPr>
          <w:rFonts w:asciiTheme="minorHAnsi" w:hAnsiTheme="minorHAnsi"/>
          <w:noProof/>
          <w:sz w:val="20"/>
          <w:szCs w:val="20"/>
          <w:lang w:val="en-US" w:eastAsia="en-US"/>
        </w:rPr>
        <w:drawing>
          <wp:inline distT="0" distB="0" distL="0" distR="0" wp14:anchorId="002524E3" wp14:editId="2C04D6A8">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E21BE5" w:rsidRPr="00EA2A5A" w:rsidRDefault="00E21BE5" w:rsidP="00E21BE5">
      <w:pPr>
        <w:ind w:right="-205"/>
        <w:jc w:val="both"/>
        <w:rPr>
          <w:rFonts w:ascii="Cambria" w:hAnsi="Cambria"/>
          <w:color w:val="000000" w:themeColor="text1"/>
        </w:rPr>
      </w:pPr>
    </w:p>
    <w:p w:rsidR="005A3730" w:rsidRDefault="005A3730" w:rsidP="003476D4">
      <w:pPr>
        <w:pStyle w:val="NormalWeb"/>
        <w:shd w:val="clear" w:color="auto" w:fill="FFFFFF"/>
        <w:spacing w:before="0" w:beforeAutospacing="0" w:after="0" w:afterAutospacing="0"/>
        <w:ind w:right="-205"/>
        <w:jc w:val="both"/>
        <w:rPr>
          <w:rFonts w:ascii="Cambria" w:hAnsi="Cambria"/>
          <w:color w:val="000000"/>
          <w:bdr w:val="none" w:sz="0" w:space="0" w:color="auto" w:frame="1"/>
        </w:rPr>
      </w:pPr>
    </w:p>
    <w:p w:rsidR="003476D4" w:rsidRPr="00EA2A5A" w:rsidRDefault="003476D4" w:rsidP="003476D4">
      <w:pPr>
        <w:pStyle w:val="NormalWeb"/>
        <w:shd w:val="clear" w:color="auto" w:fill="FFFFFF"/>
        <w:spacing w:before="0" w:beforeAutospacing="0" w:after="0" w:afterAutospacing="0"/>
        <w:ind w:right="-205"/>
        <w:jc w:val="both"/>
        <w:rPr>
          <w:rFonts w:ascii="Cambria" w:hAnsi="Cambria"/>
          <w:color w:val="000000"/>
        </w:rPr>
      </w:pPr>
      <w:r w:rsidRPr="00EA2A5A">
        <w:rPr>
          <w:rFonts w:ascii="Cambria" w:hAnsi="Cambria"/>
          <w:color w:val="000000"/>
          <w:bdr w:val="none" w:sz="0" w:space="0" w:color="auto" w:frame="1"/>
        </w:rPr>
        <w:br/>
        <w:t>8 October 2023 </w:t>
      </w:r>
    </w:p>
    <w:p w:rsidR="003476D4" w:rsidRPr="00EA2A5A" w:rsidRDefault="003476D4" w:rsidP="003476D4">
      <w:pPr>
        <w:pStyle w:val="NormalWeb"/>
        <w:shd w:val="clear" w:color="auto" w:fill="FFFFFF"/>
        <w:spacing w:before="0" w:beforeAutospacing="0" w:after="0" w:afterAutospacing="0"/>
        <w:ind w:right="-347"/>
        <w:rPr>
          <w:rFonts w:ascii="Cambria" w:hAnsi="Cambria"/>
          <w:color w:val="000000"/>
        </w:rPr>
      </w:pPr>
      <w:r w:rsidRPr="00EA2A5A">
        <w:rPr>
          <w:rFonts w:ascii="Cambria" w:hAnsi="Cambria"/>
          <w:color w:val="000000"/>
          <w:bdr w:val="none" w:sz="0" w:space="0" w:color="auto" w:frame="1"/>
        </w:rPr>
        <w:t> </w:t>
      </w:r>
    </w:p>
    <w:p w:rsidR="003476D4" w:rsidRPr="00EA2A5A" w:rsidRDefault="003476D4" w:rsidP="003476D4">
      <w:pPr>
        <w:pStyle w:val="NormalWeb"/>
        <w:shd w:val="clear" w:color="auto" w:fill="FFFFFF"/>
        <w:spacing w:before="0" w:beforeAutospacing="0" w:after="0" w:afterAutospacing="0"/>
        <w:ind w:right="-347"/>
        <w:rPr>
          <w:rFonts w:ascii="Cambria" w:hAnsi="Cambria"/>
          <w:color w:val="000000"/>
        </w:rPr>
      </w:pPr>
      <w:r w:rsidRPr="00EA2A5A">
        <w:rPr>
          <w:rFonts w:ascii="Cambria" w:hAnsi="Cambria"/>
          <w:color w:val="000000"/>
          <w:bdr w:val="none" w:sz="0" w:space="0" w:color="auto" w:frame="1"/>
        </w:rPr>
        <w:t>Department of Justice </w:t>
      </w:r>
    </w:p>
    <w:p w:rsidR="003476D4" w:rsidRPr="00EA2A5A" w:rsidRDefault="003476D4" w:rsidP="003476D4">
      <w:pPr>
        <w:pStyle w:val="NormalWeb"/>
        <w:shd w:val="clear" w:color="auto" w:fill="FFFFFF"/>
        <w:spacing w:before="0" w:beforeAutospacing="0" w:after="0" w:afterAutospacing="0"/>
        <w:ind w:right="-347"/>
        <w:rPr>
          <w:rFonts w:ascii="Cambria" w:hAnsi="Cambria"/>
          <w:color w:val="000000"/>
        </w:rPr>
      </w:pPr>
      <w:r w:rsidRPr="00EA2A5A">
        <w:rPr>
          <w:rFonts w:ascii="Cambria" w:hAnsi="Cambria"/>
          <w:color w:val="000000"/>
          <w:bdr w:val="none" w:sz="0" w:space="0" w:color="auto" w:frame="1"/>
        </w:rPr>
        <w:t>Office of the Secretary </w:t>
      </w:r>
    </w:p>
    <w:p w:rsidR="003476D4" w:rsidRPr="00EA2A5A" w:rsidRDefault="003476D4" w:rsidP="003476D4">
      <w:pPr>
        <w:pStyle w:val="NormalWeb"/>
        <w:shd w:val="clear" w:color="auto" w:fill="FFFFFF"/>
        <w:spacing w:before="0" w:beforeAutospacing="0" w:after="0" w:afterAutospacing="0"/>
        <w:ind w:right="-347"/>
        <w:rPr>
          <w:rFonts w:ascii="Cambria" w:hAnsi="Cambria"/>
          <w:color w:val="000000"/>
        </w:rPr>
      </w:pPr>
      <w:r w:rsidRPr="00EA2A5A">
        <w:rPr>
          <w:rFonts w:ascii="Cambria" w:hAnsi="Cambria"/>
          <w:color w:val="000000"/>
          <w:bdr w:val="none" w:sz="0" w:space="0" w:color="auto" w:frame="1"/>
        </w:rPr>
        <w:t>GPO Box 825 </w:t>
      </w:r>
    </w:p>
    <w:p w:rsidR="003476D4" w:rsidRPr="00EA2A5A" w:rsidRDefault="003476D4" w:rsidP="003476D4">
      <w:pPr>
        <w:pStyle w:val="NormalWeb"/>
        <w:shd w:val="clear" w:color="auto" w:fill="FFFFFF"/>
        <w:spacing w:before="0" w:beforeAutospacing="0" w:after="0" w:afterAutospacing="0"/>
        <w:ind w:right="-347"/>
        <w:rPr>
          <w:rFonts w:ascii="Cambria" w:hAnsi="Cambria"/>
          <w:color w:val="000000"/>
        </w:rPr>
      </w:pPr>
      <w:r w:rsidRPr="00EA2A5A">
        <w:rPr>
          <w:rFonts w:ascii="Cambria" w:hAnsi="Cambria"/>
          <w:color w:val="000000"/>
          <w:bdr w:val="none" w:sz="0" w:space="0" w:color="auto" w:frame="1"/>
        </w:rPr>
        <w:t>Hobart TAS 7001                                </w:t>
      </w:r>
    </w:p>
    <w:p w:rsidR="003476D4" w:rsidRPr="00EA2A5A" w:rsidRDefault="003476D4" w:rsidP="003476D4">
      <w:pPr>
        <w:pStyle w:val="NormalWeb"/>
        <w:shd w:val="clear" w:color="auto" w:fill="FFFFFF"/>
        <w:spacing w:before="0" w:beforeAutospacing="0" w:after="0" w:afterAutospacing="0"/>
        <w:ind w:left="1440" w:right="-347" w:firstLine="720"/>
        <w:rPr>
          <w:rFonts w:ascii="Cambria" w:hAnsi="Cambria"/>
          <w:color w:val="000000"/>
        </w:rPr>
      </w:pPr>
      <w:r w:rsidRPr="00EA2A5A">
        <w:rPr>
          <w:rFonts w:ascii="Cambria" w:hAnsi="Cambria"/>
          <w:i/>
          <w:iCs/>
          <w:color w:val="000000"/>
          <w:bdr w:val="none" w:sz="0" w:space="0" w:color="auto" w:frame="1"/>
        </w:rPr>
        <w:t>via email: </w:t>
      </w:r>
      <w:hyperlink r:id="rId8" w:history="1">
        <w:r w:rsidRPr="00EA2A5A">
          <w:rPr>
            <w:rStyle w:val="Hyperlink"/>
            <w:rFonts w:ascii="Cambria" w:hAnsi="Cambria"/>
            <w:i/>
            <w:iCs/>
            <w:bdr w:val="none" w:sz="0" w:space="0" w:color="auto" w:frame="1"/>
          </w:rPr>
          <w:t>haveyoursay@justice.tas.gov.au</w:t>
        </w:r>
      </w:hyperlink>
      <w:r w:rsidRPr="00EA2A5A">
        <w:rPr>
          <w:rFonts w:ascii="Cambria" w:hAnsi="Cambria"/>
          <w:i/>
          <w:iCs/>
          <w:color w:val="000000"/>
          <w:bdr w:val="none" w:sz="0" w:space="0" w:color="auto" w:frame="1"/>
        </w:rPr>
        <w:t>  </w:t>
      </w:r>
      <w:r w:rsidRPr="00EA2A5A">
        <w:rPr>
          <w:rFonts w:ascii="Cambria" w:hAnsi="Cambria"/>
          <w:color w:val="000000"/>
          <w:bdr w:val="none" w:sz="0" w:space="0" w:color="auto" w:frame="1"/>
        </w:rPr>
        <w:t> </w:t>
      </w:r>
    </w:p>
    <w:p w:rsidR="003476D4" w:rsidRPr="00EA2A5A" w:rsidRDefault="003476D4" w:rsidP="003476D4">
      <w:pPr>
        <w:pStyle w:val="NormalWeb"/>
        <w:shd w:val="clear" w:color="auto" w:fill="FFFFFF"/>
        <w:spacing w:before="0" w:beforeAutospacing="0" w:after="0" w:afterAutospacing="0"/>
        <w:ind w:right="-347"/>
        <w:rPr>
          <w:rFonts w:ascii="Cambria" w:hAnsi="Cambria"/>
          <w:color w:val="000000"/>
        </w:rPr>
      </w:pPr>
      <w:r w:rsidRPr="00EA2A5A">
        <w:rPr>
          <w:rFonts w:ascii="Cambria" w:hAnsi="Cambria"/>
          <w:color w:val="000000"/>
          <w:bdr w:val="none" w:sz="0" w:space="0" w:color="auto" w:frame="1"/>
        </w:rPr>
        <w:t> </w:t>
      </w:r>
    </w:p>
    <w:p w:rsidR="003476D4" w:rsidRPr="00EA2A5A" w:rsidRDefault="003476D4" w:rsidP="003476D4">
      <w:pPr>
        <w:pStyle w:val="NormalWeb"/>
        <w:shd w:val="clear" w:color="auto" w:fill="FFFFFF"/>
        <w:spacing w:before="0" w:beforeAutospacing="0" w:after="0" w:afterAutospacing="0"/>
        <w:ind w:right="-347"/>
        <w:rPr>
          <w:rFonts w:ascii="Cambria" w:hAnsi="Cambria"/>
          <w:color w:val="000000"/>
        </w:rPr>
      </w:pPr>
      <w:r w:rsidRPr="00EA2A5A">
        <w:rPr>
          <w:rFonts w:ascii="Cambria" w:hAnsi="Cambria"/>
          <w:color w:val="000000"/>
          <w:bdr w:val="none" w:sz="0" w:space="0" w:color="auto" w:frame="1"/>
        </w:rPr>
        <w:t>To the Department of Justice,   </w:t>
      </w:r>
    </w:p>
    <w:p w:rsidR="003476D4" w:rsidRPr="00EA2A5A" w:rsidRDefault="003476D4" w:rsidP="003476D4">
      <w:pPr>
        <w:pStyle w:val="NormalWeb"/>
        <w:pBdr>
          <w:bottom w:val="single" w:sz="6" w:space="1" w:color="auto"/>
        </w:pBdr>
        <w:shd w:val="clear" w:color="auto" w:fill="FFFFFF"/>
        <w:spacing w:before="0" w:beforeAutospacing="0" w:after="0" w:afterAutospacing="0"/>
        <w:jc w:val="both"/>
        <w:textAlignment w:val="baseline"/>
        <w:rPr>
          <w:rFonts w:ascii="Cambria" w:hAnsi="Cambria"/>
          <w:b/>
          <w:bCs/>
          <w:color w:val="000000"/>
          <w:bdr w:val="none" w:sz="0" w:space="0" w:color="auto" w:frame="1"/>
        </w:rPr>
      </w:pPr>
      <w:r w:rsidRPr="00EA2A5A">
        <w:rPr>
          <w:rFonts w:ascii="Cambria" w:hAnsi="Cambria"/>
          <w:b/>
          <w:bCs/>
          <w:color w:val="000000"/>
          <w:bdr w:val="none" w:sz="0" w:space="0" w:color="auto" w:frame="1"/>
        </w:rPr>
        <w:t>Re: </w:t>
      </w:r>
      <w:r w:rsidRPr="00EA2A5A">
        <w:rPr>
          <w:rFonts w:ascii="Cambria" w:hAnsi="Cambria"/>
          <w:b/>
          <w:bCs/>
          <w:i/>
          <w:iCs/>
          <w:color w:val="000000"/>
          <w:bdr w:val="none" w:sz="0" w:space="0" w:color="auto" w:frame="1"/>
        </w:rPr>
        <w:t>Sentencing Amendment (Alcohol Treatment Order) Bill 2023</w:t>
      </w:r>
      <w:r w:rsidRPr="00EA2A5A">
        <w:rPr>
          <w:rFonts w:ascii="Cambria" w:hAnsi="Cambria"/>
          <w:b/>
          <w:bCs/>
          <w:color w:val="000000"/>
          <w:bdr w:val="none" w:sz="0" w:space="0" w:color="auto" w:frame="1"/>
        </w:rPr>
        <w:t> </w:t>
      </w:r>
    </w:p>
    <w:p w:rsidR="003476D4" w:rsidRPr="00EA2A5A" w:rsidRDefault="003476D4" w:rsidP="003476D4">
      <w:pPr>
        <w:pStyle w:val="NormalWeb"/>
        <w:shd w:val="clear" w:color="auto" w:fill="FFFFFF"/>
        <w:spacing w:before="0" w:beforeAutospacing="0" w:after="0" w:afterAutospacing="0"/>
        <w:ind w:right="-64"/>
        <w:jc w:val="both"/>
        <w:rPr>
          <w:rFonts w:ascii="Cambria" w:hAnsi="Cambria"/>
          <w:color w:val="000000"/>
        </w:rPr>
      </w:pPr>
    </w:p>
    <w:p w:rsidR="003476D4" w:rsidRPr="00EA2A5A" w:rsidRDefault="003476D4" w:rsidP="003476D4">
      <w:pPr>
        <w:pStyle w:val="NormalWeb"/>
        <w:shd w:val="clear" w:color="auto" w:fill="FFFFFF"/>
        <w:spacing w:before="0" w:beforeAutospacing="0" w:after="0" w:afterAutospacing="0"/>
        <w:ind w:right="-64"/>
        <w:jc w:val="both"/>
        <w:rPr>
          <w:rFonts w:ascii="Cambria" w:hAnsi="Cambria"/>
          <w:color w:val="000000"/>
          <w:bdr w:val="none" w:sz="0" w:space="0" w:color="auto" w:frame="1"/>
        </w:rPr>
      </w:pPr>
      <w:r w:rsidRPr="00EA2A5A">
        <w:rPr>
          <w:rFonts w:ascii="Cambria" w:hAnsi="Cambria"/>
          <w:color w:val="000000"/>
          <w:bdr w:val="none" w:sz="0" w:space="0" w:color="auto" w:frame="1"/>
        </w:rPr>
        <w:t>Community Legal Centres Tasmania (CLC Tas) welcomes the opportunity to provide comment on the </w:t>
      </w:r>
      <w:r w:rsidRPr="00EA2A5A">
        <w:rPr>
          <w:rFonts w:ascii="Cambria" w:hAnsi="Cambria"/>
          <w:i/>
          <w:iCs/>
          <w:color w:val="000000"/>
          <w:bdr w:val="none" w:sz="0" w:space="0" w:color="auto" w:frame="1"/>
        </w:rPr>
        <w:t>Sentencing Amendment (Alcohol Treatment Order) Bill 2023</w:t>
      </w:r>
      <w:r w:rsidRPr="00EA2A5A">
        <w:rPr>
          <w:rFonts w:ascii="Cambria" w:hAnsi="Cambria"/>
          <w:color w:val="000000"/>
          <w:bdr w:val="none" w:sz="0" w:space="0" w:color="auto" w:frame="1"/>
        </w:rPr>
        <w:t> (‘the Bill’)</w:t>
      </w:r>
      <w:r w:rsidRPr="00EA2A5A">
        <w:rPr>
          <w:rFonts w:ascii="Cambria" w:hAnsi="Cambria"/>
          <w:color w:val="000000"/>
          <w:bdr w:val="none" w:sz="0" w:space="0" w:color="auto" w:frame="1"/>
        </w:rPr>
        <w:t>.</w:t>
      </w:r>
      <w:r w:rsidRPr="00EA2A5A">
        <w:rPr>
          <w:rStyle w:val="FootnoteReference"/>
          <w:rFonts w:ascii="Cambria" w:hAnsi="Cambria"/>
          <w:color w:val="000000"/>
          <w:bdr w:val="none" w:sz="0" w:space="0" w:color="auto" w:frame="1"/>
        </w:rPr>
        <w:footnoteReference w:id="1"/>
      </w:r>
      <w:r w:rsidR="003B7B51" w:rsidRPr="00EA2A5A">
        <w:rPr>
          <w:rFonts w:ascii="Cambria" w:hAnsi="Cambria"/>
          <w:color w:val="000000"/>
          <w:bdr w:val="none" w:sz="0" w:space="0" w:color="auto" w:frame="1"/>
        </w:rPr>
        <w:t xml:space="preserve"> We are strongly supportive of the Bill which will provide courts with the ability to make a treatment order pursuant to Part 3A of the </w:t>
      </w:r>
      <w:r w:rsidR="003B7B51" w:rsidRPr="00EA2A5A">
        <w:rPr>
          <w:rFonts w:ascii="Cambria" w:hAnsi="Cambria"/>
          <w:i/>
          <w:iCs/>
          <w:color w:val="000000"/>
          <w:bdr w:val="none" w:sz="0" w:space="0" w:color="auto" w:frame="1"/>
        </w:rPr>
        <w:t>Sentencing Act 1997</w:t>
      </w:r>
      <w:r w:rsidR="003B7B51" w:rsidRPr="00EA2A5A">
        <w:rPr>
          <w:rFonts w:ascii="Cambria" w:hAnsi="Cambria"/>
          <w:color w:val="000000"/>
          <w:bdr w:val="none" w:sz="0" w:space="0" w:color="auto" w:frame="1"/>
        </w:rPr>
        <w:t xml:space="preserve"> (Tas) where the offender has a demonstrable history of alcohol dependence and the </w:t>
      </w:r>
      <w:r w:rsidR="0065045B" w:rsidRPr="00EA2A5A">
        <w:rPr>
          <w:rFonts w:ascii="Cambria" w:hAnsi="Cambria"/>
          <w:color w:val="000000"/>
          <w:bdr w:val="none" w:sz="0" w:space="0" w:color="auto" w:frame="1"/>
        </w:rPr>
        <w:t>alcohol dependence</w:t>
      </w:r>
      <w:r w:rsidR="0065045B" w:rsidRPr="00EA2A5A">
        <w:rPr>
          <w:rFonts w:ascii="Cambria" w:hAnsi="Cambria"/>
          <w:color w:val="000000"/>
          <w:bdr w:val="none" w:sz="0" w:space="0" w:color="auto" w:frame="1"/>
        </w:rPr>
        <w:t xml:space="preserve"> is linked to their </w:t>
      </w:r>
      <w:r w:rsidR="003B7B51" w:rsidRPr="00EA2A5A">
        <w:rPr>
          <w:rFonts w:ascii="Cambria" w:hAnsi="Cambria"/>
          <w:color w:val="000000"/>
          <w:bdr w:val="none" w:sz="0" w:space="0" w:color="auto" w:frame="1"/>
        </w:rPr>
        <w:t>offendin</w:t>
      </w:r>
      <w:r w:rsidR="0065045B" w:rsidRPr="00EA2A5A">
        <w:rPr>
          <w:rFonts w:ascii="Cambria" w:hAnsi="Cambria"/>
          <w:color w:val="000000"/>
          <w:bdr w:val="none" w:sz="0" w:space="0" w:color="auto" w:frame="1"/>
        </w:rPr>
        <w:t>g</w:t>
      </w:r>
      <w:r w:rsidR="003B7B51" w:rsidRPr="00EA2A5A">
        <w:rPr>
          <w:rFonts w:ascii="Cambria" w:hAnsi="Cambria"/>
          <w:color w:val="000000"/>
          <w:bdr w:val="none" w:sz="0" w:space="0" w:color="auto" w:frame="1"/>
        </w:rPr>
        <w:t xml:space="preserve">.  </w:t>
      </w:r>
      <w:r w:rsidRPr="00EA2A5A">
        <w:rPr>
          <w:rFonts w:ascii="Cambria" w:hAnsi="Cambria"/>
          <w:color w:val="000000"/>
          <w:bdr w:val="none" w:sz="0" w:space="0" w:color="auto" w:frame="1"/>
        </w:rPr>
        <w:t>   </w:t>
      </w:r>
    </w:p>
    <w:p w:rsidR="003476D4" w:rsidRPr="00EA2A5A" w:rsidRDefault="003476D4" w:rsidP="003476D4">
      <w:pPr>
        <w:pStyle w:val="NormalWeb"/>
        <w:shd w:val="clear" w:color="auto" w:fill="FFFFFF"/>
        <w:spacing w:before="0" w:beforeAutospacing="0" w:after="0" w:afterAutospacing="0"/>
        <w:ind w:right="-64"/>
        <w:jc w:val="both"/>
        <w:rPr>
          <w:rFonts w:ascii="Cambria" w:hAnsi="Cambria"/>
          <w:color w:val="000000"/>
        </w:rPr>
      </w:pPr>
    </w:p>
    <w:p w:rsidR="003476D4" w:rsidRPr="00EA2A5A" w:rsidRDefault="003476D4" w:rsidP="003476D4">
      <w:pPr>
        <w:pStyle w:val="NormalWeb"/>
        <w:shd w:val="clear" w:color="auto" w:fill="FFFFFF"/>
        <w:spacing w:before="0" w:beforeAutospacing="0" w:after="0" w:afterAutospacing="0"/>
        <w:ind w:right="-64"/>
        <w:jc w:val="both"/>
        <w:rPr>
          <w:rFonts w:ascii="Cambria" w:hAnsi="Cambria"/>
          <w:color w:val="000000"/>
          <w:bdr w:val="none" w:sz="0" w:space="0" w:color="auto" w:frame="1"/>
        </w:rPr>
      </w:pPr>
      <w:r w:rsidRPr="00EA2A5A">
        <w:rPr>
          <w:rFonts w:ascii="Cambria" w:hAnsi="Cambria"/>
          <w:color w:val="000000"/>
          <w:bdr w:val="none" w:sz="0" w:space="0" w:color="auto" w:frame="1"/>
        </w:rPr>
        <w:t>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A832C5" w:rsidRPr="00EA2A5A" w:rsidRDefault="00A832C5" w:rsidP="003476D4">
      <w:pPr>
        <w:pStyle w:val="NormalWeb"/>
        <w:shd w:val="clear" w:color="auto" w:fill="FFFFFF"/>
        <w:spacing w:before="0" w:beforeAutospacing="0" w:after="0" w:afterAutospacing="0"/>
        <w:ind w:right="-64"/>
        <w:jc w:val="both"/>
        <w:rPr>
          <w:rFonts w:ascii="Cambria" w:hAnsi="Cambria"/>
          <w:color w:val="000000"/>
          <w:bdr w:val="none" w:sz="0" w:space="0" w:color="auto" w:frame="1"/>
        </w:rPr>
      </w:pPr>
    </w:p>
    <w:p w:rsidR="00EA2A5A" w:rsidRPr="00EA2A5A" w:rsidRDefault="00A832C5" w:rsidP="00EA2A5A">
      <w:pPr>
        <w:shd w:val="clear" w:color="auto" w:fill="FFFFFF"/>
        <w:jc w:val="both"/>
        <w:rPr>
          <w:rFonts w:ascii="Cambria" w:hAnsi="Cambria"/>
          <w:bCs/>
          <w:color w:val="000000" w:themeColor="text1"/>
          <w:lang w:eastAsia="en-AU"/>
        </w:rPr>
      </w:pPr>
      <w:r w:rsidRPr="00EA2A5A">
        <w:rPr>
          <w:rFonts w:ascii="Cambria" w:hAnsi="Cambria"/>
          <w:color w:val="000000"/>
          <w:bdr w:val="none" w:sz="0" w:space="0" w:color="auto" w:frame="1"/>
        </w:rPr>
        <w:t>It is well known that many offenders sentenced to imprisonment have a history of substance use and many commit crimes whilst under the influence of alcohol and/or other drugs. The futility of sentencing offenders to imprisonment without addressing the underlying cause of the offending is borne out in recently released research which found that half of all Tasmanian offenders (</w:t>
      </w:r>
      <w:r w:rsidRPr="00EA2A5A">
        <w:rPr>
          <w:rFonts w:ascii="Cambria" w:hAnsi="Cambria"/>
          <w:color w:val="000000"/>
          <w:bdr w:val="none" w:sz="0" w:space="0" w:color="auto" w:frame="1"/>
        </w:rPr>
        <w:t>50</w:t>
      </w:r>
      <w:r w:rsidRPr="00EA2A5A">
        <w:rPr>
          <w:rFonts w:ascii="Cambria" w:hAnsi="Cambria"/>
          <w:color w:val="000000"/>
          <w:bdr w:val="none" w:sz="0" w:space="0" w:color="auto" w:frame="1"/>
        </w:rPr>
        <w:t xml:space="preserve"> per cent) return to prison within two years.</w:t>
      </w:r>
      <w:r w:rsidRPr="00EA2A5A">
        <w:rPr>
          <w:rStyle w:val="FootnoteReference"/>
          <w:rFonts w:ascii="Cambria" w:hAnsi="Cambria"/>
          <w:color w:val="000000"/>
          <w:bdr w:val="none" w:sz="0" w:space="0" w:color="auto" w:frame="1"/>
        </w:rPr>
        <w:footnoteReference w:id="2"/>
      </w:r>
      <w:r w:rsidRPr="00EA2A5A">
        <w:rPr>
          <w:rFonts w:ascii="Cambria" w:hAnsi="Cambria"/>
          <w:color w:val="000000"/>
          <w:bdr w:val="none" w:sz="0" w:space="0" w:color="auto" w:frame="1"/>
        </w:rPr>
        <w:t xml:space="preserve"> Alarmingly, the same research found that over the last </w:t>
      </w:r>
      <w:r w:rsidRPr="00EA2A5A">
        <w:rPr>
          <w:rFonts w:ascii="Cambria" w:hAnsi="Cambria"/>
          <w:color w:val="000000"/>
          <w:bdr w:val="none" w:sz="0" w:space="0" w:color="auto" w:frame="1"/>
        </w:rPr>
        <w:t xml:space="preserve">decade Tasmania has seen the </w:t>
      </w:r>
      <w:r w:rsidR="0065045B" w:rsidRPr="00EA2A5A">
        <w:rPr>
          <w:rFonts w:ascii="Cambria" w:hAnsi="Cambria"/>
          <w:color w:val="000000"/>
          <w:bdr w:val="none" w:sz="0" w:space="0" w:color="auto" w:frame="1"/>
        </w:rPr>
        <w:t>largest</w:t>
      </w:r>
      <w:r w:rsidRPr="00EA2A5A">
        <w:rPr>
          <w:rFonts w:ascii="Cambria" w:hAnsi="Cambria"/>
          <w:color w:val="000000"/>
          <w:bdr w:val="none" w:sz="0" w:space="0" w:color="auto" w:frame="1"/>
        </w:rPr>
        <w:t xml:space="preserve"> increase of any </w:t>
      </w:r>
      <w:r w:rsidR="009558B7" w:rsidRPr="00EA2A5A">
        <w:rPr>
          <w:rFonts w:ascii="Cambria" w:hAnsi="Cambria"/>
          <w:color w:val="000000"/>
          <w:bdr w:val="none" w:sz="0" w:space="0" w:color="auto" w:frame="1"/>
        </w:rPr>
        <w:t xml:space="preserve">Australian </w:t>
      </w:r>
      <w:r w:rsidRPr="00EA2A5A">
        <w:rPr>
          <w:rFonts w:ascii="Cambria" w:hAnsi="Cambria"/>
          <w:color w:val="000000"/>
          <w:bdr w:val="none" w:sz="0" w:space="0" w:color="auto" w:frame="1"/>
        </w:rPr>
        <w:t>State or Territory</w:t>
      </w:r>
      <w:r w:rsidR="009558B7" w:rsidRPr="00EA2A5A">
        <w:rPr>
          <w:rFonts w:ascii="Cambria" w:hAnsi="Cambria"/>
          <w:color w:val="000000"/>
          <w:bdr w:val="none" w:sz="0" w:space="0" w:color="auto" w:frame="1"/>
        </w:rPr>
        <w:t xml:space="preserve"> </w:t>
      </w:r>
      <w:r w:rsidRPr="00EA2A5A">
        <w:rPr>
          <w:rFonts w:ascii="Cambria" w:hAnsi="Cambria"/>
          <w:color w:val="000000"/>
          <w:bdr w:val="none" w:sz="0" w:space="0" w:color="auto" w:frame="1"/>
        </w:rPr>
        <w:t>of</w:t>
      </w:r>
      <w:r w:rsidRPr="00EA2A5A">
        <w:rPr>
          <w:rFonts w:ascii="Cambria" w:hAnsi="Cambria"/>
          <w:bCs/>
          <w:color w:val="000000" w:themeColor="text1"/>
          <w:lang w:eastAsia="en-AU"/>
        </w:rPr>
        <w:t xml:space="preserve"> persons returning to prison within two years of being released.</w:t>
      </w:r>
      <w:r w:rsidR="0065045B" w:rsidRPr="00EA2A5A">
        <w:rPr>
          <w:rStyle w:val="FootnoteReference"/>
          <w:rFonts w:ascii="Cambria" w:hAnsi="Cambria"/>
          <w:bCs/>
          <w:color w:val="000000" w:themeColor="text1"/>
          <w:lang w:eastAsia="en-AU"/>
        </w:rPr>
        <w:footnoteReference w:id="3"/>
      </w:r>
    </w:p>
    <w:p w:rsidR="00EA2A5A" w:rsidRPr="00EA2A5A" w:rsidRDefault="00EA2A5A" w:rsidP="00EA2A5A">
      <w:pPr>
        <w:shd w:val="clear" w:color="auto" w:fill="FFFFFF"/>
        <w:jc w:val="both"/>
        <w:rPr>
          <w:rFonts w:ascii="Cambria" w:hAnsi="Cambria"/>
          <w:bCs/>
          <w:color w:val="000000" w:themeColor="text1"/>
          <w:lang w:eastAsia="en-AU"/>
        </w:rPr>
      </w:pPr>
    </w:p>
    <w:p w:rsidR="009558B7" w:rsidRPr="00EA2A5A" w:rsidRDefault="00F26A66" w:rsidP="00EA2A5A">
      <w:pPr>
        <w:shd w:val="clear" w:color="auto" w:fill="FFFFFF"/>
        <w:jc w:val="both"/>
        <w:rPr>
          <w:rFonts w:ascii="Cambria" w:hAnsi="Cambria"/>
          <w:color w:val="000000"/>
          <w:bdr w:val="none" w:sz="0" w:space="0" w:color="auto" w:frame="1"/>
        </w:rPr>
      </w:pPr>
      <w:r w:rsidRPr="00EA2A5A">
        <w:rPr>
          <w:rFonts w:ascii="Cambria" w:hAnsi="Cambria"/>
          <w:color w:val="000000"/>
          <w:bdr w:val="none" w:sz="0" w:space="0" w:color="auto" w:frame="1"/>
        </w:rPr>
        <w:t xml:space="preserve">Tasmania’s recidivism rates highlight the importance of </w:t>
      </w:r>
      <w:r w:rsidR="00EA2A5A" w:rsidRPr="00EA2A5A">
        <w:rPr>
          <w:rFonts w:ascii="Cambria" w:hAnsi="Cambria"/>
          <w:color w:val="000000"/>
          <w:bdr w:val="none" w:sz="0" w:space="0" w:color="auto" w:frame="1"/>
        </w:rPr>
        <w:t>providing</w:t>
      </w:r>
      <w:r w:rsidRPr="00EA2A5A">
        <w:rPr>
          <w:rFonts w:ascii="Cambria" w:hAnsi="Cambria"/>
          <w:color w:val="000000"/>
          <w:bdr w:val="none" w:sz="0" w:space="0" w:color="auto" w:frame="1"/>
        </w:rPr>
        <w:t xml:space="preserve"> judicial officer</w:t>
      </w:r>
      <w:r w:rsidR="00EA2A5A" w:rsidRPr="00EA2A5A">
        <w:rPr>
          <w:rFonts w:ascii="Cambria" w:hAnsi="Cambria"/>
          <w:color w:val="000000"/>
          <w:bdr w:val="none" w:sz="0" w:space="0" w:color="auto" w:frame="1"/>
        </w:rPr>
        <w:t>s</w:t>
      </w:r>
      <w:r w:rsidRPr="00EA2A5A">
        <w:rPr>
          <w:rFonts w:ascii="Cambria" w:hAnsi="Cambria"/>
          <w:color w:val="000000"/>
          <w:bdr w:val="none" w:sz="0" w:space="0" w:color="auto" w:frame="1"/>
        </w:rPr>
        <w:t xml:space="preserve"> with the</w:t>
      </w:r>
      <w:r w:rsidR="00EA2A5A" w:rsidRPr="00EA2A5A">
        <w:rPr>
          <w:rFonts w:ascii="Cambria" w:hAnsi="Cambria"/>
          <w:color w:val="000000"/>
          <w:bdr w:val="none" w:sz="0" w:space="0" w:color="auto" w:frame="1"/>
        </w:rPr>
        <w:t xml:space="preserve"> power </w:t>
      </w:r>
      <w:r w:rsidRPr="00EA2A5A">
        <w:rPr>
          <w:rFonts w:ascii="Cambria" w:hAnsi="Cambria"/>
          <w:color w:val="000000"/>
          <w:bdr w:val="none" w:sz="0" w:space="0" w:color="auto" w:frame="1"/>
        </w:rPr>
        <w:t xml:space="preserve">to assist persons </w:t>
      </w:r>
      <w:r w:rsidR="00EA2A5A" w:rsidRPr="00EA2A5A">
        <w:rPr>
          <w:rFonts w:ascii="Cambria" w:hAnsi="Cambria"/>
          <w:color w:val="000000"/>
          <w:bdr w:val="none" w:sz="0" w:space="0" w:color="auto" w:frame="1"/>
        </w:rPr>
        <w:t>wanting to</w:t>
      </w:r>
      <w:r w:rsidRPr="00EA2A5A">
        <w:rPr>
          <w:rFonts w:ascii="Cambria" w:hAnsi="Cambria"/>
          <w:color w:val="000000"/>
          <w:bdr w:val="none" w:sz="0" w:space="0" w:color="auto" w:frame="1"/>
        </w:rPr>
        <w:t xml:space="preserve"> address the underlying cause of the</w:t>
      </w:r>
      <w:r w:rsidR="00EA2A5A" w:rsidRPr="00EA2A5A">
        <w:rPr>
          <w:rFonts w:ascii="Cambria" w:hAnsi="Cambria"/>
          <w:color w:val="000000"/>
          <w:bdr w:val="none" w:sz="0" w:space="0" w:color="auto" w:frame="1"/>
        </w:rPr>
        <w:t>ir</w:t>
      </w:r>
      <w:r w:rsidRPr="00EA2A5A">
        <w:rPr>
          <w:rFonts w:ascii="Cambria" w:hAnsi="Cambria"/>
          <w:color w:val="000000"/>
          <w:bdr w:val="none" w:sz="0" w:space="0" w:color="auto" w:frame="1"/>
        </w:rPr>
        <w:t xml:space="preserve"> offending.</w:t>
      </w:r>
      <w:r w:rsidRPr="00EA2A5A">
        <w:rPr>
          <w:rFonts w:ascii="Cambria" w:hAnsi="Cambria"/>
          <w:color w:val="000000"/>
          <w:bdr w:val="none" w:sz="0" w:space="0" w:color="auto" w:frame="1"/>
        </w:rPr>
        <w:t xml:space="preserve"> </w:t>
      </w:r>
    </w:p>
    <w:p w:rsidR="005A3730" w:rsidRPr="00EA2A5A" w:rsidRDefault="005A3730" w:rsidP="00EA2A5A">
      <w:pPr>
        <w:shd w:val="clear" w:color="auto" w:fill="FFFFFF"/>
        <w:jc w:val="both"/>
        <w:rPr>
          <w:rFonts w:ascii="Cambria" w:hAnsi="Cambria"/>
          <w:color w:val="000000"/>
          <w:bdr w:val="none" w:sz="0" w:space="0" w:color="auto" w:frame="1"/>
        </w:rPr>
      </w:pPr>
    </w:p>
    <w:p w:rsidR="003476D4" w:rsidRPr="00EA2A5A" w:rsidRDefault="003476D4" w:rsidP="00B608D0">
      <w:pPr>
        <w:pStyle w:val="ListParagraph"/>
        <w:numPr>
          <w:ilvl w:val="0"/>
          <w:numId w:val="2"/>
        </w:numPr>
        <w:shd w:val="clear" w:color="auto" w:fill="FFFFFF"/>
        <w:textAlignment w:val="baseline"/>
        <w:rPr>
          <w:rFonts w:ascii="Cambria" w:hAnsi="Cambria"/>
          <w:b/>
          <w:bCs/>
          <w:i/>
          <w:iCs/>
          <w:color w:val="000000"/>
          <w:bdr w:val="none" w:sz="0" w:space="0" w:color="auto" w:frame="1"/>
        </w:rPr>
      </w:pPr>
      <w:r w:rsidRPr="00EA2A5A">
        <w:rPr>
          <w:rFonts w:ascii="Cambria" w:hAnsi="Cambria"/>
          <w:b/>
          <w:bCs/>
          <w:i/>
          <w:iCs/>
          <w:color w:val="000000"/>
          <w:bdr w:val="none" w:sz="0" w:space="0" w:color="auto" w:frame="1"/>
        </w:rPr>
        <w:lastRenderedPageBreak/>
        <w:t>Drug Treatment Orders</w:t>
      </w:r>
    </w:p>
    <w:p w:rsidR="00B608D0" w:rsidRPr="00EA2A5A" w:rsidRDefault="003476D4" w:rsidP="00B608D0">
      <w:pPr>
        <w:shd w:val="clear" w:color="auto" w:fill="FFFFFF"/>
        <w:jc w:val="both"/>
        <w:textAlignment w:val="baseline"/>
        <w:rPr>
          <w:rFonts w:ascii="Cambria" w:hAnsi="Cambria"/>
          <w:color w:val="000000"/>
          <w:bdr w:val="none" w:sz="0" w:space="0" w:color="auto" w:frame="1"/>
        </w:rPr>
      </w:pPr>
      <w:r w:rsidRPr="00EA2A5A">
        <w:rPr>
          <w:rFonts w:ascii="Cambria" w:hAnsi="Cambria"/>
          <w:color w:val="000000"/>
          <w:bdr w:val="none" w:sz="0" w:space="0" w:color="auto" w:frame="1"/>
        </w:rPr>
        <w:t>In 2007 Tasmania introduced drug treatment orders with its primary goal “to break the drug-crime cycle by involving offenders in treatment and rehabilitation programs”</w:t>
      </w:r>
      <w:r w:rsidR="00B608D0" w:rsidRPr="00EA2A5A">
        <w:rPr>
          <w:rFonts w:ascii="Cambria" w:hAnsi="Cambria"/>
          <w:color w:val="000000"/>
          <w:bdr w:val="none" w:sz="0" w:space="0" w:color="auto" w:frame="1"/>
        </w:rPr>
        <w:t>.</w:t>
      </w:r>
      <w:r w:rsidR="00B608D0" w:rsidRPr="00EA2A5A">
        <w:rPr>
          <w:rStyle w:val="FootnoteReference"/>
          <w:rFonts w:ascii="Cambria" w:hAnsi="Cambria"/>
          <w:color w:val="000000"/>
          <w:bdr w:val="none" w:sz="0" w:space="0" w:color="auto" w:frame="1"/>
        </w:rPr>
        <w:footnoteReference w:id="4"/>
      </w:r>
      <w:r w:rsidR="00B608D0" w:rsidRPr="00EA2A5A">
        <w:rPr>
          <w:rFonts w:ascii="Cambria" w:hAnsi="Cambria"/>
          <w:color w:val="000000"/>
          <w:bdr w:val="none" w:sz="0" w:space="0" w:color="auto" w:frame="1"/>
        </w:rPr>
        <w:t xml:space="preserve"> </w:t>
      </w:r>
      <w:r w:rsidRPr="00EA2A5A">
        <w:rPr>
          <w:rFonts w:ascii="Cambria" w:hAnsi="Cambria"/>
          <w:color w:val="000000"/>
          <w:bdr w:val="none" w:sz="0" w:space="0" w:color="auto" w:frame="1"/>
        </w:rPr>
        <w:t>Part 3A of the </w:t>
      </w:r>
      <w:r w:rsidRPr="00EA2A5A">
        <w:rPr>
          <w:rFonts w:ascii="Cambria" w:hAnsi="Cambria"/>
          <w:i/>
          <w:iCs/>
          <w:color w:val="000000"/>
          <w:bdr w:val="none" w:sz="0" w:space="0" w:color="auto" w:frame="1"/>
        </w:rPr>
        <w:t>Sentencing Act 1997</w:t>
      </w:r>
      <w:r w:rsidRPr="00EA2A5A">
        <w:rPr>
          <w:rFonts w:ascii="Cambria" w:hAnsi="Cambria"/>
          <w:color w:val="000000"/>
          <w:bdr w:val="none" w:sz="0" w:space="0" w:color="auto" w:frame="1"/>
        </w:rPr>
        <w:t> (Tas) sets out the circumstances in which a drug treatment order may be made. Relevantly, a court may make a drug treatment order if satisfied that the offender has a “demonstrable history of illicit drug use” and “illicit drug use contributed to the commission of the imprisonable offence”</w:t>
      </w:r>
      <w:r w:rsidR="00B608D0" w:rsidRPr="00EA2A5A">
        <w:rPr>
          <w:rFonts w:ascii="Cambria" w:hAnsi="Cambria"/>
          <w:color w:val="000000"/>
          <w:bdr w:val="none" w:sz="0" w:space="0" w:color="auto" w:frame="1"/>
        </w:rPr>
        <w:t>.</w:t>
      </w:r>
      <w:r w:rsidR="00B608D0" w:rsidRPr="00EA2A5A">
        <w:rPr>
          <w:rStyle w:val="FootnoteReference"/>
          <w:rFonts w:ascii="Cambria" w:hAnsi="Cambria"/>
          <w:color w:val="000000"/>
          <w:bdr w:val="none" w:sz="0" w:space="0" w:color="auto" w:frame="1"/>
        </w:rPr>
        <w:footnoteReference w:id="5"/>
      </w:r>
      <w:r w:rsidR="00B608D0" w:rsidRPr="00EA2A5A">
        <w:rPr>
          <w:rFonts w:ascii="Cambria" w:hAnsi="Cambria"/>
          <w:color w:val="000000"/>
          <w:bdr w:val="none" w:sz="0" w:space="0" w:color="auto" w:frame="1"/>
        </w:rPr>
        <w:t xml:space="preserve"> </w:t>
      </w:r>
      <w:r w:rsidRPr="00EA2A5A">
        <w:rPr>
          <w:rFonts w:ascii="Cambria" w:hAnsi="Cambria"/>
          <w:color w:val="000000"/>
          <w:bdr w:val="none" w:sz="0" w:space="0" w:color="auto" w:frame="1"/>
        </w:rPr>
        <w:t>As well, the order may be made if the Court considers that, but for the order, it would have sentenced the offender to a term of imprisonment</w:t>
      </w:r>
      <w:r w:rsidRPr="00EA2A5A">
        <w:rPr>
          <w:rFonts w:ascii="Cambria" w:hAnsi="Cambria"/>
          <w:color w:val="000000"/>
          <w:bdr w:val="none" w:sz="0" w:space="0" w:color="auto" w:frame="1"/>
          <w:vertAlign w:val="superscript"/>
        </w:rPr>
        <w:t> </w:t>
      </w:r>
      <w:r w:rsidRPr="00EA2A5A">
        <w:rPr>
          <w:rFonts w:ascii="Cambria" w:hAnsi="Cambria"/>
          <w:color w:val="000000"/>
          <w:bdr w:val="none" w:sz="0" w:space="0" w:color="auto" w:frame="1"/>
        </w:rPr>
        <w:t>and would not have suspended the sentence, either in whole or in part</w:t>
      </w:r>
      <w:r w:rsidR="00B608D0" w:rsidRPr="00EA2A5A">
        <w:rPr>
          <w:rFonts w:ascii="Cambria" w:hAnsi="Cambria"/>
          <w:color w:val="000000"/>
          <w:bdr w:val="none" w:sz="0" w:space="0" w:color="auto" w:frame="1"/>
        </w:rPr>
        <w:t>.</w:t>
      </w:r>
      <w:r w:rsidR="00B608D0" w:rsidRPr="00EA2A5A">
        <w:rPr>
          <w:rStyle w:val="FootnoteReference"/>
          <w:rFonts w:ascii="Cambria" w:hAnsi="Cambria"/>
          <w:color w:val="000000"/>
          <w:bdr w:val="none" w:sz="0" w:space="0" w:color="auto" w:frame="1"/>
        </w:rPr>
        <w:footnoteReference w:id="6"/>
      </w:r>
      <w:r w:rsidRPr="00EA2A5A">
        <w:rPr>
          <w:rFonts w:ascii="Cambria" w:hAnsi="Cambria"/>
          <w:color w:val="000000"/>
          <w:bdr w:val="none" w:sz="0" w:space="0" w:color="auto" w:frame="1"/>
        </w:rPr>
        <w:t> </w:t>
      </w:r>
      <w:r w:rsidR="00B608D0" w:rsidRPr="00EA2A5A">
        <w:rPr>
          <w:rFonts w:ascii="Cambria" w:hAnsi="Cambria"/>
          <w:color w:val="000000"/>
          <w:bdr w:val="none" w:sz="0" w:space="0" w:color="auto" w:frame="1"/>
        </w:rPr>
        <w:t xml:space="preserve"> </w:t>
      </w:r>
    </w:p>
    <w:p w:rsidR="00B608D0" w:rsidRPr="00EA2A5A" w:rsidRDefault="00B608D0" w:rsidP="00B608D0">
      <w:pPr>
        <w:shd w:val="clear" w:color="auto" w:fill="FFFFFF"/>
        <w:jc w:val="both"/>
        <w:textAlignment w:val="baseline"/>
        <w:rPr>
          <w:rFonts w:ascii="Cambria" w:hAnsi="Cambria"/>
          <w:color w:val="000000"/>
          <w:bdr w:val="none" w:sz="0" w:space="0" w:color="auto" w:frame="1"/>
        </w:rPr>
      </w:pPr>
    </w:p>
    <w:p w:rsidR="003476D4" w:rsidRPr="00EA2A5A" w:rsidRDefault="003476D4" w:rsidP="00B608D0">
      <w:pPr>
        <w:shd w:val="clear" w:color="auto" w:fill="FFFFFF"/>
        <w:jc w:val="both"/>
        <w:textAlignment w:val="baseline"/>
        <w:rPr>
          <w:rFonts w:ascii="Cambria" w:hAnsi="Cambria"/>
          <w:color w:val="000000"/>
        </w:rPr>
      </w:pPr>
      <w:r w:rsidRPr="00EA2A5A">
        <w:rPr>
          <w:rFonts w:ascii="Cambria" w:hAnsi="Cambria"/>
          <w:color w:val="000000"/>
          <w:bdr w:val="none" w:sz="0" w:space="0" w:color="auto" w:frame="1"/>
        </w:rPr>
        <w:t>The advantage of a drug treatment order is that it provides judicial officers with the ability to be actively involved in the treatment and monitoring of the offender with the court able to vary the order based on progress made, including adding or removing program conditions, varying conditions to adjust the frequency of treatment, the degree of supervision and the type or frequency of vocational, educational, employment or other programs that the offender must attend.</w:t>
      </w:r>
    </w:p>
    <w:p w:rsidR="003476D4" w:rsidRPr="00EA2A5A" w:rsidRDefault="003476D4" w:rsidP="003476D4">
      <w:pPr>
        <w:pStyle w:val="NormalWeb"/>
        <w:shd w:val="clear" w:color="auto" w:fill="FFFFFF"/>
        <w:spacing w:before="0" w:beforeAutospacing="0" w:after="0" w:afterAutospacing="0"/>
        <w:ind w:right="-64"/>
        <w:jc w:val="both"/>
        <w:rPr>
          <w:rFonts w:ascii="Cambria" w:hAnsi="Cambria"/>
          <w:color w:val="000000"/>
        </w:rPr>
      </w:pPr>
    </w:p>
    <w:p w:rsidR="007828FF" w:rsidRDefault="005A3730" w:rsidP="007828FF">
      <w:pPr>
        <w:jc w:val="both"/>
        <w:rPr>
          <w:rFonts w:ascii="Cambria" w:hAnsi="Cambria"/>
        </w:rPr>
      </w:pPr>
      <w:r>
        <w:rPr>
          <w:rFonts w:ascii="Cambria" w:hAnsi="Cambria"/>
          <w:color w:val="000000" w:themeColor="text1"/>
        </w:rPr>
        <w:t>We strongly support the Bill and note that t</w:t>
      </w:r>
      <w:r w:rsidR="00EA2A5A">
        <w:rPr>
          <w:rFonts w:ascii="Cambria" w:hAnsi="Cambria"/>
          <w:color w:val="000000" w:themeColor="text1"/>
        </w:rPr>
        <w:t xml:space="preserve">he </w:t>
      </w:r>
      <w:r w:rsidR="00B608D0" w:rsidRPr="00EA2A5A">
        <w:rPr>
          <w:rFonts w:ascii="Cambria" w:hAnsi="Cambria"/>
          <w:color w:val="000000" w:themeColor="text1"/>
        </w:rPr>
        <w:t xml:space="preserve">Sentencing Advisory </w:t>
      </w:r>
      <w:r w:rsidR="00B608D0" w:rsidRPr="00EA2A5A">
        <w:rPr>
          <w:rFonts w:ascii="Cambria" w:hAnsi="Cambria"/>
        </w:rPr>
        <w:t>Council,</w:t>
      </w:r>
      <w:r w:rsidR="00B608D0" w:rsidRPr="00EA2A5A">
        <w:rPr>
          <w:rStyle w:val="FootnoteReference"/>
          <w:rFonts w:ascii="Cambria" w:hAnsi="Cambria"/>
        </w:rPr>
        <w:footnoteReference w:id="7"/>
      </w:r>
      <w:r w:rsidR="00B608D0" w:rsidRPr="00EA2A5A">
        <w:rPr>
          <w:rFonts w:ascii="Cambria" w:hAnsi="Cambria"/>
        </w:rPr>
        <w:t xml:space="preserve"> the Tasmania Law Reform Institute</w:t>
      </w:r>
      <w:r w:rsidR="00B608D0" w:rsidRPr="00EA2A5A">
        <w:rPr>
          <w:rStyle w:val="FootnoteReference"/>
          <w:rFonts w:ascii="Cambria" w:hAnsi="Cambria"/>
        </w:rPr>
        <w:footnoteReference w:id="8"/>
      </w:r>
      <w:r w:rsidR="00B608D0" w:rsidRPr="00EA2A5A">
        <w:rPr>
          <w:rFonts w:ascii="Cambria" w:hAnsi="Cambria"/>
        </w:rPr>
        <w:t xml:space="preserve"> and the Alcohol Tobacco and Other Drugs Council of Tasmania</w:t>
      </w:r>
      <w:r w:rsidR="00B608D0" w:rsidRPr="00EA2A5A">
        <w:rPr>
          <w:rStyle w:val="FootnoteReference"/>
          <w:rFonts w:ascii="Cambria" w:hAnsi="Cambria"/>
        </w:rPr>
        <w:footnoteReference w:id="9"/>
      </w:r>
      <w:r w:rsidR="00B608D0" w:rsidRPr="00EA2A5A">
        <w:rPr>
          <w:rFonts w:ascii="Cambria" w:hAnsi="Cambria"/>
        </w:rPr>
        <w:t xml:space="preserve"> </w:t>
      </w:r>
      <w:r>
        <w:rPr>
          <w:rFonts w:ascii="Cambria" w:hAnsi="Cambria"/>
        </w:rPr>
        <w:t xml:space="preserve">have all </w:t>
      </w:r>
      <w:r w:rsidR="00B608D0" w:rsidRPr="00EA2A5A">
        <w:rPr>
          <w:rFonts w:ascii="Cambria" w:hAnsi="Cambria"/>
        </w:rPr>
        <w:t xml:space="preserve">recommended </w:t>
      </w:r>
      <w:r>
        <w:rPr>
          <w:rFonts w:ascii="Cambria" w:hAnsi="Cambria"/>
        </w:rPr>
        <w:t>expanding</w:t>
      </w:r>
      <w:r w:rsidR="00B608D0" w:rsidRPr="00EA2A5A">
        <w:rPr>
          <w:rFonts w:ascii="Cambria" w:hAnsi="Cambria"/>
        </w:rPr>
        <w:t xml:space="preserve"> drug treatment orders to include alcohol dependence</w:t>
      </w:r>
      <w:r>
        <w:rPr>
          <w:rFonts w:ascii="Cambria" w:hAnsi="Cambria"/>
        </w:rPr>
        <w:t xml:space="preserve">. </w:t>
      </w:r>
      <w:r w:rsidR="00EA2A5A">
        <w:rPr>
          <w:rFonts w:ascii="Cambria" w:hAnsi="Cambria"/>
        </w:rPr>
        <w:t xml:space="preserve">Expanding drug treatment orders to include alcohol dependence would also </w:t>
      </w:r>
      <w:r w:rsidR="001774CC">
        <w:rPr>
          <w:rFonts w:ascii="Cambria" w:hAnsi="Cambria"/>
        </w:rPr>
        <w:t xml:space="preserve">be </w:t>
      </w:r>
      <w:r w:rsidR="00A46B83">
        <w:rPr>
          <w:rFonts w:ascii="Cambria" w:hAnsi="Cambria"/>
        </w:rPr>
        <w:t>consisten</w:t>
      </w:r>
      <w:r w:rsidR="001774CC">
        <w:rPr>
          <w:rFonts w:ascii="Cambria" w:hAnsi="Cambria"/>
        </w:rPr>
        <w:t>t</w:t>
      </w:r>
      <w:r w:rsidR="00A46B83">
        <w:rPr>
          <w:rFonts w:ascii="Cambria" w:hAnsi="Cambria"/>
        </w:rPr>
        <w:t xml:space="preserve"> with other jurisdictions</w:t>
      </w:r>
      <w:r w:rsidR="005D43B8">
        <w:rPr>
          <w:rFonts w:ascii="Cambria" w:hAnsi="Cambria"/>
        </w:rPr>
        <w:t xml:space="preserve"> including</w:t>
      </w:r>
      <w:r w:rsidR="00A46B83">
        <w:rPr>
          <w:rFonts w:ascii="Cambria" w:hAnsi="Cambria"/>
        </w:rPr>
        <w:t xml:space="preserve"> </w:t>
      </w:r>
      <w:r w:rsidR="005A4091">
        <w:rPr>
          <w:rFonts w:ascii="Cambria" w:hAnsi="Cambria"/>
        </w:rPr>
        <w:t>Victoria</w:t>
      </w:r>
      <w:r w:rsidR="00A46B83">
        <w:rPr>
          <w:rFonts w:ascii="Cambria" w:hAnsi="Cambria"/>
        </w:rPr>
        <w:t xml:space="preserve">, </w:t>
      </w:r>
      <w:r w:rsidR="00262533">
        <w:rPr>
          <w:rFonts w:ascii="Cambria" w:hAnsi="Cambria"/>
        </w:rPr>
        <w:t xml:space="preserve">Queensland and </w:t>
      </w:r>
      <w:r w:rsidR="00A46B83">
        <w:rPr>
          <w:rFonts w:ascii="Cambria" w:hAnsi="Cambria"/>
        </w:rPr>
        <w:t>the Australian Capital Territory</w:t>
      </w:r>
      <w:r>
        <w:rPr>
          <w:rFonts w:ascii="Cambria" w:hAnsi="Cambria"/>
        </w:rPr>
        <w:t>.</w:t>
      </w:r>
      <w:r w:rsidR="00EA2A5A">
        <w:rPr>
          <w:rStyle w:val="FootnoteReference"/>
          <w:rFonts w:ascii="Cambria" w:hAnsi="Cambria"/>
        </w:rPr>
        <w:footnoteReference w:id="10"/>
      </w:r>
      <w:r w:rsidR="005A4091">
        <w:rPr>
          <w:rFonts w:ascii="Cambria" w:hAnsi="Cambria"/>
        </w:rPr>
        <w:t xml:space="preserve"> </w:t>
      </w:r>
    </w:p>
    <w:p w:rsidR="007828FF" w:rsidRDefault="007828FF" w:rsidP="007828FF">
      <w:pPr>
        <w:jc w:val="both"/>
        <w:rPr>
          <w:rFonts w:ascii="Cambria" w:hAnsi="Cambria"/>
        </w:rPr>
      </w:pPr>
    </w:p>
    <w:p w:rsidR="00193034" w:rsidRDefault="005D43B8" w:rsidP="007828FF">
      <w:pPr>
        <w:jc w:val="both"/>
        <w:rPr>
          <w:rFonts w:ascii="Cambria" w:hAnsi="Cambria"/>
        </w:rPr>
      </w:pPr>
      <w:r>
        <w:rPr>
          <w:rFonts w:ascii="Cambria" w:hAnsi="Cambria"/>
        </w:rPr>
        <w:t xml:space="preserve">Clause 9 of </w:t>
      </w:r>
      <w:r w:rsidR="00262533" w:rsidRPr="007828FF">
        <w:rPr>
          <w:rFonts w:ascii="Cambria" w:hAnsi="Cambria"/>
        </w:rPr>
        <w:t>the Bill propos</w:t>
      </w:r>
      <w:r>
        <w:rPr>
          <w:rFonts w:ascii="Cambria" w:hAnsi="Cambria"/>
        </w:rPr>
        <w:t>es</w:t>
      </w:r>
      <w:r w:rsidR="00262533" w:rsidRPr="007828FF">
        <w:rPr>
          <w:rFonts w:ascii="Cambria" w:hAnsi="Cambria"/>
        </w:rPr>
        <w:t xml:space="preserve"> </w:t>
      </w:r>
      <w:r>
        <w:rPr>
          <w:rFonts w:ascii="Cambria" w:hAnsi="Cambria"/>
        </w:rPr>
        <w:t xml:space="preserve">an amendment to </w:t>
      </w:r>
      <w:r w:rsidRPr="007828FF">
        <w:rPr>
          <w:rFonts w:ascii="Cambria" w:hAnsi="Cambria"/>
        </w:rPr>
        <w:t xml:space="preserve">section 27B of the </w:t>
      </w:r>
      <w:r w:rsidRPr="007828FF">
        <w:rPr>
          <w:rFonts w:ascii="Cambria" w:hAnsi="Cambria"/>
          <w:i/>
          <w:iCs/>
        </w:rPr>
        <w:t>Sentencing Act 1997</w:t>
      </w:r>
      <w:r w:rsidRPr="007828FF">
        <w:rPr>
          <w:rFonts w:ascii="Cambria" w:hAnsi="Cambria"/>
        </w:rPr>
        <w:t xml:space="preserve"> (Tas) with</w:t>
      </w:r>
      <w:r>
        <w:rPr>
          <w:rFonts w:ascii="Cambria" w:hAnsi="Cambria"/>
        </w:rPr>
        <w:t xml:space="preserve"> </w:t>
      </w:r>
      <w:r w:rsidR="00262533" w:rsidRPr="007828FF">
        <w:rPr>
          <w:rFonts w:ascii="Cambria" w:hAnsi="Cambria"/>
        </w:rPr>
        <w:t xml:space="preserve">a court required to “specify whether the order is being made in respect of the illicit drug use or alcohol dependence of the offender”. </w:t>
      </w:r>
      <w:r w:rsidR="00AB7151" w:rsidRPr="007828FF">
        <w:rPr>
          <w:rFonts w:ascii="Cambria" w:hAnsi="Cambria"/>
        </w:rPr>
        <w:t xml:space="preserve">We strongly believe that </w:t>
      </w:r>
      <w:r w:rsidR="007828FF">
        <w:rPr>
          <w:rFonts w:ascii="Cambria" w:hAnsi="Cambria"/>
        </w:rPr>
        <w:t>another</w:t>
      </w:r>
      <w:r w:rsidR="00AB7151" w:rsidRPr="007828FF">
        <w:rPr>
          <w:rFonts w:ascii="Cambria" w:hAnsi="Cambria"/>
        </w:rPr>
        <w:t xml:space="preserve"> option should be available for persons who are </w:t>
      </w:r>
      <w:r w:rsidR="007828FF">
        <w:rPr>
          <w:rFonts w:ascii="Cambria" w:hAnsi="Cambria"/>
        </w:rPr>
        <w:t xml:space="preserve">assessed as </w:t>
      </w:r>
      <w:r w:rsidR="00AB7151" w:rsidRPr="007828FF">
        <w:rPr>
          <w:rFonts w:ascii="Cambria" w:hAnsi="Cambria"/>
        </w:rPr>
        <w:t xml:space="preserve">both alcohol and illicit drug dependent. </w:t>
      </w:r>
      <w:r w:rsidR="007828FF" w:rsidRPr="007828FF">
        <w:rPr>
          <w:rFonts w:ascii="Cambria" w:hAnsi="Cambria"/>
        </w:rPr>
        <w:t>A</w:t>
      </w:r>
      <w:r w:rsidR="007828FF">
        <w:rPr>
          <w:rFonts w:ascii="Cambria" w:hAnsi="Cambria"/>
        </w:rPr>
        <w:t xml:space="preserve">n illustrative example </w:t>
      </w:r>
      <w:r w:rsidR="007828FF">
        <w:rPr>
          <w:rFonts w:ascii="Cambria" w:hAnsi="Cambria"/>
          <w:color w:val="000000" w:themeColor="text1"/>
        </w:rPr>
        <w:t xml:space="preserve">was </w:t>
      </w:r>
      <w:r>
        <w:rPr>
          <w:rFonts w:ascii="Cambria" w:hAnsi="Cambria"/>
          <w:color w:val="000000" w:themeColor="text1"/>
        </w:rPr>
        <w:t xml:space="preserve">a 2017 </w:t>
      </w:r>
      <w:r w:rsidR="007828FF">
        <w:rPr>
          <w:rFonts w:ascii="Cambria" w:hAnsi="Cambria"/>
          <w:color w:val="000000" w:themeColor="text1"/>
        </w:rPr>
        <w:t>Tasmania</w:t>
      </w:r>
      <w:r>
        <w:rPr>
          <w:rFonts w:ascii="Cambria" w:hAnsi="Cambria"/>
          <w:color w:val="000000" w:themeColor="text1"/>
        </w:rPr>
        <w:t>n study</w:t>
      </w:r>
      <w:r w:rsidR="007828FF">
        <w:rPr>
          <w:rFonts w:ascii="Cambria" w:hAnsi="Cambria" w:cs="Arial"/>
          <w:color w:val="000000" w:themeColor="text1"/>
        </w:rPr>
        <w:t xml:space="preserve"> in which the authors </w:t>
      </w:r>
      <w:r w:rsidR="007828FF" w:rsidRPr="007828FF">
        <w:rPr>
          <w:rFonts w:ascii="Cambria" w:hAnsi="Cambria" w:cs="Arial"/>
          <w:color w:val="000000" w:themeColor="text1"/>
        </w:rPr>
        <w:t xml:space="preserve">reviewed all recidivist drink drive offenders sentenced to custodial sentences between 2008-09 and 2013-14. The </w:t>
      </w:r>
      <w:r w:rsidR="007828FF">
        <w:rPr>
          <w:rFonts w:ascii="Cambria" w:hAnsi="Cambria" w:cs="Arial"/>
          <w:color w:val="000000" w:themeColor="text1"/>
        </w:rPr>
        <w:t>study</w:t>
      </w:r>
      <w:r w:rsidR="007828FF" w:rsidRPr="007828FF">
        <w:rPr>
          <w:rFonts w:ascii="Cambria" w:hAnsi="Cambria" w:cs="Arial"/>
          <w:color w:val="000000" w:themeColor="text1"/>
        </w:rPr>
        <w:t xml:space="preserve"> found that nearly 85 per cent of offenders had a history of alcohol abuse and almost 75 per cent had a history of illicit drug use.</w:t>
      </w:r>
      <w:r w:rsidR="007828FF" w:rsidRPr="009C62F9">
        <w:rPr>
          <w:rStyle w:val="FootnoteReference"/>
          <w:rFonts w:ascii="Cambria" w:hAnsi="Cambria" w:cs="Arial"/>
          <w:color w:val="000000" w:themeColor="text1"/>
        </w:rPr>
        <w:footnoteReference w:id="11"/>
      </w:r>
      <w:r w:rsidR="00EE23D7">
        <w:rPr>
          <w:rFonts w:ascii="Cambria" w:hAnsi="Cambria" w:cs="Arial"/>
          <w:color w:val="000000" w:themeColor="text1"/>
        </w:rPr>
        <w:t xml:space="preserve"> </w:t>
      </w:r>
    </w:p>
    <w:p w:rsidR="00783BAF" w:rsidRDefault="00783BAF" w:rsidP="007828FF">
      <w:pPr>
        <w:jc w:val="both"/>
        <w:rPr>
          <w:rFonts w:ascii="Cambria" w:hAnsi="Cambria" w:cs="Arial"/>
          <w:color w:val="000000" w:themeColor="text1"/>
        </w:rPr>
      </w:pPr>
    </w:p>
    <w:p w:rsidR="00EE23D7" w:rsidRPr="001848D3" w:rsidRDefault="00EE23D7" w:rsidP="007828FF">
      <w:pPr>
        <w:jc w:val="both"/>
        <w:rPr>
          <w:rFonts w:ascii="Cambria" w:hAnsi="Cambria" w:cs="Arial"/>
          <w:color w:val="000000" w:themeColor="text1"/>
        </w:rPr>
      </w:pPr>
      <w:r>
        <w:rPr>
          <w:rFonts w:ascii="Cambria" w:hAnsi="Cambria" w:cs="Arial"/>
          <w:color w:val="000000" w:themeColor="text1"/>
        </w:rPr>
        <w:t>We are also concerned that there does not appear to be any</w:t>
      </w:r>
      <w:r w:rsidR="004F7E31">
        <w:rPr>
          <w:rFonts w:ascii="Cambria" w:hAnsi="Cambria" w:cs="Arial"/>
          <w:color w:val="000000" w:themeColor="text1"/>
        </w:rPr>
        <w:t xml:space="preserve"> commitment to increasing capacity in the Court Mandated Diversion program. In 2017, the Government</w:t>
      </w:r>
      <w:r w:rsidR="005D43B8">
        <w:rPr>
          <w:rFonts w:ascii="Cambria" w:hAnsi="Cambria" w:cs="Arial"/>
          <w:color w:val="000000" w:themeColor="text1"/>
        </w:rPr>
        <w:t xml:space="preserve"> </w:t>
      </w:r>
      <w:r w:rsidR="004F7E31">
        <w:rPr>
          <w:rFonts w:ascii="Cambria" w:hAnsi="Cambria" w:cs="Arial"/>
          <w:color w:val="000000" w:themeColor="text1"/>
        </w:rPr>
        <w:t>increas</w:t>
      </w:r>
      <w:r w:rsidR="005D43B8">
        <w:rPr>
          <w:rFonts w:ascii="Cambria" w:hAnsi="Cambria" w:cs="Arial"/>
          <w:color w:val="000000" w:themeColor="text1"/>
        </w:rPr>
        <w:t>ed</w:t>
      </w:r>
      <w:r w:rsidR="004F7E31">
        <w:rPr>
          <w:rFonts w:ascii="Cambria" w:hAnsi="Cambria" w:cs="Arial"/>
          <w:color w:val="000000" w:themeColor="text1"/>
        </w:rPr>
        <w:t xml:space="preserve"> </w:t>
      </w:r>
      <w:r w:rsidR="004F7E31">
        <w:rPr>
          <w:rFonts w:ascii="Cambria" w:hAnsi="Cambria" w:cs="Arial"/>
          <w:color w:val="000000" w:themeColor="text1"/>
        </w:rPr>
        <w:lastRenderedPageBreak/>
        <w:t>capacity</w:t>
      </w:r>
      <w:r w:rsidR="005D43B8">
        <w:rPr>
          <w:rFonts w:ascii="Cambria" w:hAnsi="Cambria" w:cs="Arial"/>
          <w:color w:val="000000" w:themeColor="text1"/>
        </w:rPr>
        <w:t xml:space="preserve"> </w:t>
      </w:r>
      <w:r w:rsidR="004F7E31">
        <w:rPr>
          <w:rFonts w:ascii="Cambria" w:hAnsi="Cambria" w:cs="Arial"/>
          <w:color w:val="000000" w:themeColor="text1"/>
        </w:rPr>
        <w:t xml:space="preserve">from 80 to 120 places in recognition that Drug Treatment Orders had </w:t>
      </w:r>
      <w:r w:rsidR="005D43B8">
        <w:rPr>
          <w:rFonts w:ascii="Cambria" w:hAnsi="Cambria" w:cs="Arial"/>
          <w:color w:val="000000" w:themeColor="text1"/>
        </w:rPr>
        <w:t xml:space="preserve">expanded to </w:t>
      </w:r>
      <w:r w:rsidR="004F7E31">
        <w:rPr>
          <w:rFonts w:ascii="Cambria" w:hAnsi="Cambria" w:cs="Arial"/>
          <w:color w:val="000000" w:themeColor="text1"/>
        </w:rPr>
        <w:t>become a sentencing option available in the Supreme Court.</w:t>
      </w:r>
      <w:r w:rsidR="004F7E31">
        <w:rPr>
          <w:rStyle w:val="FootnoteReference"/>
          <w:rFonts w:ascii="Cambria" w:hAnsi="Cambria" w:cs="Arial"/>
          <w:color w:val="000000" w:themeColor="text1"/>
        </w:rPr>
        <w:footnoteReference w:id="12"/>
      </w:r>
      <w:r w:rsidR="004F7E31">
        <w:rPr>
          <w:rFonts w:ascii="Cambria" w:hAnsi="Cambria" w:cs="Arial"/>
          <w:color w:val="000000" w:themeColor="text1"/>
        </w:rPr>
        <w:t xml:space="preserve"> </w:t>
      </w:r>
      <w:r w:rsidR="001848D3">
        <w:rPr>
          <w:rFonts w:ascii="Cambria" w:hAnsi="Cambria" w:cs="Arial"/>
          <w:color w:val="000000" w:themeColor="text1"/>
        </w:rPr>
        <w:t>With 156 Drug Treatment Orders having been imposed in Tasmania over the last two years</w:t>
      </w:r>
      <w:r w:rsidR="00CF4287">
        <w:rPr>
          <w:rStyle w:val="FootnoteReference"/>
          <w:rFonts w:ascii="Cambria" w:hAnsi="Cambria" w:cs="Arial"/>
          <w:color w:val="000000" w:themeColor="text1"/>
        </w:rPr>
        <w:footnoteReference w:id="13"/>
      </w:r>
      <w:r w:rsidR="00CF4287">
        <w:rPr>
          <w:rFonts w:ascii="Cambria" w:hAnsi="Cambria" w:cs="Arial"/>
          <w:color w:val="000000" w:themeColor="text1"/>
        </w:rPr>
        <w:t xml:space="preserve"> it is likely that the program is already at capacity.   </w:t>
      </w:r>
      <w:r w:rsidR="004F7E31">
        <w:rPr>
          <w:rFonts w:ascii="Cambria" w:hAnsi="Cambria" w:cs="Arial"/>
          <w:color w:val="000000" w:themeColor="text1"/>
        </w:rPr>
        <w:t xml:space="preserve"> </w:t>
      </w:r>
    </w:p>
    <w:p w:rsidR="00EE23D7" w:rsidRDefault="00EE23D7" w:rsidP="007828FF">
      <w:pPr>
        <w:jc w:val="both"/>
        <w:rPr>
          <w:rFonts w:ascii="Cambria" w:hAnsi="Cambria" w:cs="Arial"/>
          <w:color w:val="000000" w:themeColor="text1"/>
        </w:rPr>
      </w:pPr>
    </w:p>
    <w:p w:rsidR="005A3730" w:rsidRPr="001848D3" w:rsidRDefault="003B1AF9" w:rsidP="00B608D0">
      <w:pPr>
        <w:jc w:val="both"/>
        <w:rPr>
          <w:rFonts w:ascii="Cambria" w:hAnsi="Cambria" w:cs="Arial"/>
          <w:color w:val="000000" w:themeColor="text1"/>
        </w:rPr>
      </w:pPr>
      <w:r>
        <w:rPr>
          <w:rFonts w:ascii="Cambria" w:hAnsi="Cambria" w:cs="Arial"/>
          <w:color w:val="000000" w:themeColor="text1"/>
        </w:rPr>
        <w:t>The high prevalence of alcohol dependence in persons entering prison is demonstrated in research carried out by</w:t>
      </w:r>
      <w:r w:rsidR="001848D3">
        <w:rPr>
          <w:rFonts w:ascii="Cambria" w:hAnsi="Cambria" w:cs="Arial"/>
          <w:color w:val="000000" w:themeColor="text1"/>
        </w:rPr>
        <w:t xml:space="preserve"> </w:t>
      </w:r>
      <w:r w:rsidR="001848D3">
        <w:rPr>
          <w:rFonts w:ascii="Cambria" w:hAnsi="Cambria" w:cs="Arial"/>
          <w:color w:val="000000" w:themeColor="text1"/>
        </w:rPr>
        <w:t>the Australian Institute of Health and Welfar</w:t>
      </w:r>
      <w:r>
        <w:rPr>
          <w:rFonts w:ascii="Cambria" w:hAnsi="Cambria" w:cs="Arial"/>
          <w:color w:val="000000" w:themeColor="text1"/>
        </w:rPr>
        <w:t xml:space="preserve">e which </w:t>
      </w:r>
      <w:r w:rsidR="001848D3">
        <w:rPr>
          <w:rFonts w:ascii="Cambria" w:hAnsi="Cambria" w:cs="Arial"/>
          <w:color w:val="000000" w:themeColor="text1"/>
        </w:rPr>
        <w:t xml:space="preserve">reported in 2018 that </w:t>
      </w:r>
      <w:r w:rsidR="001848D3" w:rsidRPr="009C62F9">
        <w:rPr>
          <w:rFonts w:ascii="Cambria" w:hAnsi="Cambria"/>
          <w:color w:val="000000" w:themeColor="text1"/>
        </w:rPr>
        <w:t>34 per cent of persons entering prison were at high risk of alcohol-related harm during the previous 12 months</w:t>
      </w:r>
      <w:r>
        <w:rPr>
          <w:rFonts w:ascii="Cambria" w:hAnsi="Cambria"/>
          <w:color w:val="000000" w:themeColor="text1"/>
        </w:rPr>
        <w:t>.</w:t>
      </w:r>
      <w:r w:rsidR="001848D3" w:rsidRPr="009C62F9">
        <w:rPr>
          <w:rStyle w:val="FootnoteReference"/>
          <w:rFonts w:ascii="Cambria" w:hAnsi="Cambria"/>
          <w:color w:val="000000" w:themeColor="text1"/>
        </w:rPr>
        <w:footnoteReference w:id="14"/>
      </w:r>
      <w:r>
        <w:rPr>
          <w:rFonts w:ascii="Cambria" w:hAnsi="Cambria"/>
          <w:color w:val="000000" w:themeColor="text1"/>
        </w:rPr>
        <w:t xml:space="preserve"> As a result, </w:t>
      </w:r>
      <w:r w:rsidR="001848D3">
        <w:rPr>
          <w:rFonts w:ascii="Cambria" w:hAnsi="Cambria"/>
          <w:color w:val="000000" w:themeColor="text1"/>
        </w:rPr>
        <w:t xml:space="preserve">we strongly recommend that capacity in Court Mandated Diversion is doubled.  </w:t>
      </w:r>
    </w:p>
    <w:p w:rsidR="00E21BE5" w:rsidRPr="003020EF" w:rsidRDefault="00E21BE5" w:rsidP="00E21BE5">
      <w:pPr>
        <w:ind w:right="-347"/>
        <w:jc w:val="both"/>
        <w:rPr>
          <w:rStyle w:val="xcontentpasted0"/>
          <w:rFonts w:ascii="Cambria" w:hAnsi="Cambria"/>
          <w:color w:val="000000" w:themeColor="text1"/>
          <w:bdr w:val="none" w:sz="0" w:space="0" w:color="auto" w:frame="1"/>
        </w:rPr>
      </w:pPr>
    </w:p>
    <w:p w:rsidR="00E21BE5" w:rsidRPr="003020EF" w:rsidRDefault="00E21BE5" w:rsidP="00E21BE5">
      <w:pPr>
        <w:ind w:right="-347"/>
        <w:jc w:val="both"/>
        <w:rPr>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t xml:space="preserve">If you have any queries, please do not hesitate to contact us. </w:t>
      </w:r>
    </w:p>
    <w:p w:rsidR="00E21BE5" w:rsidRPr="003020EF" w:rsidRDefault="00E21BE5" w:rsidP="00E21BE5">
      <w:pPr>
        <w:ind w:right="-347"/>
        <w:jc w:val="both"/>
        <w:rPr>
          <w:rFonts w:ascii="Cambria" w:hAnsi="Cambria"/>
          <w:color w:val="000000" w:themeColor="text1"/>
          <w:bdr w:val="none" w:sz="0" w:space="0" w:color="auto" w:frame="1"/>
        </w:rPr>
      </w:pPr>
    </w:p>
    <w:p w:rsidR="00E21BE5" w:rsidRPr="003020EF" w:rsidRDefault="00E21BE5" w:rsidP="00E21BE5">
      <w:pPr>
        <w:shd w:val="clear" w:color="auto" w:fill="FFFFFF"/>
        <w:ind w:right="-347"/>
        <w:jc w:val="both"/>
        <w:rPr>
          <w:rFonts w:ascii="Cambria" w:hAnsi="Cambria"/>
          <w:bCs/>
          <w:color w:val="000000" w:themeColor="text1"/>
        </w:rPr>
      </w:pPr>
    </w:p>
    <w:p w:rsidR="00E21BE5" w:rsidRPr="003020EF" w:rsidRDefault="00E21BE5" w:rsidP="00E21BE5">
      <w:pPr>
        <w:shd w:val="clear" w:color="auto" w:fill="FFFFFF"/>
        <w:ind w:right="-347"/>
        <w:jc w:val="both"/>
        <w:rPr>
          <w:rFonts w:ascii="Cambria" w:hAnsi="Cambria"/>
          <w:bCs/>
          <w:color w:val="000000" w:themeColor="text1"/>
        </w:rPr>
      </w:pPr>
      <w:r w:rsidRPr="003020EF">
        <w:rPr>
          <w:rFonts w:ascii="Cambria" w:hAnsi="Cambria"/>
          <w:bCs/>
          <w:color w:val="000000" w:themeColor="text1"/>
        </w:rPr>
        <w:t>Yours faithfully,</w:t>
      </w:r>
    </w:p>
    <w:p w:rsidR="00E21BE5" w:rsidRDefault="00E21BE5" w:rsidP="00E21BE5">
      <w:pPr>
        <w:shd w:val="clear" w:color="auto" w:fill="FFFFFF"/>
        <w:ind w:right="-347"/>
        <w:jc w:val="both"/>
        <w:rPr>
          <w:rFonts w:ascii="Cambria" w:hAnsi="Cambria"/>
          <w:bCs/>
          <w:color w:val="000000" w:themeColor="text1"/>
        </w:rPr>
      </w:pPr>
    </w:p>
    <w:p w:rsidR="00044A79" w:rsidRDefault="00044A79" w:rsidP="00E21BE5">
      <w:pPr>
        <w:shd w:val="clear" w:color="auto" w:fill="FFFFFF"/>
        <w:ind w:right="-347"/>
        <w:jc w:val="both"/>
        <w:rPr>
          <w:rFonts w:ascii="Cambria" w:hAnsi="Cambria"/>
          <w:bCs/>
          <w:color w:val="000000" w:themeColor="text1"/>
        </w:rPr>
      </w:pPr>
    </w:p>
    <w:p w:rsidR="00044A79" w:rsidRDefault="00044A79" w:rsidP="00E21BE5">
      <w:pPr>
        <w:shd w:val="clear" w:color="auto" w:fill="FFFFFF"/>
        <w:ind w:right="-347"/>
        <w:jc w:val="both"/>
        <w:rPr>
          <w:rFonts w:ascii="Cambria" w:hAnsi="Cambria"/>
          <w:bCs/>
          <w:color w:val="000000" w:themeColor="text1"/>
        </w:rPr>
      </w:pPr>
    </w:p>
    <w:p w:rsidR="00E21BE5" w:rsidRPr="003020EF" w:rsidRDefault="00E21BE5" w:rsidP="00E21BE5">
      <w:pPr>
        <w:shd w:val="clear" w:color="auto" w:fill="FFFFFF"/>
        <w:ind w:right="-347"/>
        <w:jc w:val="both"/>
        <w:rPr>
          <w:rFonts w:ascii="Cambria" w:hAnsi="Cambria"/>
          <w:bCs/>
          <w:color w:val="000000" w:themeColor="text1"/>
        </w:rPr>
      </w:pPr>
      <w:r w:rsidRPr="003020EF">
        <w:rPr>
          <w:rFonts w:ascii="Cambria" w:hAnsi="Cambria"/>
          <w:bCs/>
          <w:color w:val="000000" w:themeColor="text1"/>
        </w:rPr>
        <w:t xml:space="preserve">Benedict </w:t>
      </w:r>
      <w:proofErr w:type="spellStart"/>
      <w:r w:rsidRPr="003020EF">
        <w:rPr>
          <w:rFonts w:ascii="Cambria" w:hAnsi="Cambria"/>
          <w:bCs/>
          <w:color w:val="000000" w:themeColor="text1"/>
        </w:rPr>
        <w:t>Bartl</w:t>
      </w:r>
      <w:proofErr w:type="spellEnd"/>
    </w:p>
    <w:p w:rsidR="00E21BE5" w:rsidRPr="003020EF" w:rsidRDefault="00E21BE5" w:rsidP="00E21BE5">
      <w:pPr>
        <w:shd w:val="clear" w:color="auto" w:fill="FFFFFF"/>
        <w:ind w:right="-347"/>
        <w:jc w:val="both"/>
        <w:rPr>
          <w:rFonts w:ascii="Cambria" w:hAnsi="Cambria"/>
          <w:bCs/>
          <w:color w:val="000000" w:themeColor="text1"/>
        </w:rPr>
      </w:pPr>
      <w:r w:rsidRPr="003020EF">
        <w:rPr>
          <w:rFonts w:ascii="Cambria" w:hAnsi="Cambria"/>
          <w:bCs/>
          <w:color w:val="000000" w:themeColor="text1"/>
        </w:rPr>
        <w:t>Policy Officer</w:t>
      </w:r>
    </w:p>
    <w:p w:rsidR="00E21BE5" w:rsidRPr="003020EF" w:rsidRDefault="00E21BE5" w:rsidP="00E21BE5">
      <w:pPr>
        <w:pBdr>
          <w:bottom w:val="single" w:sz="6" w:space="1" w:color="auto"/>
        </w:pBdr>
        <w:shd w:val="clear" w:color="auto" w:fill="FFFFFF"/>
        <w:ind w:right="-347"/>
        <w:jc w:val="both"/>
        <w:rPr>
          <w:rFonts w:ascii="Cambria" w:hAnsi="Cambria"/>
          <w:b/>
          <w:bCs/>
          <w:color w:val="000000" w:themeColor="text1"/>
        </w:rPr>
      </w:pPr>
      <w:r w:rsidRPr="003020EF">
        <w:rPr>
          <w:rFonts w:ascii="Cambria" w:hAnsi="Cambria"/>
          <w:b/>
          <w:bCs/>
          <w:color w:val="000000" w:themeColor="text1"/>
        </w:rPr>
        <w:t>Community Legal Centres Tasmania</w:t>
      </w:r>
    </w:p>
    <w:p w:rsidR="00E21BE5" w:rsidRPr="003020EF" w:rsidRDefault="00E21BE5" w:rsidP="00E21BE5">
      <w:pPr>
        <w:rPr>
          <w:rFonts w:ascii="Cambria" w:hAnsi="Cambria" w:cs="Calibri"/>
          <w:color w:val="000000" w:themeColor="text1"/>
          <w:sz w:val="22"/>
          <w:szCs w:val="22"/>
        </w:rPr>
      </w:pPr>
    </w:p>
    <w:p w:rsidR="0036735A" w:rsidRDefault="0036735A"/>
    <w:sectPr w:rsidR="0036735A"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5ED" w:rsidRDefault="00A035ED" w:rsidP="00E21BE5">
      <w:r>
        <w:separator/>
      </w:r>
    </w:p>
  </w:endnote>
  <w:endnote w:type="continuationSeparator" w:id="0">
    <w:p w:rsidR="00A035ED" w:rsidRDefault="00A035ED" w:rsidP="00E2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5ED" w:rsidRDefault="00A035ED" w:rsidP="00E21BE5">
      <w:r>
        <w:separator/>
      </w:r>
    </w:p>
  </w:footnote>
  <w:footnote w:type="continuationSeparator" w:id="0">
    <w:p w:rsidR="00A035ED" w:rsidRDefault="00A035ED" w:rsidP="00E21BE5">
      <w:r>
        <w:continuationSeparator/>
      </w:r>
    </w:p>
  </w:footnote>
  <w:footnote w:id="1">
    <w:p w:rsidR="003476D4" w:rsidRPr="00EA2A5A" w:rsidRDefault="003476D4">
      <w:pPr>
        <w:pStyle w:val="FootnoteText"/>
        <w:rPr>
          <w:rFonts w:ascii="Cambria" w:hAnsi="Cambria"/>
          <w:sz w:val="20"/>
          <w:szCs w:val="20"/>
        </w:rPr>
      </w:pPr>
      <w:r w:rsidRPr="00EA2A5A">
        <w:rPr>
          <w:rStyle w:val="FootnoteReference"/>
          <w:rFonts w:ascii="Cambria" w:hAnsi="Cambria"/>
          <w:sz w:val="20"/>
          <w:szCs w:val="20"/>
        </w:rPr>
        <w:footnoteRef/>
      </w:r>
      <w:r w:rsidRPr="00EA2A5A">
        <w:rPr>
          <w:rFonts w:ascii="Cambria" w:hAnsi="Cambria"/>
          <w:sz w:val="20"/>
          <w:szCs w:val="20"/>
        </w:rPr>
        <w:t xml:space="preserve"> </w:t>
      </w:r>
      <w:r w:rsidRPr="00EA2A5A">
        <w:rPr>
          <w:rFonts w:ascii="Cambria" w:hAnsi="Cambria"/>
          <w:color w:val="000000"/>
          <w:sz w:val="20"/>
          <w:szCs w:val="20"/>
          <w:shd w:val="clear" w:color="auto" w:fill="FFFFFF"/>
        </w:rPr>
        <w:t>CLC Tas would like to acknowledge those persons and organisations who gave freely of their time in assisting with our submission.</w:t>
      </w:r>
      <w:r w:rsidRPr="00EA2A5A">
        <w:rPr>
          <w:rFonts w:ascii="Cambria" w:hAnsi="Cambria"/>
          <w:color w:val="000000"/>
          <w:sz w:val="20"/>
          <w:szCs w:val="20"/>
          <w:bdr w:val="none" w:sz="0" w:space="0" w:color="auto" w:frame="1"/>
          <w:shd w:val="clear" w:color="auto" w:fill="FFFFFF"/>
        </w:rPr>
        <w:t> </w:t>
      </w:r>
    </w:p>
  </w:footnote>
  <w:footnote w:id="2">
    <w:p w:rsidR="00A832C5" w:rsidRPr="00EA2A5A" w:rsidRDefault="00A832C5" w:rsidP="00A832C5">
      <w:pPr>
        <w:ind w:right="-347"/>
        <w:jc w:val="both"/>
        <w:rPr>
          <w:rFonts w:ascii="Cambria" w:hAnsi="Cambria"/>
          <w:bCs/>
          <w:color w:val="000000" w:themeColor="text1"/>
          <w:sz w:val="20"/>
          <w:szCs w:val="20"/>
          <w:lang w:eastAsia="en-AU"/>
        </w:rPr>
      </w:pPr>
      <w:r w:rsidRPr="00EA2A5A">
        <w:rPr>
          <w:rStyle w:val="FootnoteReference"/>
          <w:rFonts w:ascii="Cambria" w:hAnsi="Cambria"/>
          <w:sz w:val="20"/>
          <w:szCs w:val="20"/>
        </w:rPr>
        <w:footnoteRef/>
      </w:r>
      <w:r w:rsidRPr="00EA2A5A">
        <w:rPr>
          <w:rFonts w:ascii="Cambria" w:hAnsi="Cambria"/>
          <w:sz w:val="20"/>
          <w:szCs w:val="20"/>
        </w:rPr>
        <w:t xml:space="preserve"> </w:t>
      </w:r>
      <w:r w:rsidRPr="00EA2A5A">
        <w:rPr>
          <w:rFonts w:ascii="Cambria" w:hAnsi="Cambria"/>
          <w:color w:val="000000" w:themeColor="text1"/>
          <w:sz w:val="20"/>
          <w:szCs w:val="20"/>
        </w:rPr>
        <w:t xml:space="preserve">Productivity Commissioner, </w:t>
      </w:r>
      <w:r w:rsidRPr="00EA2A5A">
        <w:rPr>
          <w:rFonts w:ascii="Cambria" w:hAnsi="Cambria"/>
          <w:i/>
          <w:iCs/>
          <w:color w:val="000000" w:themeColor="text1"/>
          <w:sz w:val="20"/>
          <w:szCs w:val="20"/>
        </w:rPr>
        <w:t>Report on Government Services 2022 - Justice</w:t>
      </w:r>
      <w:r w:rsidRPr="00EA2A5A">
        <w:rPr>
          <w:rFonts w:ascii="Cambria" w:hAnsi="Cambria"/>
          <w:color w:val="000000" w:themeColor="text1"/>
          <w:sz w:val="20"/>
          <w:szCs w:val="20"/>
        </w:rPr>
        <w:t>, Table CA.4.</w:t>
      </w:r>
      <w:r w:rsidRPr="00EA2A5A">
        <w:rPr>
          <w:rFonts w:ascii="Cambria" w:hAnsi="Cambria"/>
          <w:bCs/>
          <w:color w:val="000000" w:themeColor="text1"/>
          <w:sz w:val="20"/>
          <w:szCs w:val="20"/>
          <w:lang w:eastAsia="en-AU"/>
        </w:rPr>
        <w:t xml:space="preserve"> </w:t>
      </w:r>
    </w:p>
  </w:footnote>
  <w:footnote w:id="3">
    <w:p w:rsidR="0065045B" w:rsidRDefault="0065045B">
      <w:pPr>
        <w:pStyle w:val="FootnoteText"/>
      </w:pPr>
      <w:r w:rsidRPr="00EA2A5A">
        <w:rPr>
          <w:rStyle w:val="FootnoteReference"/>
          <w:rFonts w:ascii="Cambria" w:hAnsi="Cambria"/>
          <w:sz w:val="20"/>
          <w:szCs w:val="20"/>
        </w:rPr>
        <w:footnoteRef/>
      </w:r>
      <w:r w:rsidRPr="00EA2A5A">
        <w:rPr>
          <w:rFonts w:ascii="Cambria" w:hAnsi="Cambria"/>
          <w:sz w:val="20"/>
          <w:szCs w:val="20"/>
        </w:rPr>
        <w:t xml:space="preserve"> </w:t>
      </w:r>
      <w:r w:rsidRPr="00EA2A5A">
        <w:rPr>
          <w:rFonts w:ascii="Cambria" w:hAnsi="Cambria"/>
          <w:color w:val="000000" w:themeColor="text1"/>
          <w:sz w:val="20"/>
          <w:szCs w:val="20"/>
        </w:rPr>
        <w:t xml:space="preserve">Productivity Commissioner, </w:t>
      </w:r>
      <w:r w:rsidRPr="00EA2A5A">
        <w:rPr>
          <w:rFonts w:ascii="Cambria" w:hAnsi="Cambria"/>
          <w:i/>
          <w:iCs/>
          <w:color w:val="000000" w:themeColor="text1"/>
          <w:sz w:val="20"/>
          <w:szCs w:val="20"/>
        </w:rPr>
        <w:t>Report on Government Services 2022 - Justice</w:t>
      </w:r>
      <w:r w:rsidRPr="00EA2A5A">
        <w:rPr>
          <w:rFonts w:ascii="Cambria" w:hAnsi="Cambria"/>
          <w:color w:val="000000" w:themeColor="text1"/>
          <w:sz w:val="20"/>
          <w:szCs w:val="20"/>
        </w:rPr>
        <w:t>, Table CA.4.</w:t>
      </w:r>
    </w:p>
  </w:footnote>
  <w:footnote w:id="4">
    <w:p w:rsidR="00B608D0" w:rsidRPr="005A3730" w:rsidRDefault="00B608D0">
      <w:pPr>
        <w:pStyle w:val="FootnoteText"/>
        <w:rPr>
          <w:rFonts w:ascii="Cambria" w:hAnsi="Cambria"/>
          <w:sz w:val="20"/>
          <w:szCs w:val="20"/>
        </w:rPr>
      </w:pPr>
      <w:r w:rsidRPr="005A3730">
        <w:rPr>
          <w:rStyle w:val="FootnoteReference"/>
          <w:rFonts w:ascii="Cambria" w:hAnsi="Cambria"/>
          <w:sz w:val="20"/>
          <w:szCs w:val="20"/>
        </w:rPr>
        <w:footnoteRef/>
      </w:r>
      <w:r w:rsidRPr="005A3730">
        <w:rPr>
          <w:rFonts w:ascii="Cambria" w:hAnsi="Cambria"/>
          <w:sz w:val="20"/>
          <w:szCs w:val="20"/>
        </w:rPr>
        <w:t xml:space="preserve"> </w:t>
      </w:r>
      <w:r w:rsidRPr="005A3730">
        <w:rPr>
          <w:rFonts w:ascii="Cambria" w:hAnsi="Cambria"/>
          <w:color w:val="000000"/>
          <w:sz w:val="20"/>
          <w:szCs w:val="20"/>
          <w:bdr w:val="none" w:sz="0" w:space="0" w:color="auto" w:frame="1"/>
        </w:rPr>
        <w:t>Department of Justice, Community Corrections, </w:t>
      </w:r>
      <w:r w:rsidRPr="005A3730">
        <w:rPr>
          <w:rFonts w:ascii="Cambria" w:hAnsi="Cambria"/>
          <w:i/>
          <w:iCs/>
          <w:color w:val="000000"/>
          <w:sz w:val="20"/>
          <w:szCs w:val="20"/>
          <w:bdr w:val="none" w:sz="0" w:space="0" w:color="auto" w:frame="1"/>
        </w:rPr>
        <w:t>Court Mandated Diversion</w:t>
      </w:r>
      <w:r w:rsidRPr="005A3730">
        <w:rPr>
          <w:rFonts w:ascii="Cambria" w:hAnsi="Cambria"/>
          <w:color w:val="000000"/>
          <w:sz w:val="20"/>
          <w:szCs w:val="20"/>
          <w:bdr w:val="none" w:sz="0" w:space="0" w:color="auto" w:frame="1"/>
        </w:rPr>
        <w:t>. As found at  </w:t>
      </w:r>
      <w:hyperlink r:id="rId1" w:tgtFrame="_blank" w:history="1">
        <w:r w:rsidRPr="005A3730">
          <w:rPr>
            <w:rStyle w:val="Hyperlink"/>
            <w:rFonts w:ascii="Cambria" w:hAnsi="Cambria"/>
            <w:sz w:val="20"/>
            <w:szCs w:val="20"/>
            <w:bdr w:val="none" w:sz="0" w:space="0" w:color="auto" w:frame="1"/>
          </w:rPr>
          <w:t>https://www.justice.tas.gov.au/communitycorrections/court_mandated_diversion/intent_of_program</w:t>
        </w:r>
      </w:hyperlink>
      <w:r w:rsidRPr="005A3730">
        <w:rPr>
          <w:rFonts w:ascii="Cambria" w:hAnsi="Cambria"/>
          <w:color w:val="000000"/>
          <w:sz w:val="20"/>
          <w:szCs w:val="20"/>
          <w:bdr w:val="none" w:sz="0" w:space="0" w:color="auto" w:frame="1"/>
        </w:rPr>
        <w:t> (Accessed 10 September 2021). </w:t>
      </w:r>
    </w:p>
  </w:footnote>
  <w:footnote w:id="5">
    <w:p w:rsidR="00B608D0" w:rsidRPr="005A3730" w:rsidRDefault="00B608D0">
      <w:pPr>
        <w:pStyle w:val="FootnoteText"/>
        <w:rPr>
          <w:rFonts w:ascii="Cambria" w:hAnsi="Cambria"/>
          <w:sz w:val="20"/>
          <w:szCs w:val="20"/>
        </w:rPr>
      </w:pPr>
      <w:r w:rsidRPr="005A3730">
        <w:rPr>
          <w:rStyle w:val="FootnoteReference"/>
          <w:rFonts w:ascii="Cambria" w:hAnsi="Cambria"/>
          <w:sz w:val="20"/>
          <w:szCs w:val="20"/>
        </w:rPr>
        <w:footnoteRef/>
      </w:r>
      <w:r w:rsidRPr="005A3730">
        <w:rPr>
          <w:rFonts w:ascii="Cambria" w:hAnsi="Cambria"/>
          <w:sz w:val="20"/>
          <w:szCs w:val="20"/>
        </w:rPr>
        <w:t xml:space="preserve"> </w:t>
      </w:r>
      <w:r w:rsidRPr="005A3730">
        <w:rPr>
          <w:rFonts w:ascii="Cambria" w:hAnsi="Cambria"/>
          <w:color w:val="000000"/>
          <w:sz w:val="20"/>
          <w:szCs w:val="20"/>
          <w:bdr w:val="none" w:sz="0" w:space="0" w:color="auto" w:frame="1"/>
        </w:rPr>
        <w:t>Section 27B(1)(b) of the </w:t>
      </w:r>
      <w:r w:rsidRPr="005A3730">
        <w:rPr>
          <w:rFonts w:ascii="Cambria" w:hAnsi="Cambria"/>
          <w:i/>
          <w:iCs/>
          <w:color w:val="000000"/>
          <w:sz w:val="20"/>
          <w:szCs w:val="20"/>
          <w:bdr w:val="none" w:sz="0" w:space="0" w:color="auto" w:frame="1"/>
        </w:rPr>
        <w:t>Sentencing Act 1997</w:t>
      </w:r>
      <w:r w:rsidRPr="005A3730">
        <w:rPr>
          <w:rFonts w:ascii="Cambria" w:hAnsi="Cambria"/>
          <w:color w:val="000000"/>
          <w:sz w:val="20"/>
          <w:szCs w:val="20"/>
          <w:bdr w:val="none" w:sz="0" w:space="0" w:color="auto" w:frame="1"/>
        </w:rPr>
        <w:t> (Tas). </w:t>
      </w:r>
    </w:p>
  </w:footnote>
  <w:footnote w:id="6">
    <w:p w:rsidR="00B608D0" w:rsidRPr="005A3730" w:rsidRDefault="00B608D0">
      <w:pPr>
        <w:pStyle w:val="FootnoteText"/>
        <w:rPr>
          <w:rFonts w:ascii="Cambria" w:hAnsi="Cambria"/>
          <w:sz w:val="20"/>
          <w:szCs w:val="20"/>
        </w:rPr>
      </w:pPr>
      <w:r w:rsidRPr="005A3730">
        <w:rPr>
          <w:rStyle w:val="FootnoteReference"/>
          <w:rFonts w:ascii="Cambria" w:hAnsi="Cambria"/>
          <w:sz w:val="20"/>
          <w:szCs w:val="20"/>
        </w:rPr>
        <w:footnoteRef/>
      </w:r>
      <w:r w:rsidRPr="005A3730">
        <w:rPr>
          <w:rFonts w:ascii="Cambria" w:hAnsi="Cambria"/>
          <w:sz w:val="20"/>
          <w:szCs w:val="20"/>
        </w:rPr>
        <w:t xml:space="preserve"> </w:t>
      </w:r>
      <w:r w:rsidRPr="005A3730">
        <w:rPr>
          <w:rFonts w:ascii="Cambria" w:hAnsi="Cambria"/>
          <w:color w:val="000000"/>
          <w:sz w:val="20"/>
          <w:szCs w:val="20"/>
          <w:bdr w:val="none" w:sz="0" w:space="0" w:color="auto" w:frame="1"/>
        </w:rPr>
        <w:t>Section 27B(1)(c) of the </w:t>
      </w:r>
      <w:r w:rsidRPr="005A3730">
        <w:rPr>
          <w:rFonts w:ascii="Cambria" w:hAnsi="Cambria"/>
          <w:i/>
          <w:iCs/>
          <w:color w:val="000000"/>
          <w:sz w:val="20"/>
          <w:szCs w:val="20"/>
          <w:bdr w:val="none" w:sz="0" w:space="0" w:color="auto" w:frame="1"/>
        </w:rPr>
        <w:t>Sentencing Act 1997</w:t>
      </w:r>
      <w:r w:rsidRPr="005A3730">
        <w:rPr>
          <w:rFonts w:ascii="Cambria" w:hAnsi="Cambria"/>
          <w:color w:val="000000"/>
          <w:sz w:val="20"/>
          <w:szCs w:val="20"/>
          <w:bdr w:val="none" w:sz="0" w:space="0" w:color="auto" w:frame="1"/>
        </w:rPr>
        <w:t> (Tas). </w:t>
      </w:r>
    </w:p>
  </w:footnote>
  <w:footnote w:id="7">
    <w:p w:rsidR="00B608D0" w:rsidRPr="005A3730" w:rsidRDefault="00B608D0" w:rsidP="00B608D0">
      <w:pPr>
        <w:pStyle w:val="FootnoteText"/>
        <w:rPr>
          <w:rFonts w:ascii="Cambria" w:hAnsi="Cambria"/>
          <w:sz w:val="20"/>
          <w:szCs w:val="20"/>
        </w:rPr>
      </w:pPr>
      <w:r w:rsidRPr="005A3730">
        <w:rPr>
          <w:rStyle w:val="FootnoteReference"/>
          <w:rFonts w:ascii="Cambria" w:hAnsi="Cambria"/>
          <w:sz w:val="20"/>
          <w:szCs w:val="20"/>
        </w:rPr>
        <w:footnoteRef/>
      </w:r>
      <w:r w:rsidRPr="005A3730">
        <w:rPr>
          <w:rFonts w:ascii="Cambria" w:hAnsi="Cambria"/>
          <w:sz w:val="20"/>
          <w:szCs w:val="20"/>
        </w:rPr>
        <w:t xml:space="preserve"> Sentencing Advisory Council, </w:t>
      </w:r>
      <w:r w:rsidRPr="005A3730">
        <w:rPr>
          <w:rFonts w:ascii="Cambria" w:hAnsi="Cambria"/>
          <w:i/>
          <w:iCs/>
          <w:sz w:val="20"/>
          <w:szCs w:val="20"/>
        </w:rPr>
        <w:t>Phasing Out of Suspended Sentences</w:t>
      </w:r>
      <w:r w:rsidRPr="005A3730">
        <w:rPr>
          <w:rFonts w:ascii="Cambria" w:hAnsi="Cambria"/>
          <w:sz w:val="20"/>
          <w:szCs w:val="20"/>
        </w:rPr>
        <w:t xml:space="preserve"> (Final Report No. 6: March 2016) Recommendation 6. </w:t>
      </w:r>
    </w:p>
  </w:footnote>
  <w:footnote w:id="8">
    <w:p w:rsidR="00B608D0" w:rsidRPr="005A3730" w:rsidRDefault="00B608D0" w:rsidP="00B608D0">
      <w:pPr>
        <w:pStyle w:val="FootnoteText"/>
        <w:rPr>
          <w:rFonts w:ascii="Cambria" w:hAnsi="Cambria"/>
          <w:sz w:val="20"/>
          <w:szCs w:val="20"/>
        </w:rPr>
      </w:pPr>
      <w:r w:rsidRPr="005A3730">
        <w:rPr>
          <w:rStyle w:val="FootnoteReference"/>
          <w:rFonts w:ascii="Cambria" w:hAnsi="Cambria"/>
          <w:sz w:val="20"/>
          <w:szCs w:val="20"/>
        </w:rPr>
        <w:footnoteRef/>
      </w:r>
      <w:r w:rsidRPr="005A3730">
        <w:rPr>
          <w:rFonts w:ascii="Cambria" w:hAnsi="Cambria"/>
          <w:sz w:val="20"/>
          <w:szCs w:val="20"/>
        </w:rPr>
        <w:t xml:space="preserve"> Tasmania Law Reform Institute, </w:t>
      </w:r>
      <w:r w:rsidRPr="005A3730">
        <w:rPr>
          <w:rFonts w:ascii="Cambria" w:hAnsi="Cambria"/>
          <w:i/>
          <w:iCs/>
          <w:sz w:val="20"/>
          <w:szCs w:val="20"/>
        </w:rPr>
        <w:t>Responding to the Problem of Recidivist Drink Drivers</w:t>
      </w:r>
      <w:r w:rsidRPr="005A3730">
        <w:rPr>
          <w:rFonts w:ascii="Cambria" w:hAnsi="Cambria"/>
          <w:sz w:val="20"/>
          <w:szCs w:val="20"/>
        </w:rPr>
        <w:t xml:space="preserve"> (Final Report No. 24: March 2018) at 61. </w:t>
      </w:r>
    </w:p>
  </w:footnote>
  <w:footnote w:id="9">
    <w:p w:rsidR="00B608D0" w:rsidRPr="005A3730" w:rsidRDefault="00B608D0" w:rsidP="00B608D0">
      <w:pPr>
        <w:pStyle w:val="FootnoteText"/>
        <w:rPr>
          <w:rFonts w:ascii="Cambria" w:hAnsi="Cambria"/>
          <w:sz w:val="20"/>
          <w:szCs w:val="20"/>
        </w:rPr>
      </w:pPr>
      <w:r w:rsidRPr="005A3730">
        <w:rPr>
          <w:rStyle w:val="FootnoteReference"/>
          <w:rFonts w:ascii="Cambria" w:hAnsi="Cambria"/>
          <w:sz w:val="20"/>
          <w:szCs w:val="20"/>
        </w:rPr>
        <w:footnoteRef/>
      </w:r>
      <w:r w:rsidRPr="005A3730">
        <w:rPr>
          <w:rFonts w:ascii="Cambria" w:hAnsi="Cambria"/>
          <w:sz w:val="20"/>
          <w:szCs w:val="20"/>
        </w:rPr>
        <w:t xml:space="preserve"> Alcohol Tobacco and Other Drugs Council of Tasmania, </w:t>
      </w:r>
      <w:r w:rsidRPr="005A3730">
        <w:rPr>
          <w:rFonts w:ascii="Cambria" w:hAnsi="Cambria"/>
          <w:i/>
          <w:iCs/>
          <w:sz w:val="20"/>
          <w:szCs w:val="20"/>
        </w:rPr>
        <w:t>Strengthening Tasmania’s justice response to problematic alcohol and other drug use</w:t>
      </w:r>
      <w:r w:rsidRPr="005A3730">
        <w:rPr>
          <w:rFonts w:ascii="Cambria" w:hAnsi="Cambria"/>
          <w:sz w:val="20"/>
          <w:szCs w:val="20"/>
        </w:rPr>
        <w:t xml:space="preserve"> (September 2019). </w:t>
      </w:r>
    </w:p>
  </w:footnote>
  <w:footnote w:id="10">
    <w:p w:rsidR="00EA2A5A" w:rsidRDefault="00EA2A5A">
      <w:pPr>
        <w:pStyle w:val="FootnoteText"/>
      </w:pPr>
      <w:r w:rsidRPr="005A3730">
        <w:rPr>
          <w:rStyle w:val="FootnoteReference"/>
          <w:rFonts w:ascii="Cambria" w:hAnsi="Cambria"/>
          <w:sz w:val="20"/>
          <w:szCs w:val="20"/>
        </w:rPr>
        <w:footnoteRef/>
      </w:r>
      <w:r w:rsidRPr="005A3730">
        <w:rPr>
          <w:rFonts w:ascii="Cambria" w:hAnsi="Cambria"/>
          <w:sz w:val="20"/>
          <w:szCs w:val="20"/>
        </w:rPr>
        <w:t xml:space="preserve"> Part 3C(1C) of the </w:t>
      </w:r>
      <w:r w:rsidRPr="005A3730">
        <w:rPr>
          <w:rFonts w:ascii="Cambria" w:hAnsi="Cambria"/>
          <w:i/>
          <w:iCs/>
          <w:sz w:val="20"/>
          <w:szCs w:val="20"/>
        </w:rPr>
        <w:t>Sentencing Act 1991</w:t>
      </w:r>
      <w:r w:rsidRPr="005A3730">
        <w:rPr>
          <w:rFonts w:ascii="Cambria" w:hAnsi="Cambria"/>
          <w:sz w:val="20"/>
          <w:szCs w:val="20"/>
        </w:rPr>
        <w:t xml:space="preserve"> (Vic)</w:t>
      </w:r>
      <w:r w:rsidR="00A46B83" w:rsidRPr="005A3730">
        <w:rPr>
          <w:rFonts w:ascii="Cambria" w:hAnsi="Cambria"/>
          <w:sz w:val="20"/>
          <w:szCs w:val="20"/>
        </w:rPr>
        <w:t xml:space="preserve">; </w:t>
      </w:r>
      <w:r w:rsidR="003B1AF9" w:rsidRPr="005A3730">
        <w:rPr>
          <w:rFonts w:ascii="Cambria" w:hAnsi="Cambria"/>
          <w:sz w:val="20"/>
          <w:szCs w:val="20"/>
        </w:rPr>
        <w:t xml:space="preserve">Part 8A of the </w:t>
      </w:r>
      <w:r w:rsidR="003B1AF9" w:rsidRPr="005A3730">
        <w:rPr>
          <w:rFonts w:ascii="Cambria" w:hAnsi="Cambria"/>
          <w:i/>
          <w:iCs/>
          <w:sz w:val="20"/>
          <w:szCs w:val="20"/>
        </w:rPr>
        <w:t>Penalties and Sentences Act 1992</w:t>
      </w:r>
      <w:r w:rsidR="003B1AF9" w:rsidRPr="005A3730">
        <w:rPr>
          <w:rFonts w:ascii="Cambria" w:hAnsi="Cambria"/>
          <w:sz w:val="20"/>
          <w:szCs w:val="20"/>
        </w:rPr>
        <w:t xml:space="preserve"> (Qld)</w:t>
      </w:r>
      <w:r w:rsidR="003B1AF9">
        <w:rPr>
          <w:rFonts w:ascii="Cambria" w:hAnsi="Cambria"/>
          <w:sz w:val="20"/>
          <w:szCs w:val="20"/>
        </w:rPr>
        <w:t xml:space="preserve">; </w:t>
      </w:r>
      <w:r w:rsidR="00A46B83" w:rsidRPr="005A3730">
        <w:rPr>
          <w:rFonts w:ascii="Cambria" w:hAnsi="Cambria"/>
          <w:sz w:val="20"/>
          <w:szCs w:val="20"/>
        </w:rPr>
        <w:t xml:space="preserve">section 12A of the </w:t>
      </w:r>
      <w:r w:rsidR="00A46B83" w:rsidRPr="005A3730">
        <w:rPr>
          <w:rFonts w:ascii="Cambria" w:hAnsi="Cambria"/>
          <w:i/>
          <w:iCs/>
          <w:sz w:val="20"/>
          <w:szCs w:val="20"/>
        </w:rPr>
        <w:t>Crimes (Sentencing) Act 2005</w:t>
      </w:r>
      <w:r w:rsidR="00A46B83" w:rsidRPr="005A3730">
        <w:rPr>
          <w:rFonts w:ascii="Cambria" w:hAnsi="Cambria"/>
          <w:sz w:val="20"/>
          <w:szCs w:val="20"/>
        </w:rPr>
        <w:t xml:space="preserve"> (ACT).</w:t>
      </w:r>
      <w:r w:rsidR="00A46B83">
        <w:t xml:space="preserve">    </w:t>
      </w:r>
      <w:r>
        <w:t xml:space="preserve"> </w:t>
      </w:r>
    </w:p>
  </w:footnote>
  <w:footnote w:id="11">
    <w:p w:rsidR="007828FF" w:rsidRPr="00193034" w:rsidRDefault="007828FF" w:rsidP="007828FF">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As found in Tasmanian Law Reform Institute, </w:t>
      </w:r>
      <w:r w:rsidRPr="00335B76">
        <w:rPr>
          <w:rFonts w:ascii="Cambria" w:hAnsi="Cambria"/>
          <w:i/>
          <w:sz w:val="20"/>
          <w:szCs w:val="20"/>
        </w:rPr>
        <w:t>Responding to the Problem of Recidivist Drink Drivers</w:t>
      </w:r>
      <w:r w:rsidRPr="00335B76">
        <w:rPr>
          <w:rFonts w:ascii="Cambria" w:hAnsi="Cambria"/>
          <w:sz w:val="20"/>
          <w:szCs w:val="20"/>
        </w:rPr>
        <w:t xml:space="preserve"> (Issues Paper No 23) at 12-13. </w:t>
      </w:r>
    </w:p>
  </w:footnote>
  <w:footnote w:id="12">
    <w:p w:rsidR="004F7E31" w:rsidRPr="00193034" w:rsidRDefault="004F7E31">
      <w:pPr>
        <w:pStyle w:val="FootnoteText"/>
        <w:rPr>
          <w:rFonts w:ascii="Cambria" w:hAnsi="Cambria"/>
          <w:sz w:val="20"/>
          <w:szCs w:val="20"/>
        </w:rPr>
      </w:pPr>
      <w:r w:rsidRPr="00193034">
        <w:rPr>
          <w:rStyle w:val="FootnoteReference"/>
          <w:rFonts w:ascii="Cambria" w:hAnsi="Cambria"/>
          <w:sz w:val="20"/>
          <w:szCs w:val="20"/>
        </w:rPr>
        <w:footnoteRef/>
      </w:r>
      <w:r w:rsidRPr="00193034">
        <w:rPr>
          <w:rFonts w:ascii="Cambria" w:hAnsi="Cambria"/>
          <w:sz w:val="20"/>
          <w:szCs w:val="20"/>
        </w:rPr>
        <w:t xml:space="preserve"> Guy Barnett, ‘Increased cap for Court Mandated Diversion program’, </w:t>
      </w:r>
      <w:r w:rsidRPr="00193034">
        <w:rPr>
          <w:rFonts w:ascii="Cambria" w:hAnsi="Cambria"/>
          <w:i/>
          <w:iCs/>
          <w:sz w:val="20"/>
          <w:szCs w:val="20"/>
        </w:rPr>
        <w:t>Media Release</w:t>
      </w:r>
      <w:r w:rsidRPr="00193034">
        <w:rPr>
          <w:rFonts w:ascii="Cambria" w:hAnsi="Cambria"/>
          <w:sz w:val="20"/>
          <w:szCs w:val="20"/>
        </w:rPr>
        <w:t xml:space="preserve">, 7 June 2017. As found at </w:t>
      </w:r>
      <w:hyperlink r:id="rId2" w:history="1">
        <w:r w:rsidRPr="00193034">
          <w:rPr>
            <w:rStyle w:val="Hyperlink"/>
            <w:rFonts w:ascii="Cambria" w:hAnsi="Cambria"/>
            <w:sz w:val="20"/>
            <w:szCs w:val="20"/>
          </w:rPr>
          <w:t>https://www.premier.tas.gov.au/releases/increased_cap_for_court_mandated_diversion_program</w:t>
        </w:r>
      </w:hyperlink>
      <w:r w:rsidRPr="00193034">
        <w:rPr>
          <w:rFonts w:ascii="Cambria" w:hAnsi="Cambria"/>
          <w:sz w:val="20"/>
          <w:szCs w:val="20"/>
        </w:rPr>
        <w:t xml:space="preserve"> (accessed 4 October 2023). </w:t>
      </w:r>
    </w:p>
  </w:footnote>
  <w:footnote w:id="13">
    <w:p w:rsidR="00CF4287" w:rsidRDefault="00CF4287">
      <w:pPr>
        <w:pStyle w:val="FootnoteText"/>
      </w:pPr>
      <w:r w:rsidRPr="00193034">
        <w:rPr>
          <w:rStyle w:val="FootnoteReference"/>
          <w:rFonts w:ascii="Cambria" w:hAnsi="Cambria"/>
          <w:sz w:val="20"/>
          <w:szCs w:val="20"/>
        </w:rPr>
        <w:footnoteRef/>
      </w:r>
      <w:r w:rsidR="00193034" w:rsidRPr="00193034">
        <w:rPr>
          <w:rFonts w:ascii="Cambria" w:hAnsi="Cambria"/>
          <w:sz w:val="20"/>
          <w:szCs w:val="20"/>
        </w:rPr>
        <w:t xml:space="preserve"> </w:t>
      </w:r>
      <w:r w:rsidR="001848D3" w:rsidRPr="001848D3">
        <w:rPr>
          <w:rFonts w:ascii="Cambria" w:hAnsi="Cambria" w:cs="Arial"/>
          <w:color w:val="000000" w:themeColor="text1"/>
          <w:sz w:val="20"/>
          <w:szCs w:val="20"/>
        </w:rPr>
        <w:t>According to the</w:t>
      </w:r>
      <w:r w:rsidR="001848D3" w:rsidRPr="001848D3">
        <w:rPr>
          <w:rFonts w:ascii="Cambria" w:hAnsi="Cambria" w:cs="Arial"/>
          <w:color w:val="000000" w:themeColor="text1"/>
          <w:sz w:val="20"/>
          <w:szCs w:val="20"/>
        </w:rPr>
        <w:t xml:space="preserve"> Department of Justice’s </w:t>
      </w:r>
      <w:r w:rsidR="001848D3" w:rsidRPr="001848D3">
        <w:rPr>
          <w:rFonts w:ascii="Cambria" w:hAnsi="Cambria" w:cs="Arial"/>
          <w:i/>
          <w:iCs/>
          <w:color w:val="000000" w:themeColor="text1"/>
          <w:sz w:val="20"/>
          <w:szCs w:val="20"/>
        </w:rPr>
        <w:t>Annual Report 2020-21</w:t>
      </w:r>
      <w:r w:rsidR="001848D3" w:rsidRPr="001848D3">
        <w:rPr>
          <w:rFonts w:ascii="Cambria" w:hAnsi="Cambria" w:cs="Arial"/>
          <w:color w:val="000000" w:themeColor="text1"/>
          <w:sz w:val="20"/>
          <w:szCs w:val="20"/>
        </w:rPr>
        <w:t xml:space="preserve"> and </w:t>
      </w:r>
      <w:r w:rsidR="001848D3" w:rsidRPr="001848D3">
        <w:rPr>
          <w:rFonts w:ascii="Cambria" w:hAnsi="Cambria" w:cs="Arial"/>
          <w:i/>
          <w:iCs/>
          <w:color w:val="000000" w:themeColor="text1"/>
          <w:sz w:val="20"/>
          <w:szCs w:val="20"/>
        </w:rPr>
        <w:t>Annual Report 2021-22</w:t>
      </w:r>
      <w:r w:rsidR="001848D3" w:rsidRPr="001848D3">
        <w:rPr>
          <w:rFonts w:ascii="Cambria" w:hAnsi="Cambria" w:cs="Arial"/>
          <w:color w:val="000000" w:themeColor="text1"/>
          <w:sz w:val="20"/>
          <w:szCs w:val="20"/>
        </w:rPr>
        <w:t xml:space="preserve"> </w:t>
      </w:r>
      <w:r w:rsidR="001848D3" w:rsidRPr="001848D3">
        <w:rPr>
          <w:rFonts w:ascii="Cambria" w:hAnsi="Cambria" w:cs="Arial"/>
          <w:color w:val="000000" w:themeColor="text1"/>
          <w:sz w:val="20"/>
          <w:szCs w:val="20"/>
        </w:rPr>
        <w:t>there were 89 Drug Treatment Orders imposed in 2020-21 and 67 Drug Treatment Orders imposed in 2021-22</w:t>
      </w:r>
      <w:r w:rsidR="001848D3" w:rsidRPr="001848D3">
        <w:rPr>
          <w:rFonts w:ascii="Cambria" w:hAnsi="Cambria" w:cs="Arial"/>
          <w:color w:val="000000" w:themeColor="text1"/>
          <w:sz w:val="20"/>
          <w:szCs w:val="20"/>
        </w:rPr>
        <w:t>.</w:t>
      </w:r>
      <w:r w:rsidR="001848D3">
        <w:rPr>
          <w:rFonts w:ascii="Cambria" w:hAnsi="Cambria" w:cs="Arial"/>
          <w:color w:val="000000" w:themeColor="text1"/>
        </w:rPr>
        <w:t xml:space="preserve"> </w:t>
      </w:r>
    </w:p>
  </w:footnote>
  <w:footnote w:id="14">
    <w:p w:rsidR="001848D3" w:rsidRPr="00335B76" w:rsidRDefault="001848D3" w:rsidP="001848D3">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Australian Institute of Health and Welfare. </w:t>
      </w:r>
      <w:r w:rsidRPr="00335B76">
        <w:rPr>
          <w:rFonts w:ascii="Cambria" w:hAnsi="Cambria"/>
          <w:i/>
          <w:iCs/>
          <w:sz w:val="20"/>
          <w:szCs w:val="20"/>
        </w:rPr>
        <w:t>The health of Australia’s prisoners 2018</w:t>
      </w:r>
      <w:r w:rsidRPr="00335B76">
        <w:rPr>
          <w:rFonts w:ascii="Cambria" w:hAnsi="Cambria"/>
          <w:sz w:val="20"/>
          <w:szCs w:val="20"/>
        </w:rPr>
        <w:t xml:space="preserve"> (Canberra: 2019) </w:t>
      </w:r>
      <w:r>
        <w:rPr>
          <w:rFonts w:ascii="Cambria" w:hAnsi="Cambria"/>
          <w:sz w:val="20"/>
          <w:szCs w:val="20"/>
        </w:rPr>
        <w:t>a</w:t>
      </w:r>
      <w:r w:rsidRPr="00335B76">
        <w:rPr>
          <w:rFonts w:ascii="Cambria" w:hAnsi="Cambria"/>
          <w:sz w:val="20"/>
          <w:szCs w:val="20"/>
        </w:rPr>
        <w:t xml:space="preserve">t 101.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55E4C"/>
    <w:multiLevelType w:val="hybridMultilevel"/>
    <w:tmpl w:val="ACE6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D96C68"/>
    <w:multiLevelType w:val="hybridMultilevel"/>
    <w:tmpl w:val="F5E017D8"/>
    <w:lvl w:ilvl="0" w:tplc="6706BFF0">
      <w:start w:val="50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0B526C"/>
    <w:multiLevelType w:val="hybridMultilevel"/>
    <w:tmpl w:val="0BE806E2"/>
    <w:lvl w:ilvl="0" w:tplc="E61A0C3E">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324495">
    <w:abstractNumId w:val="1"/>
  </w:num>
  <w:num w:numId="2" w16cid:durableId="1064984785">
    <w:abstractNumId w:val="2"/>
  </w:num>
  <w:num w:numId="3" w16cid:durableId="108862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E5"/>
    <w:rsid w:val="00024572"/>
    <w:rsid w:val="00033CA6"/>
    <w:rsid w:val="00044A79"/>
    <w:rsid w:val="000E4CF0"/>
    <w:rsid w:val="0017397A"/>
    <w:rsid w:val="001774CC"/>
    <w:rsid w:val="001848D3"/>
    <w:rsid w:val="00193034"/>
    <w:rsid w:val="001A245E"/>
    <w:rsid w:val="00215FCE"/>
    <w:rsid w:val="00262533"/>
    <w:rsid w:val="002D0B6F"/>
    <w:rsid w:val="002D7E69"/>
    <w:rsid w:val="003476D4"/>
    <w:rsid w:val="0036735A"/>
    <w:rsid w:val="003B1AF9"/>
    <w:rsid w:val="003B7B51"/>
    <w:rsid w:val="004F7E31"/>
    <w:rsid w:val="005A3730"/>
    <w:rsid w:val="005A4091"/>
    <w:rsid w:val="005D43B8"/>
    <w:rsid w:val="0065045B"/>
    <w:rsid w:val="007828FF"/>
    <w:rsid w:val="00783BAF"/>
    <w:rsid w:val="00881502"/>
    <w:rsid w:val="0091445C"/>
    <w:rsid w:val="009558B7"/>
    <w:rsid w:val="00A035ED"/>
    <w:rsid w:val="00A46B83"/>
    <w:rsid w:val="00A832C5"/>
    <w:rsid w:val="00AB7151"/>
    <w:rsid w:val="00B608D0"/>
    <w:rsid w:val="00BF0D97"/>
    <w:rsid w:val="00C83509"/>
    <w:rsid w:val="00CF4287"/>
    <w:rsid w:val="00DA762E"/>
    <w:rsid w:val="00E21BE5"/>
    <w:rsid w:val="00EA2A5A"/>
    <w:rsid w:val="00EE23D7"/>
    <w:rsid w:val="00F26A66"/>
    <w:rsid w:val="00FB0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8B320AD"/>
  <w15:chartTrackingRefBased/>
  <w15:docId w15:val="{3D038F9C-422C-EF4C-921A-1A626E05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BE5"/>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BE5"/>
    <w:rPr>
      <w:color w:val="0563C1" w:themeColor="hyperlink"/>
      <w:u w:val="single"/>
    </w:rPr>
  </w:style>
  <w:style w:type="paragraph" w:styleId="ListParagraph">
    <w:name w:val="List Paragraph"/>
    <w:basedOn w:val="Normal"/>
    <w:uiPriority w:val="34"/>
    <w:qFormat/>
    <w:rsid w:val="00E21BE5"/>
    <w:pPr>
      <w:ind w:left="720"/>
      <w:contextualSpacing/>
    </w:p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E21BE5"/>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E21BE5"/>
    <w:rPr>
      <w:rFonts w:ascii="Times New Roman" w:eastAsia="Times New Roman" w:hAnsi="Times New Roman" w:cs="Times New Roman"/>
      <w:kern w:val="0"/>
      <w:lang w:eastAsia="en-GB"/>
      <w14:ligatures w14:val="none"/>
    </w:rPr>
  </w:style>
  <w:style w:type="character" w:styleId="FootnoteReference">
    <w:name w:val="footnote reference"/>
    <w:aliases w:val="Footnotes refss,Ref,de nota al pie"/>
    <w:basedOn w:val="DefaultParagraphFont"/>
    <w:unhideWhenUsed/>
    <w:qFormat/>
    <w:rsid w:val="00E21BE5"/>
    <w:rPr>
      <w:vertAlign w:val="superscript"/>
    </w:rPr>
  </w:style>
  <w:style w:type="paragraph" w:styleId="NormalWeb">
    <w:name w:val="Normal (Web)"/>
    <w:basedOn w:val="Normal"/>
    <w:uiPriority w:val="99"/>
    <w:unhideWhenUsed/>
    <w:rsid w:val="00E21BE5"/>
    <w:pPr>
      <w:spacing w:before="100" w:beforeAutospacing="1" w:after="100" w:afterAutospacing="1"/>
    </w:pPr>
  </w:style>
  <w:style w:type="paragraph" w:customStyle="1" w:styleId="xmsonormal">
    <w:name w:val="x_msonormal"/>
    <w:basedOn w:val="Normal"/>
    <w:rsid w:val="00E21BE5"/>
    <w:pPr>
      <w:spacing w:before="100" w:beforeAutospacing="1" w:after="100" w:afterAutospacing="1"/>
    </w:pPr>
  </w:style>
  <w:style w:type="character" w:customStyle="1" w:styleId="xcontentpasted0">
    <w:name w:val="x_contentpasted0"/>
    <w:basedOn w:val="DefaultParagraphFont"/>
    <w:rsid w:val="00E21BE5"/>
  </w:style>
  <w:style w:type="paragraph" w:styleId="NoSpacing">
    <w:name w:val="No Spacing"/>
    <w:uiPriority w:val="1"/>
    <w:qFormat/>
    <w:rsid w:val="00E21BE5"/>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4F7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3204">
      <w:bodyDiv w:val="1"/>
      <w:marLeft w:val="0"/>
      <w:marRight w:val="0"/>
      <w:marTop w:val="0"/>
      <w:marBottom w:val="0"/>
      <w:divBdr>
        <w:top w:val="none" w:sz="0" w:space="0" w:color="auto"/>
        <w:left w:val="none" w:sz="0" w:space="0" w:color="auto"/>
        <w:bottom w:val="none" w:sz="0" w:space="0" w:color="auto"/>
        <w:right w:val="none" w:sz="0" w:space="0" w:color="auto"/>
      </w:divBdr>
      <w:divsChild>
        <w:div w:id="1398045958">
          <w:marLeft w:val="0"/>
          <w:marRight w:val="0"/>
          <w:marTop w:val="0"/>
          <w:marBottom w:val="0"/>
          <w:divBdr>
            <w:top w:val="none" w:sz="0" w:space="0" w:color="auto"/>
            <w:left w:val="none" w:sz="0" w:space="0" w:color="auto"/>
            <w:bottom w:val="single" w:sz="8" w:space="1" w:color="auto"/>
            <w:right w:val="none" w:sz="0" w:space="0" w:color="auto"/>
          </w:divBdr>
        </w:div>
      </w:divsChild>
    </w:div>
    <w:div w:id="154080077">
      <w:bodyDiv w:val="1"/>
      <w:marLeft w:val="0"/>
      <w:marRight w:val="0"/>
      <w:marTop w:val="0"/>
      <w:marBottom w:val="0"/>
      <w:divBdr>
        <w:top w:val="none" w:sz="0" w:space="0" w:color="auto"/>
        <w:left w:val="none" w:sz="0" w:space="0" w:color="auto"/>
        <w:bottom w:val="none" w:sz="0" w:space="0" w:color="auto"/>
        <w:right w:val="none" w:sz="0" w:space="0" w:color="auto"/>
      </w:divBdr>
      <w:divsChild>
        <w:div w:id="814175707">
          <w:marLeft w:val="0"/>
          <w:marRight w:val="0"/>
          <w:marTop w:val="0"/>
          <w:marBottom w:val="0"/>
          <w:divBdr>
            <w:top w:val="none" w:sz="0" w:space="0" w:color="auto"/>
            <w:left w:val="none" w:sz="0" w:space="0" w:color="auto"/>
            <w:bottom w:val="none" w:sz="0" w:space="0" w:color="auto"/>
            <w:right w:val="none" w:sz="0" w:space="0" w:color="auto"/>
          </w:divBdr>
        </w:div>
        <w:div w:id="1252860575">
          <w:marLeft w:val="0"/>
          <w:marRight w:val="0"/>
          <w:marTop w:val="0"/>
          <w:marBottom w:val="0"/>
          <w:divBdr>
            <w:top w:val="none" w:sz="0" w:space="0" w:color="auto"/>
            <w:left w:val="none" w:sz="0" w:space="0" w:color="auto"/>
            <w:bottom w:val="none" w:sz="0" w:space="0" w:color="auto"/>
            <w:right w:val="none" w:sz="0" w:space="0" w:color="auto"/>
          </w:divBdr>
        </w:div>
        <w:div w:id="921259642">
          <w:marLeft w:val="0"/>
          <w:marRight w:val="0"/>
          <w:marTop w:val="0"/>
          <w:marBottom w:val="0"/>
          <w:divBdr>
            <w:top w:val="none" w:sz="0" w:space="0" w:color="auto"/>
            <w:left w:val="none" w:sz="0" w:space="0" w:color="auto"/>
            <w:bottom w:val="none" w:sz="0" w:space="0" w:color="auto"/>
            <w:right w:val="none" w:sz="0" w:space="0" w:color="auto"/>
          </w:divBdr>
        </w:div>
        <w:div w:id="913977852">
          <w:marLeft w:val="0"/>
          <w:marRight w:val="0"/>
          <w:marTop w:val="0"/>
          <w:marBottom w:val="0"/>
          <w:divBdr>
            <w:top w:val="none" w:sz="0" w:space="0" w:color="auto"/>
            <w:left w:val="none" w:sz="0" w:space="0" w:color="auto"/>
            <w:bottom w:val="none" w:sz="0" w:space="0" w:color="auto"/>
            <w:right w:val="none" w:sz="0" w:space="0" w:color="auto"/>
          </w:divBdr>
        </w:div>
        <w:div w:id="820387559">
          <w:marLeft w:val="0"/>
          <w:marRight w:val="0"/>
          <w:marTop w:val="0"/>
          <w:marBottom w:val="0"/>
          <w:divBdr>
            <w:top w:val="none" w:sz="0" w:space="0" w:color="auto"/>
            <w:left w:val="none" w:sz="0" w:space="0" w:color="auto"/>
            <w:bottom w:val="none" w:sz="0" w:space="0" w:color="auto"/>
            <w:right w:val="none" w:sz="0" w:space="0" w:color="auto"/>
          </w:divBdr>
        </w:div>
        <w:div w:id="303462655">
          <w:marLeft w:val="0"/>
          <w:marRight w:val="0"/>
          <w:marTop w:val="0"/>
          <w:marBottom w:val="0"/>
          <w:divBdr>
            <w:top w:val="none" w:sz="0" w:space="0" w:color="auto"/>
            <w:left w:val="none" w:sz="0" w:space="0" w:color="auto"/>
            <w:bottom w:val="none" w:sz="0" w:space="0" w:color="auto"/>
            <w:right w:val="none" w:sz="0" w:space="0" w:color="auto"/>
          </w:divBdr>
        </w:div>
        <w:div w:id="164638401">
          <w:marLeft w:val="0"/>
          <w:marRight w:val="0"/>
          <w:marTop w:val="0"/>
          <w:marBottom w:val="0"/>
          <w:divBdr>
            <w:top w:val="none" w:sz="0" w:space="0" w:color="auto"/>
            <w:left w:val="none" w:sz="0" w:space="0" w:color="auto"/>
            <w:bottom w:val="none" w:sz="0" w:space="0" w:color="auto"/>
            <w:right w:val="none" w:sz="0" w:space="0" w:color="auto"/>
          </w:divBdr>
        </w:div>
        <w:div w:id="67006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remier.tas.gov.au/releases/increased_cap_for_court_mandated_diversion_program" TargetMode="External"/><Relationship Id="rId1" Type="http://schemas.openxmlformats.org/officeDocument/2006/relationships/hyperlink" Target="https://www.justice.tas.gov.au/communitycorrections/court_mandated_diversion/intent_of_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2023-10-08T01:11:00Z</cp:lastPrinted>
  <dcterms:created xsi:type="dcterms:W3CDTF">2023-10-02T19:08:00Z</dcterms:created>
  <dcterms:modified xsi:type="dcterms:W3CDTF">2023-10-08T01:11:00Z</dcterms:modified>
</cp:coreProperties>
</file>