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72F7" w:rsidRPr="00404F7A" w:rsidRDefault="003B72F7" w:rsidP="003B72F7">
      <w:pPr>
        <w:ind w:right="-205"/>
        <w:jc w:val="center"/>
        <w:rPr>
          <w:rFonts w:ascii="Cambria" w:hAnsi="Cambria"/>
          <w:color w:val="000000" w:themeColor="text1"/>
          <w:sz w:val="23"/>
          <w:szCs w:val="23"/>
        </w:rPr>
      </w:pPr>
      <w:r w:rsidRPr="00BC0D6B">
        <w:rPr>
          <w:rFonts w:asciiTheme="minorHAnsi" w:hAnsiTheme="minorHAnsi"/>
          <w:noProof/>
          <w:sz w:val="20"/>
          <w:szCs w:val="20"/>
          <w:lang w:val="en-US" w:eastAsia="en-US"/>
        </w:rPr>
        <w:drawing>
          <wp:inline distT="0" distB="0" distL="0" distR="0" wp14:anchorId="0EC3D3A5" wp14:editId="099B0BCE">
            <wp:extent cx="3235960" cy="1099476"/>
            <wp:effectExtent l="0" t="0" r="0" b="0"/>
            <wp:docPr id="7"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7972" cy="1100160"/>
                    </a:xfrm>
                    <a:prstGeom prst="rect">
                      <a:avLst/>
                    </a:prstGeom>
                    <a:noFill/>
                    <a:ln>
                      <a:noFill/>
                    </a:ln>
                  </pic:spPr>
                </pic:pic>
              </a:graphicData>
            </a:graphic>
          </wp:inline>
        </w:drawing>
      </w:r>
    </w:p>
    <w:p w:rsidR="003B72F7" w:rsidRPr="00AF136E" w:rsidRDefault="003B72F7" w:rsidP="003B72F7">
      <w:pPr>
        <w:ind w:right="-205"/>
        <w:jc w:val="both"/>
        <w:rPr>
          <w:rFonts w:ascii="Cambria" w:hAnsi="Cambria"/>
          <w:color w:val="000000" w:themeColor="text1"/>
        </w:rPr>
      </w:pPr>
    </w:p>
    <w:p w:rsidR="003B72F7" w:rsidRPr="00AF136E" w:rsidRDefault="003B72F7" w:rsidP="003B72F7">
      <w:pPr>
        <w:ind w:right="-205"/>
        <w:jc w:val="both"/>
        <w:rPr>
          <w:rFonts w:ascii="Cambria" w:hAnsi="Cambria"/>
          <w:color w:val="000000" w:themeColor="text1"/>
        </w:rPr>
      </w:pPr>
    </w:p>
    <w:p w:rsidR="003B72F7" w:rsidRPr="00AF136E" w:rsidRDefault="00863323" w:rsidP="003B72F7">
      <w:pPr>
        <w:ind w:right="-205"/>
        <w:jc w:val="both"/>
        <w:rPr>
          <w:rFonts w:ascii="Cambria" w:hAnsi="Cambria"/>
          <w:color w:val="000000" w:themeColor="text1"/>
        </w:rPr>
      </w:pPr>
      <w:r>
        <w:rPr>
          <w:rFonts w:ascii="Cambria" w:hAnsi="Cambria"/>
          <w:color w:val="000000" w:themeColor="text1"/>
        </w:rPr>
        <w:t>22 September 2023</w:t>
      </w:r>
    </w:p>
    <w:p w:rsidR="003B72F7" w:rsidRPr="00AF136E" w:rsidRDefault="003B72F7" w:rsidP="003B72F7">
      <w:pPr>
        <w:ind w:right="-347"/>
        <w:rPr>
          <w:rFonts w:ascii="Cambria" w:hAnsi="Cambria"/>
          <w:color w:val="000000" w:themeColor="text1"/>
        </w:rPr>
      </w:pPr>
    </w:p>
    <w:p w:rsidR="003B72F7" w:rsidRDefault="003B72F7" w:rsidP="003B72F7">
      <w:pPr>
        <w:ind w:right="-347"/>
        <w:rPr>
          <w:rFonts w:ascii="Cambria" w:hAnsi="Cambria"/>
          <w:color w:val="000000" w:themeColor="text1"/>
        </w:rPr>
      </w:pPr>
      <w:r>
        <w:rPr>
          <w:rFonts w:ascii="Cambria" w:hAnsi="Cambria"/>
          <w:color w:val="000000" w:themeColor="text1"/>
        </w:rPr>
        <w:t>Department of Justice</w:t>
      </w:r>
    </w:p>
    <w:p w:rsidR="003B72F7" w:rsidRDefault="003B72F7" w:rsidP="003B72F7">
      <w:pPr>
        <w:ind w:right="-347"/>
        <w:rPr>
          <w:rFonts w:ascii="Cambria" w:hAnsi="Cambria"/>
          <w:color w:val="000000" w:themeColor="text1"/>
        </w:rPr>
      </w:pPr>
      <w:r>
        <w:rPr>
          <w:rFonts w:ascii="Cambria" w:hAnsi="Cambria"/>
          <w:color w:val="000000" w:themeColor="text1"/>
        </w:rPr>
        <w:t>Office of the Secretary</w:t>
      </w:r>
    </w:p>
    <w:p w:rsidR="003B72F7" w:rsidRDefault="003B72F7" w:rsidP="003B72F7">
      <w:pPr>
        <w:ind w:right="-347"/>
        <w:rPr>
          <w:rFonts w:ascii="Cambria" w:hAnsi="Cambria"/>
          <w:color w:val="000000" w:themeColor="text1"/>
        </w:rPr>
      </w:pPr>
      <w:r>
        <w:rPr>
          <w:rFonts w:ascii="Cambria" w:hAnsi="Cambria"/>
          <w:color w:val="000000" w:themeColor="text1"/>
        </w:rPr>
        <w:t>GPO Box 825</w:t>
      </w:r>
    </w:p>
    <w:p w:rsidR="003B72F7" w:rsidRPr="00AF136E" w:rsidRDefault="003B72F7" w:rsidP="003B72F7">
      <w:pPr>
        <w:ind w:right="-347"/>
        <w:rPr>
          <w:rFonts w:ascii="Cambria" w:hAnsi="Cambria"/>
          <w:color w:val="000000" w:themeColor="text1"/>
        </w:rPr>
      </w:pPr>
      <w:r>
        <w:rPr>
          <w:rFonts w:ascii="Cambria" w:hAnsi="Cambria"/>
          <w:color w:val="000000" w:themeColor="text1"/>
        </w:rPr>
        <w:t>Hobart TAS 7001</w:t>
      </w:r>
      <w:r w:rsidRPr="00AF136E">
        <w:rPr>
          <w:rFonts w:ascii="Cambria" w:hAnsi="Cambria"/>
          <w:color w:val="000000" w:themeColor="text1"/>
        </w:rPr>
        <w:tab/>
      </w:r>
      <w:r w:rsidRPr="00AF136E">
        <w:rPr>
          <w:rFonts w:ascii="Cambria" w:hAnsi="Cambria"/>
          <w:color w:val="000000" w:themeColor="text1"/>
        </w:rPr>
        <w:tab/>
      </w:r>
      <w:r w:rsidRPr="00AF136E">
        <w:rPr>
          <w:rFonts w:ascii="Cambria" w:hAnsi="Cambria"/>
          <w:color w:val="000000" w:themeColor="text1"/>
        </w:rPr>
        <w:tab/>
      </w:r>
    </w:p>
    <w:p w:rsidR="003B72F7" w:rsidRPr="00AF136E" w:rsidRDefault="003B72F7" w:rsidP="003B72F7">
      <w:pPr>
        <w:ind w:left="1440" w:right="-347" w:firstLine="720"/>
        <w:rPr>
          <w:rFonts w:ascii="Cambria" w:hAnsi="Cambria"/>
          <w:color w:val="000000" w:themeColor="text1"/>
        </w:rPr>
      </w:pPr>
      <w:r w:rsidRPr="00AF136E">
        <w:rPr>
          <w:rFonts w:ascii="Cambria" w:hAnsi="Cambria"/>
          <w:i/>
          <w:iCs/>
          <w:color w:val="000000" w:themeColor="text1"/>
        </w:rPr>
        <w:t xml:space="preserve">via email: </w:t>
      </w:r>
      <w:hyperlink r:id="rId8" w:history="1">
        <w:r w:rsidRPr="004D21A0">
          <w:rPr>
            <w:rStyle w:val="Hyperlink"/>
            <w:rFonts w:ascii="Cambria" w:eastAsiaTheme="majorEastAsia" w:hAnsi="Cambria"/>
            <w:i/>
            <w:iCs/>
          </w:rPr>
          <w:t>haveyoursay@justice.tas.gov.au</w:t>
        </w:r>
      </w:hyperlink>
      <w:r w:rsidRPr="00AF136E">
        <w:rPr>
          <w:rFonts w:ascii="Cambria" w:hAnsi="Cambria"/>
          <w:i/>
          <w:iCs/>
          <w:color w:val="000000" w:themeColor="text1"/>
        </w:rPr>
        <w:t xml:space="preserve">  </w:t>
      </w:r>
    </w:p>
    <w:p w:rsidR="003B72F7" w:rsidRPr="00AF136E" w:rsidRDefault="003B72F7" w:rsidP="003B72F7">
      <w:pPr>
        <w:ind w:right="-347"/>
        <w:rPr>
          <w:rFonts w:ascii="Cambria" w:hAnsi="Cambria"/>
          <w:color w:val="000000" w:themeColor="text1"/>
        </w:rPr>
      </w:pPr>
    </w:p>
    <w:p w:rsidR="003B72F7" w:rsidRPr="003020EF" w:rsidRDefault="003B72F7" w:rsidP="003B72F7">
      <w:pPr>
        <w:ind w:right="-347"/>
        <w:rPr>
          <w:rFonts w:ascii="Cambria" w:hAnsi="Cambria"/>
          <w:color w:val="000000" w:themeColor="text1"/>
        </w:rPr>
      </w:pPr>
      <w:r w:rsidRPr="003020EF">
        <w:rPr>
          <w:rFonts w:ascii="Cambria" w:hAnsi="Cambria"/>
          <w:color w:val="000000" w:themeColor="text1"/>
        </w:rPr>
        <w:t>To the Department of Justice,  </w:t>
      </w:r>
    </w:p>
    <w:p w:rsidR="003B72F7" w:rsidRPr="003020EF" w:rsidRDefault="003B72F7" w:rsidP="003B72F7">
      <w:pPr>
        <w:pBdr>
          <w:bottom w:val="single" w:sz="6" w:space="1" w:color="auto"/>
        </w:pBdr>
        <w:jc w:val="both"/>
        <w:rPr>
          <w:rFonts w:ascii="Cambria" w:hAnsi="Cambria"/>
          <w:b/>
          <w:color w:val="000000" w:themeColor="text1"/>
        </w:rPr>
      </w:pPr>
      <w:r w:rsidRPr="003020EF">
        <w:rPr>
          <w:rFonts w:ascii="Cambria" w:hAnsi="Cambria"/>
          <w:b/>
          <w:color w:val="000000" w:themeColor="text1"/>
        </w:rPr>
        <w:t xml:space="preserve">Re: </w:t>
      </w:r>
      <w:r w:rsidRPr="003020EF">
        <w:rPr>
          <w:rFonts w:ascii="Cambria" w:hAnsi="Cambria"/>
          <w:b/>
          <w:bCs/>
          <w:i/>
          <w:iCs/>
          <w:color w:val="000000" w:themeColor="text1"/>
        </w:rPr>
        <w:t>Expungement of Historical Offences Amendment Bill 2023</w:t>
      </w:r>
    </w:p>
    <w:p w:rsidR="003B72F7" w:rsidRPr="003020EF" w:rsidRDefault="003B72F7" w:rsidP="003B72F7">
      <w:pPr>
        <w:ind w:right="-64"/>
        <w:jc w:val="both"/>
        <w:rPr>
          <w:rFonts w:ascii="Cambria" w:hAnsi="Cambria"/>
          <w:color w:val="000000" w:themeColor="text1"/>
        </w:rPr>
      </w:pPr>
    </w:p>
    <w:p w:rsidR="0037662C" w:rsidRPr="003020EF" w:rsidRDefault="003B72F7" w:rsidP="00F70659">
      <w:pPr>
        <w:ind w:right="-347"/>
        <w:jc w:val="both"/>
        <w:rPr>
          <w:rFonts w:ascii="Cambria" w:hAnsi="Cambria"/>
          <w:iCs/>
          <w:color w:val="000000" w:themeColor="text1"/>
        </w:rPr>
      </w:pPr>
      <w:r w:rsidRPr="003020EF">
        <w:rPr>
          <w:rFonts w:ascii="Cambria" w:hAnsi="Cambria" w:cs="Calibri"/>
          <w:color w:val="000000" w:themeColor="text1"/>
        </w:rPr>
        <w:t>Community Legal Centres Tasmania (CLC Tas)</w:t>
      </w:r>
      <w:r w:rsidRPr="003020EF">
        <w:rPr>
          <w:rFonts w:ascii="Cambria" w:hAnsi="Cambria"/>
          <w:color w:val="000000" w:themeColor="text1"/>
        </w:rPr>
        <w:t xml:space="preserve"> welcomes the opportunity to provide comment on the </w:t>
      </w:r>
      <w:r w:rsidRPr="003020EF">
        <w:rPr>
          <w:rFonts w:ascii="Cambria" w:hAnsi="Cambria"/>
          <w:i/>
          <w:iCs/>
          <w:color w:val="000000" w:themeColor="text1"/>
        </w:rPr>
        <w:t>Expungement of Historical Offences Amendment Bill 2023</w:t>
      </w:r>
      <w:r w:rsidR="003E423E" w:rsidRPr="003020EF">
        <w:rPr>
          <w:rFonts w:ascii="Cambria" w:hAnsi="Cambria"/>
          <w:iCs/>
          <w:color w:val="000000" w:themeColor="text1"/>
        </w:rPr>
        <w:t xml:space="preserve"> (‘the Bill’)</w:t>
      </w:r>
      <w:r w:rsidR="00863323" w:rsidRPr="003020EF">
        <w:rPr>
          <w:rFonts w:ascii="Cambria" w:hAnsi="Cambria"/>
          <w:iCs/>
          <w:color w:val="000000" w:themeColor="text1"/>
        </w:rPr>
        <w:t>.</w:t>
      </w:r>
      <w:r w:rsidRPr="003020EF">
        <w:rPr>
          <w:rStyle w:val="FootnoteReference"/>
          <w:rFonts w:ascii="Cambria" w:hAnsi="Cambria"/>
          <w:iCs/>
          <w:color w:val="000000" w:themeColor="text1"/>
        </w:rPr>
        <w:footnoteReference w:id="1"/>
      </w:r>
      <w:r w:rsidR="00863323" w:rsidRPr="003020EF">
        <w:rPr>
          <w:rFonts w:ascii="Cambria" w:hAnsi="Cambria"/>
          <w:iCs/>
          <w:color w:val="000000" w:themeColor="text1"/>
        </w:rPr>
        <w:t xml:space="preserve"> The Bill is informed by</w:t>
      </w:r>
      <w:r w:rsidR="0037662C" w:rsidRPr="003020EF">
        <w:rPr>
          <w:rFonts w:ascii="Cambria" w:hAnsi="Cambria"/>
          <w:iCs/>
          <w:color w:val="000000" w:themeColor="text1"/>
        </w:rPr>
        <w:t xml:space="preserve"> </w:t>
      </w:r>
      <w:r w:rsidR="00863323" w:rsidRPr="003020EF">
        <w:rPr>
          <w:rFonts w:ascii="Cambria" w:hAnsi="Cambria" w:cs="Segoe UI"/>
          <w:color w:val="000000" w:themeColor="text1"/>
          <w:shd w:val="clear" w:color="auto" w:fill="FFFFFF"/>
        </w:rPr>
        <w:t>the</w:t>
      </w:r>
      <w:r w:rsidR="0037662C" w:rsidRPr="003020EF">
        <w:rPr>
          <w:rFonts w:ascii="Cambria" w:hAnsi="Cambria" w:cs="Segoe UI"/>
          <w:color w:val="000000" w:themeColor="text1"/>
          <w:shd w:val="clear" w:color="auto" w:fill="FFFFFF"/>
        </w:rPr>
        <w:t xml:space="preserve"> statutory review of the Act titled the</w:t>
      </w:r>
      <w:r w:rsidR="00863323" w:rsidRPr="003020EF">
        <w:rPr>
          <w:rFonts w:ascii="Cambria" w:hAnsi="Cambria" w:cs="Segoe UI"/>
          <w:color w:val="000000" w:themeColor="text1"/>
          <w:shd w:val="clear" w:color="auto" w:fill="FFFFFF"/>
        </w:rPr>
        <w:t> </w:t>
      </w:r>
      <w:r w:rsidR="00863323" w:rsidRPr="003020EF">
        <w:rPr>
          <w:rStyle w:val="xcontentpasted0"/>
          <w:rFonts w:ascii="Cambria" w:hAnsi="Cambria"/>
          <w:i/>
          <w:iCs/>
          <w:color w:val="000000" w:themeColor="text1"/>
          <w:bdr w:val="none" w:sz="0" w:space="0" w:color="auto" w:frame="1"/>
        </w:rPr>
        <w:t>Independent Review of Expungement of Historical Offences Act 2017</w:t>
      </w:r>
      <w:r w:rsidR="00863323" w:rsidRPr="003020EF">
        <w:rPr>
          <w:rStyle w:val="xcontentpasted0"/>
          <w:rFonts w:ascii="Cambria" w:hAnsi="Cambria" w:cs="Arial"/>
          <w:color w:val="000000" w:themeColor="text1"/>
          <w:bdr w:val="none" w:sz="0" w:space="0" w:color="auto" w:frame="1"/>
        </w:rPr>
        <w:t> (‘the Independent Review’)</w:t>
      </w:r>
      <w:r w:rsidR="00863323" w:rsidRPr="003020EF">
        <w:rPr>
          <w:rFonts w:ascii="Cambria" w:hAnsi="Cambria" w:cs="Segoe UI"/>
          <w:color w:val="000000" w:themeColor="text1"/>
          <w:shd w:val="clear" w:color="auto" w:fill="FFFFFF"/>
        </w:rPr>
        <w:t xml:space="preserve"> which made a number of recommendations. </w:t>
      </w:r>
      <w:r w:rsidR="00863323" w:rsidRPr="003020EF">
        <w:rPr>
          <w:rStyle w:val="xcontentpasted0"/>
          <w:rFonts w:ascii="Cambria" w:hAnsi="Cambria" w:cs="Arial"/>
          <w:color w:val="000000" w:themeColor="text1"/>
          <w:bdr w:val="none" w:sz="0" w:space="0" w:color="auto" w:frame="1"/>
        </w:rPr>
        <w:t>Of the recommendations that do not require legislative amendment</w:t>
      </w:r>
      <w:r w:rsidR="00863323" w:rsidRPr="003020EF">
        <w:rPr>
          <w:rStyle w:val="FootnoteReference"/>
          <w:rFonts w:ascii="Cambria" w:hAnsi="Cambria" w:cs="Arial"/>
          <w:color w:val="000000" w:themeColor="text1"/>
          <w:bdr w:val="none" w:sz="0" w:space="0" w:color="auto" w:frame="1"/>
        </w:rPr>
        <w:footnoteReference w:id="2"/>
      </w:r>
      <w:r w:rsidR="00863323" w:rsidRPr="003020EF">
        <w:rPr>
          <w:rStyle w:val="xcontentpasted0"/>
          <w:rFonts w:ascii="Cambria" w:hAnsi="Cambria"/>
          <w:color w:val="000000" w:themeColor="text1"/>
          <w:bdr w:val="none" w:sz="0" w:space="0" w:color="auto" w:frame="1"/>
        </w:rPr>
        <w:t> we encourage the Government to implement them as soon as possible to ensure both a more streamlined process and greater promotion of the scheme. </w:t>
      </w:r>
      <w:r w:rsidR="00863323" w:rsidRPr="003020EF">
        <w:rPr>
          <w:rFonts w:ascii="Cambria" w:hAnsi="Cambria" w:cs="Arial"/>
          <w:color w:val="000000" w:themeColor="text1"/>
          <w:bdr w:val="none" w:sz="0" w:space="0" w:color="auto" w:frame="1"/>
        </w:rPr>
        <w:t> </w:t>
      </w:r>
    </w:p>
    <w:p w:rsidR="0037662C" w:rsidRPr="003020EF" w:rsidRDefault="0037662C" w:rsidP="00F70659">
      <w:pPr>
        <w:ind w:right="-347"/>
        <w:jc w:val="both"/>
        <w:rPr>
          <w:rFonts w:ascii="Cambria" w:hAnsi="Cambria"/>
          <w:iCs/>
          <w:color w:val="000000" w:themeColor="text1"/>
        </w:rPr>
      </w:pPr>
    </w:p>
    <w:p w:rsidR="00F70659" w:rsidRPr="003020EF" w:rsidRDefault="003B72F7" w:rsidP="00F70659">
      <w:pPr>
        <w:ind w:right="-347"/>
        <w:jc w:val="both"/>
        <w:rPr>
          <w:rFonts w:ascii="Cambria" w:hAnsi="Cambria"/>
          <w:iCs/>
          <w:color w:val="000000" w:themeColor="text1"/>
        </w:rPr>
      </w:pPr>
      <w:r w:rsidRPr="003020EF">
        <w:rPr>
          <w:rFonts w:ascii="Cambria" w:hAnsi="Cambria" w:cs="Arial"/>
          <w:color w:val="000000" w:themeColor="text1"/>
        </w:rPr>
        <w:t xml:space="preserve">CLC Tas is the peak body representing the interests of nine community legal centres (CLCs) located throughout Tasmania. We are a member-based, independent, not-for-profit and incorporated organisation that advocates for law reform on a range of public interest matters aimed at improving access to justice, reducing discrimination and protecting and promoting human rights. </w:t>
      </w:r>
    </w:p>
    <w:p w:rsidR="003E423E" w:rsidRPr="003020EF" w:rsidRDefault="003E423E" w:rsidP="00F70659">
      <w:pPr>
        <w:ind w:right="-347"/>
        <w:jc w:val="both"/>
        <w:rPr>
          <w:rFonts w:ascii="Cambria" w:hAnsi="Cambria" w:cs="Arial"/>
          <w:color w:val="000000" w:themeColor="text1"/>
        </w:rPr>
      </w:pPr>
    </w:p>
    <w:p w:rsidR="0037662C" w:rsidRPr="003020EF" w:rsidRDefault="003E423E" w:rsidP="00863323">
      <w:pPr>
        <w:ind w:right="-347"/>
        <w:jc w:val="both"/>
        <w:rPr>
          <w:rStyle w:val="xcontentpasted0"/>
          <w:rFonts w:ascii="Cambria" w:hAnsi="Cambria"/>
          <w:color w:val="000000" w:themeColor="text1"/>
          <w:bdr w:val="none" w:sz="0" w:space="0" w:color="auto" w:frame="1"/>
        </w:rPr>
      </w:pPr>
      <w:r w:rsidRPr="003020EF">
        <w:rPr>
          <w:rStyle w:val="xcontentpasted0"/>
          <w:rFonts w:ascii="Cambria" w:hAnsi="Cambria"/>
          <w:color w:val="000000" w:themeColor="text1"/>
          <w:bdr w:val="none" w:sz="0" w:space="0" w:color="auto" w:frame="1"/>
        </w:rPr>
        <w:t>In</w:t>
      </w:r>
      <w:r w:rsidR="00B22C78">
        <w:rPr>
          <w:rStyle w:val="xcontentpasted0"/>
          <w:rFonts w:ascii="Cambria" w:hAnsi="Cambria"/>
          <w:color w:val="000000" w:themeColor="text1"/>
          <w:bdr w:val="none" w:sz="0" w:space="0" w:color="auto" w:frame="1"/>
        </w:rPr>
        <w:t xml:space="preserve"> 2017</w:t>
      </w:r>
      <w:r w:rsidRPr="003020EF">
        <w:rPr>
          <w:rStyle w:val="xcontentpasted0"/>
          <w:rFonts w:ascii="Cambria" w:hAnsi="Cambria"/>
          <w:color w:val="000000" w:themeColor="text1"/>
          <w:bdr w:val="none" w:sz="0" w:space="0" w:color="auto" w:frame="1"/>
        </w:rPr>
        <w:t>, Tasmania</w:t>
      </w:r>
      <w:r w:rsidR="00E61382" w:rsidRPr="003020EF">
        <w:rPr>
          <w:rStyle w:val="xcontentpasted0"/>
          <w:rFonts w:ascii="Cambria" w:hAnsi="Cambria"/>
          <w:color w:val="000000" w:themeColor="text1"/>
          <w:bdr w:val="none" w:sz="0" w:space="0" w:color="auto" w:frame="1"/>
        </w:rPr>
        <w:t xml:space="preserve"> passed </w:t>
      </w:r>
      <w:r w:rsidRPr="003020EF">
        <w:rPr>
          <w:rStyle w:val="xcontentpasted0"/>
          <w:rFonts w:ascii="Cambria" w:hAnsi="Cambria"/>
          <w:color w:val="000000" w:themeColor="text1"/>
          <w:bdr w:val="none" w:sz="0" w:space="0" w:color="auto" w:frame="1"/>
        </w:rPr>
        <w:t>the</w:t>
      </w:r>
      <w:r w:rsidR="00E61382" w:rsidRPr="003020EF">
        <w:rPr>
          <w:rStyle w:val="xcontentpasted0"/>
          <w:rFonts w:ascii="Cambria" w:hAnsi="Cambria"/>
          <w:color w:val="000000" w:themeColor="text1"/>
          <w:bdr w:val="none" w:sz="0" w:space="0" w:color="auto" w:frame="1"/>
        </w:rPr>
        <w:t xml:space="preserve"> </w:t>
      </w:r>
      <w:r w:rsidRPr="003020EF">
        <w:rPr>
          <w:rStyle w:val="xcontentpasted0"/>
          <w:rFonts w:ascii="Cambria" w:hAnsi="Cambria"/>
          <w:i/>
          <w:iCs/>
          <w:color w:val="000000" w:themeColor="text1"/>
          <w:bdr w:val="none" w:sz="0" w:space="0" w:color="auto" w:frame="1"/>
        </w:rPr>
        <w:t>Expungement of Historical Offences Act 2017</w:t>
      </w:r>
      <w:r w:rsidRPr="003020EF">
        <w:rPr>
          <w:rStyle w:val="xcontentpasted0"/>
          <w:rFonts w:ascii="Cambria" w:hAnsi="Cambria"/>
          <w:color w:val="000000" w:themeColor="text1"/>
          <w:bdr w:val="none" w:sz="0" w:space="0" w:color="auto" w:frame="1"/>
        </w:rPr>
        <w:t> (Tas). The Act recognises that homosexuality and cross-dressing should never have been crimes and that those who were charged and had historical convictions for these offences should have the opportunity to have them expunged from their criminal record. During his Second Reading Speech,</w:t>
      </w:r>
      <w:r w:rsidRPr="003020EF">
        <w:rPr>
          <w:rFonts w:ascii="Cambria" w:hAnsi="Cambria"/>
          <w:color w:val="000000" w:themeColor="text1"/>
        </w:rPr>
        <w:t xml:space="preserve"> the </w:t>
      </w:r>
      <w:r w:rsidR="00B12B28" w:rsidRPr="003020EF">
        <w:rPr>
          <w:rFonts w:ascii="Cambria" w:hAnsi="Cambria"/>
          <w:color w:val="000000" w:themeColor="text1"/>
        </w:rPr>
        <w:t xml:space="preserve">Attorney-General </w:t>
      </w:r>
      <w:r w:rsidRPr="003020EF">
        <w:rPr>
          <w:rFonts w:ascii="Cambria" w:hAnsi="Cambria"/>
          <w:color w:val="000000" w:themeColor="text1"/>
        </w:rPr>
        <w:t>Matthew Groom MP identified the Bill as an important step in addressing the legacy of old homophobic laws, acknowledging that “many Tasmanians have continued to suffer from distress and disadvantage resulting from the criminalisation of conduct that we now accept as lawful”.</w:t>
      </w:r>
      <w:r w:rsidRPr="003020EF">
        <w:rPr>
          <w:rStyle w:val="FootnoteReference"/>
          <w:rFonts w:ascii="Cambria" w:hAnsi="Cambria"/>
          <w:color w:val="000000" w:themeColor="text1"/>
        </w:rPr>
        <w:footnoteReference w:id="3"/>
      </w:r>
      <w:r w:rsidRPr="003020EF">
        <w:rPr>
          <w:rFonts w:ascii="Cambria" w:hAnsi="Cambria"/>
          <w:color w:val="000000" w:themeColor="text1"/>
        </w:rPr>
        <w:t xml:space="preserve"> </w:t>
      </w:r>
      <w:r w:rsidRPr="003020EF">
        <w:rPr>
          <w:rStyle w:val="xcontentpasted0"/>
          <w:rFonts w:ascii="Cambria" w:hAnsi="Cambria"/>
          <w:color w:val="000000" w:themeColor="text1"/>
          <w:bdr w:val="none" w:sz="0" w:space="0" w:color="auto" w:frame="1"/>
        </w:rPr>
        <w:t xml:space="preserve"> </w:t>
      </w:r>
    </w:p>
    <w:p w:rsidR="0037662C" w:rsidRPr="003020EF" w:rsidRDefault="0037662C" w:rsidP="00863323">
      <w:pPr>
        <w:ind w:right="-347"/>
        <w:jc w:val="both"/>
        <w:rPr>
          <w:rStyle w:val="xcontentpasted0"/>
          <w:rFonts w:ascii="Cambria" w:hAnsi="Cambria"/>
          <w:color w:val="000000" w:themeColor="text1"/>
          <w:bdr w:val="none" w:sz="0" w:space="0" w:color="auto" w:frame="1"/>
        </w:rPr>
      </w:pPr>
    </w:p>
    <w:p w:rsidR="008D577B" w:rsidRDefault="00F70659" w:rsidP="008D577B">
      <w:pPr>
        <w:ind w:right="-347"/>
        <w:jc w:val="both"/>
        <w:rPr>
          <w:rFonts w:ascii="Cambria" w:hAnsi="Cambria"/>
          <w:color w:val="000000" w:themeColor="text1"/>
        </w:rPr>
      </w:pPr>
      <w:r w:rsidRPr="003020EF">
        <w:rPr>
          <w:rFonts w:ascii="Cambria" w:hAnsi="Cambria"/>
          <w:color w:val="000000" w:themeColor="text1"/>
        </w:rPr>
        <w:t>We welcome the Government’s intention to expand the expungement scheme to</w:t>
      </w:r>
      <w:r w:rsidR="003E423E" w:rsidRPr="003020EF">
        <w:rPr>
          <w:rFonts w:ascii="Cambria" w:hAnsi="Cambria"/>
          <w:color w:val="000000" w:themeColor="text1"/>
        </w:rPr>
        <w:t xml:space="preserve"> include offences such as </w:t>
      </w:r>
      <w:r w:rsidR="001A1F59" w:rsidRPr="003020EF">
        <w:rPr>
          <w:rFonts w:ascii="Cambria" w:hAnsi="Cambria"/>
          <w:color w:val="000000" w:themeColor="text1"/>
        </w:rPr>
        <w:t>resisting arrest</w:t>
      </w:r>
      <w:r w:rsidR="0037662C" w:rsidRPr="003020EF">
        <w:rPr>
          <w:rFonts w:ascii="Cambria" w:hAnsi="Cambria"/>
          <w:color w:val="000000" w:themeColor="text1"/>
        </w:rPr>
        <w:t xml:space="preserve"> and </w:t>
      </w:r>
      <w:r w:rsidR="001A1F59" w:rsidRPr="003020EF">
        <w:rPr>
          <w:rFonts w:ascii="Cambria" w:hAnsi="Cambria"/>
          <w:color w:val="000000" w:themeColor="text1"/>
        </w:rPr>
        <w:t xml:space="preserve">obstructing </w:t>
      </w:r>
      <w:r w:rsidR="0037662C" w:rsidRPr="003020EF">
        <w:rPr>
          <w:rFonts w:ascii="Cambria" w:hAnsi="Cambria"/>
          <w:color w:val="000000" w:themeColor="text1"/>
        </w:rPr>
        <w:t xml:space="preserve">and assaulting </w:t>
      </w:r>
      <w:r w:rsidR="001A1F59" w:rsidRPr="003020EF">
        <w:rPr>
          <w:rFonts w:ascii="Cambria" w:hAnsi="Cambria"/>
          <w:color w:val="000000" w:themeColor="text1"/>
        </w:rPr>
        <w:t>police officer</w:t>
      </w:r>
      <w:r w:rsidR="0037662C" w:rsidRPr="003020EF">
        <w:rPr>
          <w:rFonts w:ascii="Cambria" w:hAnsi="Cambria"/>
          <w:color w:val="000000" w:themeColor="text1"/>
        </w:rPr>
        <w:t>s</w:t>
      </w:r>
      <w:r w:rsidR="003E423E" w:rsidRPr="003020EF">
        <w:rPr>
          <w:rFonts w:ascii="Cambria" w:hAnsi="Cambria"/>
          <w:color w:val="000000" w:themeColor="text1"/>
        </w:rPr>
        <w:t xml:space="preserve">. Broadening </w:t>
      </w:r>
      <w:r w:rsidR="003E423E" w:rsidRPr="003020EF">
        <w:rPr>
          <w:rFonts w:ascii="Cambria" w:hAnsi="Cambria"/>
          <w:color w:val="000000" w:themeColor="text1"/>
        </w:rPr>
        <w:lastRenderedPageBreak/>
        <w:t>the scheme to allow for these incidental offences recognises that the charges laid would not have arisen but for the fact that the person was being dealt with in relation to conduct of a homosexual nature. Whilst it is acknowledged that the stigma</w:t>
      </w:r>
      <w:r w:rsidR="001A1F59" w:rsidRPr="003020EF">
        <w:rPr>
          <w:rFonts w:ascii="Cambria" w:hAnsi="Cambria"/>
          <w:color w:val="000000" w:themeColor="text1"/>
        </w:rPr>
        <w:t xml:space="preserve"> </w:t>
      </w:r>
      <w:r w:rsidR="003E423E" w:rsidRPr="003020EF">
        <w:rPr>
          <w:rFonts w:ascii="Cambria" w:hAnsi="Cambria"/>
          <w:color w:val="000000" w:themeColor="text1"/>
        </w:rPr>
        <w:t>attach</w:t>
      </w:r>
      <w:r w:rsidR="001A1F59" w:rsidRPr="003020EF">
        <w:rPr>
          <w:rFonts w:ascii="Cambria" w:hAnsi="Cambria"/>
          <w:color w:val="000000" w:themeColor="text1"/>
        </w:rPr>
        <w:t>ed</w:t>
      </w:r>
      <w:r w:rsidR="003E423E" w:rsidRPr="003020EF">
        <w:rPr>
          <w:rFonts w:ascii="Cambria" w:hAnsi="Cambria"/>
          <w:color w:val="000000" w:themeColor="text1"/>
        </w:rPr>
        <w:t xml:space="preserve"> to </w:t>
      </w:r>
      <w:r w:rsidR="001A1F59" w:rsidRPr="003020EF">
        <w:rPr>
          <w:rFonts w:ascii="Cambria" w:hAnsi="Cambria"/>
          <w:color w:val="000000" w:themeColor="text1"/>
        </w:rPr>
        <w:t xml:space="preserve">these </w:t>
      </w:r>
      <w:r w:rsidR="003E423E" w:rsidRPr="003020EF">
        <w:rPr>
          <w:rFonts w:ascii="Cambria" w:hAnsi="Cambria"/>
          <w:color w:val="000000" w:themeColor="text1"/>
        </w:rPr>
        <w:t xml:space="preserve">offences </w:t>
      </w:r>
      <w:r w:rsidR="001A1F59" w:rsidRPr="003020EF">
        <w:rPr>
          <w:rFonts w:ascii="Cambria" w:hAnsi="Cambria"/>
          <w:color w:val="000000" w:themeColor="text1"/>
        </w:rPr>
        <w:t xml:space="preserve">is not the same as for offences of a homosexual nature, </w:t>
      </w:r>
      <w:r w:rsidR="003E423E" w:rsidRPr="003020EF">
        <w:rPr>
          <w:rFonts w:ascii="Cambria" w:hAnsi="Cambria"/>
          <w:color w:val="000000" w:themeColor="text1"/>
        </w:rPr>
        <w:t xml:space="preserve">the </w:t>
      </w:r>
      <w:r w:rsidR="00B12B28" w:rsidRPr="003020EF">
        <w:rPr>
          <w:rStyle w:val="xcontentpasted0"/>
          <w:rFonts w:ascii="Cambria" w:hAnsi="Cambria"/>
          <w:i/>
          <w:iCs/>
          <w:color w:val="000000" w:themeColor="text1"/>
          <w:bdr w:val="none" w:sz="0" w:space="0" w:color="auto" w:frame="1"/>
        </w:rPr>
        <w:t>Independent Review of Expungement of Historical Offences Act 2017</w:t>
      </w:r>
      <w:r w:rsidR="003E423E" w:rsidRPr="003020EF">
        <w:rPr>
          <w:rFonts w:ascii="Cambria" w:hAnsi="Cambria"/>
          <w:color w:val="000000" w:themeColor="text1"/>
        </w:rPr>
        <w:t xml:space="preserve"> </w:t>
      </w:r>
      <w:r w:rsidR="00B12B28" w:rsidRPr="003020EF">
        <w:rPr>
          <w:rFonts w:ascii="Cambria" w:hAnsi="Cambria"/>
          <w:color w:val="000000" w:themeColor="text1"/>
        </w:rPr>
        <w:t xml:space="preserve">(‘the Review’) </w:t>
      </w:r>
      <w:r w:rsidR="003E423E" w:rsidRPr="003020EF">
        <w:rPr>
          <w:rFonts w:ascii="Cambria" w:hAnsi="Cambria"/>
          <w:color w:val="000000" w:themeColor="text1"/>
        </w:rPr>
        <w:t xml:space="preserve">recommended </w:t>
      </w:r>
      <w:r w:rsidR="001A1F59" w:rsidRPr="003020EF">
        <w:rPr>
          <w:rFonts w:ascii="Cambria" w:hAnsi="Cambria"/>
          <w:color w:val="000000" w:themeColor="text1"/>
        </w:rPr>
        <w:t>the</w:t>
      </w:r>
      <w:r w:rsidR="00B22C78">
        <w:rPr>
          <w:rFonts w:ascii="Cambria" w:hAnsi="Cambria"/>
          <w:color w:val="000000" w:themeColor="text1"/>
        </w:rPr>
        <w:t>ir</w:t>
      </w:r>
      <w:r w:rsidR="001A1F59" w:rsidRPr="003020EF">
        <w:rPr>
          <w:rFonts w:ascii="Cambria" w:hAnsi="Cambria"/>
          <w:color w:val="000000" w:themeColor="text1"/>
        </w:rPr>
        <w:t xml:space="preserve"> inclusion</w:t>
      </w:r>
      <w:r w:rsidR="00863323" w:rsidRPr="003020EF">
        <w:rPr>
          <w:rFonts w:ascii="Cambria" w:hAnsi="Cambria"/>
          <w:color w:val="000000" w:themeColor="text1"/>
        </w:rPr>
        <w:t xml:space="preserve"> on the basis of completeness</w:t>
      </w:r>
      <w:r w:rsidR="003E423E" w:rsidRPr="003020EF">
        <w:rPr>
          <w:rFonts w:ascii="Cambria" w:hAnsi="Cambria"/>
          <w:color w:val="000000" w:themeColor="text1"/>
        </w:rPr>
        <w:t>:</w:t>
      </w:r>
      <w:r w:rsidR="003E423E" w:rsidRPr="003020EF">
        <w:rPr>
          <w:rStyle w:val="FootnoteReference"/>
          <w:rFonts w:ascii="Cambria" w:hAnsi="Cambria"/>
          <w:color w:val="000000" w:themeColor="text1"/>
        </w:rPr>
        <w:footnoteReference w:id="4"/>
      </w:r>
      <w:r w:rsidR="003E423E" w:rsidRPr="003020EF">
        <w:rPr>
          <w:rFonts w:ascii="Cambria" w:hAnsi="Cambria"/>
          <w:color w:val="000000" w:themeColor="text1"/>
        </w:rPr>
        <w:t xml:space="preserve">    </w:t>
      </w:r>
    </w:p>
    <w:p w:rsidR="008D577B" w:rsidRDefault="008D577B" w:rsidP="008D577B">
      <w:pPr>
        <w:ind w:right="-347"/>
        <w:jc w:val="both"/>
        <w:rPr>
          <w:rFonts w:ascii="Cambria" w:hAnsi="Cambria"/>
          <w:color w:val="000000" w:themeColor="text1"/>
        </w:rPr>
      </w:pPr>
    </w:p>
    <w:p w:rsidR="008D577B" w:rsidRPr="003020EF" w:rsidRDefault="008D577B" w:rsidP="008D577B">
      <w:pPr>
        <w:ind w:left="720" w:right="-347"/>
        <w:jc w:val="both"/>
        <w:rPr>
          <w:rFonts w:ascii="Cambria" w:hAnsi="Cambria" w:cs="Arial"/>
          <w:i/>
          <w:iCs/>
          <w:color w:val="000000" w:themeColor="text1"/>
        </w:rPr>
      </w:pPr>
      <w:r w:rsidRPr="003020EF">
        <w:rPr>
          <w:rFonts w:ascii="Cambria" w:hAnsi="Cambria"/>
          <w:i/>
          <w:iCs/>
          <w:color w:val="000000" w:themeColor="text1"/>
        </w:rPr>
        <w:t>… given that one of the purposes of the Act was to acknowledge that homosexuality and cross-dressing offences should never have been crimes, it follows that it is in the spirit of the Act that charges and convictions which would not have arisen, but for the existence of those homosexuality and cross-dressing offences, ought to be included within the scope of the Act.</w:t>
      </w:r>
    </w:p>
    <w:p w:rsidR="008D577B" w:rsidRDefault="008D577B" w:rsidP="008D577B">
      <w:pPr>
        <w:ind w:right="-347"/>
        <w:jc w:val="both"/>
        <w:rPr>
          <w:rFonts w:ascii="Cambria" w:hAnsi="Cambria"/>
          <w:color w:val="000000" w:themeColor="text1"/>
        </w:rPr>
      </w:pPr>
    </w:p>
    <w:p w:rsidR="008D577B" w:rsidRPr="008D577B" w:rsidRDefault="008D577B" w:rsidP="008D577B">
      <w:pPr>
        <w:ind w:right="-347"/>
        <w:jc w:val="both"/>
        <w:rPr>
          <w:rFonts w:ascii="Cambria" w:hAnsi="Cambria"/>
          <w:color w:val="000000" w:themeColor="text1"/>
          <w:bdr w:val="none" w:sz="0" w:space="0" w:color="auto" w:frame="1"/>
        </w:rPr>
      </w:pPr>
      <w:r w:rsidRPr="008D577B">
        <w:rPr>
          <w:rFonts w:ascii="Cambria" w:hAnsi="Cambria" w:cs="Arial"/>
          <w:color w:val="000000" w:themeColor="text1"/>
          <w:bdr w:val="none" w:sz="0" w:space="0" w:color="auto" w:frame="1"/>
        </w:rPr>
        <w:t xml:space="preserve">We also endorse Equality Tasmania’s recommendation that </w:t>
      </w:r>
      <w:r>
        <w:rPr>
          <w:rFonts w:ascii="Cambria" w:hAnsi="Cambria" w:cs="Arial"/>
          <w:color w:val="000000" w:themeColor="text1"/>
          <w:bdr w:val="none" w:sz="0" w:space="0" w:color="auto" w:frame="1"/>
        </w:rPr>
        <w:t>a broader range of incidental</w:t>
      </w:r>
      <w:r w:rsidRPr="008D577B">
        <w:rPr>
          <w:rFonts w:ascii="Cambria" w:hAnsi="Cambria" w:cs="Arial"/>
          <w:color w:val="000000" w:themeColor="text1"/>
          <w:bdr w:val="none" w:sz="0" w:space="0" w:color="auto" w:frame="1"/>
        </w:rPr>
        <w:t xml:space="preserve"> offences and records capable of expungement</w:t>
      </w:r>
      <w:r>
        <w:rPr>
          <w:rFonts w:ascii="Cambria" w:hAnsi="Cambria" w:cs="Arial"/>
          <w:color w:val="000000" w:themeColor="text1"/>
          <w:bdr w:val="none" w:sz="0" w:space="0" w:color="auto" w:frame="1"/>
        </w:rPr>
        <w:t xml:space="preserve"> be included, such as </w:t>
      </w:r>
      <w:r w:rsidRPr="008D577B">
        <w:rPr>
          <w:rFonts w:ascii="Cambria" w:hAnsi="Cambria" w:cs="Arial"/>
          <w:color w:val="000000" w:themeColor="text1"/>
          <w:bdr w:val="none" w:sz="0" w:space="0" w:color="auto" w:frame="1"/>
        </w:rPr>
        <w:t>‘move on’ provisions, loitering, intoxication, public annoyance and the like as well as police surveillance records.</w:t>
      </w:r>
      <w:r>
        <w:rPr>
          <w:rFonts w:ascii="Cambria" w:hAnsi="Cambria" w:cs="Arial"/>
          <w:color w:val="000000" w:themeColor="text1"/>
          <w:bdr w:val="none" w:sz="0" w:space="0" w:color="auto" w:frame="1"/>
        </w:rPr>
        <w:t xml:space="preserve"> Finally, we support Equality Tasmania’s recommendation that records related to protests seeking to draw attention to Tasmania’s discriminatory homosexual and cross-dressing laws also be capable of expungement.    </w:t>
      </w:r>
      <w:r w:rsidRPr="008D577B">
        <w:rPr>
          <w:rFonts w:ascii="Cambria" w:hAnsi="Cambria" w:cs="Arial"/>
          <w:color w:val="000000" w:themeColor="text1"/>
          <w:bdr w:val="none" w:sz="0" w:space="0" w:color="auto" w:frame="1"/>
        </w:rPr>
        <w:t xml:space="preserve">  </w:t>
      </w:r>
    </w:p>
    <w:p w:rsidR="008D577B" w:rsidRPr="008D577B" w:rsidRDefault="008D577B" w:rsidP="008D577B">
      <w:pPr>
        <w:pStyle w:val="NormalWeb"/>
        <w:shd w:val="clear" w:color="auto" w:fill="FFFFFF"/>
        <w:spacing w:before="0" w:beforeAutospacing="0" w:after="0" w:afterAutospacing="0"/>
        <w:rPr>
          <w:rStyle w:val="xcontentpasted0"/>
          <w:rFonts w:ascii="Calibri" w:hAnsi="Calibri" w:cs="Calibri"/>
          <w:color w:val="FF0000"/>
          <w:sz w:val="22"/>
          <w:szCs w:val="22"/>
        </w:rPr>
      </w:pPr>
    </w:p>
    <w:p w:rsidR="008D577B" w:rsidRPr="008D577B" w:rsidRDefault="008D577B" w:rsidP="008D577B">
      <w:pPr>
        <w:pStyle w:val="ListParagraph"/>
        <w:numPr>
          <w:ilvl w:val="0"/>
          <w:numId w:val="8"/>
        </w:numPr>
        <w:ind w:right="-347"/>
        <w:jc w:val="both"/>
        <w:rPr>
          <w:rStyle w:val="xcontentpasted0"/>
          <w:rFonts w:ascii="Cambria" w:hAnsi="Cambria"/>
          <w:b/>
          <w:bCs/>
          <w:i/>
          <w:iCs/>
          <w:color w:val="000000" w:themeColor="text1"/>
          <w:bdr w:val="none" w:sz="0" w:space="0" w:color="auto" w:frame="1"/>
        </w:rPr>
      </w:pPr>
      <w:r w:rsidRPr="008D577B">
        <w:rPr>
          <w:rStyle w:val="xcontentpasted0"/>
          <w:rFonts w:ascii="Cambria" w:hAnsi="Cambria"/>
          <w:b/>
          <w:bCs/>
          <w:i/>
          <w:iCs/>
          <w:color w:val="000000" w:themeColor="text1"/>
          <w:bdr w:val="none" w:sz="0" w:space="0" w:color="auto" w:frame="1"/>
        </w:rPr>
        <w:t>Compensation</w:t>
      </w:r>
    </w:p>
    <w:p w:rsidR="0037662C" w:rsidRPr="003020EF" w:rsidRDefault="008D577B" w:rsidP="00863323">
      <w:pPr>
        <w:ind w:right="-347"/>
        <w:jc w:val="both"/>
        <w:rPr>
          <w:rStyle w:val="xcontentpasted0"/>
          <w:rFonts w:ascii="Cambria" w:hAnsi="Cambria"/>
          <w:color w:val="000000" w:themeColor="text1"/>
          <w:bdr w:val="none" w:sz="0" w:space="0" w:color="auto" w:frame="1"/>
        </w:rPr>
      </w:pPr>
      <w:r>
        <w:rPr>
          <w:rStyle w:val="xcontentpasted0"/>
          <w:rFonts w:ascii="Cambria" w:hAnsi="Cambria"/>
          <w:color w:val="000000" w:themeColor="text1"/>
          <w:bdr w:val="none" w:sz="0" w:space="0" w:color="auto" w:frame="1"/>
        </w:rPr>
        <w:t>W</w:t>
      </w:r>
      <w:r w:rsidR="00F70659" w:rsidRPr="003020EF">
        <w:rPr>
          <w:rStyle w:val="xcontentpasted0"/>
          <w:rFonts w:ascii="Cambria" w:hAnsi="Cambria"/>
          <w:color w:val="000000" w:themeColor="text1"/>
          <w:bdr w:val="none" w:sz="0" w:space="0" w:color="auto" w:frame="1"/>
        </w:rPr>
        <w:t>e are concerned that the</w:t>
      </w:r>
      <w:r w:rsidR="0037662C" w:rsidRPr="003020EF">
        <w:rPr>
          <w:rStyle w:val="xcontentpasted0"/>
          <w:rFonts w:ascii="Cambria" w:hAnsi="Cambria"/>
          <w:color w:val="000000" w:themeColor="text1"/>
          <w:bdr w:val="none" w:sz="0" w:space="0" w:color="auto" w:frame="1"/>
        </w:rPr>
        <w:t xml:space="preserve"> Bill</w:t>
      </w:r>
      <w:r w:rsidR="00F70659" w:rsidRPr="003020EF">
        <w:rPr>
          <w:rStyle w:val="xcontentpasted0"/>
          <w:rFonts w:ascii="Cambria" w:hAnsi="Cambria"/>
          <w:color w:val="000000" w:themeColor="text1"/>
          <w:bdr w:val="none" w:sz="0" w:space="0" w:color="auto" w:frame="1"/>
        </w:rPr>
        <w:t xml:space="preserve"> </w:t>
      </w:r>
      <w:r w:rsidR="0037662C" w:rsidRPr="003020EF">
        <w:rPr>
          <w:rStyle w:val="xcontentpasted0"/>
          <w:rFonts w:ascii="Cambria" w:hAnsi="Cambria"/>
          <w:color w:val="000000" w:themeColor="text1"/>
          <w:sz w:val="25"/>
          <w:szCs w:val="25"/>
          <w:bdr w:val="none" w:sz="0" w:space="0" w:color="auto" w:frame="1"/>
        </w:rPr>
        <w:t xml:space="preserve">does not seek to amend the Act and allow compensation to be made payable. As it stands, </w:t>
      </w:r>
      <w:r w:rsidR="0037662C" w:rsidRPr="003020EF">
        <w:rPr>
          <w:rStyle w:val="xcontentpasted0"/>
          <w:rFonts w:ascii="Cambria" w:hAnsi="Cambria"/>
          <w:color w:val="000000" w:themeColor="text1"/>
          <w:bdr w:val="none" w:sz="0" w:space="0" w:color="auto" w:frame="1"/>
        </w:rPr>
        <w:t>compensation is expressly precluded with section 22 of the Act providing as follows:</w:t>
      </w:r>
    </w:p>
    <w:p w:rsidR="00F70659" w:rsidRPr="003020EF" w:rsidRDefault="00F70659" w:rsidP="00F70659">
      <w:pPr>
        <w:pStyle w:val="xmsonormal"/>
        <w:shd w:val="clear" w:color="auto" w:fill="FFFFFF"/>
        <w:spacing w:before="0" w:beforeAutospacing="0" w:after="0" w:afterAutospacing="0"/>
        <w:jc w:val="both"/>
        <w:rPr>
          <w:rStyle w:val="xcontentpasted0"/>
          <w:rFonts w:ascii="Cambria" w:hAnsi="Cambria"/>
          <w:color w:val="000000" w:themeColor="text1"/>
          <w:bdr w:val="none" w:sz="0" w:space="0" w:color="auto" w:frame="1"/>
        </w:rPr>
      </w:pPr>
    </w:p>
    <w:p w:rsidR="00F70659" w:rsidRPr="003020EF" w:rsidRDefault="00F70659" w:rsidP="00F70659">
      <w:pPr>
        <w:pStyle w:val="NoSpacing"/>
        <w:ind w:left="720"/>
        <w:rPr>
          <w:rFonts w:ascii="Cambria" w:hAnsi="Cambria"/>
          <w:b/>
          <w:bCs/>
          <w:i/>
          <w:iCs/>
          <w:color w:val="000000" w:themeColor="text1"/>
          <w:sz w:val="22"/>
          <w:szCs w:val="22"/>
        </w:rPr>
      </w:pPr>
      <w:r w:rsidRPr="003020EF">
        <w:rPr>
          <w:rFonts w:ascii="Cambria" w:hAnsi="Cambria"/>
          <w:b/>
          <w:bCs/>
          <w:i/>
          <w:iCs/>
          <w:color w:val="000000" w:themeColor="text1"/>
          <w:sz w:val="22"/>
          <w:szCs w:val="22"/>
        </w:rPr>
        <w:t>22. No entitlement to compensation</w:t>
      </w:r>
    </w:p>
    <w:p w:rsidR="00F70659" w:rsidRPr="003020EF" w:rsidRDefault="00F70659" w:rsidP="00F70659">
      <w:pPr>
        <w:pStyle w:val="NoSpacing"/>
        <w:ind w:left="720"/>
        <w:rPr>
          <w:rFonts w:ascii="Cambria" w:hAnsi="Cambria"/>
          <w:i/>
          <w:iCs/>
          <w:color w:val="000000" w:themeColor="text1"/>
          <w:sz w:val="22"/>
          <w:szCs w:val="22"/>
        </w:rPr>
      </w:pPr>
      <w:r w:rsidRPr="003020EF">
        <w:rPr>
          <w:rFonts w:ascii="Cambria" w:hAnsi="Cambria"/>
          <w:i/>
          <w:iCs/>
          <w:color w:val="000000" w:themeColor="text1"/>
          <w:sz w:val="22"/>
          <w:szCs w:val="22"/>
        </w:rPr>
        <w:t>If a charge or a conviction for an offence is expunged under section 12(6), a person is not entitled to compensation of any kind, on account of that charge or conviction becoming expunged, in respect of the fact that –</w:t>
      </w:r>
      <w:bookmarkStart w:id="0" w:name="GS22@Hpa@EN"/>
      <w:bookmarkEnd w:id="0"/>
    </w:p>
    <w:p w:rsidR="00F70659" w:rsidRPr="003020EF" w:rsidRDefault="00F70659" w:rsidP="00F70659">
      <w:pPr>
        <w:pStyle w:val="NoSpacing"/>
        <w:ind w:left="720"/>
        <w:rPr>
          <w:rFonts w:ascii="Cambria" w:hAnsi="Cambria"/>
          <w:i/>
          <w:iCs/>
          <w:color w:val="000000" w:themeColor="text1"/>
          <w:sz w:val="22"/>
          <w:szCs w:val="22"/>
        </w:rPr>
      </w:pPr>
      <w:r w:rsidRPr="003020EF">
        <w:rPr>
          <w:rFonts w:ascii="Cambria" w:hAnsi="Cambria"/>
          <w:i/>
          <w:iCs/>
          <w:color w:val="000000" w:themeColor="text1"/>
          <w:sz w:val="22"/>
          <w:szCs w:val="22"/>
        </w:rPr>
        <w:t>(a) the person was charged with, or prosecuted for, the offence; or</w:t>
      </w:r>
    </w:p>
    <w:p w:rsidR="00F70659" w:rsidRPr="003020EF" w:rsidRDefault="00F70659" w:rsidP="00F70659">
      <w:pPr>
        <w:pStyle w:val="NoSpacing"/>
        <w:ind w:left="720"/>
        <w:rPr>
          <w:rFonts w:ascii="Cambria" w:hAnsi="Cambria"/>
          <w:i/>
          <w:iCs/>
          <w:color w:val="000000" w:themeColor="text1"/>
          <w:sz w:val="22"/>
          <w:szCs w:val="22"/>
        </w:rPr>
      </w:pPr>
      <w:bookmarkStart w:id="1" w:name="GS22@Hpb@EN"/>
      <w:bookmarkEnd w:id="1"/>
      <w:r w:rsidRPr="003020EF">
        <w:rPr>
          <w:rFonts w:ascii="Cambria" w:hAnsi="Cambria"/>
          <w:i/>
          <w:iCs/>
          <w:color w:val="000000" w:themeColor="text1"/>
          <w:sz w:val="22"/>
          <w:szCs w:val="22"/>
        </w:rPr>
        <w:t>(b) the person was convicted of, or sentenced for, the offence; or</w:t>
      </w:r>
    </w:p>
    <w:p w:rsidR="00F70659" w:rsidRPr="003020EF" w:rsidRDefault="00F70659" w:rsidP="00F70659">
      <w:pPr>
        <w:pStyle w:val="NoSpacing"/>
        <w:ind w:left="720"/>
        <w:rPr>
          <w:rFonts w:ascii="Cambria" w:hAnsi="Cambria"/>
          <w:i/>
          <w:iCs/>
          <w:color w:val="000000" w:themeColor="text1"/>
          <w:sz w:val="22"/>
          <w:szCs w:val="22"/>
        </w:rPr>
      </w:pPr>
      <w:bookmarkStart w:id="2" w:name="GS22@Hpc@EN"/>
      <w:bookmarkEnd w:id="2"/>
      <w:r w:rsidRPr="003020EF">
        <w:rPr>
          <w:rFonts w:ascii="Cambria" w:hAnsi="Cambria"/>
          <w:i/>
          <w:iCs/>
          <w:color w:val="000000" w:themeColor="text1"/>
          <w:sz w:val="22"/>
          <w:szCs w:val="22"/>
        </w:rPr>
        <w:t>(c) the person served a sentence for the offence; or</w:t>
      </w:r>
    </w:p>
    <w:p w:rsidR="00F70659" w:rsidRPr="003020EF" w:rsidRDefault="00F70659" w:rsidP="00F70659">
      <w:pPr>
        <w:pStyle w:val="NoSpacing"/>
        <w:ind w:left="720"/>
        <w:rPr>
          <w:rFonts w:ascii="Cambria" w:hAnsi="Cambria"/>
          <w:i/>
          <w:iCs/>
          <w:color w:val="000000" w:themeColor="text1"/>
          <w:sz w:val="22"/>
          <w:szCs w:val="22"/>
        </w:rPr>
      </w:pPr>
      <w:bookmarkStart w:id="3" w:name="GS22@Hpd@EN"/>
      <w:bookmarkEnd w:id="3"/>
      <w:r w:rsidRPr="003020EF">
        <w:rPr>
          <w:rFonts w:ascii="Cambria" w:hAnsi="Cambria"/>
          <w:i/>
          <w:iCs/>
          <w:color w:val="000000" w:themeColor="text1"/>
          <w:sz w:val="22"/>
          <w:szCs w:val="22"/>
        </w:rPr>
        <w:t>(d) the person was required to pay a fine or other money (including costs or any amount by way of restitution or compensation) on account of being convicted of, or sentenced for, the offence; or</w:t>
      </w:r>
    </w:p>
    <w:p w:rsidR="00F70659" w:rsidRPr="003020EF" w:rsidRDefault="00F70659" w:rsidP="00F70659">
      <w:pPr>
        <w:pStyle w:val="NoSpacing"/>
        <w:ind w:left="720"/>
        <w:rPr>
          <w:rFonts w:ascii="Cambria" w:hAnsi="Cambria"/>
          <w:i/>
          <w:iCs/>
          <w:color w:val="000000" w:themeColor="text1"/>
          <w:sz w:val="22"/>
          <w:szCs w:val="22"/>
        </w:rPr>
      </w:pPr>
      <w:bookmarkStart w:id="4" w:name="GS22@Hpe@EN"/>
      <w:bookmarkEnd w:id="4"/>
      <w:r w:rsidRPr="003020EF">
        <w:rPr>
          <w:rFonts w:ascii="Cambria" w:hAnsi="Cambria"/>
          <w:i/>
          <w:iCs/>
          <w:color w:val="000000" w:themeColor="text1"/>
          <w:sz w:val="22"/>
          <w:szCs w:val="22"/>
        </w:rPr>
        <w:t>(e) the person has an expunged charge or expunged conviction; or</w:t>
      </w:r>
    </w:p>
    <w:p w:rsidR="00F70659" w:rsidRPr="003020EF" w:rsidRDefault="00F70659" w:rsidP="00F70659">
      <w:pPr>
        <w:pStyle w:val="NoSpacing"/>
        <w:ind w:left="720"/>
        <w:rPr>
          <w:rFonts w:ascii="Cambria" w:hAnsi="Cambria"/>
          <w:i/>
          <w:iCs/>
          <w:color w:val="000000" w:themeColor="text1"/>
          <w:sz w:val="22"/>
          <w:szCs w:val="22"/>
        </w:rPr>
      </w:pPr>
      <w:bookmarkStart w:id="5" w:name="GS22@Hpf@EN"/>
      <w:bookmarkEnd w:id="5"/>
      <w:r w:rsidRPr="003020EF">
        <w:rPr>
          <w:rFonts w:ascii="Cambria" w:hAnsi="Cambria"/>
          <w:i/>
          <w:iCs/>
          <w:color w:val="000000" w:themeColor="text1"/>
          <w:sz w:val="22"/>
          <w:szCs w:val="22"/>
        </w:rPr>
        <w:t>(f) the person incurred any loss, or suffered any consequence, as a result of an event referred to in paragraph (a), (b), (c), (d) or (e), whether or not that person was the person whose charge or conviction was expunged.</w:t>
      </w:r>
    </w:p>
    <w:p w:rsidR="00F70659" w:rsidRPr="003020EF" w:rsidRDefault="00F70659" w:rsidP="00F70659">
      <w:pPr>
        <w:pStyle w:val="xmsonormal"/>
        <w:shd w:val="clear" w:color="auto" w:fill="FFFFFF"/>
        <w:spacing w:before="0" w:beforeAutospacing="0" w:after="0" w:afterAutospacing="0"/>
        <w:jc w:val="both"/>
        <w:rPr>
          <w:rFonts w:ascii="Cambria" w:hAnsi="Cambria"/>
          <w:color w:val="000000" w:themeColor="text1"/>
        </w:rPr>
      </w:pPr>
      <w:r w:rsidRPr="003020EF">
        <w:rPr>
          <w:rStyle w:val="xcontentpasted0"/>
          <w:rFonts w:ascii="Cambria" w:hAnsi="Cambria"/>
          <w:color w:val="000000" w:themeColor="text1"/>
          <w:bdr w:val="none" w:sz="0" w:space="0" w:color="auto" w:frame="1"/>
        </w:rPr>
        <w:t> </w:t>
      </w:r>
      <w:r w:rsidRPr="003020EF">
        <w:rPr>
          <w:rFonts w:ascii="Cambria" w:hAnsi="Cambria"/>
          <w:color w:val="000000" w:themeColor="text1"/>
          <w:bdr w:val="none" w:sz="0" w:space="0" w:color="auto" w:frame="1"/>
        </w:rPr>
        <w:t> </w:t>
      </w:r>
    </w:p>
    <w:p w:rsidR="0037662C" w:rsidRPr="003020EF" w:rsidRDefault="0037662C" w:rsidP="0037662C">
      <w:pPr>
        <w:ind w:right="-347"/>
        <w:jc w:val="both"/>
        <w:rPr>
          <w:rStyle w:val="xcontentpasted0"/>
          <w:rFonts w:ascii="Cambria" w:hAnsi="Cambria"/>
          <w:color w:val="000000" w:themeColor="text1"/>
          <w:bdr w:val="none" w:sz="0" w:space="0" w:color="auto" w:frame="1"/>
        </w:rPr>
      </w:pPr>
      <w:r w:rsidRPr="003020EF">
        <w:rPr>
          <w:rStyle w:val="xcontentpasted0"/>
          <w:rFonts w:ascii="Cambria" w:hAnsi="Cambria"/>
          <w:color w:val="000000" w:themeColor="text1"/>
          <w:bdr w:val="none" w:sz="0" w:space="0" w:color="auto" w:frame="1"/>
        </w:rPr>
        <w:t>However, compensation was recommended by the independent review w</w:t>
      </w:r>
      <w:r w:rsidR="00B22C78">
        <w:rPr>
          <w:rStyle w:val="xcontentpasted0"/>
          <w:rFonts w:ascii="Cambria" w:hAnsi="Cambria"/>
          <w:color w:val="000000" w:themeColor="text1"/>
          <w:bdr w:val="none" w:sz="0" w:space="0" w:color="auto" w:frame="1"/>
        </w:rPr>
        <w:t>hich</w:t>
      </w:r>
      <w:r w:rsidRPr="003020EF">
        <w:rPr>
          <w:rStyle w:val="xcontentpasted0"/>
          <w:rFonts w:ascii="Cambria" w:hAnsi="Cambria"/>
          <w:color w:val="000000" w:themeColor="text1"/>
          <w:bdr w:val="none" w:sz="0" w:space="0" w:color="auto" w:frame="1"/>
        </w:rPr>
        <w:t xml:space="preserve"> noted that “compensation confirms the expressed wish of Parliament in enacting this legislation that it was intended to send a compelling message that the state is serious in its commitment to remedy, to the extent that it can, the discrimination against, and distress and harm experienced by, Tasmanians in this context”.</w:t>
      </w:r>
      <w:r w:rsidRPr="003020EF">
        <w:rPr>
          <w:rStyle w:val="FootnoteReference"/>
          <w:rFonts w:ascii="Cambria" w:hAnsi="Cambria"/>
          <w:color w:val="000000" w:themeColor="text1"/>
          <w:bdr w:val="none" w:sz="0" w:space="0" w:color="auto" w:frame="1"/>
        </w:rPr>
        <w:footnoteReference w:id="5"/>
      </w:r>
      <w:r w:rsidRPr="003020EF">
        <w:rPr>
          <w:rStyle w:val="xcontentpasted0"/>
          <w:rFonts w:ascii="Cambria" w:hAnsi="Cambria"/>
          <w:color w:val="000000" w:themeColor="text1"/>
          <w:bdr w:val="none" w:sz="0" w:space="0" w:color="auto" w:frame="1"/>
        </w:rPr>
        <w:t xml:space="preserve"> </w:t>
      </w:r>
    </w:p>
    <w:p w:rsidR="0037662C" w:rsidRPr="003020EF" w:rsidRDefault="0037662C" w:rsidP="0037662C">
      <w:pPr>
        <w:ind w:right="-347"/>
        <w:jc w:val="both"/>
        <w:rPr>
          <w:rStyle w:val="xcontentpasted0"/>
          <w:rFonts w:ascii="Cambria" w:hAnsi="Cambria"/>
          <w:color w:val="000000" w:themeColor="text1"/>
          <w:bdr w:val="none" w:sz="0" w:space="0" w:color="auto" w:frame="1"/>
        </w:rPr>
      </w:pPr>
    </w:p>
    <w:p w:rsidR="0037662C" w:rsidRPr="003020EF" w:rsidRDefault="0037662C" w:rsidP="0037662C">
      <w:pPr>
        <w:ind w:right="-347"/>
        <w:jc w:val="both"/>
        <w:rPr>
          <w:rStyle w:val="xcontentpasted0"/>
          <w:rFonts w:ascii="Cambria" w:hAnsi="Cambria"/>
          <w:color w:val="000000" w:themeColor="text1"/>
          <w:bdr w:val="none" w:sz="0" w:space="0" w:color="auto" w:frame="1"/>
        </w:rPr>
      </w:pPr>
      <w:r w:rsidRPr="003020EF">
        <w:rPr>
          <w:rStyle w:val="xcontentpasted0"/>
          <w:rFonts w:ascii="Cambria" w:hAnsi="Cambria"/>
          <w:color w:val="000000" w:themeColor="text1"/>
          <w:bdr w:val="none" w:sz="0" w:space="0" w:color="auto" w:frame="1"/>
        </w:rPr>
        <w:lastRenderedPageBreak/>
        <w:t>Although there is no expungement scheme in any Australian jurisdiction which provides for compensation or redress there are a number of compelling reasons why Tasmania should be the first.</w:t>
      </w:r>
      <w:r w:rsidR="008F523C" w:rsidRPr="003020EF">
        <w:rPr>
          <w:rStyle w:val="xcontentpasted0"/>
          <w:rFonts w:ascii="Cambria" w:hAnsi="Cambria"/>
          <w:color w:val="000000" w:themeColor="text1"/>
          <w:bdr w:val="none" w:sz="0" w:space="0" w:color="auto" w:frame="1"/>
        </w:rPr>
        <w:t xml:space="preserve"> </w:t>
      </w:r>
      <w:r w:rsidRPr="003020EF">
        <w:rPr>
          <w:rStyle w:val="xcontentpasted0"/>
          <w:rFonts w:ascii="Cambria" w:hAnsi="Cambria"/>
          <w:color w:val="000000" w:themeColor="text1"/>
          <w:bdr w:val="none" w:sz="0" w:space="0" w:color="auto" w:frame="1"/>
        </w:rPr>
        <w:t>These reasons include that Tasmania was the last Australian State</w:t>
      </w:r>
      <w:r w:rsidR="008F523C" w:rsidRPr="003020EF">
        <w:rPr>
          <w:rStyle w:val="xcontentpasted0"/>
          <w:rFonts w:ascii="Cambria" w:hAnsi="Cambria"/>
          <w:color w:val="000000" w:themeColor="text1"/>
          <w:bdr w:val="none" w:sz="0" w:space="0" w:color="auto" w:frame="1"/>
        </w:rPr>
        <w:t xml:space="preserve"> to decriminalise homosexuality and the only state to previously criminalise cross-dressing. This has left a legacy of stigma and discrimination that is more recent than other states.</w:t>
      </w:r>
      <w:r w:rsidR="008F523C" w:rsidRPr="003020EF">
        <w:rPr>
          <w:rFonts w:ascii="Cambria" w:hAnsi="Cambria" w:cs="Calibri"/>
          <w:color w:val="000000" w:themeColor="text1"/>
          <w:bdr w:val="none" w:sz="0" w:space="0" w:color="auto" w:frame="1"/>
        </w:rPr>
        <w:t xml:space="preserve"> </w:t>
      </w:r>
      <w:r w:rsidRPr="003020EF">
        <w:rPr>
          <w:rStyle w:val="xcontentpasted0"/>
          <w:rFonts w:ascii="Cambria" w:hAnsi="Cambria"/>
          <w:color w:val="000000" w:themeColor="text1"/>
          <w:bdr w:val="none" w:sz="0" w:space="0" w:color="auto" w:frame="1"/>
        </w:rPr>
        <w:t>As the then Anti-Discrimination Commissioner Robin Banks has noted:</w:t>
      </w:r>
      <w:r w:rsidRPr="003020EF">
        <w:rPr>
          <w:rStyle w:val="FootnoteReference"/>
          <w:rFonts w:ascii="Cambria" w:hAnsi="Cambria"/>
          <w:color w:val="000000" w:themeColor="text1"/>
          <w:bdr w:val="none" w:sz="0" w:space="0" w:color="auto" w:frame="1"/>
        </w:rPr>
        <w:footnoteReference w:id="6"/>
      </w:r>
    </w:p>
    <w:p w:rsidR="0037662C" w:rsidRPr="003020EF" w:rsidRDefault="0037662C" w:rsidP="0037662C">
      <w:pPr>
        <w:ind w:right="-347"/>
        <w:jc w:val="both"/>
        <w:rPr>
          <w:rStyle w:val="xcontentpasted0"/>
          <w:rFonts w:ascii="Cambria" w:hAnsi="Cambria"/>
          <w:color w:val="000000" w:themeColor="text1"/>
          <w:bdr w:val="none" w:sz="0" w:space="0" w:color="auto" w:frame="1"/>
        </w:rPr>
      </w:pPr>
    </w:p>
    <w:p w:rsidR="0037662C" w:rsidRPr="003020EF" w:rsidRDefault="0037662C" w:rsidP="0037662C">
      <w:pPr>
        <w:ind w:left="720" w:right="-347"/>
        <w:jc w:val="both"/>
        <w:rPr>
          <w:rStyle w:val="xcontentpasted0"/>
          <w:rFonts w:ascii="Cambria" w:hAnsi="Cambria"/>
          <w:i/>
          <w:iCs/>
          <w:color w:val="000000" w:themeColor="text1"/>
          <w:bdr w:val="none" w:sz="0" w:space="0" w:color="auto" w:frame="1"/>
        </w:rPr>
      </w:pPr>
      <w:r w:rsidRPr="003020EF">
        <w:rPr>
          <w:rStyle w:val="xcontentpasted0"/>
          <w:rFonts w:ascii="Cambria" w:hAnsi="Cambria"/>
          <w:i/>
          <w:iCs/>
          <w:color w:val="000000" w:themeColor="text1"/>
          <w:bdr w:val="none" w:sz="0" w:space="0" w:color="auto" w:frame="1"/>
        </w:rPr>
        <w:t xml:space="preserve">The removal of criminal sanctions against homosexuality in 1997 was the culmination of a decade-long battle to remove one of the last bastions of discrimination and finally bring Tasmania into line with other Australian jurisdictions.  </w:t>
      </w:r>
    </w:p>
    <w:p w:rsidR="0037662C" w:rsidRPr="003020EF" w:rsidRDefault="0037662C" w:rsidP="0037662C">
      <w:pPr>
        <w:ind w:right="-347"/>
        <w:jc w:val="both"/>
        <w:rPr>
          <w:rStyle w:val="xcontentpasted0"/>
          <w:rFonts w:ascii="Cambria" w:hAnsi="Cambria"/>
          <w:color w:val="000000" w:themeColor="text1"/>
          <w:bdr w:val="none" w:sz="0" w:space="0" w:color="auto" w:frame="1"/>
        </w:rPr>
      </w:pPr>
    </w:p>
    <w:p w:rsidR="00C82063" w:rsidRPr="003020EF" w:rsidRDefault="00C82063" w:rsidP="0037662C">
      <w:pPr>
        <w:ind w:right="-347"/>
        <w:jc w:val="both"/>
        <w:rPr>
          <w:rStyle w:val="xcontentpasted0"/>
          <w:rFonts w:ascii="Cambria" w:hAnsi="Cambria"/>
          <w:color w:val="000000" w:themeColor="text1"/>
          <w:bdr w:val="none" w:sz="0" w:space="0" w:color="auto" w:frame="1"/>
        </w:rPr>
      </w:pPr>
      <w:r w:rsidRPr="003020EF">
        <w:rPr>
          <w:rStyle w:val="xcontentpasted0"/>
          <w:rFonts w:ascii="Cambria" w:hAnsi="Cambria"/>
          <w:color w:val="000000" w:themeColor="text1"/>
          <w:bdr w:val="none" w:sz="0" w:space="0" w:color="auto" w:frame="1"/>
        </w:rPr>
        <w:t>In</w:t>
      </w:r>
      <w:r w:rsidR="0037662C" w:rsidRPr="003020EF">
        <w:rPr>
          <w:rStyle w:val="xcontentpasted0"/>
          <w:rFonts w:ascii="Cambria" w:hAnsi="Cambria"/>
          <w:color w:val="000000" w:themeColor="text1"/>
          <w:bdr w:val="none" w:sz="0" w:space="0" w:color="auto" w:frame="1"/>
        </w:rPr>
        <w:t xml:space="preserve"> the </w:t>
      </w:r>
      <w:r w:rsidR="008F523C" w:rsidRPr="003020EF">
        <w:rPr>
          <w:rStyle w:val="xcontentpasted0"/>
          <w:rFonts w:ascii="Cambria" w:hAnsi="Cambria"/>
          <w:color w:val="000000" w:themeColor="text1"/>
          <w:bdr w:val="none" w:sz="0" w:space="0" w:color="auto" w:frame="1"/>
        </w:rPr>
        <w:t>six</w:t>
      </w:r>
      <w:r w:rsidR="0037662C" w:rsidRPr="003020EF">
        <w:rPr>
          <w:rStyle w:val="xcontentpasted0"/>
          <w:rFonts w:ascii="Cambria" w:hAnsi="Cambria"/>
          <w:color w:val="000000" w:themeColor="text1"/>
          <w:bdr w:val="none" w:sz="0" w:space="0" w:color="auto" w:frame="1"/>
        </w:rPr>
        <w:t xml:space="preserve"> years the Act has been in operation, no eligible applications have resulted in the expungement of any record. As a result, the grant of a one-off financial payment to eligible applicants </w:t>
      </w:r>
      <w:r w:rsidRPr="003020EF">
        <w:rPr>
          <w:rStyle w:val="xcontentpasted0"/>
          <w:rFonts w:ascii="Cambria" w:hAnsi="Cambria"/>
          <w:color w:val="000000" w:themeColor="text1"/>
          <w:bdr w:val="none" w:sz="0" w:space="0" w:color="auto" w:frame="1"/>
        </w:rPr>
        <w:t xml:space="preserve">will not </w:t>
      </w:r>
      <w:r w:rsidR="0037662C" w:rsidRPr="003020EF">
        <w:rPr>
          <w:rStyle w:val="xcontentpasted0"/>
          <w:rFonts w:ascii="Cambria" w:hAnsi="Cambria"/>
          <w:color w:val="000000" w:themeColor="text1"/>
          <w:bdr w:val="none" w:sz="0" w:space="0" w:color="auto" w:frame="1"/>
        </w:rPr>
        <w:t xml:space="preserve">exhaust the state’s resources but would send a strong message that conviction-related stigma and discrimination against LGBTQIA+ persons </w:t>
      </w:r>
      <w:proofErr w:type="gramStart"/>
      <w:r w:rsidR="0037662C" w:rsidRPr="003020EF">
        <w:rPr>
          <w:rStyle w:val="xcontentpasted0"/>
          <w:rFonts w:ascii="Cambria" w:hAnsi="Cambria"/>
          <w:color w:val="000000" w:themeColor="text1"/>
          <w:bdr w:val="none" w:sz="0" w:space="0" w:color="auto" w:frame="1"/>
        </w:rPr>
        <w:t>is</w:t>
      </w:r>
      <w:proofErr w:type="gramEnd"/>
      <w:r w:rsidR="0037662C" w:rsidRPr="003020EF">
        <w:rPr>
          <w:rStyle w:val="xcontentpasted0"/>
          <w:rFonts w:ascii="Cambria" w:hAnsi="Cambria"/>
          <w:color w:val="000000" w:themeColor="text1"/>
          <w:bdr w:val="none" w:sz="0" w:space="0" w:color="auto" w:frame="1"/>
        </w:rPr>
        <w:t xml:space="preserve"> taken seriously. </w:t>
      </w:r>
    </w:p>
    <w:p w:rsidR="00C82063" w:rsidRPr="003020EF" w:rsidRDefault="00C82063" w:rsidP="0037662C">
      <w:pPr>
        <w:ind w:right="-347"/>
        <w:jc w:val="both"/>
        <w:rPr>
          <w:rStyle w:val="xcontentpasted0"/>
          <w:rFonts w:ascii="Cambria" w:hAnsi="Cambria"/>
          <w:color w:val="000000" w:themeColor="text1"/>
          <w:bdr w:val="none" w:sz="0" w:space="0" w:color="auto" w:frame="1"/>
        </w:rPr>
      </w:pPr>
    </w:p>
    <w:p w:rsidR="00863323" w:rsidRPr="003020EF" w:rsidRDefault="00C82063" w:rsidP="00C82063">
      <w:pPr>
        <w:ind w:right="-347"/>
        <w:jc w:val="both"/>
        <w:rPr>
          <w:rStyle w:val="xcontentpasted0"/>
          <w:rFonts w:ascii="Cambria" w:hAnsi="Cambria"/>
          <w:color w:val="000000" w:themeColor="text1"/>
          <w:bdr w:val="none" w:sz="0" w:space="0" w:color="auto" w:frame="1"/>
        </w:rPr>
      </w:pPr>
      <w:r w:rsidRPr="003020EF">
        <w:rPr>
          <w:rStyle w:val="xcontentpasted0"/>
          <w:rFonts w:ascii="Cambria" w:hAnsi="Cambria"/>
          <w:color w:val="000000" w:themeColor="text1"/>
          <w:bdr w:val="none" w:sz="0" w:space="0" w:color="auto" w:frame="1"/>
        </w:rPr>
        <w:t xml:space="preserve">We would also note that the </w:t>
      </w:r>
      <w:r w:rsidR="008F523C" w:rsidRPr="003020EF">
        <w:rPr>
          <w:rStyle w:val="xcontentpasted0"/>
          <w:rFonts w:ascii="Cambria" w:hAnsi="Cambria"/>
          <w:color w:val="000000" w:themeColor="text1"/>
          <w:bdr w:val="none" w:sz="0" w:space="0" w:color="auto" w:frame="1"/>
        </w:rPr>
        <w:t xml:space="preserve">provision of compensation or redress is consistent with human rights principles, including </w:t>
      </w:r>
      <w:r w:rsidR="008F523C" w:rsidRPr="003020EF">
        <w:rPr>
          <w:rFonts w:ascii="Cambria" w:hAnsi="Cambria"/>
          <w:color w:val="000000" w:themeColor="text1"/>
        </w:rPr>
        <w:t xml:space="preserve">the </w:t>
      </w:r>
      <w:r w:rsidR="008F523C" w:rsidRPr="003020EF">
        <w:rPr>
          <w:rFonts w:ascii="Cambria" w:hAnsi="Cambria"/>
          <w:i/>
          <w:iCs/>
          <w:color w:val="000000" w:themeColor="text1"/>
        </w:rPr>
        <w:t>Yogyakarta Principles</w:t>
      </w:r>
      <w:r w:rsidR="008F523C" w:rsidRPr="003020EF">
        <w:rPr>
          <w:rFonts w:ascii="Cambria" w:hAnsi="Cambria"/>
          <w:color w:val="000000" w:themeColor="text1"/>
        </w:rPr>
        <w:t xml:space="preserve"> which set out the application of international human rights law in relation to sexual orientation and gender identity. Relevantly, these Principles refer to the need for legal procedures to ensure that victims of human rights violations on the basis of sexual orientation or gender identity have access to redress.</w:t>
      </w:r>
      <w:r w:rsidR="008F523C" w:rsidRPr="003020EF">
        <w:rPr>
          <w:rStyle w:val="FootnoteReference"/>
          <w:rFonts w:ascii="Cambria" w:hAnsi="Cambria"/>
          <w:color w:val="000000" w:themeColor="text1"/>
        </w:rPr>
        <w:footnoteReference w:id="7"/>
      </w:r>
      <w:r w:rsidR="008F523C" w:rsidRPr="003020EF">
        <w:rPr>
          <w:rFonts w:ascii="Cambria" w:hAnsi="Cambria"/>
          <w:color w:val="000000" w:themeColor="text1"/>
        </w:rPr>
        <w:t xml:space="preserve"> </w:t>
      </w:r>
      <w:r w:rsidR="0037662C" w:rsidRPr="003020EF">
        <w:rPr>
          <w:rStyle w:val="xcontentpasted0"/>
          <w:rFonts w:ascii="Cambria" w:hAnsi="Cambria"/>
          <w:color w:val="000000" w:themeColor="text1"/>
          <w:bdr w:val="none" w:sz="0" w:space="0" w:color="auto" w:frame="1"/>
        </w:rPr>
        <w:t>Finally, compensation or redress is available in Germany where persons convicted of consensual homosexual acts are entitled to compensation of €3000 per annulled conviction and €1500 for every year spent in prison.</w:t>
      </w:r>
      <w:r w:rsidR="0037662C" w:rsidRPr="003020EF">
        <w:rPr>
          <w:rStyle w:val="FootnoteReference"/>
          <w:rFonts w:ascii="Cambria" w:hAnsi="Cambria"/>
          <w:color w:val="000000" w:themeColor="text1"/>
          <w:bdr w:val="none" w:sz="0" w:space="0" w:color="auto" w:frame="1"/>
        </w:rPr>
        <w:footnoteReference w:id="8"/>
      </w:r>
      <w:r w:rsidR="0037662C" w:rsidRPr="003020EF">
        <w:rPr>
          <w:rStyle w:val="xcontentpasted0"/>
          <w:rFonts w:ascii="Cambria" w:hAnsi="Cambria"/>
          <w:color w:val="000000" w:themeColor="text1"/>
          <w:bdr w:val="none" w:sz="0" w:space="0" w:color="auto" w:frame="1"/>
        </w:rPr>
        <w:t> </w:t>
      </w:r>
      <w:r w:rsidR="008F523C" w:rsidRPr="003020EF">
        <w:rPr>
          <w:rStyle w:val="xcontentpasted0"/>
          <w:rFonts w:ascii="Cambria" w:hAnsi="Cambria"/>
          <w:color w:val="000000" w:themeColor="text1"/>
          <w:bdr w:val="none" w:sz="0" w:space="0" w:color="auto" w:frame="1"/>
        </w:rPr>
        <w:t xml:space="preserve">For all of these reasons, we strongly recommend that the Bill </w:t>
      </w:r>
      <w:r w:rsidR="00B22C78">
        <w:rPr>
          <w:rStyle w:val="xcontentpasted0"/>
          <w:rFonts w:ascii="Cambria" w:hAnsi="Cambria"/>
          <w:color w:val="000000" w:themeColor="text1"/>
          <w:bdr w:val="none" w:sz="0" w:space="0" w:color="auto" w:frame="1"/>
        </w:rPr>
        <w:t>be</w:t>
      </w:r>
      <w:r w:rsidR="008F523C" w:rsidRPr="003020EF">
        <w:rPr>
          <w:rStyle w:val="xcontentpasted0"/>
          <w:rFonts w:ascii="Cambria" w:hAnsi="Cambria"/>
          <w:color w:val="000000" w:themeColor="text1"/>
          <w:bdr w:val="none" w:sz="0" w:space="0" w:color="auto" w:frame="1"/>
        </w:rPr>
        <w:t xml:space="preserve"> amended to include a one-off ex-gratia payment</w:t>
      </w:r>
      <w:r w:rsidR="00B22C78">
        <w:rPr>
          <w:rStyle w:val="xcontentpasted0"/>
          <w:rFonts w:ascii="Cambria" w:hAnsi="Cambria"/>
          <w:color w:val="000000" w:themeColor="text1"/>
          <w:bdr w:val="none" w:sz="0" w:space="0" w:color="auto" w:frame="1"/>
        </w:rPr>
        <w:t xml:space="preserve"> to</w:t>
      </w:r>
      <w:r w:rsidR="008F523C" w:rsidRPr="003020EF">
        <w:rPr>
          <w:rStyle w:val="xcontentpasted0"/>
          <w:rFonts w:ascii="Cambria" w:hAnsi="Cambria"/>
          <w:color w:val="000000" w:themeColor="text1"/>
          <w:bdr w:val="none" w:sz="0" w:space="0" w:color="auto" w:frame="1"/>
        </w:rPr>
        <w:t xml:space="preserve"> applicants who have charges and convictions expunged under the Act.</w:t>
      </w:r>
    </w:p>
    <w:p w:rsidR="00C82063" w:rsidRPr="003020EF" w:rsidRDefault="00C82063" w:rsidP="00C82063">
      <w:pPr>
        <w:ind w:right="-347"/>
        <w:jc w:val="both"/>
        <w:rPr>
          <w:rStyle w:val="xcontentpasted0"/>
          <w:rFonts w:ascii="Cambria" w:hAnsi="Cambria"/>
          <w:color w:val="000000" w:themeColor="text1"/>
          <w:bdr w:val="none" w:sz="0" w:space="0" w:color="auto" w:frame="1"/>
        </w:rPr>
      </w:pPr>
    </w:p>
    <w:p w:rsidR="00871E31" w:rsidRPr="003020EF" w:rsidRDefault="00C82063" w:rsidP="00C82063">
      <w:pPr>
        <w:ind w:right="-347"/>
        <w:jc w:val="both"/>
        <w:rPr>
          <w:rFonts w:ascii="Cambria" w:hAnsi="Cambria"/>
          <w:color w:val="000000" w:themeColor="text1"/>
          <w:bdr w:val="none" w:sz="0" w:space="0" w:color="auto" w:frame="1"/>
        </w:rPr>
      </w:pPr>
      <w:r w:rsidRPr="003020EF">
        <w:rPr>
          <w:rStyle w:val="xcontentpasted0"/>
          <w:rFonts w:ascii="Cambria" w:hAnsi="Cambria"/>
          <w:color w:val="000000" w:themeColor="text1"/>
          <w:bdr w:val="none" w:sz="0" w:space="0" w:color="auto" w:frame="1"/>
        </w:rPr>
        <w:t xml:space="preserve">If you have any queries, please do not hesitate to contact us. </w:t>
      </w:r>
    </w:p>
    <w:p w:rsidR="00C82063" w:rsidRPr="003020EF" w:rsidRDefault="00C82063" w:rsidP="00C82063">
      <w:pPr>
        <w:ind w:right="-347"/>
        <w:jc w:val="both"/>
        <w:rPr>
          <w:rFonts w:ascii="Cambria" w:hAnsi="Cambria"/>
          <w:color w:val="000000" w:themeColor="text1"/>
          <w:bdr w:val="none" w:sz="0" w:space="0" w:color="auto" w:frame="1"/>
        </w:rPr>
      </w:pPr>
    </w:p>
    <w:p w:rsidR="003B72F7" w:rsidRPr="003020EF" w:rsidRDefault="003B72F7" w:rsidP="003B72F7">
      <w:pPr>
        <w:shd w:val="clear" w:color="auto" w:fill="FFFFFF"/>
        <w:ind w:right="-347"/>
        <w:jc w:val="both"/>
        <w:rPr>
          <w:rFonts w:ascii="Cambria" w:hAnsi="Cambria"/>
          <w:bCs/>
          <w:color w:val="000000" w:themeColor="text1"/>
        </w:rPr>
      </w:pPr>
    </w:p>
    <w:p w:rsidR="003B72F7" w:rsidRPr="003020EF" w:rsidRDefault="003B72F7" w:rsidP="003B72F7">
      <w:pPr>
        <w:shd w:val="clear" w:color="auto" w:fill="FFFFFF"/>
        <w:ind w:right="-347"/>
        <w:jc w:val="both"/>
        <w:rPr>
          <w:rFonts w:ascii="Cambria" w:hAnsi="Cambria"/>
          <w:bCs/>
          <w:color w:val="000000" w:themeColor="text1"/>
        </w:rPr>
      </w:pPr>
      <w:r w:rsidRPr="003020EF">
        <w:rPr>
          <w:rFonts w:ascii="Cambria" w:hAnsi="Cambria"/>
          <w:bCs/>
          <w:color w:val="000000" w:themeColor="text1"/>
        </w:rPr>
        <w:t>Yours faithfully,</w:t>
      </w:r>
    </w:p>
    <w:p w:rsidR="003B72F7" w:rsidRDefault="003B72F7" w:rsidP="003B72F7">
      <w:pPr>
        <w:shd w:val="clear" w:color="auto" w:fill="FFFFFF"/>
        <w:ind w:right="-347"/>
        <w:jc w:val="both"/>
        <w:rPr>
          <w:rFonts w:ascii="Cambria" w:hAnsi="Cambria"/>
          <w:bCs/>
          <w:color w:val="000000" w:themeColor="text1"/>
        </w:rPr>
      </w:pPr>
    </w:p>
    <w:p w:rsidR="00340E29" w:rsidRDefault="00340E29" w:rsidP="003B72F7">
      <w:pPr>
        <w:shd w:val="clear" w:color="auto" w:fill="FFFFFF"/>
        <w:ind w:right="-347"/>
        <w:jc w:val="both"/>
        <w:rPr>
          <w:rFonts w:ascii="Cambria" w:hAnsi="Cambria"/>
          <w:bCs/>
          <w:color w:val="000000" w:themeColor="text1"/>
        </w:rPr>
      </w:pPr>
    </w:p>
    <w:p w:rsidR="00340E29" w:rsidRPr="003020EF" w:rsidRDefault="00340E29" w:rsidP="003B72F7">
      <w:pPr>
        <w:shd w:val="clear" w:color="auto" w:fill="FFFFFF"/>
        <w:ind w:right="-347"/>
        <w:jc w:val="both"/>
        <w:rPr>
          <w:rFonts w:ascii="Cambria" w:hAnsi="Cambria"/>
          <w:bCs/>
          <w:color w:val="000000" w:themeColor="text1"/>
        </w:rPr>
      </w:pPr>
    </w:p>
    <w:p w:rsidR="003B72F7" w:rsidRPr="003020EF" w:rsidRDefault="003B72F7" w:rsidP="003B72F7">
      <w:pPr>
        <w:shd w:val="clear" w:color="auto" w:fill="FFFFFF"/>
        <w:ind w:right="-347"/>
        <w:jc w:val="both"/>
        <w:rPr>
          <w:rFonts w:ascii="Cambria" w:hAnsi="Cambria"/>
          <w:bCs/>
          <w:color w:val="000000" w:themeColor="text1"/>
        </w:rPr>
      </w:pPr>
      <w:r w:rsidRPr="003020EF">
        <w:rPr>
          <w:rFonts w:ascii="Cambria" w:hAnsi="Cambria"/>
          <w:bCs/>
          <w:color w:val="000000" w:themeColor="text1"/>
        </w:rPr>
        <w:t xml:space="preserve">Benedict </w:t>
      </w:r>
      <w:proofErr w:type="spellStart"/>
      <w:r w:rsidRPr="003020EF">
        <w:rPr>
          <w:rFonts w:ascii="Cambria" w:hAnsi="Cambria"/>
          <w:bCs/>
          <w:color w:val="000000" w:themeColor="text1"/>
        </w:rPr>
        <w:t>Bartl</w:t>
      </w:r>
      <w:proofErr w:type="spellEnd"/>
    </w:p>
    <w:p w:rsidR="003B72F7" w:rsidRPr="003020EF" w:rsidRDefault="003B72F7" w:rsidP="003B72F7">
      <w:pPr>
        <w:shd w:val="clear" w:color="auto" w:fill="FFFFFF"/>
        <w:ind w:right="-347"/>
        <w:jc w:val="both"/>
        <w:rPr>
          <w:rFonts w:ascii="Cambria" w:hAnsi="Cambria"/>
          <w:bCs/>
          <w:color w:val="000000" w:themeColor="text1"/>
        </w:rPr>
      </w:pPr>
      <w:r w:rsidRPr="003020EF">
        <w:rPr>
          <w:rFonts w:ascii="Cambria" w:hAnsi="Cambria"/>
          <w:bCs/>
          <w:color w:val="000000" w:themeColor="text1"/>
        </w:rPr>
        <w:t>Policy Officer</w:t>
      </w:r>
    </w:p>
    <w:p w:rsidR="003B72F7" w:rsidRPr="003020EF" w:rsidRDefault="003B72F7" w:rsidP="003B72F7">
      <w:pPr>
        <w:pBdr>
          <w:bottom w:val="single" w:sz="6" w:space="1" w:color="auto"/>
        </w:pBdr>
        <w:shd w:val="clear" w:color="auto" w:fill="FFFFFF"/>
        <w:ind w:right="-347"/>
        <w:jc w:val="both"/>
        <w:rPr>
          <w:rFonts w:ascii="Cambria" w:hAnsi="Cambria"/>
          <w:b/>
          <w:bCs/>
          <w:color w:val="000000" w:themeColor="text1"/>
        </w:rPr>
      </w:pPr>
      <w:r w:rsidRPr="003020EF">
        <w:rPr>
          <w:rFonts w:ascii="Cambria" w:hAnsi="Cambria"/>
          <w:b/>
          <w:bCs/>
          <w:color w:val="000000" w:themeColor="text1"/>
        </w:rPr>
        <w:t>Community Legal Centres Tasmania</w:t>
      </w:r>
    </w:p>
    <w:p w:rsidR="003B72F7" w:rsidRPr="003020EF" w:rsidRDefault="003B72F7" w:rsidP="003B72F7">
      <w:pPr>
        <w:rPr>
          <w:rFonts w:ascii="Cambria" w:hAnsi="Cambria" w:cs="Calibri"/>
          <w:color w:val="000000" w:themeColor="text1"/>
          <w:sz w:val="22"/>
          <w:szCs w:val="22"/>
        </w:rPr>
      </w:pPr>
    </w:p>
    <w:sectPr w:rsidR="003B72F7" w:rsidRPr="003020EF" w:rsidSect="00215FC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5B1A" w:rsidRDefault="004B5B1A" w:rsidP="003B72F7">
      <w:r>
        <w:separator/>
      </w:r>
    </w:p>
  </w:endnote>
  <w:endnote w:type="continuationSeparator" w:id="0">
    <w:p w:rsidR="004B5B1A" w:rsidRDefault="004B5B1A" w:rsidP="003B7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5B1A" w:rsidRDefault="004B5B1A" w:rsidP="003B72F7">
      <w:r>
        <w:separator/>
      </w:r>
    </w:p>
  </w:footnote>
  <w:footnote w:type="continuationSeparator" w:id="0">
    <w:p w:rsidR="004B5B1A" w:rsidRDefault="004B5B1A" w:rsidP="003B72F7">
      <w:r>
        <w:continuationSeparator/>
      </w:r>
    </w:p>
  </w:footnote>
  <w:footnote w:id="1">
    <w:p w:rsidR="003B72F7" w:rsidRPr="00C82063" w:rsidRDefault="003B72F7" w:rsidP="003B72F7">
      <w:pPr>
        <w:pStyle w:val="FootnoteText"/>
        <w:rPr>
          <w:rFonts w:ascii="Cambria" w:hAnsi="Cambria"/>
          <w:color w:val="000000" w:themeColor="text1"/>
          <w:sz w:val="20"/>
          <w:szCs w:val="20"/>
        </w:rPr>
      </w:pPr>
      <w:r w:rsidRPr="00C82063">
        <w:rPr>
          <w:rStyle w:val="FootnoteReference"/>
          <w:rFonts w:ascii="Cambria" w:hAnsi="Cambria"/>
          <w:color w:val="000000" w:themeColor="text1"/>
          <w:sz w:val="20"/>
          <w:szCs w:val="20"/>
        </w:rPr>
        <w:footnoteRef/>
      </w:r>
      <w:r w:rsidRPr="00C82063">
        <w:rPr>
          <w:rFonts w:ascii="Cambria" w:hAnsi="Cambria"/>
          <w:color w:val="000000" w:themeColor="text1"/>
          <w:sz w:val="20"/>
          <w:szCs w:val="20"/>
        </w:rPr>
        <w:t xml:space="preserve"> </w:t>
      </w:r>
      <w:r w:rsidR="00F70659" w:rsidRPr="00C82063">
        <w:rPr>
          <w:rFonts w:ascii="Cambria" w:hAnsi="Cambria"/>
          <w:sz w:val="20"/>
          <w:szCs w:val="20"/>
        </w:rPr>
        <w:t>CLC Tas would like to acknowledge those persons and organisations who gave freely of their time in assisting with our submission.</w:t>
      </w:r>
    </w:p>
  </w:footnote>
  <w:footnote w:id="2">
    <w:p w:rsidR="00863323" w:rsidRPr="00C82063" w:rsidRDefault="00863323">
      <w:pPr>
        <w:pStyle w:val="FootnoteText"/>
        <w:rPr>
          <w:rFonts w:ascii="Cambria" w:hAnsi="Cambria"/>
          <w:sz w:val="20"/>
          <w:szCs w:val="20"/>
        </w:rPr>
      </w:pPr>
      <w:r w:rsidRPr="00C82063">
        <w:rPr>
          <w:rStyle w:val="FootnoteReference"/>
          <w:rFonts w:ascii="Cambria" w:hAnsi="Cambria"/>
          <w:sz w:val="20"/>
          <w:szCs w:val="20"/>
        </w:rPr>
        <w:footnoteRef/>
      </w:r>
      <w:r w:rsidRPr="00C82063">
        <w:rPr>
          <w:rFonts w:ascii="Cambria" w:hAnsi="Cambria"/>
          <w:sz w:val="20"/>
          <w:szCs w:val="20"/>
        </w:rPr>
        <w:t xml:space="preserve"> See recommendations </w:t>
      </w:r>
      <w:r w:rsidRPr="00C82063">
        <w:rPr>
          <w:rStyle w:val="xcontentpasted0"/>
          <w:rFonts w:ascii="Cambria" w:hAnsi="Cambria"/>
          <w:color w:val="000000" w:themeColor="text1"/>
          <w:sz w:val="20"/>
          <w:szCs w:val="20"/>
          <w:bdr w:val="none" w:sz="0" w:space="0" w:color="auto" w:frame="1"/>
        </w:rPr>
        <w:t xml:space="preserve">2, 3, 4, 6 and 8 of the </w:t>
      </w:r>
      <w:r w:rsidRPr="00C82063">
        <w:rPr>
          <w:rStyle w:val="xcontentpasted0"/>
          <w:rFonts w:ascii="Cambria" w:hAnsi="Cambria"/>
          <w:i/>
          <w:iCs/>
          <w:color w:val="000000" w:themeColor="text1"/>
          <w:sz w:val="20"/>
          <w:szCs w:val="20"/>
          <w:bdr w:val="none" w:sz="0" w:space="0" w:color="auto" w:frame="1"/>
        </w:rPr>
        <w:t>Independent Review of Expungement of Historical Offences Act 2017</w:t>
      </w:r>
      <w:r w:rsidRPr="00C82063">
        <w:rPr>
          <w:rStyle w:val="xcontentpasted0"/>
          <w:rFonts w:ascii="Cambria" w:hAnsi="Cambria" w:cs="Arial"/>
          <w:color w:val="000000" w:themeColor="text1"/>
          <w:sz w:val="20"/>
          <w:szCs w:val="20"/>
          <w:bdr w:val="none" w:sz="0" w:space="0" w:color="auto" w:frame="1"/>
        </w:rPr>
        <w:t xml:space="preserve"> (October 2020). </w:t>
      </w:r>
      <w:r w:rsidRPr="00C82063">
        <w:rPr>
          <w:rStyle w:val="xcontentpasted0"/>
          <w:rFonts w:ascii="Cambria" w:hAnsi="Cambria"/>
          <w:color w:val="000000" w:themeColor="text1"/>
          <w:sz w:val="20"/>
          <w:szCs w:val="20"/>
          <w:bdr w:val="none" w:sz="0" w:space="0" w:color="auto" w:frame="1"/>
        </w:rPr>
        <w:t xml:space="preserve"> </w:t>
      </w:r>
    </w:p>
  </w:footnote>
  <w:footnote w:id="3">
    <w:p w:rsidR="003E423E" w:rsidRPr="00C82063" w:rsidRDefault="003E423E" w:rsidP="003E423E">
      <w:pPr>
        <w:pStyle w:val="FootnoteText"/>
        <w:rPr>
          <w:rFonts w:ascii="Cambria" w:hAnsi="Cambria"/>
          <w:sz w:val="20"/>
          <w:szCs w:val="20"/>
        </w:rPr>
      </w:pPr>
      <w:r w:rsidRPr="00C82063">
        <w:rPr>
          <w:rStyle w:val="FootnoteReference"/>
          <w:rFonts w:ascii="Cambria" w:hAnsi="Cambria"/>
          <w:sz w:val="20"/>
          <w:szCs w:val="20"/>
        </w:rPr>
        <w:footnoteRef/>
      </w:r>
      <w:r w:rsidRPr="00C82063">
        <w:rPr>
          <w:rFonts w:ascii="Cambria" w:hAnsi="Cambria"/>
          <w:sz w:val="20"/>
          <w:szCs w:val="20"/>
        </w:rPr>
        <w:t xml:space="preserve"> </w:t>
      </w:r>
      <w:r w:rsidRPr="00C82063">
        <w:rPr>
          <w:rFonts w:ascii="Cambria" w:hAnsi="Cambria"/>
          <w:color w:val="000000" w:themeColor="text1"/>
          <w:sz w:val="20"/>
          <w:szCs w:val="20"/>
        </w:rPr>
        <w:t xml:space="preserve">Tasmania, </w:t>
      </w:r>
      <w:r w:rsidRPr="00C82063">
        <w:rPr>
          <w:rFonts w:ascii="Cambria" w:hAnsi="Cambria"/>
          <w:i/>
          <w:iCs/>
          <w:color w:val="000000" w:themeColor="text1"/>
          <w:sz w:val="20"/>
          <w:szCs w:val="20"/>
        </w:rPr>
        <w:t>Parliamentary Debates</w:t>
      </w:r>
      <w:r w:rsidRPr="00C82063">
        <w:rPr>
          <w:rFonts w:ascii="Cambria" w:hAnsi="Cambria"/>
          <w:color w:val="000000" w:themeColor="text1"/>
          <w:sz w:val="20"/>
          <w:szCs w:val="20"/>
        </w:rPr>
        <w:t>, House of Assembly, 13 April 2017</w:t>
      </w:r>
      <w:r w:rsidR="00C82063" w:rsidRPr="00C82063">
        <w:rPr>
          <w:rFonts w:ascii="Cambria" w:hAnsi="Cambria"/>
          <w:color w:val="000000" w:themeColor="text1"/>
          <w:sz w:val="20"/>
          <w:szCs w:val="20"/>
        </w:rPr>
        <w:t xml:space="preserve"> at </w:t>
      </w:r>
      <w:r w:rsidRPr="00C82063">
        <w:rPr>
          <w:rFonts w:ascii="Cambria" w:hAnsi="Cambria"/>
          <w:color w:val="000000" w:themeColor="text1"/>
          <w:sz w:val="20"/>
          <w:szCs w:val="20"/>
        </w:rPr>
        <w:t>54.</w:t>
      </w:r>
    </w:p>
  </w:footnote>
  <w:footnote w:id="4">
    <w:p w:rsidR="003E423E" w:rsidRPr="00C82063" w:rsidRDefault="003E423E">
      <w:pPr>
        <w:pStyle w:val="FootnoteText"/>
        <w:rPr>
          <w:rFonts w:ascii="Cambria" w:hAnsi="Cambria"/>
          <w:sz w:val="20"/>
          <w:szCs w:val="20"/>
        </w:rPr>
      </w:pPr>
      <w:r w:rsidRPr="00C82063">
        <w:rPr>
          <w:rStyle w:val="FootnoteReference"/>
          <w:rFonts w:ascii="Cambria" w:hAnsi="Cambria"/>
          <w:sz w:val="20"/>
          <w:szCs w:val="20"/>
        </w:rPr>
        <w:footnoteRef/>
      </w:r>
      <w:r w:rsidRPr="00C82063">
        <w:rPr>
          <w:rFonts w:ascii="Cambria" w:hAnsi="Cambria"/>
          <w:sz w:val="20"/>
          <w:szCs w:val="20"/>
        </w:rPr>
        <w:t xml:space="preserve"> Melanie Bartlett and Taya </w:t>
      </w:r>
      <w:proofErr w:type="spellStart"/>
      <w:r w:rsidRPr="00C82063">
        <w:rPr>
          <w:rFonts w:ascii="Cambria" w:hAnsi="Cambria"/>
          <w:sz w:val="20"/>
          <w:szCs w:val="20"/>
        </w:rPr>
        <w:t>Ketalaar</w:t>
      </w:r>
      <w:proofErr w:type="spellEnd"/>
      <w:r w:rsidRPr="00C82063">
        <w:rPr>
          <w:rFonts w:ascii="Cambria" w:hAnsi="Cambria"/>
          <w:sz w:val="20"/>
          <w:szCs w:val="20"/>
        </w:rPr>
        <w:t xml:space="preserve">-Jones, </w:t>
      </w:r>
      <w:r w:rsidRPr="00C82063">
        <w:rPr>
          <w:rStyle w:val="xcontentpasted0"/>
          <w:rFonts w:ascii="Cambria" w:hAnsi="Cambria"/>
          <w:i/>
          <w:iCs/>
          <w:color w:val="000000"/>
          <w:sz w:val="20"/>
          <w:szCs w:val="20"/>
          <w:bdr w:val="none" w:sz="0" w:space="0" w:color="auto" w:frame="1"/>
        </w:rPr>
        <w:t>Independent Review of Expungement of Historical Offences Act 2017</w:t>
      </w:r>
      <w:r w:rsidRPr="00C82063">
        <w:rPr>
          <w:rStyle w:val="xcontentpasted0"/>
          <w:rFonts w:ascii="Cambria" w:hAnsi="Cambria"/>
          <w:color w:val="000000"/>
          <w:sz w:val="20"/>
          <w:szCs w:val="20"/>
          <w:bdr w:val="none" w:sz="0" w:space="0" w:color="auto" w:frame="1"/>
        </w:rPr>
        <w:t xml:space="preserve"> (October 2020) at 27-28. </w:t>
      </w:r>
    </w:p>
  </w:footnote>
  <w:footnote w:id="5">
    <w:p w:rsidR="0037662C" w:rsidRPr="00C82063" w:rsidRDefault="0037662C">
      <w:pPr>
        <w:pStyle w:val="FootnoteText"/>
        <w:rPr>
          <w:rFonts w:ascii="Cambria" w:hAnsi="Cambria"/>
          <w:sz w:val="20"/>
          <w:szCs w:val="20"/>
        </w:rPr>
      </w:pPr>
      <w:r w:rsidRPr="00C82063">
        <w:rPr>
          <w:rStyle w:val="FootnoteReference"/>
          <w:rFonts w:ascii="Cambria" w:hAnsi="Cambria"/>
          <w:sz w:val="20"/>
          <w:szCs w:val="20"/>
        </w:rPr>
        <w:footnoteRef/>
      </w:r>
      <w:r w:rsidRPr="00C82063">
        <w:rPr>
          <w:rFonts w:ascii="Cambria" w:hAnsi="Cambria"/>
          <w:sz w:val="20"/>
          <w:szCs w:val="20"/>
        </w:rPr>
        <w:t xml:space="preserve"> </w:t>
      </w:r>
      <w:r w:rsidR="00C82063">
        <w:rPr>
          <w:rFonts w:ascii="Cambria" w:hAnsi="Cambria"/>
          <w:sz w:val="20"/>
          <w:szCs w:val="20"/>
        </w:rPr>
        <w:t>Ibid</w:t>
      </w:r>
      <w:r w:rsidRPr="00C82063">
        <w:rPr>
          <w:rStyle w:val="xcontentpasted0"/>
          <w:rFonts w:ascii="Cambria" w:hAnsi="Cambria"/>
          <w:color w:val="000000"/>
          <w:sz w:val="20"/>
          <w:szCs w:val="20"/>
          <w:bdr w:val="none" w:sz="0" w:space="0" w:color="auto" w:frame="1"/>
        </w:rPr>
        <w:t xml:space="preserve"> at 57. Also see recommendation 13. </w:t>
      </w:r>
    </w:p>
  </w:footnote>
  <w:footnote w:id="6">
    <w:p w:rsidR="0037662C" w:rsidRPr="00C82063" w:rsidRDefault="0037662C" w:rsidP="008F523C">
      <w:pPr>
        <w:pStyle w:val="FootnoteText"/>
        <w:rPr>
          <w:rFonts w:ascii="Cambria" w:hAnsi="Cambria"/>
          <w:sz w:val="20"/>
          <w:szCs w:val="20"/>
        </w:rPr>
      </w:pPr>
      <w:r w:rsidRPr="00C82063">
        <w:rPr>
          <w:rStyle w:val="FootnoteReference"/>
          <w:rFonts w:ascii="Cambria" w:hAnsi="Cambria"/>
          <w:sz w:val="20"/>
          <w:szCs w:val="20"/>
        </w:rPr>
        <w:footnoteRef/>
      </w:r>
      <w:r w:rsidRPr="00C82063">
        <w:rPr>
          <w:rFonts w:ascii="Cambria" w:hAnsi="Cambria"/>
          <w:sz w:val="20"/>
          <w:szCs w:val="20"/>
        </w:rPr>
        <w:t xml:space="preserve"> Anti-Discrimination Commissioner Tasmania, </w:t>
      </w:r>
      <w:r w:rsidRPr="00C82063">
        <w:rPr>
          <w:rFonts w:ascii="Cambria" w:hAnsi="Cambria"/>
          <w:i/>
          <w:iCs/>
          <w:sz w:val="20"/>
          <w:szCs w:val="20"/>
        </w:rPr>
        <w:t>Treatment of historic criminal records for consensual homosexual sexual activity and related conduct</w:t>
      </w:r>
      <w:r w:rsidRPr="00C82063">
        <w:rPr>
          <w:rFonts w:ascii="Cambria" w:hAnsi="Cambria"/>
          <w:sz w:val="20"/>
          <w:szCs w:val="20"/>
        </w:rPr>
        <w:t xml:space="preserve"> (April 2015) at 2. </w:t>
      </w:r>
    </w:p>
  </w:footnote>
  <w:footnote w:id="7">
    <w:p w:rsidR="008F523C" w:rsidRPr="00C82063" w:rsidRDefault="008F523C" w:rsidP="008F523C">
      <w:pPr>
        <w:pStyle w:val="xmsonormal"/>
        <w:shd w:val="clear" w:color="auto" w:fill="FFFFFF"/>
        <w:spacing w:before="0" w:beforeAutospacing="0" w:after="0" w:afterAutospacing="0"/>
        <w:rPr>
          <w:rFonts w:ascii="Cambria" w:hAnsi="Cambria"/>
          <w:color w:val="000000"/>
          <w:sz w:val="20"/>
          <w:szCs w:val="20"/>
        </w:rPr>
      </w:pPr>
      <w:r w:rsidRPr="00C82063">
        <w:rPr>
          <w:rStyle w:val="FootnoteReference"/>
          <w:rFonts w:ascii="Cambria" w:hAnsi="Cambria"/>
          <w:sz w:val="20"/>
          <w:szCs w:val="20"/>
        </w:rPr>
        <w:footnoteRef/>
      </w:r>
      <w:r w:rsidRPr="00C82063">
        <w:rPr>
          <w:rFonts w:ascii="Cambria" w:hAnsi="Cambria"/>
          <w:sz w:val="20"/>
          <w:szCs w:val="20"/>
        </w:rPr>
        <w:t xml:space="preserve"> </w:t>
      </w:r>
      <w:r w:rsidRPr="00C82063">
        <w:rPr>
          <w:rFonts w:ascii="Cambria" w:hAnsi="Cambria"/>
          <w:color w:val="000000"/>
          <w:sz w:val="20"/>
          <w:szCs w:val="20"/>
        </w:rPr>
        <w:t>The International Commission of Jurists and the International Service for Human Rights,</w:t>
      </w:r>
      <w:r w:rsidRPr="00C82063">
        <w:rPr>
          <w:rFonts w:ascii="Cambria" w:hAnsi="Cambria"/>
          <w:i/>
          <w:sz w:val="20"/>
          <w:szCs w:val="20"/>
        </w:rPr>
        <w:t xml:space="preserve"> Yogyakarta Principles</w:t>
      </w:r>
      <w:r w:rsidRPr="00C82063">
        <w:rPr>
          <w:rFonts w:ascii="Cambria" w:hAnsi="Cambria"/>
          <w:sz w:val="20"/>
          <w:szCs w:val="20"/>
        </w:rPr>
        <w:t xml:space="preserve"> </w:t>
      </w:r>
      <w:r w:rsidRPr="00C82063">
        <w:rPr>
          <w:rFonts w:ascii="Cambria" w:hAnsi="Cambria"/>
          <w:i/>
          <w:sz w:val="20"/>
          <w:szCs w:val="20"/>
        </w:rPr>
        <w:t>on the application of international human rights law in relation to sexual orientation and gender identity</w:t>
      </w:r>
      <w:r w:rsidRPr="00C82063">
        <w:rPr>
          <w:rFonts w:ascii="Cambria" w:hAnsi="Cambria"/>
          <w:sz w:val="20"/>
          <w:szCs w:val="20"/>
        </w:rPr>
        <w:t xml:space="preserve"> (2006)</w:t>
      </w:r>
      <w:r w:rsidRPr="00C82063">
        <w:rPr>
          <w:rFonts w:ascii="Cambria" w:hAnsi="Cambria"/>
          <w:i/>
          <w:sz w:val="20"/>
          <w:szCs w:val="20"/>
        </w:rPr>
        <w:t xml:space="preserve">. </w:t>
      </w:r>
      <w:r w:rsidRPr="00C82063">
        <w:rPr>
          <w:rFonts w:ascii="Cambria" w:hAnsi="Cambria"/>
          <w:sz w:val="20"/>
          <w:szCs w:val="20"/>
        </w:rPr>
        <w:t xml:space="preserve">As found at </w:t>
      </w:r>
      <w:hyperlink r:id="rId1" w:history="1">
        <w:r w:rsidRPr="00C82063">
          <w:rPr>
            <w:rStyle w:val="Hyperlink"/>
            <w:rFonts w:ascii="Cambria" w:hAnsi="Cambria"/>
            <w:sz w:val="20"/>
            <w:szCs w:val="20"/>
          </w:rPr>
          <w:t>http://yogyakartaprinciples.org/wp-content/uploads/2016/08/principles_en.pdf</w:t>
        </w:r>
      </w:hyperlink>
      <w:r w:rsidRPr="00C82063">
        <w:rPr>
          <w:rFonts w:ascii="Cambria" w:hAnsi="Cambria"/>
          <w:sz w:val="20"/>
          <w:szCs w:val="20"/>
        </w:rPr>
        <w:t xml:space="preserve"> (</w:t>
      </w:r>
      <w:r w:rsidR="00C82063">
        <w:rPr>
          <w:rFonts w:ascii="Cambria" w:hAnsi="Cambria"/>
          <w:sz w:val="20"/>
          <w:szCs w:val="20"/>
        </w:rPr>
        <w:t>a</w:t>
      </w:r>
      <w:r w:rsidRPr="00C82063">
        <w:rPr>
          <w:rFonts w:ascii="Cambria" w:hAnsi="Cambria"/>
          <w:sz w:val="20"/>
          <w:szCs w:val="20"/>
        </w:rPr>
        <w:t xml:space="preserve">ccessed </w:t>
      </w:r>
      <w:r w:rsidR="00C82063">
        <w:rPr>
          <w:rFonts w:ascii="Cambria" w:hAnsi="Cambria"/>
          <w:sz w:val="20"/>
          <w:szCs w:val="20"/>
        </w:rPr>
        <w:t>20 September 2023</w:t>
      </w:r>
      <w:r w:rsidRPr="00C82063">
        <w:rPr>
          <w:rFonts w:ascii="Cambria" w:hAnsi="Cambria"/>
          <w:sz w:val="20"/>
          <w:szCs w:val="20"/>
        </w:rPr>
        <w:t>).</w:t>
      </w:r>
      <w:r w:rsidRPr="00C82063">
        <w:rPr>
          <w:rFonts w:ascii="Cambria" w:hAnsi="Cambria"/>
          <w:i/>
          <w:sz w:val="20"/>
          <w:szCs w:val="20"/>
        </w:rPr>
        <w:t xml:space="preserve">  </w:t>
      </w:r>
      <w:r w:rsidRPr="00C82063">
        <w:rPr>
          <w:rFonts w:ascii="Cambria" w:hAnsi="Cambria"/>
          <w:sz w:val="20"/>
          <w:szCs w:val="20"/>
        </w:rPr>
        <w:t xml:space="preserve"> </w:t>
      </w:r>
    </w:p>
  </w:footnote>
  <w:footnote w:id="8">
    <w:p w:rsidR="0037662C" w:rsidRPr="00C82063" w:rsidRDefault="0037662C" w:rsidP="008F523C">
      <w:pPr>
        <w:pStyle w:val="FootnoteText"/>
        <w:rPr>
          <w:rFonts w:ascii="Cambria" w:hAnsi="Cambria"/>
          <w:sz w:val="20"/>
          <w:szCs w:val="20"/>
        </w:rPr>
      </w:pPr>
      <w:r w:rsidRPr="00C82063">
        <w:rPr>
          <w:rStyle w:val="FootnoteReference"/>
          <w:rFonts w:ascii="Cambria" w:hAnsi="Cambria"/>
          <w:sz w:val="20"/>
          <w:szCs w:val="20"/>
        </w:rPr>
        <w:footnoteRef/>
      </w:r>
      <w:r w:rsidRPr="00C82063">
        <w:rPr>
          <w:rFonts w:ascii="Cambria" w:hAnsi="Cambria"/>
          <w:sz w:val="20"/>
          <w:szCs w:val="20"/>
        </w:rPr>
        <w:t xml:space="preserve"> </w:t>
      </w:r>
      <w:r w:rsidRPr="00C82063">
        <w:rPr>
          <w:rStyle w:val="xcontentpasted0"/>
          <w:rFonts w:ascii="Cambria" w:hAnsi="Cambria"/>
          <w:color w:val="000000"/>
          <w:sz w:val="20"/>
          <w:szCs w:val="20"/>
          <w:bdr w:val="none" w:sz="0" w:space="0" w:color="auto" w:frame="1"/>
          <w:shd w:val="clear" w:color="auto" w:fill="FFFFFF"/>
        </w:rPr>
        <w:t>A good overview of the law in Germany and the process for obtaining compensation is contained in a report prepared for the Ireland Department of Justice, </w:t>
      </w:r>
      <w:r w:rsidRPr="00C82063">
        <w:rPr>
          <w:rStyle w:val="xcontentpasted0"/>
          <w:rFonts w:ascii="Cambria" w:hAnsi="Cambria"/>
          <w:i/>
          <w:iCs/>
          <w:color w:val="000000"/>
          <w:sz w:val="20"/>
          <w:szCs w:val="20"/>
          <w:bdr w:val="none" w:sz="0" w:space="0" w:color="auto" w:frame="1"/>
          <w:shd w:val="clear" w:color="auto" w:fill="FFFFFF"/>
        </w:rPr>
        <w:t>Working Group to Examine the Disregard of Convictions for Certain Qualifying Offences Related to Consensual Sexual Activity between Men: Final Report </w:t>
      </w:r>
      <w:r w:rsidRPr="00C82063">
        <w:rPr>
          <w:rStyle w:val="xcontentpasted0"/>
          <w:rFonts w:ascii="Cambria" w:hAnsi="Cambria"/>
          <w:color w:val="000000"/>
          <w:sz w:val="20"/>
          <w:szCs w:val="20"/>
          <w:bdr w:val="none" w:sz="0" w:space="0" w:color="auto" w:frame="1"/>
          <w:shd w:val="clear" w:color="auto" w:fill="FFFFFF"/>
        </w:rPr>
        <w:t>(June 2023) at Appendix 6. As found at </w:t>
      </w:r>
      <w:hyperlink r:id="rId2" w:tgtFrame="_blank" w:history="1">
        <w:r w:rsidRPr="00C82063">
          <w:rPr>
            <w:rStyle w:val="Hyperlink"/>
            <w:rFonts w:ascii="Cambria" w:hAnsi="Cambria"/>
            <w:sz w:val="20"/>
            <w:szCs w:val="20"/>
            <w:bdr w:val="none" w:sz="0" w:space="0" w:color="auto" w:frame="1"/>
            <w:shd w:val="clear" w:color="auto" w:fill="FFFFFF"/>
          </w:rPr>
          <w:t>https://www.gov.ie/en/publication/50699-final-report-of-the-working-group-to-examine-the-disregard-of-convictions-related-to-consensual-sexual-activity-between-men/</w:t>
        </w:r>
      </w:hyperlink>
      <w:r w:rsidRPr="00C82063">
        <w:rPr>
          <w:rStyle w:val="xcontentpasted0"/>
          <w:rFonts w:ascii="Cambria" w:hAnsi="Cambria"/>
          <w:color w:val="000000"/>
          <w:sz w:val="20"/>
          <w:szCs w:val="20"/>
          <w:bdr w:val="none" w:sz="0" w:space="0" w:color="auto" w:frame="1"/>
          <w:shd w:val="clear" w:color="auto" w:fill="FFFFFF"/>
        </w:rPr>
        <w:t xml:space="preserve"> (accessed </w:t>
      </w:r>
      <w:r w:rsidR="00C82063">
        <w:rPr>
          <w:rStyle w:val="xcontentpasted0"/>
          <w:rFonts w:ascii="Cambria" w:hAnsi="Cambria"/>
          <w:color w:val="000000"/>
          <w:sz w:val="20"/>
          <w:szCs w:val="20"/>
          <w:bdr w:val="none" w:sz="0" w:space="0" w:color="auto" w:frame="1"/>
          <w:shd w:val="clear" w:color="auto" w:fill="FFFFFF"/>
        </w:rPr>
        <w:t>20</w:t>
      </w:r>
      <w:r w:rsidRPr="00C82063">
        <w:rPr>
          <w:rStyle w:val="xcontentpasted0"/>
          <w:rFonts w:ascii="Cambria" w:hAnsi="Cambria"/>
          <w:color w:val="000000"/>
          <w:sz w:val="20"/>
          <w:szCs w:val="20"/>
          <w:bdr w:val="none" w:sz="0" w:space="0" w:color="auto" w:frame="1"/>
          <w:shd w:val="clear" w:color="auto" w:fill="FFFFFF"/>
        </w:rPr>
        <w:t xml:space="preserve"> September 2023).</w:t>
      </w:r>
      <w:r w:rsidRPr="00C82063">
        <w:rPr>
          <w:rFonts w:ascii="Cambria" w:hAnsi="Cambria"/>
          <w:i/>
          <w:iCs/>
          <w:color w:val="000000"/>
          <w:sz w:val="20"/>
          <w:szCs w:val="20"/>
          <w:shd w:val="clear" w:color="auto" w:fill="FFFFFF"/>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0257A"/>
    <w:multiLevelType w:val="hybridMultilevel"/>
    <w:tmpl w:val="04349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F7513A"/>
    <w:multiLevelType w:val="hybridMultilevel"/>
    <w:tmpl w:val="85CA38A4"/>
    <w:lvl w:ilvl="0" w:tplc="2C7E51E0">
      <w:start w:val="4"/>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E175C8"/>
    <w:multiLevelType w:val="hybridMultilevel"/>
    <w:tmpl w:val="42369562"/>
    <w:lvl w:ilvl="0" w:tplc="E85465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65855CA"/>
    <w:multiLevelType w:val="hybridMultilevel"/>
    <w:tmpl w:val="B6F0A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A42588"/>
    <w:multiLevelType w:val="hybridMultilevel"/>
    <w:tmpl w:val="873A326A"/>
    <w:lvl w:ilvl="0" w:tplc="D3FE4C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860F3F"/>
    <w:multiLevelType w:val="hybridMultilevel"/>
    <w:tmpl w:val="11A2B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D96C68"/>
    <w:multiLevelType w:val="hybridMultilevel"/>
    <w:tmpl w:val="F5E017D8"/>
    <w:lvl w:ilvl="0" w:tplc="6706BFF0">
      <w:start w:val="509"/>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486820"/>
    <w:multiLevelType w:val="hybridMultilevel"/>
    <w:tmpl w:val="C308A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9287855">
    <w:abstractNumId w:val="0"/>
  </w:num>
  <w:num w:numId="2" w16cid:durableId="1013457360">
    <w:abstractNumId w:val="5"/>
  </w:num>
  <w:num w:numId="3" w16cid:durableId="1696685803">
    <w:abstractNumId w:val="7"/>
  </w:num>
  <w:num w:numId="4" w16cid:durableId="818036509">
    <w:abstractNumId w:val="3"/>
  </w:num>
  <w:num w:numId="5" w16cid:durableId="2046171660">
    <w:abstractNumId w:val="2"/>
  </w:num>
  <w:num w:numId="6" w16cid:durableId="2057508984">
    <w:abstractNumId w:val="1"/>
  </w:num>
  <w:num w:numId="7" w16cid:durableId="157498327">
    <w:abstractNumId w:val="4"/>
  </w:num>
  <w:num w:numId="8" w16cid:durableId="11726434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2F7"/>
    <w:rsid w:val="00024572"/>
    <w:rsid w:val="000B264D"/>
    <w:rsid w:val="000E4CF0"/>
    <w:rsid w:val="001A1F59"/>
    <w:rsid w:val="00215FCE"/>
    <w:rsid w:val="00246408"/>
    <w:rsid w:val="002A344C"/>
    <w:rsid w:val="003020EF"/>
    <w:rsid w:val="00340E29"/>
    <w:rsid w:val="0037662C"/>
    <w:rsid w:val="003B72F7"/>
    <w:rsid w:val="003E423E"/>
    <w:rsid w:val="00492BD0"/>
    <w:rsid w:val="004B5B1A"/>
    <w:rsid w:val="006473A4"/>
    <w:rsid w:val="006E36CC"/>
    <w:rsid w:val="00846187"/>
    <w:rsid w:val="00863323"/>
    <w:rsid w:val="00871E31"/>
    <w:rsid w:val="008D577B"/>
    <w:rsid w:val="008F523C"/>
    <w:rsid w:val="009273E8"/>
    <w:rsid w:val="009F574A"/>
    <w:rsid w:val="00B12B28"/>
    <w:rsid w:val="00B22C78"/>
    <w:rsid w:val="00C82063"/>
    <w:rsid w:val="00C83509"/>
    <w:rsid w:val="00E22019"/>
    <w:rsid w:val="00E61382"/>
    <w:rsid w:val="00F706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48AADBC"/>
  <w15:chartTrackingRefBased/>
  <w15:docId w15:val="{5F9E90A5-C02A-504C-9B62-5F65F38D6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2F7"/>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72F7"/>
    <w:rPr>
      <w:color w:val="0563C1" w:themeColor="hyperlink"/>
      <w:u w:val="single"/>
    </w:rPr>
  </w:style>
  <w:style w:type="paragraph" w:styleId="ListParagraph">
    <w:name w:val="List Paragraph"/>
    <w:basedOn w:val="Normal"/>
    <w:uiPriority w:val="34"/>
    <w:qFormat/>
    <w:rsid w:val="003B72F7"/>
    <w:pPr>
      <w:ind w:left="720"/>
      <w:contextualSpacing/>
    </w:pPr>
  </w:style>
  <w:style w:type="paragraph" w:styleId="FootnoteText">
    <w:name w:val="footnote text"/>
    <w:aliases w:val="Footnote,Text,Footnote Text Char Char Char Char Char Char Char,Footnote Text Char Char Char Char Char Char,Footnote Text Char Char Char Char Char Char Char Char Char Char Char Char Char Char Char Char Char,single space Char,single space"/>
    <w:basedOn w:val="Normal"/>
    <w:link w:val="FootnoteTextChar"/>
    <w:uiPriority w:val="99"/>
    <w:unhideWhenUsed/>
    <w:rsid w:val="003B72F7"/>
  </w:style>
  <w:style w:type="character" w:customStyle="1" w:styleId="FootnoteTextChar">
    <w:name w:val="Footnote Text Char"/>
    <w:aliases w:val="Footnote Char,Text Char,Footnote Text Char Char Char Char Char Char Char Char,Footnote Text Char Char Char Char Char Char Char1,Footnote Text Char Char Char Char Char Char Char Char Char Char Char Char Char Char Char Char Char Char"/>
    <w:basedOn w:val="DefaultParagraphFont"/>
    <w:link w:val="FootnoteText"/>
    <w:uiPriority w:val="99"/>
    <w:rsid w:val="003B72F7"/>
    <w:rPr>
      <w:rFonts w:ascii="Times New Roman" w:eastAsia="Times New Roman" w:hAnsi="Times New Roman" w:cs="Times New Roman"/>
      <w:kern w:val="0"/>
      <w:lang w:eastAsia="en-GB"/>
      <w14:ligatures w14:val="none"/>
    </w:rPr>
  </w:style>
  <w:style w:type="character" w:styleId="FootnoteReference">
    <w:name w:val="footnote reference"/>
    <w:aliases w:val="Footnotes refss"/>
    <w:basedOn w:val="DefaultParagraphFont"/>
    <w:uiPriority w:val="99"/>
    <w:unhideWhenUsed/>
    <w:rsid w:val="003B72F7"/>
    <w:rPr>
      <w:vertAlign w:val="superscript"/>
    </w:rPr>
  </w:style>
  <w:style w:type="character" w:styleId="Emphasis">
    <w:name w:val="Emphasis"/>
    <w:basedOn w:val="DefaultParagraphFont"/>
    <w:uiPriority w:val="20"/>
    <w:qFormat/>
    <w:rsid w:val="003B72F7"/>
    <w:rPr>
      <w:i/>
      <w:iCs/>
    </w:rPr>
  </w:style>
  <w:style w:type="character" w:styleId="UnresolvedMention">
    <w:name w:val="Unresolved Mention"/>
    <w:basedOn w:val="DefaultParagraphFont"/>
    <w:uiPriority w:val="99"/>
    <w:semiHidden/>
    <w:unhideWhenUsed/>
    <w:rsid w:val="003B72F7"/>
    <w:rPr>
      <w:color w:val="605E5C"/>
      <w:shd w:val="clear" w:color="auto" w:fill="E1DFDD"/>
    </w:rPr>
  </w:style>
  <w:style w:type="paragraph" w:styleId="NormalWeb">
    <w:name w:val="Normal (Web)"/>
    <w:basedOn w:val="Normal"/>
    <w:uiPriority w:val="99"/>
    <w:unhideWhenUsed/>
    <w:rsid w:val="00871E31"/>
    <w:pPr>
      <w:spacing w:before="100" w:beforeAutospacing="1" w:after="100" w:afterAutospacing="1"/>
    </w:pPr>
  </w:style>
  <w:style w:type="paragraph" w:customStyle="1" w:styleId="xmsonormal">
    <w:name w:val="x_msonormal"/>
    <w:basedOn w:val="Normal"/>
    <w:rsid w:val="00F70659"/>
    <w:pPr>
      <w:spacing w:before="100" w:beforeAutospacing="1" w:after="100" w:afterAutospacing="1"/>
    </w:pPr>
  </w:style>
  <w:style w:type="character" w:customStyle="1" w:styleId="xcontentpasted0">
    <w:name w:val="x_contentpasted0"/>
    <w:basedOn w:val="DefaultParagraphFont"/>
    <w:rsid w:val="00F70659"/>
  </w:style>
  <w:style w:type="paragraph" w:customStyle="1" w:styleId="headingparagraph">
    <w:name w:val="headingparagraph"/>
    <w:basedOn w:val="Normal"/>
    <w:rsid w:val="00F70659"/>
    <w:pPr>
      <w:spacing w:before="100" w:beforeAutospacing="1" w:after="100" w:afterAutospacing="1"/>
    </w:pPr>
  </w:style>
  <w:style w:type="paragraph" w:styleId="NoSpacing">
    <w:name w:val="No Spacing"/>
    <w:uiPriority w:val="1"/>
    <w:qFormat/>
    <w:rsid w:val="00F70659"/>
    <w:rPr>
      <w:rFonts w:ascii="Times New Roman" w:eastAsia="Times New Roman" w:hAnsi="Times New Roman" w:cs="Times New Roman"/>
      <w:kern w:val="0"/>
      <w:lang w:eastAsia="en-GB"/>
      <w14:ligatures w14:val="none"/>
    </w:rPr>
  </w:style>
  <w:style w:type="paragraph" w:customStyle="1" w:styleId="xxmsonormal">
    <w:name w:val="x_xmsonormal"/>
    <w:basedOn w:val="Normal"/>
    <w:rsid w:val="00863323"/>
    <w:pPr>
      <w:spacing w:before="100" w:beforeAutospacing="1" w:after="100" w:afterAutospacing="1"/>
    </w:pPr>
  </w:style>
  <w:style w:type="paragraph" w:customStyle="1" w:styleId="xheadingparagraph">
    <w:name w:val="x_headingparagraph"/>
    <w:basedOn w:val="Normal"/>
    <w:rsid w:val="00863323"/>
    <w:pPr>
      <w:spacing w:before="100" w:beforeAutospacing="1" w:after="100" w:afterAutospacing="1"/>
    </w:pPr>
  </w:style>
  <w:style w:type="paragraph" w:customStyle="1" w:styleId="xxgmail-msolistparagraph">
    <w:name w:val="x_xgmail-msolistparagraph"/>
    <w:basedOn w:val="Normal"/>
    <w:rsid w:val="00863323"/>
    <w:pPr>
      <w:spacing w:before="100" w:beforeAutospacing="1" w:after="100" w:afterAutospacing="1"/>
    </w:pPr>
  </w:style>
  <w:style w:type="paragraph" w:customStyle="1" w:styleId="xxgmail-default">
    <w:name w:val="x_xgmail-default"/>
    <w:basedOn w:val="Normal"/>
    <w:rsid w:val="00863323"/>
    <w:pPr>
      <w:spacing w:before="100" w:beforeAutospacing="1" w:after="100" w:afterAutospacing="1"/>
    </w:pPr>
  </w:style>
  <w:style w:type="character" w:customStyle="1" w:styleId="xmsofootnotereference">
    <w:name w:val="x_msofootnotereference"/>
    <w:basedOn w:val="DefaultParagraphFont"/>
    <w:rsid w:val="00863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4652">
      <w:bodyDiv w:val="1"/>
      <w:marLeft w:val="0"/>
      <w:marRight w:val="0"/>
      <w:marTop w:val="0"/>
      <w:marBottom w:val="0"/>
      <w:divBdr>
        <w:top w:val="none" w:sz="0" w:space="0" w:color="auto"/>
        <w:left w:val="none" w:sz="0" w:space="0" w:color="auto"/>
        <w:bottom w:val="none" w:sz="0" w:space="0" w:color="auto"/>
        <w:right w:val="none" w:sz="0" w:space="0" w:color="auto"/>
      </w:divBdr>
    </w:div>
    <w:div w:id="655687698">
      <w:bodyDiv w:val="1"/>
      <w:marLeft w:val="0"/>
      <w:marRight w:val="0"/>
      <w:marTop w:val="0"/>
      <w:marBottom w:val="0"/>
      <w:divBdr>
        <w:top w:val="none" w:sz="0" w:space="0" w:color="auto"/>
        <w:left w:val="none" w:sz="0" w:space="0" w:color="auto"/>
        <w:bottom w:val="none" w:sz="0" w:space="0" w:color="auto"/>
        <w:right w:val="none" w:sz="0" w:space="0" w:color="auto"/>
      </w:divBdr>
    </w:div>
    <w:div w:id="659701883">
      <w:bodyDiv w:val="1"/>
      <w:marLeft w:val="0"/>
      <w:marRight w:val="0"/>
      <w:marTop w:val="0"/>
      <w:marBottom w:val="0"/>
      <w:divBdr>
        <w:top w:val="none" w:sz="0" w:space="0" w:color="auto"/>
        <w:left w:val="none" w:sz="0" w:space="0" w:color="auto"/>
        <w:bottom w:val="none" w:sz="0" w:space="0" w:color="auto"/>
        <w:right w:val="none" w:sz="0" w:space="0" w:color="auto"/>
      </w:divBdr>
    </w:div>
    <w:div w:id="904074369">
      <w:bodyDiv w:val="1"/>
      <w:marLeft w:val="0"/>
      <w:marRight w:val="0"/>
      <w:marTop w:val="0"/>
      <w:marBottom w:val="0"/>
      <w:divBdr>
        <w:top w:val="none" w:sz="0" w:space="0" w:color="auto"/>
        <w:left w:val="none" w:sz="0" w:space="0" w:color="auto"/>
        <w:bottom w:val="none" w:sz="0" w:space="0" w:color="auto"/>
        <w:right w:val="none" w:sz="0" w:space="0" w:color="auto"/>
      </w:divBdr>
    </w:div>
    <w:div w:id="1872449786">
      <w:bodyDiv w:val="1"/>
      <w:marLeft w:val="0"/>
      <w:marRight w:val="0"/>
      <w:marTop w:val="0"/>
      <w:marBottom w:val="0"/>
      <w:divBdr>
        <w:top w:val="none" w:sz="0" w:space="0" w:color="auto"/>
        <w:left w:val="none" w:sz="0" w:space="0" w:color="auto"/>
        <w:bottom w:val="none" w:sz="0" w:space="0" w:color="auto"/>
        <w:right w:val="none" w:sz="0" w:space="0" w:color="auto"/>
      </w:divBdr>
      <w:divsChild>
        <w:div w:id="1448238833">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048989000">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749116350">
                  <w:blockQuote w:val="1"/>
                  <w:marLeft w:val="0"/>
                  <w:marRight w:val="0"/>
                  <w:marTop w:val="120"/>
                  <w:marBottom w:val="120"/>
                  <w:divBdr>
                    <w:top w:val="none" w:sz="0" w:space="0" w:color="auto"/>
                    <w:left w:val="none" w:sz="0" w:space="0" w:color="auto"/>
                    <w:bottom w:val="none" w:sz="0" w:space="0" w:color="auto"/>
                    <w:right w:val="none" w:sz="0" w:space="0" w:color="auto"/>
                  </w:divBdr>
                </w:div>
                <w:div w:id="1419718087">
                  <w:blockQuote w:val="1"/>
                  <w:marLeft w:val="0"/>
                  <w:marRight w:val="0"/>
                  <w:marTop w:val="120"/>
                  <w:marBottom w:val="120"/>
                  <w:divBdr>
                    <w:top w:val="none" w:sz="0" w:space="0" w:color="auto"/>
                    <w:left w:val="none" w:sz="0" w:space="0" w:color="auto"/>
                    <w:bottom w:val="none" w:sz="0" w:space="0" w:color="auto"/>
                    <w:right w:val="none" w:sz="0" w:space="0" w:color="auto"/>
                  </w:divBdr>
                </w:div>
                <w:div w:id="1018388812">
                  <w:blockQuote w:val="1"/>
                  <w:marLeft w:val="0"/>
                  <w:marRight w:val="0"/>
                  <w:marTop w:val="120"/>
                  <w:marBottom w:val="120"/>
                  <w:divBdr>
                    <w:top w:val="none" w:sz="0" w:space="0" w:color="auto"/>
                    <w:left w:val="none" w:sz="0" w:space="0" w:color="auto"/>
                    <w:bottom w:val="none" w:sz="0" w:space="0" w:color="auto"/>
                    <w:right w:val="none" w:sz="0" w:space="0" w:color="auto"/>
                  </w:divBdr>
                </w:div>
                <w:div w:id="1213805373">
                  <w:blockQuote w:val="1"/>
                  <w:marLeft w:val="0"/>
                  <w:marRight w:val="0"/>
                  <w:marTop w:val="120"/>
                  <w:marBottom w:val="120"/>
                  <w:divBdr>
                    <w:top w:val="none" w:sz="0" w:space="0" w:color="auto"/>
                    <w:left w:val="none" w:sz="0" w:space="0" w:color="auto"/>
                    <w:bottom w:val="none" w:sz="0" w:space="0" w:color="auto"/>
                    <w:right w:val="none" w:sz="0" w:space="0" w:color="auto"/>
                  </w:divBdr>
                </w:div>
                <w:div w:id="1285235879">
                  <w:blockQuote w:val="1"/>
                  <w:marLeft w:val="0"/>
                  <w:marRight w:val="0"/>
                  <w:marTop w:val="120"/>
                  <w:marBottom w:val="120"/>
                  <w:divBdr>
                    <w:top w:val="none" w:sz="0" w:space="0" w:color="auto"/>
                    <w:left w:val="none" w:sz="0" w:space="0" w:color="auto"/>
                    <w:bottom w:val="none" w:sz="0" w:space="0" w:color="auto"/>
                    <w:right w:val="none" w:sz="0" w:space="0" w:color="auto"/>
                  </w:divBdr>
                </w:div>
                <w:div w:id="483473457">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veyoursay@justice.tas.gov.a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ov.ie/en/publication/50699-final-report-of-the-working-group-to-examine-the-disregard-of-convictions-related-to-consensual-sexual-activity-between-men/" TargetMode="External"/><Relationship Id="rId1" Type="http://schemas.openxmlformats.org/officeDocument/2006/relationships/hyperlink" Target="http://yogyakartaprinciples.org/wp-content/uploads/2016/08/principles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1057</Words>
  <Characters>6025</Characters>
  <Application>Microsoft Office Word</Application>
  <DocSecurity>0</DocSecurity>
  <Lines>50</Lines>
  <Paragraphs>14</Paragraphs>
  <ScaleCrop>false</ScaleCrop>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2023-09-24T19:51:00Z</dcterms:created>
  <dcterms:modified xsi:type="dcterms:W3CDTF">2023-09-24T19:54:00Z</dcterms:modified>
</cp:coreProperties>
</file>