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405D" w:rsidRPr="00187347" w:rsidRDefault="000B405D" w:rsidP="000B405D">
      <w:pPr>
        <w:jc w:val="center"/>
        <w:rPr>
          <w:lang w:val="en-AU"/>
        </w:rPr>
      </w:pPr>
      <w:r w:rsidRPr="00187347">
        <w:rPr>
          <w:rFonts w:asciiTheme="minorHAnsi" w:hAnsiTheme="minorHAnsi"/>
          <w:noProof/>
          <w:sz w:val="20"/>
          <w:szCs w:val="20"/>
          <w:lang w:val="en-AU"/>
        </w:rPr>
        <w:drawing>
          <wp:inline distT="0" distB="0" distL="0" distR="0" wp14:anchorId="13796A5C" wp14:editId="33F1F47C">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rsidR="000B405D" w:rsidRPr="00103601" w:rsidRDefault="000B405D" w:rsidP="000B405D">
      <w:pPr>
        <w:rPr>
          <w:rFonts w:ascii="Cambria" w:hAnsi="Cambria"/>
          <w:lang w:val="en-AU"/>
        </w:rPr>
      </w:pPr>
    </w:p>
    <w:p w:rsidR="000B405D" w:rsidRPr="008339D0" w:rsidRDefault="000B405D" w:rsidP="000B405D">
      <w:pPr>
        <w:rPr>
          <w:rFonts w:ascii="Cambria" w:hAnsi="Cambria"/>
          <w:lang w:val="en-AU"/>
        </w:rPr>
      </w:pPr>
    </w:p>
    <w:p w:rsidR="000B405D" w:rsidRPr="008339D0" w:rsidRDefault="00B71655" w:rsidP="000B405D">
      <w:pPr>
        <w:rPr>
          <w:rFonts w:ascii="Cambria" w:hAnsi="Cambria"/>
          <w:lang w:val="en-AU"/>
        </w:rPr>
      </w:pPr>
      <w:r w:rsidRPr="008339D0">
        <w:rPr>
          <w:rFonts w:ascii="Cambria" w:hAnsi="Cambria"/>
          <w:lang w:val="en-AU"/>
        </w:rPr>
        <w:t>18 September</w:t>
      </w:r>
      <w:r w:rsidR="000B405D" w:rsidRPr="008339D0">
        <w:rPr>
          <w:rFonts w:ascii="Cambria" w:hAnsi="Cambria"/>
          <w:lang w:val="en-AU"/>
        </w:rPr>
        <w:t xml:space="preserve"> 202</w:t>
      </w:r>
      <w:r w:rsidRPr="008339D0">
        <w:rPr>
          <w:rFonts w:ascii="Cambria" w:hAnsi="Cambria"/>
          <w:lang w:val="en-AU"/>
        </w:rPr>
        <w:t>3</w:t>
      </w:r>
    </w:p>
    <w:p w:rsidR="000B405D" w:rsidRPr="008339D0" w:rsidRDefault="000B405D" w:rsidP="000B405D">
      <w:pPr>
        <w:rPr>
          <w:rFonts w:ascii="Cambria" w:hAnsi="Cambria"/>
          <w:lang w:val="en-AU"/>
        </w:rPr>
      </w:pPr>
    </w:p>
    <w:p w:rsidR="000B405D" w:rsidRPr="008339D0" w:rsidRDefault="000B405D" w:rsidP="000B405D">
      <w:pPr>
        <w:rPr>
          <w:rFonts w:ascii="Cambria" w:hAnsi="Cambria" w:cs="Arial"/>
          <w:color w:val="000000" w:themeColor="text1"/>
          <w:spacing w:val="-5"/>
          <w:lang w:val="en-AU"/>
        </w:rPr>
      </w:pPr>
    </w:p>
    <w:p w:rsidR="000B405D" w:rsidRPr="008339D0" w:rsidRDefault="000B405D" w:rsidP="000B405D">
      <w:pPr>
        <w:rPr>
          <w:rFonts w:ascii="Cambria" w:hAnsi="Cambria" w:cs="Arial"/>
          <w:color w:val="000000" w:themeColor="text1"/>
          <w:spacing w:val="-5"/>
          <w:lang w:val="en-AU"/>
        </w:rPr>
      </w:pPr>
      <w:r w:rsidRPr="008339D0">
        <w:rPr>
          <w:rFonts w:ascii="Cambria" w:hAnsi="Cambria" w:cs="Arial"/>
          <w:color w:val="000000" w:themeColor="text1"/>
          <w:spacing w:val="-5"/>
          <w:lang w:val="en-AU"/>
        </w:rPr>
        <w:t>Disability Inclusion Legislation Project</w:t>
      </w:r>
      <w:r w:rsidRPr="008339D0">
        <w:rPr>
          <w:rFonts w:ascii="Cambria" w:hAnsi="Cambria" w:cs="Arial"/>
          <w:color w:val="000000" w:themeColor="text1"/>
          <w:spacing w:val="-5"/>
          <w:lang w:val="en-AU"/>
        </w:rPr>
        <w:br/>
        <w:t>Community and Disability Services</w:t>
      </w:r>
      <w:r w:rsidRPr="008339D0">
        <w:rPr>
          <w:rFonts w:ascii="Cambria" w:hAnsi="Cambria" w:cs="Arial"/>
          <w:color w:val="000000" w:themeColor="text1"/>
          <w:spacing w:val="-5"/>
          <w:lang w:val="en-AU"/>
        </w:rPr>
        <w:br/>
        <w:t>Community Partnerships and Priorities Division</w:t>
      </w:r>
      <w:r w:rsidRPr="008339D0">
        <w:rPr>
          <w:rFonts w:ascii="Cambria" w:hAnsi="Cambria" w:cs="Arial"/>
          <w:color w:val="000000" w:themeColor="text1"/>
          <w:spacing w:val="-5"/>
          <w:lang w:val="en-AU"/>
        </w:rPr>
        <w:br/>
        <w:t xml:space="preserve">Department of Premier and Cabinet </w:t>
      </w:r>
    </w:p>
    <w:p w:rsidR="000B405D" w:rsidRPr="008339D0" w:rsidRDefault="000B405D" w:rsidP="000B405D">
      <w:pPr>
        <w:rPr>
          <w:rFonts w:ascii="Cambria" w:hAnsi="Cambria" w:cs="Arial"/>
          <w:color w:val="000000" w:themeColor="text1"/>
          <w:spacing w:val="-5"/>
          <w:lang w:val="en-AU"/>
        </w:rPr>
      </w:pPr>
      <w:proofErr w:type="spellStart"/>
      <w:r w:rsidRPr="008339D0">
        <w:rPr>
          <w:rFonts w:ascii="Cambria" w:hAnsi="Cambria" w:cs="Arial"/>
          <w:color w:val="000000" w:themeColor="text1"/>
          <w:spacing w:val="-5"/>
          <w:lang w:val="en-AU"/>
        </w:rPr>
        <w:t>attn:</w:t>
      </w:r>
      <w:proofErr w:type="spellEnd"/>
      <w:r w:rsidRPr="008339D0">
        <w:rPr>
          <w:rFonts w:ascii="Cambria" w:hAnsi="Cambria" w:cs="Arial"/>
          <w:color w:val="000000" w:themeColor="text1"/>
          <w:spacing w:val="-5"/>
          <w:lang w:val="en-AU"/>
        </w:rPr>
        <w:t xml:space="preserve"> Project Manager </w:t>
      </w:r>
      <w:r w:rsidRPr="008339D0">
        <w:rPr>
          <w:rFonts w:ascii="Cambria" w:hAnsi="Cambria" w:cs="Arial"/>
          <w:color w:val="000000" w:themeColor="text1"/>
          <w:spacing w:val="-5"/>
          <w:lang w:val="en-AU"/>
        </w:rPr>
        <w:tab/>
      </w:r>
      <w:r w:rsidRPr="008339D0">
        <w:rPr>
          <w:rFonts w:ascii="Cambria" w:hAnsi="Cambria" w:cs="Arial"/>
          <w:color w:val="000000" w:themeColor="text1"/>
          <w:spacing w:val="-5"/>
          <w:lang w:val="en-AU"/>
        </w:rPr>
        <w:tab/>
      </w:r>
      <w:r w:rsidRPr="008339D0">
        <w:rPr>
          <w:rFonts w:ascii="Cambria" w:hAnsi="Cambria" w:cs="Arial"/>
          <w:color w:val="000000" w:themeColor="text1"/>
          <w:spacing w:val="-5"/>
          <w:lang w:val="en-AU"/>
        </w:rPr>
        <w:tab/>
      </w:r>
    </w:p>
    <w:p w:rsidR="000B405D" w:rsidRPr="008339D0" w:rsidRDefault="000B405D" w:rsidP="000B405D">
      <w:pPr>
        <w:ind w:left="2160" w:firstLine="720"/>
        <w:rPr>
          <w:rFonts w:ascii="Cambria" w:hAnsi="Cambria" w:cs="Arial"/>
          <w:color w:val="000000" w:themeColor="text1"/>
          <w:spacing w:val="-5"/>
          <w:lang w:val="en-AU"/>
        </w:rPr>
      </w:pPr>
      <w:r w:rsidRPr="008339D0">
        <w:rPr>
          <w:rFonts w:ascii="Cambria" w:hAnsi="Cambria" w:cs="Arial"/>
          <w:i/>
          <w:iCs/>
          <w:color w:val="000000" w:themeColor="text1"/>
          <w:spacing w:val="-5"/>
          <w:lang w:val="en-AU"/>
        </w:rPr>
        <w:t xml:space="preserve">via email: </w:t>
      </w:r>
      <w:hyperlink r:id="rId9" w:history="1">
        <w:r w:rsidRPr="008339D0">
          <w:rPr>
            <w:rStyle w:val="Hyperlink"/>
            <w:rFonts w:ascii="Cambria" w:hAnsi="Cambria" w:cs="Arial"/>
            <w:i/>
            <w:iCs/>
            <w:spacing w:val="-5"/>
            <w:lang w:val="en-AU"/>
          </w:rPr>
          <w:t>disabilityinclusionbill@dpac.tas.gov.au</w:t>
        </w:r>
      </w:hyperlink>
      <w:r w:rsidRPr="008339D0">
        <w:rPr>
          <w:rFonts w:ascii="Cambria" w:hAnsi="Cambria" w:cs="Arial"/>
          <w:i/>
          <w:iCs/>
          <w:color w:val="6F6F6F"/>
          <w:spacing w:val="-5"/>
          <w:lang w:val="en-AU"/>
        </w:rPr>
        <w:t xml:space="preserve">   </w:t>
      </w:r>
    </w:p>
    <w:p w:rsidR="000B405D" w:rsidRPr="008339D0" w:rsidRDefault="000B405D" w:rsidP="000B405D">
      <w:pPr>
        <w:rPr>
          <w:rFonts w:ascii="Cambria" w:hAnsi="Cambria"/>
          <w:lang w:val="en-AU"/>
        </w:rPr>
      </w:pPr>
    </w:p>
    <w:p w:rsidR="000B405D" w:rsidRPr="008339D0" w:rsidRDefault="000B405D" w:rsidP="000B405D">
      <w:pPr>
        <w:rPr>
          <w:rFonts w:ascii="Cambria" w:hAnsi="Cambria"/>
          <w:color w:val="000000" w:themeColor="text1"/>
          <w:lang w:val="en-AU"/>
        </w:rPr>
      </w:pPr>
    </w:p>
    <w:p w:rsidR="000B405D" w:rsidRPr="008339D0" w:rsidRDefault="000B405D" w:rsidP="000B405D">
      <w:pPr>
        <w:rPr>
          <w:rFonts w:ascii="Cambria" w:hAnsi="Cambria"/>
          <w:color w:val="000000" w:themeColor="text1"/>
          <w:lang w:val="en-AU"/>
        </w:rPr>
      </w:pPr>
      <w:r w:rsidRPr="008339D0">
        <w:rPr>
          <w:rFonts w:ascii="Cambria" w:hAnsi="Cambria"/>
          <w:color w:val="000000" w:themeColor="text1"/>
          <w:lang w:val="en-AU"/>
        </w:rPr>
        <w:t xml:space="preserve">To Maryanne Lewis, </w:t>
      </w:r>
    </w:p>
    <w:p w:rsidR="000B405D" w:rsidRPr="008339D0" w:rsidRDefault="000B405D" w:rsidP="000B405D">
      <w:pPr>
        <w:pBdr>
          <w:bottom w:val="single" w:sz="6" w:space="1" w:color="auto"/>
        </w:pBdr>
        <w:rPr>
          <w:rFonts w:ascii="Cambria" w:hAnsi="Cambria"/>
          <w:b/>
          <w:bCs/>
          <w:color w:val="000000" w:themeColor="text1"/>
          <w:lang w:val="en-AU"/>
        </w:rPr>
      </w:pPr>
      <w:r w:rsidRPr="008339D0">
        <w:rPr>
          <w:rFonts w:ascii="Cambria" w:hAnsi="Cambria"/>
          <w:b/>
          <w:bCs/>
          <w:color w:val="000000" w:themeColor="text1"/>
          <w:lang w:val="en-AU"/>
        </w:rPr>
        <w:t xml:space="preserve">Re: </w:t>
      </w:r>
      <w:r w:rsidRPr="008339D0">
        <w:rPr>
          <w:rFonts w:ascii="Cambria" w:hAnsi="Cambria"/>
          <w:b/>
          <w:bCs/>
          <w:i/>
          <w:iCs/>
          <w:color w:val="000000" w:themeColor="text1"/>
          <w:lang w:val="en-AU"/>
        </w:rPr>
        <w:t>Disability Inclusion Bill 2023</w:t>
      </w:r>
    </w:p>
    <w:p w:rsidR="000B405D" w:rsidRPr="008339D0" w:rsidRDefault="000B405D" w:rsidP="000B405D">
      <w:pPr>
        <w:rPr>
          <w:rFonts w:ascii="Cambria" w:hAnsi="Cambria"/>
          <w:color w:val="000000" w:themeColor="text1"/>
          <w:lang w:val="en-AU"/>
        </w:rPr>
      </w:pPr>
    </w:p>
    <w:p w:rsidR="00F8249E" w:rsidRPr="008339D0" w:rsidRDefault="000B405D" w:rsidP="000B405D">
      <w:pPr>
        <w:pStyle w:val="NoSpacing"/>
        <w:jc w:val="both"/>
        <w:rPr>
          <w:rFonts w:ascii="Cambria" w:hAnsi="Cambria"/>
          <w:color w:val="000000" w:themeColor="text1"/>
        </w:rPr>
      </w:pPr>
      <w:r w:rsidRPr="008339D0">
        <w:rPr>
          <w:rFonts w:ascii="Cambria" w:hAnsi="Cambria" w:cs="Calibri"/>
          <w:color w:val="000000" w:themeColor="text1"/>
        </w:rPr>
        <w:t>Community Legal Centres Tasmania (CLC Tas)</w:t>
      </w:r>
      <w:r w:rsidRPr="008339D0">
        <w:rPr>
          <w:rFonts w:ascii="Cambria" w:hAnsi="Cambria"/>
          <w:color w:val="000000" w:themeColor="text1"/>
        </w:rPr>
        <w:t xml:space="preserve"> welcomes the opportunity to </w:t>
      </w:r>
      <w:r w:rsidR="006A477D" w:rsidRPr="008339D0">
        <w:rPr>
          <w:rFonts w:ascii="Cambria" w:hAnsi="Cambria"/>
          <w:color w:val="000000" w:themeColor="text1"/>
        </w:rPr>
        <w:t>comment on</w:t>
      </w:r>
      <w:r w:rsidRPr="008339D0">
        <w:rPr>
          <w:rFonts w:ascii="Cambria" w:hAnsi="Cambria"/>
          <w:color w:val="000000" w:themeColor="text1"/>
        </w:rPr>
        <w:t xml:space="preserve"> the</w:t>
      </w:r>
      <w:r w:rsidR="00525D76" w:rsidRPr="008339D0">
        <w:rPr>
          <w:rFonts w:ascii="Cambria" w:hAnsi="Cambria"/>
          <w:color w:val="000000" w:themeColor="text1"/>
        </w:rPr>
        <w:t xml:space="preserve"> </w:t>
      </w:r>
      <w:r w:rsidRPr="008339D0">
        <w:rPr>
          <w:rFonts w:ascii="Cambria" w:hAnsi="Cambria"/>
          <w:i/>
          <w:iCs/>
          <w:color w:val="000000" w:themeColor="text1"/>
        </w:rPr>
        <w:t>Disability Inclusion Bill 2023</w:t>
      </w:r>
      <w:r w:rsidRPr="008339D0">
        <w:rPr>
          <w:rFonts w:ascii="Cambria" w:hAnsi="Cambria"/>
          <w:color w:val="000000" w:themeColor="text1"/>
        </w:rPr>
        <w:t xml:space="preserve"> (Tas) (‘the Bill’). We </w:t>
      </w:r>
      <w:r w:rsidR="00B71655" w:rsidRPr="008339D0">
        <w:rPr>
          <w:rFonts w:ascii="Cambria" w:hAnsi="Cambria"/>
          <w:color w:val="000000" w:themeColor="text1"/>
        </w:rPr>
        <w:t>commend</w:t>
      </w:r>
      <w:r w:rsidRPr="008339D0">
        <w:rPr>
          <w:rFonts w:ascii="Cambria" w:hAnsi="Cambria"/>
          <w:color w:val="000000" w:themeColor="text1"/>
        </w:rPr>
        <w:t xml:space="preserve"> the </w:t>
      </w:r>
      <w:r w:rsidR="00B71655" w:rsidRPr="008339D0">
        <w:rPr>
          <w:rFonts w:ascii="Cambria" w:hAnsi="Cambria"/>
          <w:color w:val="000000" w:themeColor="text1"/>
        </w:rPr>
        <w:t>Government’s intention to create a new legislative framework for whole-of-government action and accountability in pursuing disability inclusion in Tasmania</w:t>
      </w:r>
      <w:r w:rsidRPr="008339D0">
        <w:rPr>
          <w:rFonts w:ascii="Cambria" w:hAnsi="Cambria"/>
          <w:color w:val="000000" w:themeColor="text1"/>
        </w:rPr>
        <w:t>.</w:t>
      </w:r>
      <w:r w:rsidR="00AE5A39" w:rsidRPr="008339D0">
        <w:rPr>
          <w:rStyle w:val="FootnoteReference"/>
          <w:rFonts w:ascii="Cambria" w:hAnsi="Cambria"/>
          <w:color w:val="000000" w:themeColor="text1"/>
        </w:rPr>
        <w:footnoteReference w:id="1"/>
      </w:r>
    </w:p>
    <w:p w:rsidR="00F8249E" w:rsidRPr="008339D0" w:rsidRDefault="00F8249E" w:rsidP="000B405D">
      <w:pPr>
        <w:pStyle w:val="NoSpacing"/>
        <w:jc w:val="both"/>
        <w:rPr>
          <w:rFonts w:ascii="Cambria" w:hAnsi="Cambria"/>
          <w:color w:val="000000" w:themeColor="text1"/>
        </w:rPr>
      </w:pPr>
    </w:p>
    <w:p w:rsidR="00F8249E" w:rsidRPr="008339D0" w:rsidRDefault="00F8249E" w:rsidP="00F8249E">
      <w:pPr>
        <w:pStyle w:val="NoSpacing"/>
        <w:jc w:val="both"/>
        <w:rPr>
          <w:rFonts w:ascii="Cambria" w:hAnsi="Cambria"/>
          <w:color w:val="000000" w:themeColor="text1"/>
        </w:rPr>
      </w:pPr>
      <w:r w:rsidRPr="008339D0">
        <w:rPr>
          <w:rFonts w:ascii="Cambria" w:hAnsi="Cambria" w:cs="Arial"/>
          <w:color w:val="000000" w:themeColor="text1"/>
        </w:rPr>
        <w:t xml:space="preserve">CLC Tas 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rsidR="00F8249E" w:rsidRPr="008339D0" w:rsidRDefault="00F8249E" w:rsidP="000B405D">
      <w:pPr>
        <w:pStyle w:val="NoSpacing"/>
        <w:jc w:val="both"/>
        <w:rPr>
          <w:rFonts w:ascii="Cambria" w:hAnsi="Cambria"/>
          <w:color w:val="000000" w:themeColor="text1"/>
        </w:rPr>
      </w:pPr>
    </w:p>
    <w:p w:rsidR="00AE5A39" w:rsidRPr="008339D0" w:rsidRDefault="00292260" w:rsidP="000B405D">
      <w:pPr>
        <w:pStyle w:val="NoSpacing"/>
        <w:jc w:val="both"/>
        <w:rPr>
          <w:rFonts w:ascii="Cambria" w:hAnsi="Cambria"/>
          <w:color w:val="000000" w:themeColor="text1"/>
        </w:rPr>
      </w:pPr>
      <w:r w:rsidRPr="008339D0">
        <w:rPr>
          <w:rFonts w:ascii="Cambria" w:hAnsi="Cambria"/>
          <w:color w:val="000000" w:themeColor="text1"/>
        </w:rPr>
        <w:t>Despite our support for the Bill,</w:t>
      </w:r>
      <w:r w:rsidR="00B71655" w:rsidRPr="008339D0">
        <w:rPr>
          <w:rFonts w:ascii="Cambria" w:hAnsi="Cambria"/>
          <w:color w:val="000000" w:themeColor="text1"/>
        </w:rPr>
        <w:t xml:space="preserve"> we are concerned that the Bill has been released prior to the </w:t>
      </w:r>
      <w:r w:rsidR="00442462" w:rsidRPr="008339D0">
        <w:rPr>
          <w:rFonts w:ascii="Cambria" w:hAnsi="Cambria"/>
          <w:color w:val="000000" w:themeColor="text1"/>
        </w:rPr>
        <w:t>handing down of the final report</w:t>
      </w:r>
      <w:r w:rsidR="00B71655" w:rsidRPr="008339D0">
        <w:rPr>
          <w:rFonts w:ascii="Cambria" w:hAnsi="Cambria"/>
          <w:color w:val="000000" w:themeColor="text1"/>
        </w:rPr>
        <w:t xml:space="preserve"> </w:t>
      </w:r>
      <w:r w:rsidR="00442462" w:rsidRPr="008339D0">
        <w:rPr>
          <w:rFonts w:ascii="Cambria" w:hAnsi="Cambria"/>
          <w:color w:val="000000" w:themeColor="text1"/>
        </w:rPr>
        <w:t>of the Royal Commission into Violence, Abuse, Neglect and Exploitation of People with Disability (‘the Royal Commission’)</w:t>
      </w:r>
      <w:r w:rsidR="00B71655" w:rsidRPr="008339D0">
        <w:rPr>
          <w:rFonts w:ascii="Cambria" w:hAnsi="Cambria"/>
          <w:color w:val="000000" w:themeColor="text1"/>
        </w:rPr>
        <w:t>. In its interim report</w:t>
      </w:r>
      <w:r w:rsidR="00442462" w:rsidRPr="008339D0">
        <w:rPr>
          <w:rFonts w:ascii="Cambria" w:hAnsi="Cambria"/>
          <w:color w:val="000000" w:themeColor="text1"/>
        </w:rPr>
        <w:t>,</w:t>
      </w:r>
      <w:r w:rsidR="00B71655" w:rsidRPr="008339D0">
        <w:rPr>
          <w:rFonts w:ascii="Cambria" w:hAnsi="Cambria"/>
          <w:color w:val="000000" w:themeColor="text1"/>
        </w:rPr>
        <w:t xml:space="preserve"> the Royal Commission noted that restrictive practices was a theme of particular pertinence to the independence of persons with disability and their right to live free from violence, abuse, neglect and exploitation.</w:t>
      </w:r>
      <w:r w:rsidR="00B71655" w:rsidRPr="008339D0">
        <w:rPr>
          <w:rStyle w:val="FootnoteReference"/>
          <w:rFonts w:ascii="Cambria" w:hAnsi="Cambria"/>
          <w:color w:val="000000" w:themeColor="text1"/>
        </w:rPr>
        <w:footnoteReference w:id="2"/>
      </w:r>
      <w:r w:rsidR="00B71655" w:rsidRPr="008339D0">
        <w:rPr>
          <w:rFonts w:ascii="Cambria" w:hAnsi="Cambria"/>
          <w:color w:val="000000" w:themeColor="text1"/>
        </w:rPr>
        <w:t xml:space="preserve"> The interim report also noted that the Royal Commission needed to </w:t>
      </w:r>
      <w:r w:rsidR="00442462" w:rsidRPr="008339D0">
        <w:rPr>
          <w:rFonts w:ascii="Cambria" w:hAnsi="Cambria"/>
          <w:color w:val="000000" w:themeColor="text1"/>
        </w:rPr>
        <w:t xml:space="preserve">more thoroughly </w:t>
      </w:r>
      <w:r w:rsidR="00B71655" w:rsidRPr="008339D0">
        <w:rPr>
          <w:rFonts w:ascii="Cambria" w:hAnsi="Cambria"/>
          <w:color w:val="000000" w:themeColor="text1"/>
        </w:rPr>
        <w:t xml:space="preserve">examine “the use of restrictive practices on people with disability and the rules and safeguards that should apply to prevent their </w:t>
      </w:r>
      <w:r w:rsidR="00B71655" w:rsidRPr="008339D0">
        <w:rPr>
          <w:rFonts w:ascii="Cambria" w:hAnsi="Cambria"/>
          <w:color w:val="000000" w:themeColor="text1"/>
        </w:rPr>
        <w:lastRenderedPageBreak/>
        <w:t>unwarranted use”.</w:t>
      </w:r>
      <w:r w:rsidR="00B71655" w:rsidRPr="008339D0">
        <w:rPr>
          <w:rStyle w:val="FootnoteReference"/>
          <w:rFonts w:ascii="Cambria" w:hAnsi="Cambria"/>
          <w:color w:val="000000" w:themeColor="text1"/>
        </w:rPr>
        <w:footnoteReference w:id="3"/>
      </w:r>
      <w:r w:rsidR="00B71655" w:rsidRPr="008339D0">
        <w:rPr>
          <w:rFonts w:ascii="Cambria" w:hAnsi="Cambria"/>
          <w:color w:val="000000" w:themeColor="text1"/>
        </w:rPr>
        <w:t xml:space="preserve"> With the Royal Commission</w:t>
      </w:r>
      <w:r w:rsidR="00442462" w:rsidRPr="008339D0">
        <w:rPr>
          <w:rFonts w:ascii="Cambria" w:hAnsi="Cambria"/>
          <w:color w:val="000000" w:themeColor="text1"/>
        </w:rPr>
        <w:t xml:space="preserve"> likely to hand down its final report </w:t>
      </w:r>
      <w:r w:rsidR="009D0885" w:rsidRPr="008339D0">
        <w:rPr>
          <w:rFonts w:ascii="Cambria" w:hAnsi="Cambria"/>
          <w:color w:val="000000" w:themeColor="text1"/>
        </w:rPr>
        <w:t>within the next</w:t>
      </w:r>
      <w:r w:rsidR="00442462" w:rsidRPr="008339D0">
        <w:rPr>
          <w:rFonts w:ascii="Cambria" w:hAnsi="Cambria"/>
          <w:color w:val="000000" w:themeColor="text1"/>
        </w:rPr>
        <w:t xml:space="preserve"> month, we </w:t>
      </w:r>
      <w:r w:rsidR="00F8249E" w:rsidRPr="008339D0">
        <w:rPr>
          <w:rFonts w:ascii="Cambria" w:hAnsi="Cambria"/>
          <w:color w:val="000000" w:themeColor="text1"/>
        </w:rPr>
        <w:t xml:space="preserve">strongly </w:t>
      </w:r>
      <w:r w:rsidR="00442462" w:rsidRPr="008339D0">
        <w:rPr>
          <w:rFonts w:ascii="Cambria" w:hAnsi="Cambria"/>
          <w:color w:val="000000" w:themeColor="text1"/>
        </w:rPr>
        <w:t xml:space="preserve">believe that the Bill should await its recommendations. </w:t>
      </w:r>
    </w:p>
    <w:p w:rsidR="000B405D" w:rsidRPr="008339D0" w:rsidRDefault="000B405D" w:rsidP="000B405D">
      <w:pPr>
        <w:pStyle w:val="NoSpacing"/>
        <w:jc w:val="both"/>
        <w:rPr>
          <w:rFonts w:ascii="Cambria" w:hAnsi="Cambria"/>
          <w:b/>
          <w:bCs/>
          <w:i/>
          <w:iCs/>
          <w:color w:val="000000" w:themeColor="text1"/>
        </w:rPr>
      </w:pPr>
    </w:p>
    <w:p w:rsidR="00AE5A39" w:rsidRPr="008339D0" w:rsidRDefault="000B405D" w:rsidP="00AE5A39">
      <w:pPr>
        <w:jc w:val="both"/>
        <w:rPr>
          <w:rFonts w:ascii="Cambria" w:hAnsi="Cambria"/>
          <w:b/>
          <w:bCs/>
          <w:color w:val="000000" w:themeColor="text1"/>
          <w:lang w:val="en-AU"/>
        </w:rPr>
      </w:pPr>
      <w:r w:rsidRPr="008339D0">
        <w:rPr>
          <w:rFonts w:ascii="Cambria" w:hAnsi="Cambria"/>
          <w:b/>
          <w:bCs/>
          <w:color w:val="000000" w:themeColor="text1"/>
          <w:lang w:val="en-AU"/>
        </w:rPr>
        <w:t>Disability inclusion</w:t>
      </w:r>
      <w:r w:rsidR="00525D76" w:rsidRPr="008339D0">
        <w:rPr>
          <w:rFonts w:ascii="Cambria" w:hAnsi="Cambria"/>
          <w:b/>
          <w:bCs/>
          <w:color w:val="000000" w:themeColor="text1"/>
          <w:lang w:val="en-AU"/>
        </w:rPr>
        <w:t xml:space="preserve"> action plan</w:t>
      </w:r>
      <w:r w:rsidRPr="008339D0">
        <w:rPr>
          <w:rFonts w:ascii="Cambria" w:hAnsi="Cambria"/>
          <w:b/>
          <w:bCs/>
          <w:color w:val="000000" w:themeColor="text1"/>
          <w:lang w:val="en-AU"/>
        </w:rPr>
        <w:t xml:space="preserve"> </w:t>
      </w:r>
    </w:p>
    <w:p w:rsidR="007E2942" w:rsidRPr="008339D0" w:rsidRDefault="00AE5A39" w:rsidP="007E2942">
      <w:pPr>
        <w:jc w:val="both"/>
        <w:rPr>
          <w:rFonts w:ascii="Cambria" w:hAnsi="Cambria"/>
          <w:color w:val="000000" w:themeColor="text1"/>
          <w:lang w:val="en-AU"/>
        </w:rPr>
      </w:pPr>
      <w:r w:rsidRPr="008339D0">
        <w:rPr>
          <w:rFonts w:ascii="Cambria" w:hAnsi="Cambria"/>
          <w:color w:val="000000" w:themeColor="text1"/>
          <w:lang w:val="en-AU"/>
        </w:rPr>
        <w:t>We strongly support the</w:t>
      </w:r>
      <w:r w:rsidR="000B405D" w:rsidRPr="008339D0">
        <w:rPr>
          <w:rFonts w:ascii="Cambria" w:hAnsi="Cambria"/>
          <w:color w:val="000000" w:themeColor="text1"/>
          <w:lang w:val="en-AU"/>
        </w:rPr>
        <w:t xml:space="preserve"> proposed introduction of a duty for defined entities to actively promote disability inclusion</w:t>
      </w:r>
      <w:r w:rsidRPr="008339D0">
        <w:rPr>
          <w:rFonts w:ascii="Cambria" w:hAnsi="Cambria"/>
          <w:color w:val="000000" w:themeColor="text1"/>
          <w:lang w:val="en-AU"/>
        </w:rPr>
        <w:t xml:space="preserve"> through the preparation of a disability inclusion action plan.</w:t>
      </w:r>
      <w:r w:rsidR="007E2942" w:rsidRPr="008339D0">
        <w:rPr>
          <w:rFonts w:ascii="Cambria" w:hAnsi="Cambria"/>
          <w:color w:val="000000" w:themeColor="text1"/>
          <w:lang w:val="en-AU"/>
        </w:rPr>
        <w:t xml:space="preserve"> </w:t>
      </w:r>
      <w:r w:rsidR="00525D76" w:rsidRPr="008339D0">
        <w:rPr>
          <w:rFonts w:ascii="Cambria" w:hAnsi="Cambria"/>
          <w:color w:val="000000" w:themeColor="text1"/>
          <w:lang w:val="en-AU"/>
        </w:rPr>
        <w:t>These plans should reduce, remove and prevent barriers for people with disability in accessing supports</w:t>
      </w:r>
      <w:r w:rsidR="008C6128" w:rsidRPr="008339D0">
        <w:rPr>
          <w:rFonts w:ascii="Cambria" w:hAnsi="Cambria"/>
          <w:color w:val="000000" w:themeColor="text1"/>
          <w:lang w:val="en-AU"/>
        </w:rPr>
        <w:t xml:space="preserve">, </w:t>
      </w:r>
      <w:r w:rsidR="00525D76" w:rsidRPr="008339D0">
        <w:rPr>
          <w:rFonts w:ascii="Cambria" w:hAnsi="Cambria"/>
          <w:color w:val="000000" w:themeColor="text1"/>
          <w:lang w:val="en-AU"/>
        </w:rPr>
        <w:t xml:space="preserve">services and employment. </w:t>
      </w:r>
      <w:r w:rsidR="007E2942" w:rsidRPr="008339D0">
        <w:rPr>
          <w:rFonts w:ascii="Cambria" w:hAnsi="Cambria"/>
          <w:color w:val="000000" w:themeColor="text1"/>
          <w:lang w:val="en-AU"/>
        </w:rPr>
        <w:t xml:space="preserve">However, as the Bill currently stands, the only entities required to commit to </w:t>
      </w:r>
      <w:r w:rsidR="00D24780" w:rsidRPr="008339D0">
        <w:rPr>
          <w:rFonts w:ascii="Cambria" w:hAnsi="Cambria"/>
          <w:color w:val="000000" w:themeColor="text1"/>
          <w:lang w:val="en-AU"/>
        </w:rPr>
        <w:t>these</w:t>
      </w:r>
      <w:r w:rsidR="007E2942" w:rsidRPr="008339D0">
        <w:rPr>
          <w:rFonts w:ascii="Cambria" w:hAnsi="Cambria"/>
          <w:color w:val="000000" w:themeColor="text1"/>
          <w:lang w:val="en-AU"/>
        </w:rPr>
        <w:t xml:space="preserve"> plan</w:t>
      </w:r>
      <w:r w:rsidR="00D24780" w:rsidRPr="008339D0">
        <w:rPr>
          <w:rFonts w:ascii="Cambria" w:hAnsi="Cambria"/>
          <w:color w:val="000000" w:themeColor="text1"/>
          <w:lang w:val="en-AU"/>
        </w:rPr>
        <w:t>s</w:t>
      </w:r>
      <w:r w:rsidR="007E2942" w:rsidRPr="008339D0">
        <w:rPr>
          <w:rFonts w:ascii="Cambria" w:hAnsi="Cambria"/>
          <w:color w:val="000000" w:themeColor="text1"/>
          <w:lang w:val="en-AU"/>
        </w:rPr>
        <w:t xml:space="preserve"> are State Government</w:t>
      </w:r>
      <w:r w:rsidR="009D0885" w:rsidRPr="008339D0">
        <w:rPr>
          <w:rFonts w:ascii="Cambria" w:hAnsi="Cambria"/>
          <w:color w:val="000000" w:themeColor="text1"/>
          <w:lang w:val="en-AU"/>
        </w:rPr>
        <w:t xml:space="preserve"> Departments</w:t>
      </w:r>
      <w:r w:rsidR="00525D76" w:rsidRPr="008339D0">
        <w:rPr>
          <w:rFonts w:ascii="Cambria" w:hAnsi="Cambria"/>
          <w:color w:val="000000" w:themeColor="text1"/>
          <w:lang w:val="en-AU"/>
        </w:rPr>
        <w:t xml:space="preserve">, </w:t>
      </w:r>
      <w:r w:rsidR="009D0885" w:rsidRPr="008339D0">
        <w:rPr>
          <w:rFonts w:ascii="Cambria" w:hAnsi="Cambria"/>
          <w:color w:val="000000" w:themeColor="text1"/>
          <w:lang w:val="en-AU"/>
        </w:rPr>
        <w:t>State Authorities such as Homes Tasmania and the Public Trustee</w:t>
      </w:r>
      <w:r w:rsidR="009D0885" w:rsidRPr="008339D0">
        <w:rPr>
          <w:rStyle w:val="FootnoteReference"/>
          <w:rFonts w:ascii="Cambria" w:hAnsi="Cambria"/>
          <w:color w:val="000000" w:themeColor="text1"/>
          <w:lang w:val="en-AU"/>
        </w:rPr>
        <w:footnoteReference w:id="4"/>
      </w:r>
      <w:r w:rsidR="00525D76" w:rsidRPr="008339D0">
        <w:rPr>
          <w:rFonts w:ascii="Cambria" w:hAnsi="Cambria"/>
          <w:color w:val="000000" w:themeColor="text1"/>
          <w:lang w:val="en-AU"/>
        </w:rPr>
        <w:t xml:space="preserve"> and</w:t>
      </w:r>
      <w:r w:rsidR="009D0885" w:rsidRPr="008339D0">
        <w:rPr>
          <w:rFonts w:ascii="Cambria" w:hAnsi="Cambria"/>
          <w:color w:val="000000" w:themeColor="text1"/>
          <w:lang w:val="en-AU"/>
        </w:rPr>
        <w:t xml:space="preserve"> </w:t>
      </w:r>
      <w:r w:rsidR="007E2942" w:rsidRPr="008339D0">
        <w:rPr>
          <w:rFonts w:ascii="Cambria" w:hAnsi="Cambria"/>
          <w:color w:val="000000" w:themeColor="text1"/>
          <w:lang w:val="en-AU"/>
        </w:rPr>
        <w:t>organisations administering funding or services to the disability sector.</w:t>
      </w:r>
      <w:r w:rsidR="009D0885" w:rsidRPr="008339D0">
        <w:rPr>
          <w:rFonts w:ascii="Cambria" w:hAnsi="Cambria"/>
          <w:color w:val="000000" w:themeColor="text1"/>
          <w:lang w:val="en-AU"/>
        </w:rPr>
        <w:t xml:space="preserve"> W</w:t>
      </w:r>
      <w:r w:rsidR="007E2942" w:rsidRPr="008339D0">
        <w:rPr>
          <w:rFonts w:ascii="Cambria" w:hAnsi="Cambria"/>
          <w:color w:val="000000" w:themeColor="text1"/>
          <w:lang w:val="en-AU"/>
        </w:rPr>
        <w:t>e strongly believe that the Bill should</w:t>
      </w:r>
      <w:r w:rsidR="00292260" w:rsidRPr="008339D0">
        <w:rPr>
          <w:rFonts w:ascii="Cambria" w:hAnsi="Cambria"/>
          <w:color w:val="000000" w:themeColor="text1"/>
          <w:lang w:val="en-AU"/>
        </w:rPr>
        <w:t xml:space="preserve"> </w:t>
      </w:r>
      <w:r w:rsidR="009D0885" w:rsidRPr="008339D0">
        <w:rPr>
          <w:rFonts w:ascii="Cambria" w:hAnsi="Cambria"/>
          <w:color w:val="000000" w:themeColor="text1"/>
          <w:lang w:val="en-AU"/>
        </w:rPr>
        <w:t xml:space="preserve">be broadened to </w:t>
      </w:r>
      <w:r w:rsidR="00292260" w:rsidRPr="008339D0">
        <w:rPr>
          <w:rFonts w:ascii="Cambria" w:hAnsi="Cambria"/>
          <w:color w:val="000000" w:themeColor="text1"/>
          <w:lang w:val="en-AU"/>
        </w:rPr>
        <w:t>include</w:t>
      </w:r>
      <w:r w:rsidR="007E2942" w:rsidRPr="008339D0">
        <w:rPr>
          <w:rFonts w:ascii="Cambria" w:hAnsi="Cambria"/>
          <w:color w:val="000000" w:themeColor="text1"/>
          <w:lang w:val="en-AU"/>
        </w:rPr>
        <w:t xml:space="preserve"> all</w:t>
      </w:r>
      <w:r w:rsidR="009D0885" w:rsidRPr="008339D0">
        <w:rPr>
          <w:rFonts w:ascii="Cambria" w:hAnsi="Cambria"/>
          <w:color w:val="000000" w:themeColor="text1"/>
          <w:lang w:val="en-AU"/>
        </w:rPr>
        <w:t xml:space="preserve"> </w:t>
      </w:r>
      <w:r w:rsidR="007E2942" w:rsidRPr="008339D0">
        <w:rPr>
          <w:rFonts w:ascii="Cambria" w:hAnsi="Cambria"/>
          <w:color w:val="000000" w:themeColor="text1"/>
          <w:lang w:val="en-AU"/>
        </w:rPr>
        <w:t>organisations of more than 50 employees</w:t>
      </w:r>
      <w:r w:rsidR="00292260" w:rsidRPr="008339D0">
        <w:rPr>
          <w:rFonts w:ascii="Cambria" w:hAnsi="Cambria"/>
          <w:color w:val="000000" w:themeColor="text1"/>
          <w:lang w:val="en-AU"/>
        </w:rPr>
        <w:t xml:space="preserve">. </w:t>
      </w:r>
      <w:r w:rsidR="009D0885" w:rsidRPr="008339D0">
        <w:rPr>
          <w:rFonts w:ascii="Cambria" w:hAnsi="Cambria"/>
          <w:color w:val="000000" w:themeColor="text1"/>
          <w:lang w:val="en-AU"/>
        </w:rPr>
        <w:t>At a minimum we recommend the adoption of the Victorian model which includes Government Business Enterprises</w:t>
      </w:r>
      <w:r w:rsidR="00525D76" w:rsidRPr="008339D0">
        <w:rPr>
          <w:rFonts w:ascii="Cambria" w:hAnsi="Cambria"/>
          <w:color w:val="000000" w:themeColor="text1"/>
          <w:lang w:val="en-AU"/>
        </w:rPr>
        <w:t xml:space="preserve">, </w:t>
      </w:r>
      <w:r w:rsidR="009D0885" w:rsidRPr="008339D0">
        <w:rPr>
          <w:rFonts w:ascii="Cambria" w:hAnsi="Cambria"/>
          <w:color w:val="000000" w:themeColor="text1"/>
          <w:lang w:val="en-AU"/>
        </w:rPr>
        <w:t xml:space="preserve">Councils and </w:t>
      </w:r>
      <w:r w:rsidR="007E41AF" w:rsidRPr="008339D0">
        <w:rPr>
          <w:rFonts w:ascii="Cambria" w:hAnsi="Cambria"/>
          <w:color w:val="000000" w:themeColor="text1"/>
          <w:lang w:val="en-AU"/>
        </w:rPr>
        <w:t>educational facilities</w:t>
      </w:r>
      <w:r w:rsidR="009D0885" w:rsidRPr="008339D0">
        <w:rPr>
          <w:rFonts w:ascii="Cambria" w:hAnsi="Cambria"/>
          <w:color w:val="000000" w:themeColor="text1"/>
          <w:lang w:val="en-AU"/>
        </w:rPr>
        <w:t>.</w:t>
      </w:r>
      <w:r w:rsidR="009D0885" w:rsidRPr="008339D0">
        <w:rPr>
          <w:rStyle w:val="FootnoteReference"/>
          <w:rFonts w:ascii="Cambria" w:hAnsi="Cambria"/>
          <w:color w:val="000000" w:themeColor="text1"/>
          <w:lang w:val="en-AU"/>
        </w:rPr>
        <w:footnoteReference w:id="5"/>
      </w:r>
      <w:r w:rsidR="009D0885" w:rsidRPr="008339D0">
        <w:rPr>
          <w:rFonts w:ascii="Cambria" w:hAnsi="Cambria"/>
          <w:color w:val="000000" w:themeColor="text1"/>
          <w:lang w:val="en-AU"/>
        </w:rPr>
        <w:t xml:space="preserve"> </w:t>
      </w:r>
    </w:p>
    <w:p w:rsidR="00525D76" w:rsidRPr="008339D0" w:rsidRDefault="00525D76" w:rsidP="007E2942">
      <w:pPr>
        <w:jc w:val="both"/>
        <w:rPr>
          <w:rFonts w:ascii="Cambria" w:hAnsi="Cambria"/>
          <w:color w:val="000000" w:themeColor="text1"/>
          <w:lang w:val="en-AU"/>
        </w:rPr>
      </w:pPr>
    </w:p>
    <w:p w:rsidR="00D24780" w:rsidRPr="008339D0" w:rsidRDefault="00525D76" w:rsidP="007E2942">
      <w:pPr>
        <w:jc w:val="both"/>
        <w:rPr>
          <w:rFonts w:ascii="Cambria" w:hAnsi="Cambria"/>
          <w:color w:val="000000" w:themeColor="text1"/>
          <w:lang w:val="en-AU"/>
        </w:rPr>
      </w:pPr>
      <w:r w:rsidRPr="008339D0">
        <w:rPr>
          <w:rFonts w:ascii="Cambria" w:hAnsi="Cambria"/>
          <w:color w:val="000000" w:themeColor="text1"/>
          <w:lang w:val="en-AU"/>
        </w:rPr>
        <w:t xml:space="preserve">We also note that whilst the Bill requires </w:t>
      </w:r>
      <w:r w:rsidR="00082F3C" w:rsidRPr="008339D0">
        <w:rPr>
          <w:rFonts w:ascii="Cambria" w:hAnsi="Cambria"/>
          <w:color w:val="000000" w:themeColor="text1"/>
          <w:lang w:val="en-AU"/>
        </w:rPr>
        <w:t xml:space="preserve">both the Minister and defined entities to </w:t>
      </w:r>
      <w:r w:rsidRPr="008339D0">
        <w:rPr>
          <w:rFonts w:ascii="Cambria" w:hAnsi="Cambria"/>
          <w:color w:val="000000" w:themeColor="text1"/>
          <w:lang w:val="en-AU"/>
        </w:rPr>
        <w:t xml:space="preserve">prepare a disability inclusion action plan every four years </w:t>
      </w:r>
      <w:r w:rsidR="00D63D13" w:rsidRPr="008339D0">
        <w:rPr>
          <w:rFonts w:ascii="Cambria" w:hAnsi="Cambria"/>
          <w:color w:val="000000" w:themeColor="text1"/>
          <w:lang w:val="en-AU"/>
        </w:rPr>
        <w:t>with</w:t>
      </w:r>
      <w:r w:rsidRPr="008339D0">
        <w:rPr>
          <w:rFonts w:ascii="Cambria" w:hAnsi="Cambria"/>
          <w:color w:val="000000" w:themeColor="text1"/>
          <w:lang w:val="en-AU"/>
        </w:rPr>
        <w:t xml:space="preserve"> yearly progress reports, </w:t>
      </w:r>
      <w:r w:rsidR="00D63D13" w:rsidRPr="008339D0">
        <w:rPr>
          <w:rFonts w:ascii="Cambria" w:hAnsi="Cambria"/>
          <w:color w:val="000000" w:themeColor="text1"/>
          <w:lang w:val="en-AU"/>
        </w:rPr>
        <w:t xml:space="preserve">there does not appear to be any </w:t>
      </w:r>
      <w:r w:rsidR="00082F3C" w:rsidRPr="008339D0">
        <w:rPr>
          <w:rFonts w:ascii="Cambria" w:hAnsi="Cambria"/>
          <w:color w:val="000000" w:themeColor="text1"/>
          <w:lang w:val="en-AU"/>
        </w:rPr>
        <w:t>compliance mechanism</w:t>
      </w:r>
      <w:r w:rsidR="00D63D13" w:rsidRPr="008339D0">
        <w:rPr>
          <w:rFonts w:ascii="Cambria" w:hAnsi="Cambria"/>
          <w:color w:val="000000" w:themeColor="text1"/>
          <w:lang w:val="en-AU"/>
        </w:rPr>
        <w:t>.</w:t>
      </w:r>
      <w:r w:rsidR="00D24780" w:rsidRPr="008339D0">
        <w:rPr>
          <w:rFonts w:ascii="Cambria" w:hAnsi="Cambria"/>
          <w:color w:val="000000" w:themeColor="text1"/>
          <w:lang w:val="en-AU"/>
        </w:rPr>
        <w:t xml:space="preserve"> </w:t>
      </w:r>
      <w:r w:rsidR="008C6128" w:rsidRPr="008339D0">
        <w:rPr>
          <w:rFonts w:ascii="Cambria" w:hAnsi="Cambria"/>
          <w:color w:val="000000" w:themeColor="text1"/>
          <w:lang w:val="en-AU"/>
        </w:rPr>
        <w:t>As it stands, the Disability Inclusion Commissioner’s only power to require compliance is the preparation of an annual report that evaluates the progress of defined entities in advancing disability inclusion as set out in their plans and progress reports.</w:t>
      </w:r>
      <w:r w:rsidR="008C6128" w:rsidRPr="008339D0">
        <w:rPr>
          <w:rStyle w:val="FootnoteReference"/>
          <w:rFonts w:ascii="Cambria" w:hAnsi="Cambria"/>
          <w:color w:val="000000" w:themeColor="text1"/>
          <w:lang w:val="en-AU"/>
        </w:rPr>
        <w:footnoteReference w:id="6"/>
      </w:r>
      <w:r w:rsidR="008C6128" w:rsidRPr="008339D0">
        <w:rPr>
          <w:rFonts w:ascii="Cambria" w:hAnsi="Cambria"/>
          <w:color w:val="000000" w:themeColor="text1"/>
          <w:lang w:val="en-AU"/>
        </w:rPr>
        <w:t xml:space="preserve"> </w:t>
      </w:r>
      <w:r w:rsidR="00D24780" w:rsidRPr="008339D0">
        <w:rPr>
          <w:rFonts w:ascii="Cambria" w:hAnsi="Cambria"/>
          <w:color w:val="000000" w:themeColor="text1"/>
          <w:lang w:val="en-AU"/>
        </w:rPr>
        <w:t xml:space="preserve">Without the power to require compliance we are concerned that disability inclusion action plans will become meaningless.   </w:t>
      </w:r>
    </w:p>
    <w:p w:rsidR="00D24780" w:rsidRPr="008339D0" w:rsidRDefault="00D24780" w:rsidP="007E2942">
      <w:pPr>
        <w:jc w:val="both"/>
        <w:rPr>
          <w:rFonts w:ascii="Cambria" w:hAnsi="Cambria"/>
          <w:color w:val="000000" w:themeColor="text1"/>
          <w:lang w:val="en-AU"/>
        </w:rPr>
      </w:pPr>
    </w:p>
    <w:p w:rsidR="00D63D13" w:rsidRPr="008339D0" w:rsidRDefault="00D63D13" w:rsidP="007E2942">
      <w:pPr>
        <w:jc w:val="both"/>
        <w:rPr>
          <w:rFonts w:ascii="Cambria" w:hAnsi="Cambria"/>
          <w:color w:val="000000" w:themeColor="text1"/>
          <w:lang w:val="en-AU"/>
        </w:rPr>
      </w:pPr>
      <w:r w:rsidRPr="008339D0">
        <w:rPr>
          <w:rFonts w:ascii="Cambria" w:hAnsi="Cambria"/>
          <w:color w:val="000000" w:themeColor="text1"/>
          <w:lang w:val="en-AU"/>
        </w:rPr>
        <w:t>We strongly believe that the Disability Inclusion Commissioner should have the power to issue compliance notice</w:t>
      </w:r>
      <w:r w:rsidR="008C6128" w:rsidRPr="008339D0">
        <w:rPr>
          <w:rFonts w:ascii="Cambria" w:hAnsi="Cambria"/>
          <w:color w:val="000000" w:themeColor="text1"/>
          <w:lang w:val="en-AU"/>
        </w:rPr>
        <w:t>s</w:t>
      </w:r>
      <w:r w:rsidRPr="008339D0">
        <w:rPr>
          <w:rFonts w:ascii="Cambria" w:hAnsi="Cambria"/>
          <w:color w:val="000000" w:themeColor="text1"/>
          <w:lang w:val="en-AU"/>
        </w:rPr>
        <w:t xml:space="preserve"> as set out in the proposed Victorian model.</w:t>
      </w:r>
      <w:r w:rsidR="00D24780" w:rsidRPr="008339D0">
        <w:rPr>
          <w:rFonts w:ascii="Cambria" w:hAnsi="Cambria"/>
          <w:color w:val="000000" w:themeColor="text1"/>
          <w:lang w:val="en-AU"/>
        </w:rPr>
        <w:t xml:space="preserve"> </w:t>
      </w:r>
      <w:r w:rsidRPr="008339D0">
        <w:rPr>
          <w:rFonts w:ascii="Cambria" w:hAnsi="Cambria"/>
          <w:color w:val="000000" w:themeColor="text1"/>
          <w:lang w:val="en-AU"/>
        </w:rPr>
        <w:t>In the</w:t>
      </w:r>
      <w:r w:rsidR="00082F3C" w:rsidRPr="008339D0">
        <w:rPr>
          <w:rFonts w:ascii="Cambria" w:hAnsi="Cambria"/>
          <w:color w:val="000000" w:themeColor="text1"/>
          <w:lang w:val="en-AU"/>
        </w:rPr>
        <w:t xml:space="preserve"> </w:t>
      </w:r>
      <w:r w:rsidRPr="008339D0">
        <w:rPr>
          <w:rFonts w:ascii="Cambria" w:hAnsi="Cambria"/>
          <w:color w:val="000000" w:themeColor="text1"/>
          <w:lang w:val="en-AU"/>
        </w:rPr>
        <w:t xml:space="preserve">Victorian model, the Commissioner </w:t>
      </w:r>
      <w:r w:rsidR="008C6128" w:rsidRPr="008339D0">
        <w:rPr>
          <w:rFonts w:ascii="Cambria" w:hAnsi="Cambria"/>
          <w:color w:val="000000" w:themeColor="text1"/>
          <w:lang w:val="en-AU"/>
        </w:rPr>
        <w:t>has the power to</w:t>
      </w:r>
      <w:r w:rsidRPr="008339D0">
        <w:rPr>
          <w:rFonts w:ascii="Cambria" w:hAnsi="Cambria"/>
          <w:color w:val="000000" w:themeColor="text1"/>
          <w:lang w:val="en-AU"/>
        </w:rPr>
        <w:t xml:space="preserve"> issue a compliance notice in circumstances where the disability inclusion plan has not been prepared, has not been provided to the Commissioner or where no reasonable and material progress has been made in implementing the plan.</w:t>
      </w:r>
      <w:r w:rsidRPr="008339D0">
        <w:rPr>
          <w:rStyle w:val="FootnoteReference"/>
          <w:rFonts w:ascii="Cambria" w:hAnsi="Cambria"/>
          <w:color w:val="000000" w:themeColor="text1"/>
          <w:lang w:val="en-AU"/>
        </w:rPr>
        <w:footnoteReference w:id="7"/>
      </w:r>
      <w:r w:rsidR="00103601" w:rsidRPr="008339D0">
        <w:rPr>
          <w:rFonts w:ascii="Cambria" w:hAnsi="Cambria"/>
          <w:color w:val="000000" w:themeColor="text1"/>
          <w:lang w:val="en-AU"/>
        </w:rPr>
        <w:t xml:space="preserve"> </w:t>
      </w:r>
      <w:r w:rsidR="00590BC2" w:rsidRPr="008339D0">
        <w:rPr>
          <w:rFonts w:ascii="Cambria" w:hAnsi="Cambria"/>
          <w:color w:val="000000" w:themeColor="text1"/>
          <w:lang w:val="en-AU"/>
        </w:rPr>
        <w:t>I</w:t>
      </w:r>
      <w:r w:rsidR="00D24780" w:rsidRPr="008339D0">
        <w:rPr>
          <w:rFonts w:ascii="Cambria" w:hAnsi="Cambria"/>
          <w:color w:val="000000" w:themeColor="text1"/>
          <w:lang w:val="en-AU"/>
        </w:rPr>
        <w:t xml:space="preserve">n circumstances where the compliance notice is not complied with, the Commissioner can recommend that the Minister take appropriate action to ensure the entity’s compliance with the Act, publish on the Commissioner’s website the name of the entity and the requirement which the entity has failed to comply or apply to the </w:t>
      </w:r>
      <w:r w:rsidR="00590BC2" w:rsidRPr="008339D0">
        <w:rPr>
          <w:rFonts w:ascii="Cambria" w:hAnsi="Cambria"/>
          <w:color w:val="000000" w:themeColor="text1"/>
          <w:lang w:val="en-AU"/>
        </w:rPr>
        <w:t xml:space="preserve">Victorian Civil and Administrative </w:t>
      </w:r>
      <w:r w:rsidR="00D24780" w:rsidRPr="008339D0">
        <w:rPr>
          <w:rFonts w:ascii="Cambria" w:hAnsi="Cambria"/>
          <w:color w:val="000000" w:themeColor="text1"/>
          <w:lang w:val="en-AU"/>
        </w:rPr>
        <w:t>Tribunal for an order directing the entity to comply with the notice.</w:t>
      </w:r>
      <w:r w:rsidR="00D24780" w:rsidRPr="008339D0">
        <w:rPr>
          <w:rStyle w:val="FootnoteReference"/>
          <w:rFonts w:ascii="Cambria" w:hAnsi="Cambria"/>
          <w:color w:val="000000" w:themeColor="text1"/>
          <w:lang w:val="en-AU"/>
        </w:rPr>
        <w:footnoteReference w:id="8"/>
      </w:r>
      <w:r w:rsidR="00D24780" w:rsidRPr="008339D0">
        <w:rPr>
          <w:rFonts w:ascii="Cambria" w:hAnsi="Cambria"/>
          <w:color w:val="000000" w:themeColor="text1"/>
          <w:lang w:val="en-AU"/>
        </w:rPr>
        <w:t xml:space="preserve"> </w:t>
      </w:r>
    </w:p>
    <w:p w:rsidR="00292260" w:rsidRPr="008339D0" w:rsidRDefault="00292260" w:rsidP="007E2942">
      <w:pPr>
        <w:jc w:val="both"/>
        <w:rPr>
          <w:rFonts w:ascii="Cambria" w:hAnsi="Cambria"/>
          <w:lang w:val="en-AU"/>
        </w:rPr>
      </w:pPr>
    </w:p>
    <w:p w:rsidR="008339D0" w:rsidRPr="008339D0" w:rsidRDefault="008339D0" w:rsidP="00D24780">
      <w:pPr>
        <w:tabs>
          <w:tab w:val="center" w:pos="4510"/>
          <w:tab w:val="left" w:pos="4954"/>
        </w:tabs>
        <w:jc w:val="both"/>
        <w:rPr>
          <w:rFonts w:ascii="Cambria" w:hAnsi="Cambria"/>
          <w:b/>
          <w:bCs/>
          <w:lang w:val="en-AU"/>
        </w:rPr>
      </w:pPr>
    </w:p>
    <w:p w:rsidR="008339D0" w:rsidRPr="008339D0" w:rsidRDefault="008339D0" w:rsidP="00D24780">
      <w:pPr>
        <w:tabs>
          <w:tab w:val="center" w:pos="4510"/>
          <w:tab w:val="left" w:pos="4954"/>
        </w:tabs>
        <w:jc w:val="both"/>
        <w:rPr>
          <w:rFonts w:ascii="Cambria" w:hAnsi="Cambria"/>
          <w:b/>
          <w:bCs/>
          <w:lang w:val="en-AU"/>
        </w:rPr>
      </w:pPr>
    </w:p>
    <w:p w:rsidR="008339D0" w:rsidRPr="008339D0" w:rsidRDefault="008339D0" w:rsidP="00D24780">
      <w:pPr>
        <w:tabs>
          <w:tab w:val="center" w:pos="4510"/>
          <w:tab w:val="left" w:pos="4954"/>
        </w:tabs>
        <w:jc w:val="both"/>
        <w:rPr>
          <w:rFonts w:ascii="Cambria" w:hAnsi="Cambria"/>
          <w:b/>
          <w:bCs/>
          <w:lang w:val="en-AU"/>
        </w:rPr>
      </w:pPr>
    </w:p>
    <w:p w:rsidR="00292260" w:rsidRPr="008339D0" w:rsidRDefault="00292260" w:rsidP="00D24780">
      <w:pPr>
        <w:tabs>
          <w:tab w:val="center" w:pos="4510"/>
          <w:tab w:val="left" w:pos="4954"/>
        </w:tabs>
        <w:jc w:val="both"/>
        <w:rPr>
          <w:rFonts w:ascii="Cambria" w:hAnsi="Cambria"/>
          <w:b/>
          <w:bCs/>
          <w:lang w:val="en-AU"/>
        </w:rPr>
      </w:pPr>
      <w:r w:rsidRPr="008339D0">
        <w:rPr>
          <w:rFonts w:ascii="Cambria" w:hAnsi="Cambria"/>
          <w:b/>
          <w:bCs/>
          <w:lang w:val="en-AU"/>
        </w:rPr>
        <w:lastRenderedPageBreak/>
        <w:t xml:space="preserve">Accessible formats </w:t>
      </w:r>
    </w:p>
    <w:p w:rsidR="00292260" w:rsidRPr="008339D0" w:rsidRDefault="009D0885" w:rsidP="007E2942">
      <w:pPr>
        <w:jc w:val="both"/>
        <w:rPr>
          <w:rFonts w:ascii="Cambria" w:hAnsi="Cambria"/>
          <w:lang w:val="en-AU"/>
        </w:rPr>
      </w:pPr>
      <w:r w:rsidRPr="008339D0">
        <w:rPr>
          <w:rFonts w:ascii="Cambria" w:hAnsi="Cambria"/>
          <w:lang w:val="en-AU"/>
        </w:rPr>
        <w:t>C</w:t>
      </w:r>
      <w:r w:rsidR="00292260" w:rsidRPr="008339D0">
        <w:rPr>
          <w:rFonts w:ascii="Cambria" w:hAnsi="Cambria"/>
          <w:lang w:val="en-AU"/>
        </w:rPr>
        <w:t>urrently</w:t>
      </w:r>
      <w:r w:rsidRPr="008339D0">
        <w:rPr>
          <w:rFonts w:ascii="Cambria" w:hAnsi="Cambria"/>
          <w:lang w:val="en-AU"/>
        </w:rPr>
        <w:t>, the Bill</w:t>
      </w:r>
      <w:r w:rsidR="00292260" w:rsidRPr="008339D0">
        <w:rPr>
          <w:rFonts w:ascii="Cambria" w:hAnsi="Cambria"/>
          <w:lang w:val="en-AU"/>
        </w:rPr>
        <w:t xml:space="preserve"> requires at least one form of accessible communication.</w:t>
      </w:r>
      <w:r w:rsidR="00292260" w:rsidRPr="008339D0">
        <w:rPr>
          <w:rStyle w:val="FootnoteReference"/>
          <w:rFonts w:ascii="Cambria" w:hAnsi="Cambria"/>
          <w:lang w:val="en-AU"/>
        </w:rPr>
        <w:footnoteReference w:id="9"/>
      </w:r>
      <w:r w:rsidR="00292260" w:rsidRPr="008339D0">
        <w:rPr>
          <w:rFonts w:ascii="Cambria" w:hAnsi="Cambria"/>
          <w:lang w:val="en-AU"/>
        </w:rPr>
        <w:t xml:space="preserve"> Given that the Long Title of the Bill strives to “advance the human rights of people with disability and the full and effective inclusion of people with disability in the Tasmanian community” we strongly believe that communications be delivered in a format accessible to all</w:t>
      </w:r>
      <w:r w:rsidRPr="008339D0">
        <w:rPr>
          <w:rFonts w:ascii="Cambria" w:hAnsi="Cambria"/>
          <w:lang w:val="en-AU"/>
        </w:rPr>
        <w:t>. This reform is particularly important given that the Department of Premier and Cabinet is both the lead Agency in relation to this Bill and “committed to making information accessible to all members of the Tasmanian community”.</w:t>
      </w:r>
      <w:r w:rsidRPr="008339D0">
        <w:rPr>
          <w:rStyle w:val="FootnoteReference"/>
          <w:rFonts w:ascii="Cambria" w:hAnsi="Cambria"/>
          <w:lang w:val="en-AU"/>
        </w:rPr>
        <w:footnoteReference w:id="10"/>
      </w:r>
      <w:r w:rsidRPr="008339D0">
        <w:rPr>
          <w:rFonts w:ascii="Cambria" w:hAnsi="Cambria"/>
          <w:lang w:val="en-AU"/>
        </w:rPr>
        <w:t xml:space="preserve"> </w:t>
      </w:r>
      <w:r w:rsidR="00525D76" w:rsidRPr="008339D0">
        <w:rPr>
          <w:rFonts w:ascii="Cambria" w:hAnsi="Cambria"/>
          <w:lang w:val="en-AU"/>
        </w:rPr>
        <w:t>Finally, we note that the Convention on the Rights of Persons with Disabilities states that information should be provided in “accessible formats”.</w:t>
      </w:r>
      <w:r w:rsidR="00525D76" w:rsidRPr="008339D0">
        <w:rPr>
          <w:rStyle w:val="FootnoteReference"/>
          <w:rFonts w:ascii="Cambria" w:hAnsi="Cambria"/>
          <w:lang w:val="en-AU"/>
        </w:rPr>
        <w:footnoteReference w:id="11"/>
      </w:r>
      <w:r w:rsidR="00525D76" w:rsidRPr="008339D0">
        <w:rPr>
          <w:rFonts w:ascii="Cambria" w:hAnsi="Cambria"/>
          <w:lang w:val="en-AU"/>
        </w:rPr>
        <w:t xml:space="preserve"> </w:t>
      </w:r>
    </w:p>
    <w:p w:rsidR="009D0885" w:rsidRPr="008339D0" w:rsidRDefault="009D0885" w:rsidP="007E2942">
      <w:pPr>
        <w:jc w:val="both"/>
        <w:rPr>
          <w:rFonts w:ascii="Cambria" w:hAnsi="Cambria"/>
          <w:lang w:val="en-AU"/>
        </w:rPr>
      </w:pPr>
    </w:p>
    <w:p w:rsidR="00103601" w:rsidRPr="008339D0" w:rsidRDefault="00103601" w:rsidP="00103601">
      <w:pPr>
        <w:jc w:val="both"/>
        <w:rPr>
          <w:rFonts w:ascii="Cambria" w:hAnsi="Cambria"/>
          <w:color w:val="000000" w:themeColor="text1"/>
          <w:lang w:val="en-AU"/>
        </w:rPr>
      </w:pPr>
      <w:r w:rsidRPr="008339D0">
        <w:rPr>
          <w:rFonts w:ascii="Cambria" w:hAnsi="Cambria"/>
          <w:b/>
          <w:bCs/>
          <w:lang w:val="en-AU"/>
        </w:rPr>
        <w:t>Disability Inclusion Commissioner</w:t>
      </w:r>
    </w:p>
    <w:p w:rsidR="00103601" w:rsidRPr="008339D0" w:rsidRDefault="00103601" w:rsidP="00103601">
      <w:pPr>
        <w:jc w:val="both"/>
        <w:rPr>
          <w:rFonts w:ascii="Cambria" w:hAnsi="Cambria"/>
          <w:lang w:val="en-AU"/>
        </w:rPr>
      </w:pPr>
      <w:r w:rsidRPr="008339D0">
        <w:rPr>
          <w:rFonts w:ascii="Cambria" w:hAnsi="Cambria"/>
          <w:lang w:val="en-AU"/>
        </w:rPr>
        <w:t>We recommend that the Disability Inclusion Commission (DIC) be re-named the Disability Commissioner. Whilst the Commissioner’s functions will include providing advice, undertaking research and supporting defined entities to comply with the Act, the Bill could be interpreted as only one State Service officer or State Service being made available to enable the Commissioner to perform their functions. We strongly recommend that the Bill ensure adequate resourcing. The Victorian model is endorsed with its assurance that staff will be provided “necessary to assist the Commissioner in performing the Commissioner’s functions”.</w:t>
      </w:r>
      <w:r w:rsidRPr="008339D0">
        <w:rPr>
          <w:rStyle w:val="FootnoteReference"/>
          <w:rFonts w:ascii="Cambria" w:hAnsi="Cambria"/>
          <w:lang w:val="en-AU"/>
        </w:rPr>
        <w:footnoteReference w:id="12"/>
      </w:r>
      <w:r w:rsidRPr="008339D0">
        <w:rPr>
          <w:rFonts w:ascii="Cambria" w:hAnsi="Cambria"/>
          <w:lang w:val="en-AU"/>
        </w:rPr>
        <w:t xml:space="preserve">     </w:t>
      </w:r>
    </w:p>
    <w:p w:rsidR="00103601" w:rsidRPr="008339D0" w:rsidRDefault="00103601" w:rsidP="00B16E6B">
      <w:pPr>
        <w:jc w:val="both"/>
        <w:rPr>
          <w:rFonts w:ascii="Cambria" w:hAnsi="Cambria"/>
          <w:b/>
          <w:bCs/>
          <w:lang w:val="en-AU"/>
        </w:rPr>
      </w:pPr>
    </w:p>
    <w:p w:rsidR="00B16E6B" w:rsidRPr="008339D0" w:rsidRDefault="00B16E6B" w:rsidP="00B16E6B">
      <w:pPr>
        <w:jc w:val="both"/>
        <w:rPr>
          <w:rFonts w:ascii="Cambria" w:hAnsi="Cambria"/>
          <w:b/>
          <w:bCs/>
          <w:lang w:val="en-AU"/>
        </w:rPr>
      </w:pPr>
      <w:r w:rsidRPr="008339D0">
        <w:rPr>
          <w:rFonts w:ascii="Cambria" w:hAnsi="Cambria"/>
          <w:b/>
          <w:bCs/>
          <w:lang w:val="en-AU"/>
        </w:rPr>
        <w:t>Disability Inclusion Advisory Council</w:t>
      </w:r>
    </w:p>
    <w:p w:rsidR="00F8249E" w:rsidRPr="008339D0" w:rsidRDefault="00B16E6B" w:rsidP="00D24780">
      <w:pPr>
        <w:jc w:val="both"/>
        <w:rPr>
          <w:rFonts w:ascii="Cambria" w:hAnsi="Cambria"/>
          <w:color w:val="000000" w:themeColor="text1"/>
          <w:lang w:val="en-AU"/>
        </w:rPr>
      </w:pPr>
      <w:r w:rsidRPr="008339D0">
        <w:rPr>
          <w:rFonts w:ascii="Cambria" w:hAnsi="Cambria"/>
          <w:color w:val="000000" w:themeColor="text1"/>
          <w:lang w:val="en-AU"/>
        </w:rPr>
        <w:t xml:space="preserve">The Bill provides for the establishment of a Disability Inclusion Advisory Council comprising at least 9 but not more than 11 members. We </w:t>
      </w:r>
      <w:r w:rsidR="00525D76" w:rsidRPr="008339D0">
        <w:rPr>
          <w:rFonts w:ascii="Cambria" w:hAnsi="Cambria"/>
          <w:color w:val="000000" w:themeColor="text1"/>
          <w:lang w:val="en-AU"/>
        </w:rPr>
        <w:t>support Disability Voices Tasmania’s recommendation</w:t>
      </w:r>
      <w:r w:rsidRPr="008339D0">
        <w:rPr>
          <w:rFonts w:ascii="Cambria" w:hAnsi="Cambria"/>
          <w:color w:val="000000" w:themeColor="text1"/>
          <w:lang w:val="en-AU"/>
        </w:rPr>
        <w:t xml:space="preserve"> that most members </w:t>
      </w:r>
      <w:r w:rsidR="00525D76" w:rsidRPr="008339D0">
        <w:rPr>
          <w:rFonts w:ascii="Cambria" w:hAnsi="Cambria"/>
          <w:color w:val="000000" w:themeColor="text1"/>
          <w:lang w:val="en-AU"/>
        </w:rPr>
        <w:t xml:space="preserve">of the Council </w:t>
      </w:r>
      <w:r w:rsidRPr="008339D0">
        <w:rPr>
          <w:rFonts w:ascii="Cambria" w:hAnsi="Cambria"/>
          <w:color w:val="000000" w:themeColor="text1"/>
          <w:lang w:val="en-AU"/>
        </w:rPr>
        <w:t>should be persons with disability rather than just a majority</w:t>
      </w:r>
      <w:r w:rsidR="00525D76" w:rsidRPr="008339D0">
        <w:rPr>
          <w:rFonts w:ascii="Cambria" w:hAnsi="Cambria"/>
          <w:color w:val="000000" w:themeColor="text1"/>
          <w:lang w:val="en-AU"/>
        </w:rPr>
        <w:t xml:space="preserve"> and that both the chairperson and the deputy chairperson should be persons with a disability. Finally, we do not believe that the chairperson should be appointed by the Minister but rather should be elected by the Council. </w:t>
      </w:r>
    </w:p>
    <w:p w:rsidR="00103601" w:rsidRPr="008339D0" w:rsidRDefault="00103601" w:rsidP="00D24780">
      <w:pPr>
        <w:jc w:val="both"/>
        <w:rPr>
          <w:rFonts w:ascii="Cambria" w:hAnsi="Cambria"/>
          <w:color w:val="000000" w:themeColor="text1"/>
          <w:lang w:val="en-AU"/>
        </w:rPr>
      </w:pPr>
    </w:p>
    <w:p w:rsidR="00103601" w:rsidRPr="008339D0" w:rsidRDefault="00103601" w:rsidP="00D24780">
      <w:pPr>
        <w:jc w:val="both"/>
        <w:rPr>
          <w:rFonts w:ascii="Cambria" w:hAnsi="Cambria"/>
          <w:color w:val="000000" w:themeColor="text1"/>
          <w:lang w:val="en-AU"/>
        </w:rPr>
      </w:pPr>
      <w:r w:rsidRPr="008339D0">
        <w:rPr>
          <w:rFonts w:ascii="Cambria" w:hAnsi="Cambria"/>
          <w:color w:val="000000" w:themeColor="text1"/>
          <w:lang w:val="en-AU"/>
        </w:rPr>
        <w:t>If you have any queries, please do not hesitate to contact us.</w:t>
      </w:r>
    </w:p>
    <w:p w:rsidR="00103601" w:rsidRPr="008339D0" w:rsidRDefault="00103601" w:rsidP="00D24780">
      <w:pPr>
        <w:jc w:val="both"/>
        <w:rPr>
          <w:rFonts w:ascii="Cambria" w:hAnsi="Cambria"/>
          <w:color w:val="000000" w:themeColor="text1"/>
          <w:lang w:val="en-AU"/>
        </w:rPr>
      </w:pPr>
    </w:p>
    <w:p w:rsidR="008339D0" w:rsidRPr="008339D0" w:rsidRDefault="008339D0" w:rsidP="00D24780">
      <w:pPr>
        <w:jc w:val="both"/>
        <w:rPr>
          <w:rFonts w:ascii="Cambria" w:hAnsi="Cambria"/>
          <w:color w:val="000000" w:themeColor="text1"/>
          <w:lang w:val="en-AU"/>
        </w:rPr>
      </w:pPr>
    </w:p>
    <w:p w:rsidR="00103601" w:rsidRPr="008339D0" w:rsidRDefault="00103601" w:rsidP="00D24780">
      <w:pPr>
        <w:jc w:val="both"/>
        <w:rPr>
          <w:rFonts w:ascii="Cambria" w:hAnsi="Cambria"/>
          <w:color w:val="000000" w:themeColor="text1"/>
          <w:lang w:val="en-AU"/>
        </w:rPr>
      </w:pPr>
      <w:r w:rsidRPr="008339D0">
        <w:rPr>
          <w:rFonts w:ascii="Cambria" w:hAnsi="Cambria"/>
          <w:color w:val="000000" w:themeColor="text1"/>
          <w:lang w:val="en-AU"/>
        </w:rPr>
        <w:t>Yours faithfully,</w:t>
      </w:r>
    </w:p>
    <w:p w:rsidR="00103601" w:rsidRPr="008339D0" w:rsidRDefault="00103601" w:rsidP="00D24780">
      <w:pPr>
        <w:jc w:val="both"/>
        <w:rPr>
          <w:rFonts w:ascii="Cambria" w:hAnsi="Cambria"/>
          <w:color w:val="000000" w:themeColor="text1"/>
          <w:lang w:val="en-AU"/>
        </w:rPr>
      </w:pPr>
    </w:p>
    <w:p w:rsidR="00103601" w:rsidRPr="008339D0" w:rsidRDefault="00103601" w:rsidP="00D24780">
      <w:pPr>
        <w:jc w:val="both"/>
        <w:rPr>
          <w:rFonts w:ascii="Cambria" w:hAnsi="Cambria"/>
          <w:color w:val="000000" w:themeColor="text1"/>
          <w:lang w:val="en-AU"/>
        </w:rPr>
      </w:pPr>
    </w:p>
    <w:p w:rsidR="00103601" w:rsidRPr="008339D0" w:rsidRDefault="00103601" w:rsidP="00D24780">
      <w:pPr>
        <w:jc w:val="both"/>
        <w:rPr>
          <w:rFonts w:ascii="Cambria" w:hAnsi="Cambria"/>
          <w:color w:val="000000" w:themeColor="text1"/>
          <w:lang w:val="en-AU"/>
        </w:rPr>
      </w:pPr>
    </w:p>
    <w:p w:rsidR="00103601" w:rsidRPr="008339D0" w:rsidRDefault="00103601" w:rsidP="00D24780">
      <w:pPr>
        <w:jc w:val="both"/>
        <w:rPr>
          <w:rFonts w:ascii="Cambria" w:hAnsi="Cambria"/>
          <w:color w:val="000000" w:themeColor="text1"/>
          <w:lang w:val="en-AU"/>
        </w:rPr>
      </w:pPr>
      <w:r w:rsidRPr="008339D0">
        <w:rPr>
          <w:rFonts w:ascii="Cambria" w:hAnsi="Cambria"/>
          <w:color w:val="000000" w:themeColor="text1"/>
          <w:lang w:val="en-AU"/>
        </w:rPr>
        <w:t xml:space="preserve">Benedict </w:t>
      </w:r>
      <w:proofErr w:type="spellStart"/>
      <w:r w:rsidRPr="008339D0">
        <w:rPr>
          <w:rFonts w:ascii="Cambria" w:hAnsi="Cambria"/>
          <w:color w:val="000000" w:themeColor="text1"/>
          <w:lang w:val="en-AU"/>
        </w:rPr>
        <w:t>Bartl</w:t>
      </w:r>
      <w:proofErr w:type="spellEnd"/>
    </w:p>
    <w:p w:rsidR="00103601" w:rsidRPr="008339D0" w:rsidRDefault="00103601" w:rsidP="00D24780">
      <w:pPr>
        <w:jc w:val="both"/>
        <w:rPr>
          <w:rFonts w:ascii="Cambria" w:hAnsi="Cambria"/>
          <w:color w:val="000000" w:themeColor="text1"/>
          <w:lang w:val="en-AU"/>
        </w:rPr>
      </w:pPr>
      <w:r w:rsidRPr="008339D0">
        <w:rPr>
          <w:rFonts w:ascii="Cambria" w:hAnsi="Cambria"/>
          <w:color w:val="000000" w:themeColor="text1"/>
          <w:lang w:val="en-AU"/>
        </w:rPr>
        <w:t xml:space="preserve">Policy Officer </w:t>
      </w:r>
    </w:p>
    <w:p w:rsidR="00103601" w:rsidRPr="008339D0" w:rsidRDefault="00103601" w:rsidP="00D24780">
      <w:pPr>
        <w:pBdr>
          <w:bottom w:val="single" w:sz="6" w:space="1" w:color="auto"/>
        </w:pBdr>
        <w:jc w:val="both"/>
        <w:rPr>
          <w:rFonts w:ascii="Cambria" w:hAnsi="Cambria"/>
          <w:b/>
          <w:bCs/>
          <w:color w:val="000000" w:themeColor="text1"/>
          <w:lang w:val="en-AU"/>
        </w:rPr>
      </w:pPr>
      <w:r w:rsidRPr="008339D0">
        <w:rPr>
          <w:rFonts w:ascii="Cambria" w:hAnsi="Cambria"/>
          <w:b/>
          <w:bCs/>
          <w:color w:val="000000" w:themeColor="text1"/>
          <w:lang w:val="en-AU"/>
        </w:rPr>
        <w:t>Community Legal Centres Tasmania</w:t>
      </w:r>
    </w:p>
    <w:p w:rsidR="00103601" w:rsidRPr="00103601" w:rsidRDefault="00103601" w:rsidP="00D24780">
      <w:pPr>
        <w:jc w:val="both"/>
        <w:rPr>
          <w:rFonts w:ascii="Cambria" w:hAnsi="Cambria"/>
          <w:color w:val="000000" w:themeColor="text1"/>
          <w:lang w:val="en-AU"/>
        </w:rPr>
      </w:pPr>
    </w:p>
    <w:sectPr w:rsidR="00103601" w:rsidRPr="00103601" w:rsidSect="00215FC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06CE" w:rsidRDefault="00C806CE" w:rsidP="000B405D">
      <w:r>
        <w:separator/>
      </w:r>
    </w:p>
  </w:endnote>
  <w:endnote w:type="continuationSeparator" w:id="0">
    <w:p w:rsidR="00C806CE" w:rsidRDefault="00C806CE" w:rsidP="000B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06CE" w:rsidRDefault="00C806CE" w:rsidP="000B405D">
      <w:r>
        <w:separator/>
      </w:r>
    </w:p>
  </w:footnote>
  <w:footnote w:type="continuationSeparator" w:id="0">
    <w:p w:rsidR="00C806CE" w:rsidRDefault="00C806CE" w:rsidP="000B405D">
      <w:r>
        <w:continuationSeparator/>
      </w:r>
    </w:p>
  </w:footnote>
  <w:footnote w:id="1">
    <w:p w:rsidR="00AE5A39" w:rsidRPr="008339D0" w:rsidRDefault="00AE5A39" w:rsidP="00AE5A39">
      <w:pPr>
        <w:pStyle w:val="FootnoteText"/>
        <w:rPr>
          <w:rFonts w:ascii="Cambria" w:hAnsi="Cambria"/>
          <w:sz w:val="20"/>
          <w:szCs w:val="20"/>
          <w:lang w:val="en-AU"/>
        </w:rPr>
      </w:pPr>
      <w:r w:rsidRPr="008339D0">
        <w:rPr>
          <w:rStyle w:val="FootnoteReference"/>
          <w:rFonts w:ascii="Cambria" w:hAnsi="Cambria"/>
          <w:sz w:val="20"/>
          <w:szCs w:val="20"/>
          <w:lang w:val="en-AU"/>
        </w:rPr>
        <w:footnoteRef/>
      </w:r>
      <w:r w:rsidRPr="008339D0">
        <w:rPr>
          <w:rFonts w:ascii="Cambria" w:hAnsi="Cambria"/>
          <w:sz w:val="20"/>
          <w:szCs w:val="20"/>
          <w:lang w:val="en-AU"/>
        </w:rPr>
        <w:t xml:space="preserve"> CLC Tas would like to acknowledge those persons and organisations who gave freely of their time in assisting with our submission. </w:t>
      </w:r>
    </w:p>
  </w:footnote>
  <w:footnote w:id="2">
    <w:p w:rsidR="00B71655" w:rsidRPr="008339D0" w:rsidRDefault="00B71655">
      <w:pPr>
        <w:pStyle w:val="FootnoteText"/>
        <w:rPr>
          <w:rFonts w:ascii="Cambria" w:hAnsi="Cambria"/>
          <w:sz w:val="20"/>
          <w:szCs w:val="20"/>
          <w:lang w:val="en-AU"/>
        </w:rPr>
      </w:pPr>
      <w:r w:rsidRPr="008339D0">
        <w:rPr>
          <w:rStyle w:val="FootnoteReference"/>
          <w:rFonts w:ascii="Cambria" w:hAnsi="Cambria"/>
          <w:sz w:val="20"/>
          <w:szCs w:val="20"/>
        </w:rPr>
        <w:footnoteRef/>
      </w:r>
      <w:r w:rsidRPr="008339D0">
        <w:rPr>
          <w:rFonts w:ascii="Cambria" w:hAnsi="Cambria"/>
          <w:sz w:val="20"/>
          <w:szCs w:val="20"/>
        </w:rPr>
        <w:t xml:space="preserve"> </w:t>
      </w:r>
      <w:r w:rsidRPr="008339D0">
        <w:rPr>
          <w:rFonts w:ascii="Cambria" w:hAnsi="Cambria"/>
          <w:color w:val="000000" w:themeColor="text1"/>
          <w:sz w:val="20"/>
          <w:szCs w:val="20"/>
        </w:rPr>
        <w:t xml:space="preserve">Royal Commission into Violence, Abuse, Neglect and Exploitation of People with Disability, </w:t>
      </w:r>
      <w:r w:rsidRPr="008339D0">
        <w:rPr>
          <w:rFonts w:ascii="Cambria" w:hAnsi="Cambria"/>
          <w:i/>
          <w:iCs/>
          <w:color w:val="000000" w:themeColor="text1"/>
          <w:sz w:val="20"/>
          <w:szCs w:val="20"/>
        </w:rPr>
        <w:t>Interim Report</w:t>
      </w:r>
      <w:r w:rsidRPr="008339D0">
        <w:rPr>
          <w:rFonts w:ascii="Cambria" w:hAnsi="Cambria"/>
          <w:color w:val="000000" w:themeColor="text1"/>
          <w:sz w:val="20"/>
          <w:szCs w:val="20"/>
        </w:rPr>
        <w:t xml:space="preserve"> (October 2020). As found at </w:t>
      </w:r>
      <w:hyperlink r:id="rId1" w:history="1">
        <w:r w:rsidRPr="008339D0">
          <w:rPr>
            <w:rStyle w:val="Hyperlink"/>
            <w:rFonts w:ascii="Cambria" w:hAnsi="Cambria"/>
            <w:sz w:val="20"/>
            <w:szCs w:val="20"/>
          </w:rPr>
          <w:t>https://disability.royalcommission.gov.au/system/files/2020-10/Interim%20Report.pdf</w:t>
        </w:r>
      </w:hyperlink>
      <w:r w:rsidRPr="008339D0">
        <w:rPr>
          <w:rFonts w:ascii="Cambria" w:hAnsi="Cambria"/>
          <w:sz w:val="20"/>
          <w:szCs w:val="20"/>
        </w:rPr>
        <w:t xml:space="preserve"> at 13.</w:t>
      </w:r>
    </w:p>
  </w:footnote>
  <w:footnote w:id="3">
    <w:p w:rsidR="00B71655" w:rsidRPr="008339D0" w:rsidRDefault="00B71655">
      <w:pPr>
        <w:pStyle w:val="FootnoteText"/>
        <w:rPr>
          <w:rFonts w:ascii="Cambria" w:hAnsi="Cambria" w:cstheme="minorHAnsi"/>
          <w:sz w:val="20"/>
          <w:szCs w:val="20"/>
          <w:lang w:val="en-AU"/>
        </w:rPr>
      </w:pPr>
      <w:r w:rsidRPr="008339D0">
        <w:rPr>
          <w:rStyle w:val="FootnoteReference"/>
          <w:rFonts w:ascii="Cambria" w:hAnsi="Cambria" w:cstheme="minorHAnsi"/>
          <w:sz w:val="20"/>
          <w:szCs w:val="20"/>
        </w:rPr>
        <w:footnoteRef/>
      </w:r>
      <w:r w:rsidRPr="008339D0">
        <w:rPr>
          <w:rFonts w:ascii="Cambria" w:hAnsi="Cambria" w:cstheme="minorHAnsi"/>
          <w:sz w:val="20"/>
          <w:szCs w:val="20"/>
        </w:rPr>
        <w:t xml:space="preserve"> </w:t>
      </w:r>
      <w:r w:rsidRPr="008339D0">
        <w:rPr>
          <w:rFonts w:ascii="Cambria" w:hAnsi="Cambria" w:cstheme="minorHAnsi"/>
          <w:color w:val="000000" w:themeColor="text1"/>
          <w:sz w:val="20"/>
          <w:szCs w:val="20"/>
        </w:rPr>
        <w:t xml:space="preserve">Royal Commission into Violence, Abuse, Neglect and Exploitation of People with Disability, </w:t>
      </w:r>
      <w:r w:rsidRPr="008339D0">
        <w:rPr>
          <w:rFonts w:ascii="Cambria" w:hAnsi="Cambria" w:cstheme="minorHAnsi"/>
          <w:i/>
          <w:iCs/>
          <w:color w:val="000000" w:themeColor="text1"/>
          <w:sz w:val="20"/>
          <w:szCs w:val="20"/>
        </w:rPr>
        <w:t>Interim Report</w:t>
      </w:r>
      <w:r w:rsidRPr="008339D0">
        <w:rPr>
          <w:rFonts w:ascii="Cambria" w:hAnsi="Cambria" w:cstheme="minorHAnsi"/>
          <w:color w:val="000000" w:themeColor="text1"/>
          <w:sz w:val="20"/>
          <w:szCs w:val="20"/>
        </w:rPr>
        <w:t xml:space="preserve"> (October 2020). As found at </w:t>
      </w:r>
      <w:hyperlink r:id="rId2" w:history="1">
        <w:r w:rsidRPr="008339D0">
          <w:rPr>
            <w:rStyle w:val="Hyperlink"/>
            <w:rFonts w:ascii="Cambria" w:hAnsi="Cambria" w:cstheme="minorHAnsi"/>
            <w:sz w:val="20"/>
            <w:szCs w:val="20"/>
          </w:rPr>
          <w:t>https://disability.royalcommission.gov.au/system/files/2020-10/Interim%20Report.pdf</w:t>
        </w:r>
      </w:hyperlink>
      <w:r w:rsidRPr="008339D0">
        <w:rPr>
          <w:rFonts w:ascii="Cambria" w:hAnsi="Cambria" w:cstheme="minorHAnsi"/>
          <w:sz w:val="20"/>
          <w:szCs w:val="20"/>
        </w:rPr>
        <w:t xml:space="preserve"> </w:t>
      </w:r>
      <w:proofErr w:type="spellStart"/>
      <w:r w:rsidRPr="008339D0">
        <w:rPr>
          <w:rFonts w:ascii="Cambria" w:hAnsi="Cambria" w:cstheme="minorHAnsi"/>
          <w:sz w:val="20"/>
          <w:szCs w:val="20"/>
        </w:rPr>
        <w:t>at</w:t>
      </w:r>
      <w:proofErr w:type="spellEnd"/>
      <w:r w:rsidRPr="008339D0">
        <w:rPr>
          <w:rFonts w:ascii="Cambria" w:hAnsi="Cambria" w:cstheme="minorHAnsi"/>
          <w:sz w:val="20"/>
          <w:szCs w:val="20"/>
        </w:rPr>
        <w:t xml:space="preserve"> 43.</w:t>
      </w:r>
    </w:p>
  </w:footnote>
  <w:footnote w:id="4">
    <w:p w:rsidR="009D0885" w:rsidRPr="008339D0" w:rsidRDefault="009D0885" w:rsidP="009D0885">
      <w:pPr>
        <w:pStyle w:val="FootnoteText"/>
        <w:rPr>
          <w:rFonts w:ascii="Cambria" w:hAnsi="Cambria" w:cstheme="minorHAnsi"/>
          <w:sz w:val="20"/>
          <w:szCs w:val="20"/>
          <w:lang w:val="en-AU"/>
        </w:rPr>
      </w:pPr>
      <w:r w:rsidRPr="008339D0">
        <w:rPr>
          <w:rStyle w:val="FootnoteReference"/>
          <w:rFonts w:ascii="Cambria" w:hAnsi="Cambria" w:cstheme="minorHAnsi"/>
          <w:sz w:val="20"/>
          <w:szCs w:val="20"/>
        </w:rPr>
        <w:footnoteRef/>
      </w:r>
      <w:r w:rsidRPr="008339D0">
        <w:rPr>
          <w:rFonts w:ascii="Cambria" w:hAnsi="Cambria" w:cstheme="minorHAnsi"/>
          <w:sz w:val="20"/>
          <w:szCs w:val="20"/>
        </w:rPr>
        <w:t xml:space="preserve"> Schedule 1 of the </w:t>
      </w:r>
      <w:r w:rsidRPr="008339D0">
        <w:rPr>
          <w:rFonts w:ascii="Cambria" w:hAnsi="Cambria" w:cstheme="minorHAnsi"/>
          <w:i/>
          <w:iCs/>
          <w:sz w:val="20"/>
          <w:szCs w:val="20"/>
        </w:rPr>
        <w:t>State Service Act 2000</w:t>
      </w:r>
      <w:r w:rsidRPr="008339D0">
        <w:rPr>
          <w:rFonts w:ascii="Cambria" w:hAnsi="Cambria" w:cstheme="minorHAnsi"/>
          <w:sz w:val="20"/>
          <w:szCs w:val="20"/>
        </w:rPr>
        <w:t xml:space="preserve"> (Tas). </w:t>
      </w:r>
    </w:p>
  </w:footnote>
  <w:footnote w:id="5">
    <w:p w:rsidR="009D0885" w:rsidRPr="008339D0" w:rsidRDefault="009D0885">
      <w:pPr>
        <w:pStyle w:val="FootnoteText"/>
        <w:rPr>
          <w:rFonts w:ascii="Cambria" w:hAnsi="Cambria" w:cstheme="minorHAnsi"/>
          <w:sz w:val="20"/>
          <w:szCs w:val="20"/>
          <w:lang w:val="en-AU"/>
        </w:rPr>
      </w:pPr>
      <w:r w:rsidRPr="008339D0">
        <w:rPr>
          <w:rStyle w:val="FootnoteReference"/>
          <w:rFonts w:ascii="Cambria" w:hAnsi="Cambria" w:cstheme="minorHAnsi"/>
          <w:sz w:val="20"/>
          <w:szCs w:val="20"/>
        </w:rPr>
        <w:footnoteRef/>
      </w:r>
      <w:r w:rsidRPr="008339D0">
        <w:rPr>
          <w:rFonts w:ascii="Cambria" w:hAnsi="Cambria" w:cstheme="minorHAnsi"/>
          <w:sz w:val="20"/>
          <w:szCs w:val="20"/>
        </w:rPr>
        <w:t xml:space="preserve"> See clause 5 of Victoria’s Disability Inclusion Bill Exposure Draft. Government Business Enterprises are included in the definition of ‘public entity’ in section 5 of the </w:t>
      </w:r>
      <w:r w:rsidRPr="008339D0">
        <w:rPr>
          <w:rFonts w:ascii="Cambria" w:hAnsi="Cambria" w:cstheme="minorHAnsi"/>
          <w:i/>
          <w:iCs/>
          <w:sz w:val="20"/>
          <w:szCs w:val="20"/>
        </w:rPr>
        <w:t>Public Administration Act 2004</w:t>
      </w:r>
      <w:r w:rsidRPr="008339D0">
        <w:rPr>
          <w:rFonts w:ascii="Cambria" w:hAnsi="Cambria" w:cstheme="minorHAnsi"/>
          <w:sz w:val="20"/>
          <w:szCs w:val="20"/>
        </w:rPr>
        <w:t xml:space="preserve"> (Vic). </w:t>
      </w:r>
      <w:r w:rsidR="005735AD" w:rsidRPr="008339D0">
        <w:rPr>
          <w:rFonts w:ascii="Cambria" w:hAnsi="Cambria" w:cstheme="minorHAnsi"/>
          <w:sz w:val="20"/>
          <w:szCs w:val="20"/>
        </w:rPr>
        <w:t xml:space="preserve">As found at </w:t>
      </w:r>
      <w:hyperlink r:id="rId3" w:history="1">
        <w:r w:rsidR="005735AD" w:rsidRPr="008339D0">
          <w:rPr>
            <w:rStyle w:val="Hyperlink"/>
            <w:rFonts w:ascii="Cambria" w:hAnsi="Cambria" w:cstheme="minorHAnsi"/>
            <w:sz w:val="20"/>
            <w:szCs w:val="20"/>
          </w:rPr>
          <w:t>https://engage.vic.gov.au/disability-act</w:t>
        </w:r>
      </w:hyperlink>
      <w:r w:rsidR="005735AD" w:rsidRPr="008339D0">
        <w:rPr>
          <w:rFonts w:ascii="Cambria" w:hAnsi="Cambria" w:cstheme="minorHAnsi"/>
          <w:sz w:val="20"/>
          <w:szCs w:val="20"/>
        </w:rPr>
        <w:t xml:space="preserve"> (18 September 2023).</w:t>
      </w:r>
    </w:p>
  </w:footnote>
  <w:footnote w:id="6">
    <w:p w:rsidR="008C6128" w:rsidRPr="008339D0" w:rsidRDefault="008C6128" w:rsidP="008C6128">
      <w:pPr>
        <w:pStyle w:val="FootnoteText"/>
        <w:rPr>
          <w:rFonts w:ascii="Cambria" w:hAnsi="Cambria" w:cstheme="minorHAnsi"/>
          <w:sz w:val="20"/>
          <w:szCs w:val="20"/>
          <w:lang w:val="en-AU"/>
        </w:rPr>
      </w:pPr>
      <w:r w:rsidRPr="008339D0">
        <w:rPr>
          <w:rStyle w:val="FootnoteReference"/>
          <w:rFonts w:ascii="Cambria" w:hAnsi="Cambria" w:cstheme="minorHAnsi"/>
          <w:sz w:val="20"/>
          <w:szCs w:val="20"/>
        </w:rPr>
        <w:footnoteRef/>
      </w:r>
      <w:r w:rsidRPr="008339D0">
        <w:rPr>
          <w:rFonts w:ascii="Cambria" w:hAnsi="Cambria" w:cstheme="minorHAnsi"/>
          <w:sz w:val="20"/>
          <w:szCs w:val="20"/>
        </w:rPr>
        <w:t xml:space="preserve"> </w:t>
      </w:r>
      <w:r w:rsidRPr="008339D0">
        <w:rPr>
          <w:rFonts w:ascii="Cambria" w:hAnsi="Cambria" w:cstheme="minorHAnsi"/>
          <w:sz w:val="20"/>
          <w:szCs w:val="20"/>
          <w:lang w:val="en-AU"/>
        </w:rPr>
        <w:t xml:space="preserve">Clause 16 of the Bill. </w:t>
      </w:r>
    </w:p>
  </w:footnote>
  <w:footnote w:id="7">
    <w:p w:rsidR="00D63D13" w:rsidRPr="008339D0" w:rsidRDefault="00D63D13">
      <w:pPr>
        <w:pStyle w:val="FootnoteText"/>
        <w:rPr>
          <w:rFonts w:ascii="Cambria" w:hAnsi="Cambria" w:cstheme="minorHAnsi"/>
          <w:sz w:val="20"/>
          <w:szCs w:val="20"/>
          <w:lang w:val="en-AU"/>
        </w:rPr>
      </w:pPr>
      <w:r w:rsidRPr="008339D0">
        <w:rPr>
          <w:rStyle w:val="FootnoteReference"/>
          <w:rFonts w:ascii="Cambria" w:hAnsi="Cambria" w:cstheme="minorHAnsi"/>
          <w:sz w:val="20"/>
          <w:szCs w:val="20"/>
        </w:rPr>
        <w:footnoteRef/>
      </w:r>
      <w:r w:rsidRPr="008339D0">
        <w:rPr>
          <w:rFonts w:ascii="Cambria" w:hAnsi="Cambria" w:cstheme="minorHAnsi"/>
          <w:sz w:val="20"/>
          <w:szCs w:val="20"/>
        </w:rPr>
        <w:t xml:space="preserve"> </w:t>
      </w:r>
      <w:r w:rsidRPr="008339D0">
        <w:rPr>
          <w:rFonts w:ascii="Cambria" w:hAnsi="Cambria" w:cstheme="minorHAnsi"/>
          <w:sz w:val="20"/>
          <w:szCs w:val="20"/>
          <w:lang w:val="en-AU"/>
        </w:rPr>
        <w:t xml:space="preserve">Clause 26 of </w:t>
      </w:r>
      <w:r w:rsidRPr="008339D0">
        <w:rPr>
          <w:rFonts w:ascii="Cambria" w:hAnsi="Cambria" w:cstheme="minorHAnsi"/>
          <w:sz w:val="20"/>
          <w:szCs w:val="20"/>
        </w:rPr>
        <w:t>Victoria’s Disability Inclusion Bill Exposure Draft.</w:t>
      </w:r>
      <w:r w:rsidR="00103601" w:rsidRPr="008339D0">
        <w:rPr>
          <w:rFonts w:ascii="Cambria" w:hAnsi="Cambria" w:cstheme="minorHAnsi"/>
          <w:sz w:val="20"/>
          <w:szCs w:val="20"/>
        </w:rPr>
        <w:t xml:space="preserve"> </w:t>
      </w:r>
      <w:r w:rsidR="00103601" w:rsidRPr="008339D0">
        <w:rPr>
          <w:rFonts w:ascii="Cambria" w:hAnsi="Cambria" w:cstheme="minorHAnsi"/>
          <w:sz w:val="20"/>
          <w:szCs w:val="20"/>
          <w:lang w:val="en-AU"/>
        </w:rPr>
        <w:t xml:space="preserve">Defined entities are able to challenge the compliance notice with the Commissioner and thereafter in the Civil and Administrative Tribunal: Clauses 28-29 of </w:t>
      </w:r>
      <w:r w:rsidR="00103601" w:rsidRPr="008339D0">
        <w:rPr>
          <w:rFonts w:ascii="Cambria" w:hAnsi="Cambria" w:cstheme="minorHAnsi"/>
          <w:sz w:val="20"/>
          <w:szCs w:val="20"/>
        </w:rPr>
        <w:t xml:space="preserve">Victoria’s Disability Inclusion Bill Exposure Draft. </w:t>
      </w:r>
      <w:r w:rsidR="00103601" w:rsidRPr="008339D0">
        <w:rPr>
          <w:rFonts w:ascii="Cambria" w:hAnsi="Cambria" w:cstheme="minorHAnsi"/>
          <w:sz w:val="20"/>
          <w:szCs w:val="20"/>
          <w:lang w:val="en-AU"/>
        </w:rPr>
        <w:t xml:space="preserve"> </w:t>
      </w:r>
      <w:r w:rsidRPr="008339D0">
        <w:rPr>
          <w:rFonts w:ascii="Cambria" w:hAnsi="Cambria" w:cstheme="minorHAnsi"/>
          <w:sz w:val="20"/>
          <w:szCs w:val="20"/>
          <w:lang w:val="en-AU"/>
        </w:rPr>
        <w:t xml:space="preserve"> </w:t>
      </w:r>
    </w:p>
  </w:footnote>
  <w:footnote w:id="8">
    <w:p w:rsidR="00D24780" w:rsidRPr="008339D0" w:rsidRDefault="00D24780">
      <w:pPr>
        <w:pStyle w:val="FootnoteText"/>
        <w:rPr>
          <w:rFonts w:ascii="Cambria" w:hAnsi="Cambria"/>
          <w:sz w:val="20"/>
          <w:szCs w:val="20"/>
          <w:lang w:val="en-AU"/>
        </w:rPr>
      </w:pPr>
      <w:r w:rsidRPr="008339D0">
        <w:rPr>
          <w:rStyle w:val="FootnoteReference"/>
          <w:rFonts w:ascii="Cambria" w:hAnsi="Cambria" w:cstheme="minorHAnsi"/>
          <w:sz w:val="20"/>
          <w:szCs w:val="20"/>
        </w:rPr>
        <w:footnoteRef/>
      </w:r>
      <w:r w:rsidRPr="008339D0">
        <w:rPr>
          <w:rFonts w:ascii="Cambria" w:hAnsi="Cambria" w:cstheme="minorHAnsi"/>
          <w:sz w:val="20"/>
          <w:szCs w:val="20"/>
        </w:rPr>
        <w:t xml:space="preserve"> </w:t>
      </w:r>
      <w:r w:rsidRPr="008339D0">
        <w:rPr>
          <w:rFonts w:ascii="Cambria" w:hAnsi="Cambria" w:cstheme="minorHAnsi"/>
          <w:sz w:val="20"/>
          <w:szCs w:val="20"/>
          <w:lang w:val="en-AU"/>
        </w:rPr>
        <w:t xml:space="preserve">Clause 30 of </w:t>
      </w:r>
      <w:r w:rsidRPr="008339D0">
        <w:rPr>
          <w:rFonts w:ascii="Cambria" w:hAnsi="Cambria" w:cstheme="minorHAnsi"/>
          <w:sz w:val="20"/>
          <w:szCs w:val="20"/>
        </w:rPr>
        <w:t>Victoria’s Disability Inclusion Bill Exposure Draft.</w:t>
      </w:r>
      <w:r w:rsidRPr="008339D0">
        <w:rPr>
          <w:rFonts w:ascii="Cambria" w:hAnsi="Cambria"/>
          <w:sz w:val="20"/>
          <w:szCs w:val="20"/>
        </w:rPr>
        <w:t xml:space="preserve"> </w:t>
      </w:r>
      <w:r w:rsidRPr="008339D0">
        <w:rPr>
          <w:rFonts w:ascii="Cambria" w:hAnsi="Cambria"/>
          <w:sz w:val="20"/>
          <w:szCs w:val="20"/>
          <w:lang w:val="en-AU"/>
        </w:rPr>
        <w:t xml:space="preserve"> </w:t>
      </w:r>
    </w:p>
  </w:footnote>
  <w:footnote w:id="9">
    <w:p w:rsidR="00292260" w:rsidRPr="008339D0" w:rsidRDefault="00292260">
      <w:pPr>
        <w:pStyle w:val="FootnoteText"/>
        <w:rPr>
          <w:rFonts w:ascii="Cambria" w:hAnsi="Cambria"/>
          <w:sz w:val="20"/>
          <w:szCs w:val="20"/>
          <w:lang w:val="en-AU"/>
        </w:rPr>
      </w:pPr>
      <w:r w:rsidRPr="008339D0">
        <w:rPr>
          <w:rStyle w:val="FootnoteReference"/>
          <w:rFonts w:ascii="Cambria" w:hAnsi="Cambria"/>
          <w:sz w:val="20"/>
          <w:szCs w:val="20"/>
        </w:rPr>
        <w:footnoteRef/>
      </w:r>
      <w:r w:rsidRPr="008339D0">
        <w:rPr>
          <w:rFonts w:ascii="Cambria" w:hAnsi="Cambria"/>
          <w:sz w:val="20"/>
          <w:szCs w:val="20"/>
        </w:rPr>
        <w:t xml:space="preserve"> </w:t>
      </w:r>
      <w:r w:rsidRPr="008339D0">
        <w:rPr>
          <w:rFonts w:ascii="Cambria" w:hAnsi="Cambria"/>
          <w:sz w:val="20"/>
          <w:szCs w:val="20"/>
          <w:lang w:val="en-AU"/>
        </w:rPr>
        <w:t xml:space="preserve">Clauses 9(4)(b), 11(3)(b), 12(6)(a), 13(3)(a), 14(3)(a), 16(2), 29(3) and 40(4)(b).  </w:t>
      </w:r>
    </w:p>
  </w:footnote>
  <w:footnote w:id="10">
    <w:p w:rsidR="009D0885" w:rsidRPr="008339D0" w:rsidRDefault="009D0885">
      <w:pPr>
        <w:pStyle w:val="FootnoteText"/>
        <w:rPr>
          <w:rFonts w:ascii="Cambria" w:hAnsi="Cambria"/>
          <w:sz w:val="20"/>
          <w:szCs w:val="20"/>
          <w:lang w:val="en-AU"/>
        </w:rPr>
      </w:pPr>
      <w:r w:rsidRPr="008339D0">
        <w:rPr>
          <w:rStyle w:val="FootnoteReference"/>
          <w:rFonts w:ascii="Cambria" w:hAnsi="Cambria"/>
          <w:sz w:val="20"/>
          <w:szCs w:val="20"/>
        </w:rPr>
        <w:footnoteRef/>
      </w:r>
      <w:r w:rsidRPr="008339D0">
        <w:rPr>
          <w:rFonts w:ascii="Cambria" w:hAnsi="Cambria"/>
          <w:sz w:val="20"/>
          <w:szCs w:val="20"/>
        </w:rPr>
        <w:t xml:space="preserve"> Tasmanian Department of Premier and Cabinet, ‘Accessibility’. As found at </w:t>
      </w:r>
      <w:hyperlink r:id="rId4" w:history="1">
        <w:r w:rsidRPr="008339D0">
          <w:rPr>
            <w:rStyle w:val="Hyperlink"/>
            <w:rFonts w:ascii="Cambria" w:hAnsi="Cambria"/>
            <w:sz w:val="20"/>
            <w:szCs w:val="20"/>
          </w:rPr>
          <w:t>https://www.dpac.tas.gov.au/accessibility</w:t>
        </w:r>
      </w:hyperlink>
      <w:r w:rsidRPr="008339D0">
        <w:rPr>
          <w:rFonts w:ascii="Cambria" w:hAnsi="Cambria"/>
          <w:sz w:val="20"/>
          <w:szCs w:val="20"/>
        </w:rPr>
        <w:t xml:space="preserve"> (accessed 14 September 2023). </w:t>
      </w:r>
    </w:p>
  </w:footnote>
  <w:footnote w:id="11">
    <w:p w:rsidR="00525D76" w:rsidRPr="008339D0" w:rsidRDefault="00525D76">
      <w:pPr>
        <w:pStyle w:val="FootnoteText"/>
        <w:rPr>
          <w:rFonts w:ascii="Cambria" w:hAnsi="Cambria"/>
          <w:sz w:val="20"/>
          <w:szCs w:val="20"/>
          <w:lang w:val="en-AU"/>
        </w:rPr>
      </w:pPr>
      <w:r w:rsidRPr="008339D0">
        <w:rPr>
          <w:rStyle w:val="FootnoteReference"/>
          <w:rFonts w:ascii="Cambria" w:hAnsi="Cambria"/>
          <w:sz w:val="20"/>
          <w:szCs w:val="20"/>
        </w:rPr>
        <w:footnoteRef/>
      </w:r>
      <w:r w:rsidRPr="008339D0">
        <w:rPr>
          <w:rFonts w:ascii="Cambria" w:hAnsi="Cambria"/>
          <w:sz w:val="20"/>
          <w:szCs w:val="20"/>
        </w:rPr>
        <w:t xml:space="preserve"> Article 21(a) of the </w:t>
      </w:r>
      <w:r w:rsidRPr="008339D0">
        <w:rPr>
          <w:rFonts w:ascii="Cambria" w:hAnsi="Cambria"/>
          <w:i/>
          <w:iCs/>
          <w:sz w:val="20"/>
          <w:szCs w:val="20"/>
          <w:lang w:val="en-AU"/>
        </w:rPr>
        <w:t>Convention on the Rights of Persons with Disabilities</w:t>
      </w:r>
      <w:r w:rsidRPr="008339D0">
        <w:rPr>
          <w:rFonts w:ascii="Cambria" w:hAnsi="Cambria"/>
          <w:sz w:val="20"/>
          <w:szCs w:val="20"/>
          <w:lang w:val="en-AU"/>
        </w:rPr>
        <w:t xml:space="preserve">. See also </w:t>
      </w:r>
      <w:r w:rsidRPr="008339D0">
        <w:rPr>
          <w:rFonts w:ascii="Cambria" w:hAnsi="Cambria"/>
          <w:sz w:val="20"/>
          <w:szCs w:val="20"/>
        </w:rPr>
        <w:t xml:space="preserve">Article 9(2)(h). </w:t>
      </w:r>
    </w:p>
  </w:footnote>
  <w:footnote w:id="12">
    <w:p w:rsidR="00103601" w:rsidRPr="005735AD" w:rsidRDefault="00103601" w:rsidP="00103601">
      <w:pPr>
        <w:pStyle w:val="FootnoteText"/>
        <w:rPr>
          <w:lang w:val="en-AU"/>
        </w:rPr>
      </w:pPr>
      <w:r w:rsidRPr="008339D0">
        <w:rPr>
          <w:rStyle w:val="FootnoteReference"/>
          <w:rFonts w:ascii="Cambria" w:hAnsi="Cambria"/>
          <w:sz w:val="20"/>
          <w:szCs w:val="20"/>
        </w:rPr>
        <w:footnoteRef/>
      </w:r>
      <w:r w:rsidRPr="008339D0">
        <w:rPr>
          <w:rFonts w:ascii="Cambria" w:hAnsi="Cambria"/>
          <w:sz w:val="20"/>
          <w:szCs w:val="20"/>
        </w:rPr>
        <w:t xml:space="preserve"> See clause 45 of Victoria’s Disability Inclusion Bill Exposure Draft. As found at </w:t>
      </w:r>
      <w:hyperlink r:id="rId5" w:history="1">
        <w:r w:rsidRPr="008339D0">
          <w:rPr>
            <w:rStyle w:val="Hyperlink"/>
            <w:rFonts w:ascii="Cambria" w:hAnsi="Cambria"/>
            <w:sz w:val="20"/>
            <w:szCs w:val="20"/>
          </w:rPr>
          <w:t>https://engage.vic.gov.au/disability-act</w:t>
        </w:r>
      </w:hyperlink>
      <w:r w:rsidRPr="008339D0">
        <w:rPr>
          <w:rFonts w:ascii="Cambria" w:hAnsi="Cambria"/>
          <w:sz w:val="20"/>
          <w:szCs w:val="20"/>
        </w:rPr>
        <w:t xml:space="preserve"> (18 September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B5207"/>
    <w:multiLevelType w:val="multilevel"/>
    <w:tmpl w:val="403A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E1897"/>
    <w:multiLevelType w:val="multilevel"/>
    <w:tmpl w:val="FA4E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759B4"/>
    <w:multiLevelType w:val="hybridMultilevel"/>
    <w:tmpl w:val="43D262CE"/>
    <w:lvl w:ilvl="0" w:tplc="FD6CADF0">
      <w:start w:val="1"/>
      <w:numFmt w:val="bullet"/>
      <w:lvlText w:val="•"/>
      <w:lvlJc w:val="left"/>
      <w:pPr>
        <w:tabs>
          <w:tab w:val="num" w:pos="720"/>
        </w:tabs>
        <w:ind w:left="720" w:hanging="360"/>
      </w:pPr>
      <w:rPr>
        <w:rFonts w:ascii="Arial" w:hAnsi="Arial" w:hint="default"/>
      </w:rPr>
    </w:lvl>
    <w:lvl w:ilvl="1" w:tplc="6EDEC77A" w:tentative="1">
      <w:start w:val="1"/>
      <w:numFmt w:val="bullet"/>
      <w:lvlText w:val="•"/>
      <w:lvlJc w:val="left"/>
      <w:pPr>
        <w:tabs>
          <w:tab w:val="num" w:pos="1440"/>
        </w:tabs>
        <w:ind w:left="1440" w:hanging="360"/>
      </w:pPr>
      <w:rPr>
        <w:rFonts w:ascii="Arial" w:hAnsi="Arial" w:hint="default"/>
      </w:rPr>
    </w:lvl>
    <w:lvl w:ilvl="2" w:tplc="3B9E70CC" w:tentative="1">
      <w:start w:val="1"/>
      <w:numFmt w:val="bullet"/>
      <w:lvlText w:val="•"/>
      <w:lvlJc w:val="left"/>
      <w:pPr>
        <w:tabs>
          <w:tab w:val="num" w:pos="2160"/>
        </w:tabs>
        <w:ind w:left="2160" w:hanging="360"/>
      </w:pPr>
      <w:rPr>
        <w:rFonts w:ascii="Arial" w:hAnsi="Arial" w:hint="default"/>
      </w:rPr>
    </w:lvl>
    <w:lvl w:ilvl="3" w:tplc="B62C46EC" w:tentative="1">
      <w:start w:val="1"/>
      <w:numFmt w:val="bullet"/>
      <w:lvlText w:val="•"/>
      <w:lvlJc w:val="left"/>
      <w:pPr>
        <w:tabs>
          <w:tab w:val="num" w:pos="2880"/>
        </w:tabs>
        <w:ind w:left="2880" w:hanging="360"/>
      </w:pPr>
      <w:rPr>
        <w:rFonts w:ascii="Arial" w:hAnsi="Arial" w:hint="default"/>
      </w:rPr>
    </w:lvl>
    <w:lvl w:ilvl="4" w:tplc="5DF01E10" w:tentative="1">
      <w:start w:val="1"/>
      <w:numFmt w:val="bullet"/>
      <w:lvlText w:val="•"/>
      <w:lvlJc w:val="left"/>
      <w:pPr>
        <w:tabs>
          <w:tab w:val="num" w:pos="3600"/>
        </w:tabs>
        <w:ind w:left="3600" w:hanging="360"/>
      </w:pPr>
      <w:rPr>
        <w:rFonts w:ascii="Arial" w:hAnsi="Arial" w:hint="default"/>
      </w:rPr>
    </w:lvl>
    <w:lvl w:ilvl="5" w:tplc="91F86064" w:tentative="1">
      <w:start w:val="1"/>
      <w:numFmt w:val="bullet"/>
      <w:lvlText w:val="•"/>
      <w:lvlJc w:val="left"/>
      <w:pPr>
        <w:tabs>
          <w:tab w:val="num" w:pos="4320"/>
        </w:tabs>
        <w:ind w:left="4320" w:hanging="360"/>
      </w:pPr>
      <w:rPr>
        <w:rFonts w:ascii="Arial" w:hAnsi="Arial" w:hint="default"/>
      </w:rPr>
    </w:lvl>
    <w:lvl w:ilvl="6" w:tplc="51686E5A" w:tentative="1">
      <w:start w:val="1"/>
      <w:numFmt w:val="bullet"/>
      <w:lvlText w:val="•"/>
      <w:lvlJc w:val="left"/>
      <w:pPr>
        <w:tabs>
          <w:tab w:val="num" w:pos="5040"/>
        </w:tabs>
        <w:ind w:left="5040" w:hanging="360"/>
      </w:pPr>
      <w:rPr>
        <w:rFonts w:ascii="Arial" w:hAnsi="Arial" w:hint="default"/>
      </w:rPr>
    </w:lvl>
    <w:lvl w:ilvl="7" w:tplc="EEBC5B02" w:tentative="1">
      <w:start w:val="1"/>
      <w:numFmt w:val="bullet"/>
      <w:lvlText w:val="•"/>
      <w:lvlJc w:val="left"/>
      <w:pPr>
        <w:tabs>
          <w:tab w:val="num" w:pos="5760"/>
        </w:tabs>
        <w:ind w:left="5760" w:hanging="360"/>
      </w:pPr>
      <w:rPr>
        <w:rFonts w:ascii="Arial" w:hAnsi="Arial" w:hint="default"/>
      </w:rPr>
    </w:lvl>
    <w:lvl w:ilvl="8" w:tplc="E37E122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355E04"/>
    <w:multiLevelType w:val="hybridMultilevel"/>
    <w:tmpl w:val="1F926C86"/>
    <w:lvl w:ilvl="0" w:tplc="D35AAFF8">
      <w:start w:val="1"/>
      <w:numFmt w:val="bullet"/>
      <w:lvlText w:val="•"/>
      <w:lvlJc w:val="left"/>
      <w:pPr>
        <w:tabs>
          <w:tab w:val="num" w:pos="720"/>
        </w:tabs>
        <w:ind w:left="720" w:hanging="360"/>
      </w:pPr>
      <w:rPr>
        <w:rFonts w:ascii="Arial" w:hAnsi="Arial" w:hint="default"/>
      </w:rPr>
    </w:lvl>
    <w:lvl w:ilvl="1" w:tplc="5866B8F6" w:tentative="1">
      <w:start w:val="1"/>
      <w:numFmt w:val="bullet"/>
      <w:lvlText w:val="•"/>
      <w:lvlJc w:val="left"/>
      <w:pPr>
        <w:tabs>
          <w:tab w:val="num" w:pos="1440"/>
        </w:tabs>
        <w:ind w:left="1440" w:hanging="360"/>
      </w:pPr>
      <w:rPr>
        <w:rFonts w:ascii="Arial" w:hAnsi="Arial" w:hint="default"/>
      </w:rPr>
    </w:lvl>
    <w:lvl w:ilvl="2" w:tplc="5BCAD94E" w:tentative="1">
      <w:start w:val="1"/>
      <w:numFmt w:val="bullet"/>
      <w:lvlText w:val="•"/>
      <w:lvlJc w:val="left"/>
      <w:pPr>
        <w:tabs>
          <w:tab w:val="num" w:pos="2160"/>
        </w:tabs>
        <w:ind w:left="2160" w:hanging="360"/>
      </w:pPr>
      <w:rPr>
        <w:rFonts w:ascii="Arial" w:hAnsi="Arial" w:hint="default"/>
      </w:rPr>
    </w:lvl>
    <w:lvl w:ilvl="3" w:tplc="47D4F70C" w:tentative="1">
      <w:start w:val="1"/>
      <w:numFmt w:val="bullet"/>
      <w:lvlText w:val="•"/>
      <w:lvlJc w:val="left"/>
      <w:pPr>
        <w:tabs>
          <w:tab w:val="num" w:pos="2880"/>
        </w:tabs>
        <w:ind w:left="2880" w:hanging="360"/>
      </w:pPr>
      <w:rPr>
        <w:rFonts w:ascii="Arial" w:hAnsi="Arial" w:hint="default"/>
      </w:rPr>
    </w:lvl>
    <w:lvl w:ilvl="4" w:tplc="43CEC69C" w:tentative="1">
      <w:start w:val="1"/>
      <w:numFmt w:val="bullet"/>
      <w:lvlText w:val="•"/>
      <w:lvlJc w:val="left"/>
      <w:pPr>
        <w:tabs>
          <w:tab w:val="num" w:pos="3600"/>
        </w:tabs>
        <w:ind w:left="3600" w:hanging="360"/>
      </w:pPr>
      <w:rPr>
        <w:rFonts w:ascii="Arial" w:hAnsi="Arial" w:hint="default"/>
      </w:rPr>
    </w:lvl>
    <w:lvl w:ilvl="5" w:tplc="F68E3408" w:tentative="1">
      <w:start w:val="1"/>
      <w:numFmt w:val="bullet"/>
      <w:lvlText w:val="•"/>
      <w:lvlJc w:val="left"/>
      <w:pPr>
        <w:tabs>
          <w:tab w:val="num" w:pos="4320"/>
        </w:tabs>
        <w:ind w:left="4320" w:hanging="360"/>
      </w:pPr>
      <w:rPr>
        <w:rFonts w:ascii="Arial" w:hAnsi="Arial" w:hint="default"/>
      </w:rPr>
    </w:lvl>
    <w:lvl w:ilvl="6" w:tplc="8E92136A" w:tentative="1">
      <w:start w:val="1"/>
      <w:numFmt w:val="bullet"/>
      <w:lvlText w:val="•"/>
      <w:lvlJc w:val="left"/>
      <w:pPr>
        <w:tabs>
          <w:tab w:val="num" w:pos="5040"/>
        </w:tabs>
        <w:ind w:left="5040" w:hanging="360"/>
      </w:pPr>
      <w:rPr>
        <w:rFonts w:ascii="Arial" w:hAnsi="Arial" w:hint="default"/>
      </w:rPr>
    </w:lvl>
    <w:lvl w:ilvl="7" w:tplc="4D0C3452" w:tentative="1">
      <w:start w:val="1"/>
      <w:numFmt w:val="bullet"/>
      <w:lvlText w:val="•"/>
      <w:lvlJc w:val="left"/>
      <w:pPr>
        <w:tabs>
          <w:tab w:val="num" w:pos="5760"/>
        </w:tabs>
        <w:ind w:left="5760" w:hanging="360"/>
      </w:pPr>
      <w:rPr>
        <w:rFonts w:ascii="Arial" w:hAnsi="Arial" w:hint="default"/>
      </w:rPr>
    </w:lvl>
    <w:lvl w:ilvl="8" w:tplc="7876C8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A474F68"/>
    <w:multiLevelType w:val="hybridMultilevel"/>
    <w:tmpl w:val="3F74CC16"/>
    <w:lvl w:ilvl="0" w:tplc="230AA800">
      <w:start w:val="1"/>
      <w:numFmt w:val="bullet"/>
      <w:lvlText w:val="•"/>
      <w:lvlJc w:val="left"/>
      <w:pPr>
        <w:tabs>
          <w:tab w:val="num" w:pos="720"/>
        </w:tabs>
        <w:ind w:left="720" w:hanging="360"/>
      </w:pPr>
      <w:rPr>
        <w:rFonts w:ascii="Arial" w:hAnsi="Arial" w:hint="default"/>
      </w:rPr>
    </w:lvl>
    <w:lvl w:ilvl="1" w:tplc="A8E866DA" w:tentative="1">
      <w:start w:val="1"/>
      <w:numFmt w:val="bullet"/>
      <w:lvlText w:val="•"/>
      <w:lvlJc w:val="left"/>
      <w:pPr>
        <w:tabs>
          <w:tab w:val="num" w:pos="1440"/>
        </w:tabs>
        <w:ind w:left="1440" w:hanging="360"/>
      </w:pPr>
      <w:rPr>
        <w:rFonts w:ascii="Arial" w:hAnsi="Arial" w:hint="default"/>
      </w:rPr>
    </w:lvl>
    <w:lvl w:ilvl="2" w:tplc="5A5E56D0" w:tentative="1">
      <w:start w:val="1"/>
      <w:numFmt w:val="bullet"/>
      <w:lvlText w:val="•"/>
      <w:lvlJc w:val="left"/>
      <w:pPr>
        <w:tabs>
          <w:tab w:val="num" w:pos="2160"/>
        </w:tabs>
        <w:ind w:left="2160" w:hanging="360"/>
      </w:pPr>
      <w:rPr>
        <w:rFonts w:ascii="Arial" w:hAnsi="Arial" w:hint="default"/>
      </w:rPr>
    </w:lvl>
    <w:lvl w:ilvl="3" w:tplc="D7A45580" w:tentative="1">
      <w:start w:val="1"/>
      <w:numFmt w:val="bullet"/>
      <w:lvlText w:val="•"/>
      <w:lvlJc w:val="left"/>
      <w:pPr>
        <w:tabs>
          <w:tab w:val="num" w:pos="2880"/>
        </w:tabs>
        <w:ind w:left="2880" w:hanging="360"/>
      </w:pPr>
      <w:rPr>
        <w:rFonts w:ascii="Arial" w:hAnsi="Arial" w:hint="default"/>
      </w:rPr>
    </w:lvl>
    <w:lvl w:ilvl="4" w:tplc="8DFA16C4" w:tentative="1">
      <w:start w:val="1"/>
      <w:numFmt w:val="bullet"/>
      <w:lvlText w:val="•"/>
      <w:lvlJc w:val="left"/>
      <w:pPr>
        <w:tabs>
          <w:tab w:val="num" w:pos="3600"/>
        </w:tabs>
        <w:ind w:left="3600" w:hanging="360"/>
      </w:pPr>
      <w:rPr>
        <w:rFonts w:ascii="Arial" w:hAnsi="Arial" w:hint="default"/>
      </w:rPr>
    </w:lvl>
    <w:lvl w:ilvl="5" w:tplc="9E4EB184" w:tentative="1">
      <w:start w:val="1"/>
      <w:numFmt w:val="bullet"/>
      <w:lvlText w:val="•"/>
      <w:lvlJc w:val="left"/>
      <w:pPr>
        <w:tabs>
          <w:tab w:val="num" w:pos="4320"/>
        </w:tabs>
        <w:ind w:left="4320" w:hanging="360"/>
      </w:pPr>
      <w:rPr>
        <w:rFonts w:ascii="Arial" w:hAnsi="Arial" w:hint="default"/>
      </w:rPr>
    </w:lvl>
    <w:lvl w:ilvl="6" w:tplc="A252C13E" w:tentative="1">
      <w:start w:val="1"/>
      <w:numFmt w:val="bullet"/>
      <w:lvlText w:val="•"/>
      <w:lvlJc w:val="left"/>
      <w:pPr>
        <w:tabs>
          <w:tab w:val="num" w:pos="5040"/>
        </w:tabs>
        <w:ind w:left="5040" w:hanging="360"/>
      </w:pPr>
      <w:rPr>
        <w:rFonts w:ascii="Arial" w:hAnsi="Arial" w:hint="default"/>
      </w:rPr>
    </w:lvl>
    <w:lvl w:ilvl="7" w:tplc="1DC0CAEE" w:tentative="1">
      <w:start w:val="1"/>
      <w:numFmt w:val="bullet"/>
      <w:lvlText w:val="•"/>
      <w:lvlJc w:val="left"/>
      <w:pPr>
        <w:tabs>
          <w:tab w:val="num" w:pos="5760"/>
        </w:tabs>
        <w:ind w:left="5760" w:hanging="360"/>
      </w:pPr>
      <w:rPr>
        <w:rFonts w:ascii="Arial" w:hAnsi="Arial" w:hint="default"/>
      </w:rPr>
    </w:lvl>
    <w:lvl w:ilvl="8" w:tplc="9FA063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0E61A30"/>
    <w:multiLevelType w:val="hybridMultilevel"/>
    <w:tmpl w:val="A316056C"/>
    <w:lvl w:ilvl="0" w:tplc="78BE7896">
      <w:start w:val="1"/>
      <w:numFmt w:val="bullet"/>
      <w:lvlText w:val="•"/>
      <w:lvlJc w:val="left"/>
      <w:pPr>
        <w:tabs>
          <w:tab w:val="num" w:pos="720"/>
        </w:tabs>
        <w:ind w:left="720" w:hanging="360"/>
      </w:pPr>
      <w:rPr>
        <w:rFonts w:ascii="Arial" w:hAnsi="Arial" w:hint="default"/>
      </w:rPr>
    </w:lvl>
    <w:lvl w:ilvl="1" w:tplc="7B9C6E56" w:tentative="1">
      <w:start w:val="1"/>
      <w:numFmt w:val="bullet"/>
      <w:lvlText w:val="•"/>
      <w:lvlJc w:val="left"/>
      <w:pPr>
        <w:tabs>
          <w:tab w:val="num" w:pos="1440"/>
        </w:tabs>
        <w:ind w:left="1440" w:hanging="360"/>
      </w:pPr>
      <w:rPr>
        <w:rFonts w:ascii="Arial" w:hAnsi="Arial" w:hint="default"/>
      </w:rPr>
    </w:lvl>
    <w:lvl w:ilvl="2" w:tplc="31F027B2" w:tentative="1">
      <w:start w:val="1"/>
      <w:numFmt w:val="bullet"/>
      <w:lvlText w:val="•"/>
      <w:lvlJc w:val="left"/>
      <w:pPr>
        <w:tabs>
          <w:tab w:val="num" w:pos="2160"/>
        </w:tabs>
        <w:ind w:left="2160" w:hanging="360"/>
      </w:pPr>
      <w:rPr>
        <w:rFonts w:ascii="Arial" w:hAnsi="Arial" w:hint="default"/>
      </w:rPr>
    </w:lvl>
    <w:lvl w:ilvl="3" w:tplc="64C4398A" w:tentative="1">
      <w:start w:val="1"/>
      <w:numFmt w:val="bullet"/>
      <w:lvlText w:val="•"/>
      <w:lvlJc w:val="left"/>
      <w:pPr>
        <w:tabs>
          <w:tab w:val="num" w:pos="2880"/>
        </w:tabs>
        <w:ind w:left="2880" w:hanging="360"/>
      </w:pPr>
      <w:rPr>
        <w:rFonts w:ascii="Arial" w:hAnsi="Arial" w:hint="default"/>
      </w:rPr>
    </w:lvl>
    <w:lvl w:ilvl="4" w:tplc="EF761DB6" w:tentative="1">
      <w:start w:val="1"/>
      <w:numFmt w:val="bullet"/>
      <w:lvlText w:val="•"/>
      <w:lvlJc w:val="left"/>
      <w:pPr>
        <w:tabs>
          <w:tab w:val="num" w:pos="3600"/>
        </w:tabs>
        <w:ind w:left="3600" w:hanging="360"/>
      </w:pPr>
      <w:rPr>
        <w:rFonts w:ascii="Arial" w:hAnsi="Arial" w:hint="default"/>
      </w:rPr>
    </w:lvl>
    <w:lvl w:ilvl="5" w:tplc="1974F1F2" w:tentative="1">
      <w:start w:val="1"/>
      <w:numFmt w:val="bullet"/>
      <w:lvlText w:val="•"/>
      <w:lvlJc w:val="left"/>
      <w:pPr>
        <w:tabs>
          <w:tab w:val="num" w:pos="4320"/>
        </w:tabs>
        <w:ind w:left="4320" w:hanging="360"/>
      </w:pPr>
      <w:rPr>
        <w:rFonts w:ascii="Arial" w:hAnsi="Arial" w:hint="default"/>
      </w:rPr>
    </w:lvl>
    <w:lvl w:ilvl="6" w:tplc="66183896" w:tentative="1">
      <w:start w:val="1"/>
      <w:numFmt w:val="bullet"/>
      <w:lvlText w:val="•"/>
      <w:lvlJc w:val="left"/>
      <w:pPr>
        <w:tabs>
          <w:tab w:val="num" w:pos="5040"/>
        </w:tabs>
        <w:ind w:left="5040" w:hanging="360"/>
      </w:pPr>
      <w:rPr>
        <w:rFonts w:ascii="Arial" w:hAnsi="Arial" w:hint="default"/>
      </w:rPr>
    </w:lvl>
    <w:lvl w:ilvl="7" w:tplc="2A06B058" w:tentative="1">
      <w:start w:val="1"/>
      <w:numFmt w:val="bullet"/>
      <w:lvlText w:val="•"/>
      <w:lvlJc w:val="left"/>
      <w:pPr>
        <w:tabs>
          <w:tab w:val="num" w:pos="5760"/>
        </w:tabs>
        <w:ind w:left="5760" w:hanging="360"/>
      </w:pPr>
      <w:rPr>
        <w:rFonts w:ascii="Arial" w:hAnsi="Arial" w:hint="default"/>
      </w:rPr>
    </w:lvl>
    <w:lvl w:ilvl="8" w:tplc="D1682A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A9A7130"/>
    <w:multiLevelType w:val="hybridMultilevel"/>
    <w:tmpl w:val="12A6CF20"/>
    <w:lvl w:ilvl="0" w:tplc="7FDA4530">
      <w:start w:val="31"/>
      <w:numFmt w:val="decimal"/>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E481893"/>
    <w:multiLevelType w:val="hybridMultilevel"/>
    <w:tmpl w:val="0DD62EF0"/>
    <w:lvl w:ilvl="0" w:tplc="35789A56">
      <w:start w:val="1"/>
      <w:numFmt w:val="bullet"/>
      <w:lvlText w:val="•"/>
      <w:lvlJc w:val="left"/>
      <w:pPr>
        <w:tabs>
          <w:tab w:val="num" w:pos="720"/>
        </w:tabs>
        <w:ind w:left="720" w:hanging="360"/>
      </w:pPr>
      <w:rPr>
        <w:rFonts w:ascii="Arial" w:hAnsi="Arial" w:hint="default"/>
      </w:rPr>
    </w:lvl>
    <w:lvl w:ilvl="1" w:tplc="696CBDD4" w:tentative="1">
      <w:start w:val="1"/>
      <w:numFmt w:val="bullet"/>
      <w:lvlText w:val="•"/>
      <w:lvlJc w:val="left"/>
      <w:pPr>
        <w:tabs>
          <w:tab w:val="num" w:pos="1440"/>
        </w:tabs>
        <w:ind w:left="1440" w:hanging="360"/>
      </w:pPr>
      <w:rPr>
        <w:rFonts w:ascii="Arial" w:hAnsi="Arial" w:hint="default"/>
      </w:rPr>
    </w:lvl>
    <w:lvl w:ilvl="2" w:tplc="F2460C58" w:tentative="1">
      <w:start w:val="1"/>
      <w:numFmt w:val="bullet"/>
      <w:lvlText w:val="•"/>
      <w:lvlJc w:val="left"/>
      <w:pPr>
        <w:tabs>
          <w:tab w:val="num" w:pos="2160"/>
        </w:tabs>
        <w:ind w:left="2160" w:hanging="360"/>
      </w:pPr>
      <w:rPr>
        <w:rFonts w:ascii="Arial" w:hAnsi="Arial" w:hint="default"/>
      </w:rPr>
    </w:lvl>
    <w:lvl w:ilvl="3" w:tplc="0FC68C70" w:tentative="1">
      <w:start w:val="1"/>
      <w:numFmt w:val="bullet"/>
      <w:lvlText w:val="•"/>
      <w:lvlJc w:val="left"/>
      <w:pPr>
        <w:tabs>
          <w:tab w:val="num" w:pos="2880"/>
        </w:tabs>
        <w:ind w:left="2880" w:hanging="360"/>
      </w:pPr>
      <w:rPr>
        <w:rFonts w:ascii="Arial" w:hAnsi="Arial" w:hint="default"/>
      </w:rPr>
    </w:lvl>
    <w:lvl w:ilvl="4" w:tplc="307A3F16" w:tentative="1">
      <w:start w:val="1"/>
      <w:numFmt w:val="bullet"/>
      <w:lvlText w:val="•"/>
      <w:lvlJc w:val="left"/>
      <w:pPr>
        <w:tabs>
          <w:tab w:val="num" w:pos="3600"/>
        </w:tabs>
        <w:ind w:left="3600" w:hanging="360"/>
      </w:pPr>
      <w:rPr>
        <w:rFonts w:ascii="Arial" w:hAnsi="Arial" w:hint="default"/>
      </w:rPr>
    </w:lvl>
    <w:lvl w:ilvl="5" w:tplc="7E88AB4A" w:tentative="1">
      <w:start w:val="1"/>
      <w:numFmt w:val="bullet"/>
      <w:lvlText w:val="•"/>
      <w:lvlJc w:val="left"/>
      <w:pPr>
        <w:tabs>
          <w:tab w:val="num" w:pos="4320"/>
        </w:tabs>
        <w:ind w:left="4320" w:hanging="360"/>
      </w:pPr>
      <w:rPr>
        <w:rFonts w:ascii="Arial" w:hAnsi="Arial" w:hint="default"/>
      </w:rPr>
    </w:lvl>
    <w:lvl w:ilvl="6" w:tplc="BA68CE36" w:tentative="1">
      <w:start w:val="1"/>
      <w:numFmt w:val="bullet"/>
      <w:lvlText w:val="•"/>
      <w:lvlJc w:val="left"/>
      <w:pPr>
        <w:tabs>
          <w:tab w:val="num" w:pos="5040"/>
        </w:tabs>
        <w:ind w:left="5040" w:hanging="360"/>
      </w:pPr>
      <w:rPr>
        <w:rFonts w:ascii="Arial" w:hAnsi="Arial" w:hint="default"/>
      </w:rPr>
    </w:lvl>
    <w:lvl w:ilvl="7" w:tplc="870EC502" w:tentative="1">
      <w:start w:val="1"/>
      <w:numFmt w:val="bullet"/>
      <w:lvlText w:val="•"/>
      <w:lvlJc w:val="left"/>
      <w:pPr>
        <w:tabs>
          <w:tab w:val="num" w:pos="5760"/>
        </w:tabs>
        <w:ind w:left="5760" w:hanging="360"/>
      </w:pPr>
      <w:rPr>
        <w:rFonts w:ascii="Arial" w:hAnsi="Arial" w:hint="default"/>
      </w:rPr>
    </w:lvl>
    <w:lvl w:ilvl="8" w:tplc="94A88B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FF526D0"/>
    <w:multiLevelType w:val="hybridMultilevel"/>
    <w:tmpl w:val="83BA1DC4"/>
    <w:lvl w:ilvl="0" w:tplc="4F528958">
      <w:start w:val="1"/>
      <w:numFmt w:val="decimal"/>
      <w:lvlText w:val="(%1)"/>
      <w:lvlJc w:val="left"/>
      <w:pPr>
        <w:tabs>
          <w:tab w:val="num" w:pos="1080"/>
        </w:tabs>
        <w:ind w:left="1080" w:hanging="360"/>
      </w:pPr>
    </w:lvl>
    <w:lvl w:ilvl="1" w:tplc="79949AA8" w:tentative="1">
      <w:start w:val="1"/>
      <w:numFmt w:val="decimal"/>
      <w:lvlText w:val="(%2)"/>
      <w:lvlJc w:val="left"/>
      <w:pPr>
        <w:tabs>
          <w:tab w:val="num" w:pos="1800"/>
        </w:tabs>
        <w:ind w:left="1800" w:hanging="360"/>
      </w:pPr>
    </w:lvl>
    <w:lvl w:ilvl="2" w:tplc="839EA76C" w:tentative="1">
      <w:start w:val="1"/>
      <w:numFmt w:val="decimal"/>
      <w:lvlText w:val="(%3)"/>
      <w:lvlJc w:val="left"/>
      <w:pPr>
        <w:tabs>
          <w:tab w:val="num" w:pos="2520"/>
        </w:tabs>
        <w:ind w:left="2520" w:hanging="360"/>
      </w:pPr>
    </w:lvl>
    <w:lvl w:ilvl="3" w:tplc="4484CC34" w:tentative="1">
      <w:start w:val="1"/>
      <w:numFmt w:val="decimal"/>
      <w:lvlText w:val="(%4)"/>
      <w:lvlJc w:val="left"/>
      <w:pPr>
        <w:tabs>
          <w:tab w:val="num" w:pos="3240"/>
        </w:tabs>
        <w:ind w:left="3240" w:hanging="360"/>
      </w:pPr>
    </w:lvl>
    <w:lvl w:ilvl="4" w:tplc="97E0F456" w:tentative="1">
      <w:start w:val="1"/>
      <w:numFmt w:val="decimal"/>
      <w:lvlText w:val="(%5)"/>
      <w:lvlJc w:val="left"/>
      <w:pPr>
        <w:tabs>
          <w:tab w:val="num" w:pos="3960"/>
        </w:tabs>
        <w:ind w:left="3960" w:hanging="360"/>
      </w:pPr>
    </w:lvl>
    <w:lvl w:ilvl="5" w:tplc="4A945F52" w:tentative="1">
      <w:start w:val="1"/>
      <w:numFmt w:val="decimal"/>
      <w:lvlText w:val="(%6)"/>
      <w:lvlJc w:val="left"/>
      <w:pPr>
        <w:tabs>
          <w:tab w:val="num" w:pos="4680"/>
        </w:tabs>
        <w:ind w:left="4680" w:hanging="360"/>
      </w:pPr>
    </w:lvl>
    <w:lvl w:ilvl="6" w:tplc="290897D0" w:tentative="1">
      <w:start w:val="1"/>
      <w:numFmt w:val="decimal"/>
      <w:lvlText w:val="(%7)"/>
      <w:lvlJc w:val="left"/>
      <w:pPr>
        <w:tabs>
          <w:tab w:val="num" w:pos="5400"/>
        </w:tabs>
        <w:ind w:left="5400" w:hanging="360"/>
      </w:pPr>
    </w:lvl>
    <w:lvl w:ilvl="7" w:tplc="779C2304" w:tentative="1">
      <w:start w:val="1"/>
      <w:numFmt w:val="decimal"/>
      <w:lvlText w:val="(%8)"/>
      <w:lvlJc w:val="left"/>
      <w:pPr>
        <w:tabs>
          <w:tab w:val="num" w:pos="6120"/>
        </w:tabs>
        <w:ind w:left="6120" w:hanging="360"/>
      </w:pPr>
    </w:lvl>
    <w:lvl w:ilvl="8" w:tplc="D53AA596" w:tentative="1">
      <w:start w:val="1"/>
      <w:numFmt w:val="decimal"/>
      <w:lvlText w:val="(%9)"/>
      <w:lvlJc w:val="left"/>
      <w:pPr>
        <w:tabs>
          <w:tab w:val="num" w:pos="6840"/>
        </w:tabs>
        <w:ind w:left="6840" w:hanging="360"/>
      </w:pPr>
    </w:lvl>
  </w:abstractNum>
  <w:num w:numId="1" w16cid:durableId="801462110">
    <w:abstractNumId w:val="0"/>
  </w:num>
  <w:num w:numId="2" w16cid:durableId="1887061274">
    <w:abstractNumId w:val="1"/>
  </w:num>
  <w:num w:numId="3" w16cid:durableId="137190536">
    <w:abstractNumId w:val="3"/>
  </w:num>
  <w:num w:numId="4" w16cid:durableId="168448634">
    <w:abstractNumId w:val="5"/>
  </w:num>
  <w:num w:numId="5" w16cid:durableId="175924878">
    <w:abstractNumId w:val="8"/>
  </w:num>
  <w:num w:numId="6" w16cid:durableId="1775397287">
    <w:abstractNumId w:val="6"/>
  </w:num>
  <w:num w:numId="7" w16cid:durableId="42877014">
    <w:abstractNumId w:val="7"/>
  </w:num>
  <w:num w:numId="8" w16cid:durableId="1821732763">
    <w:abstractNumId w:val="4"/>
  </w:num>
  <w:num w:numId="9" w16cid:durableId="149257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05D"/>
    <w:rsid w:val="00024572"/>
    <w:rsid w:val="00082F3C"/>
    <w:rsid w:val="000B405D"/>
    <w:rsid w:val="000E4CF0"/>
    <w:rsid w:val="00103601"/>
    <w:rsid w:val="0018696F"/>
    <w:rsid w:val="001F447D"/>
    <w:rsid w:val="00215FCE"/>
    <w:rsid w:val="002371D2"/>
    <w:rsid w:val="00292260"/>
    <w:rsid w:val="00402BE0"/>
    <w:rsid w:val="00442462"/>
    <w:rsid w:val="00521FC6"/>
    <w:rsid w:val="00525D76"/>
    <w:rsid w:val="0057317C"/>
    <w:rsid w:val="005735AD"/>
    <w:rsid w:val="00590BC2"/>
    <w:rsid w:val="00593A86"/>
    <w:rsid w:val="005E35B6"/>
    <w:rsid w:val="00680230"/>
    <w:rsid w:val="006A477D"/>
    <w:rsid w:val="006B5EAA"/>
    <w:rsid w:val="00750C9F"/>
    <w:rsid w:val="007D6E12"/>
    <w:rsid w:val="007E2942"/>
    <w:rsid w:val="007E41AF"/>
    <w:rsid w:val="008339D0"/>
    <w:rsid w:val="008C6128"/>
    <w:rsid w:val="009D0885"/>
    <w:rsid w:val="00A12E67"/>
    <w:rsid w:val="00AE0528"/>
    <w:rsid w:val="00AE0920"/>
    <w:rsid w:val="00AE5A39"/>
    <w:rsid w:val="00B16E6B"/>
    <w:rsid w:val="00B71655"/>
    <w:rsid w:val="00C806CE"/>
    <w:rsid w:val="00C83509"/>
    <w:rsid w:val="00D24780"/>
    <w:rsid w:val="00D63D13"/>
    <w:rsid w:val="00F824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1E524CA"/>
  <w15:chartTrackingRefBased/>
  <w15:docId w15:val="{BC96DDD2-A44F-2846-9190-C1B64C35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05D"/>
    <w:rPr>
      <w:rFonts w:ascii="Times New Roman" w:eastAsia="Times New Roman" w:hAnsi="Times New Roman" w:cs="Times New Roman"/>
      <w:kern w:val="0"/>
      <w:lang w:val="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405D"/>
    <w:rPr>
      <w:color w:val="0563C1" w:themeColor="hyperlink"/>
      <w:u w:val="single"/>
    </w:rPr>
  </w:style>
  <w:style w:type="paragraph" w:styleId="FootnoteText">
    <w:name w:val="footnote text"/>
    <w:aliases w:val="Footnote,Text"/>
    <w:basedOn w:val="Normal"/>
    <w:link w:val="FootnoteTextChar"/>
    <w:uiPriority w:val="99"/>
    <w:unhideWhenUsed/>
    <w:rsid w:val="000B405D"/>
    <w:rPr>
      <w:rFonts w:asciiTheme="minorHAnsi" w:eastAsiaTheme="minorEastAsia" w:hAnsiTheme="minorHAnsi" w:cstheme="minorBidi"/>
      <w:lang w:val="en-US"/>
    </w:rPr>
  </w:style>
  <w:style w:type="character" w:customStyle="1" w:styleId="FootnoteTextChar">
    <w:name w:val="Footnote Text Char"/>
    <w:aliases w:val="Footnote Char,Text Char"/>
    <w:basedOn w:val="DefaultParagraphFont"/>
    <w:link w:val="FootnoteText"/>
    <w:uiPriority w:val="99"/>
    <w:rsid w:val="000B405D"/>
    <w:rPr>
      <w:rFonts w:eastAsiaTheme="minorEastAsia"/>
      <w:kern w:val="0"/>
      <w:lang w:val="en-US"/>
      <w14:ligatures w14:val="none"/>
    </w:rPr>
  </w:style>
  <w:style w:type="character" w:styleId="FootnoteReference">
    <w:name w:val="footnote reference"/>
    <w:aliases w:val="Ref,de nota al pie"/>
    <w:basedOn w:val="DefaultParagraphFont"/>
    <w:uiPriority w:val="99"/>
    <w:unhideWhenUsed/>
    <w:qFormat/>
    <w:rsid w:val="000B405D"/>
    <w:rPr>
      <w:vertAlign w:val="superscript"/>
    </w:rPr>
  </w:style>
  <w:style w:type="paragraph" w:styleId="NoSpacing">
    <w:name w:val="No Spacing"/>
    <w:uiPriority w:val="1"/>
    <w:qFormat/>
    <w:rsid w:val="000B405D"/>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0B405D"/>
    <w:rPr>
      <w:color w:val="605E5C"/>
      <w:shd w:val="clear" w:color="auto" w:fill="E1DFDD"/>
    </w:rPr>
  </w:style>
  <w:style w:type="paragraph" w:styleId="NormalWeb">
    <w:name w:val="Normal (Web)"/>
    <w:basedOn w:val="Normal"/>
    <w:uiPriority w:val="99"/>
    <w:unhideWhenUsed/>
    <w:rsid w:val="00F8249E"/>
    <w:pPr>
      <w:spacing w:before="100" w:beforeAutospacing="1" w:after="100" w:afterAutospacing="1"/>
    </w:pPr>
    <w:rPr>
      <w:lang w:val="en-AU" w:eastAsia="en-GB"/>
    </w:rPr>
  </w:style>
  <w:style w:type="paragraph" w:styleId="ListParagraph">
    <w:name w:val="List Paragraph"/>
    <w:basedOn w:val="Normal"/>
    <w:uiPriority w:val="34"/>
    <w:qFormat/>
    <w:rsid w:val="00F8249E"/>
    <w:pPr>
      <w:ind w:left="720"/>
      <w:contextualSpacing/>
    </w:pPr>
  </w:style>
  <w:style w:type="character" w:styleId="FollowedHyperlink">
    <w:name w:val="FollowedHyperlink"/>
    <w:basedOn w:val="DefaultParagraphFont"/>
    <w:uiPriority w:val="99"/>
    <w:semiHidden/>
    <w:unhideWhenUsed/>
    <w:rsid w:val="005735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8834">
      <w:bodyDiv w:val="1"/>
      <w:marLeft w:val="0"/>
      <w:marRight w:val="0"/>
      <w:marTop w:val="0"/>
      <w:marBottom w:val="0"/>
      <w:divBdr>
        <w:top w:val="none" w:sz="0" w:space="0" w:color="auto"/>
        <w:left w:val="none" w:sz="0" w:space="0" w:color="auto"/>
        <w:bottom w:val="none" w:sz="0" w:space="0" w:color="auto"/>
        <w:right w:val="none" w:sz="0" w:space="0" w:color="auto"/>
      </w:divBdr>
      <w:divsChild>
        <w:div w:id="1710572357">
          <w:marLeft w:val="360"/>
          <w:marRight w:val="0"/>
          <w:marTop w:val="200"/>
          <w:marBottom w:val="0"/>
          <w:divBdr>
            <w:top w:val="none" w:sz="0" w:space="0" w:color="auto"/>
            <w:left w:val="none" w:sz="0" w:space="0" w:color="auto"/>
            <w:bottom w:val="none" w:sz="0" w:space="0" w:color="auto"/>
            <w:right w:val="none" w:sz="0" w:space="0" w:color="auto"/>
          </w:divBdr>
        </w:div>
        <w:div w:id="981543737">
          <w:marLeft w:val="360"/>
          <w:marRight w:val="0"/>
          <w:marTop w:val="200"/>
          <w:marBottom w:val="0"/>
          <w:divBdr>
            <w:top w:val="none" w:sz="0" w:space="0" w:color="auto"/>
            <w:left w:val="none" w:sz="0" w:space="0" w:color="auto"/>
            <w:bottom w:val="none" w:sz="0" w:space="0" w:color="auto"/>
            <w:right w:val="none" w:sz="0" w:space="0" w:color="auto"/>
          </w:divBdr>
        </w:div>
        <w:div w:id="986664261">
          <w:marLeft w:val="360"/>
          <w:marRight w:val="0"/>
          <w:marTop w:val="200"/>
          <w:marBottom w:val="0"/>
          <w:divBdr>
            <w:top w:val="none" w:sz="0" w:space="0" w:color="auto"/>
            <w:left w:val="none" w:sz="0" w:space="0" w:color="auto"/>
            <w:bottom w:val="none" w:sz="0" w:space="0" w:color="auto"/>
            <w:right w:val="none" w:sz="0" w:space="0" w:color="auto"/>
          </w:divBdr>
        </w:div>
      </w:divsChild>
    </w:div>
    <w:div w:id="314376968">
      <w:bodyDiv w:val="1"/>
      <w:marLeft w:val="0"/>
      <w:marRight w:val="0"/>
      <w:marTop w:val="0"/>
      <w:marBottom w:val="0"/>
      <w:divBdr>
        <w:top w:val="none" w:sz="0" w:space="0" w:color="auto"/>
        <w:left w:val="none" w:sz="0" w:space="0" w:color="auto"/>
        <w:bottom w:val="none" w:sz="0" w:space="0" w:color="auto"/>
        <w:right w:val="none" w:sz="0" w:space="0" w:color="auto"/>
      </w:divBdr>
      <w:divsChild>
        <w:div w:id="1921602856">
          <w:marLeft w:val="446"/>
          <w:marRight w:val="0"/>
          <w:marTop w:val="0"/>
          <w:marBottom w:val="0"/>
          <w:divBdr>
            <w:top w:val="none" w:sz="0" w:space="0" w:color="auto"/>
            <w:left w:val="none" w:sz="0" w:space="0" w:color="auto"/>
            <w:bottom w:val="none" w:sz="0" w:space="0" w:color="auto"/>
            <w:right w:val="none" w:sz="0" w:space="0" w:color="auto"/>
          </w:divBdr>
        </w:div>
      </w:divsChild>
    </w:div>
    <w:div w:id="586501699">
      <w:bodyDiv w:val="1"/>
      <w:marLeft w:val="0"/>
      <w:marRight w:val="0"/>
      <w:marTop w:val="0"/>
      <w:marBottom w:val="0"/>
      <w:divBdr>
        <w:top w:val="none" w:sz="0" w:space="0" w:color="auto"/>
        <w:left w:val="none" w:sz="0" w:space="0" w:color="auto"/>
        <w:bottom w:val="none" w:sz="0" w:space="0" w:color="auto"/>
        <w:right w:val="none" w:sz="0" w:space="0" w:color="auto"/>
      </w:divBdr>
      <w:divsChild>
        <w:div w:id="1651598027">
          <w:marLeft w:val="720"/>
          <w:marRight w:val="0"/>
          <w:marTop w:val="200"/>
          <w:marBottom w:val="0"/>
          <w:divBdr>
            <w:top w:val="none" w:sz="0" w:space="0" w:color="auto"/>
            <w:left w:val="none" w:sz="0" w:space="0" w:color="auto"/>
            <w:bottom w:val="none" w:sz="0" w:space="0" w:color="auto"/>
            <w:right w:val="none" w:sz="0" w:space="0" w:color="auto"/>
          </w:divBdr>
        </w:div>
      </w:divsChild>
    </w:div>
    <w:div w:id="691995317">
      <w:bodyDiv w:val="1"/>
      <w:marLeft w:val="0"/>
      <w:marRight w:val="0"/>
      <w:marTop w:val="0"/>
      <w:marBottom w:val="0"/>
      <w:divBdr>
        <w:top w:val="none" w:sz="0" w:space="0" w:color="auto"/>
        <w:left w:val="none" w:sz="0" w:space="0" w:color="auto"/>
        <w:bottom w:val="none" w:sz="0" w:space="0" w:color="auto"/>
        <w:right w:val="none" w:sz="0" w:space="0" w:color="auto"/>
      </w:divBdr>
      <w:divsChild>
        <w:div w:id="1614940710">
          <w:marLeft w:val="446"/>
          <w:marRight w:val="0"/>
          <w:marTop w:val="0"/>
          <w:marBottom w:val="0"/>
          <w:divBdr>
            <w:top w:val="none" w:sz="0" w:space="0" w:color="auto"/>
            <w:left w:val="none" w:sz="0" w:space="0" w:color="auto"/>
            <w:bottom w:val="none" w:sz="0" w:space="0" w:color="auto"/>
            <w:right w:val="none" w:sz="0" w:space="0" w:color="auto"/>
          </w:divBdr>
        </w:div>
        <w:div w:id="2025477340">
          <w:marLeft w:val="446"/>
          <w:marRight w:val="0"/>
          <w:marTop w:val="0"/>
          <w:marBottom w:val="0"/>
          <w:divBdr>
            <w:top w:val="none" w:sz="0" w:space="0" w:color="auto"/>
            <w:left w:val="none" w:sz="0" w:space="0" w:color="auto"/>
            <w:bottom w:val="none" w:sz="0" w:space="0" w:color="auto"/>
            <w:right w:val="none" w:sz="0" w:space="0" w:color="auto"/>
          </w:divBdr>
        </w:div>
      </w:divsChild>
    </w:div>
    <w:div w:id="760836068">
      <w:bodyDiv w:val="1"/>
      <w:marLeft w:val="0"/>
      <w:marRight w:val="0"/>
      <w:marTop w:val="0"/>
      <w:marBottom w:val="0"/>
      <w:divBdr>
        <w:top w:val="none" w:sz="0" w:space="0" w:color="auto"/>
        <w:left w:val="none" w:sz="0" w:space="0" w:color="auto"/>
        <w:bottom w:val="none" w:sz="0" w:space="0" w:color="auto"/>
        <w:right w:val="none" w:sz="0" w:space="0" w:color="auto"/>
      </w:divBdr>
      <w:divsChild>
        <w:div w:id="539514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160996">
              <w:marLeft w:val="0"/>
              <w:marRight w:val="0"/>
              <w:marTop w:val="0"/>
              <w:marBottom w:val="0"/>
              <w:divBdr>
                <w:top w:val="none" w:sz="0" w:space="0" w:color="auto"/>
                <w:left w:val="none" w:sz="0" w:space="0" w:color="auto"/>
                <w:bottom w:val="none" w:sz="0" w:space="0" w:color="auto"/>
                <w:right w:val="none" w:sz="0" w:space="0" w:color="auto"/>
              </w:divBdr>
              <w:divsChild>
                <w:div w:id="797921361">
                  <w:marLeft w:val="0"/>
                  <w:marRight w:val="0"/>
                  <w:marTop w:val="0"/>
                  <w:marBottom w:val="0"/>
                  <w:divBdr>
                    <w:top w:val="none" w:sz="0" w:space="0" w:color="auto"/>
                    <w:left w:val="none" w:sz="0" w:space="0" w:color="auto"/>
                    <w:bottom w:val="none" w:sz="0" w:space="0" w:color="auto"/>
                    <w:right w:val="none" w:sz="0" w:space="0" w:color="auto"/>
                  </w:divBdr>
                  <w:divsChild>
                    <w:div w:id="2214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767124">
      <w:bodyDiv w:val="1"/>
      <w:marLeft w:val="0"/>
      <w:marRight w:val="0"/>
      <w:marTop w:val="0"/>
      <w:marBottom w:val="0"/>
      <w:divBdr>
        <w:top w:val="none" w:sz="0" w:space="0" w:color="auto"/>
        <w:left w:val="none" w:sz="0" w:space="0" w:color="auto"/>
        <w:bottom w:val="none" w:sz="0" w:space="0" w:color="auto"/>
        <w:right w:val="none" w:sz="0" w:space="0" w:color="auto"/>
      </w:divBdr>
      <w:divsChild>
        <w:div w:id="174229461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sabilityinclusionbill@dpac.ta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gage.vic.gov.au/disability-act" TargetMode="External"/><Relationship Id="rId2" Type="http://schemas.openxmlformats.org/officeDocument/2006/relationships/hyperlink" Target="https://disability.royalcommission.gov.au/system/files/2020-10/Interim%20Report.pdf" TargetMode="External"/><Relationship Id="rId1" Type="http://schemas.openxmlformats.org/officeDocument/2006/relationships/hyperlink" Target="https://disability.royalcommission.gov.au/system/files/2020-10/Interim%20Report.pdf" TargetMode="External"/><Relationship Id="rId5" Type="http://schemas.openxmlformats.org/officeDocument/2006/relationships/hyperlink" Target="https://engage.vic.gov.au/disability-act" TargetMode="External"/><Relationship Id="rId4" Type="http://schemas.openxmlformats.org/officeDocument/2006/relationships/hyperlink" Target="https://www.dpac.tas.gov.au/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4D23F-820B-5746-AFA3-46BF145A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960</Words>
  <Characters>5472</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2023-09-18T06:19:00Z</cp:lastPrinted>
  <dcterms:created xsi:type="dcterms:W3CDTF">2023-09-18T06:30:00Z</dcterms:created>
  <dcterms:modified xsi:type="dcterms:W3CDTF">2023-09-18T06:30:00Z</dcterms:modified>
</cp:coreProperties>
</file>