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270" w:rsidRPr="00187347" w:rsidRDefault="00A15270" w:rsidP="00A15270">
      <w:pPr>
        <w:jc w:val="center"/>
      </w:pPr>
      <w:r w:rsidRPr="00187347">
        <w:rPr>
          <w:rFonts w:asciiTheme="minorHAnsi" w:hAnsiTheme="minorHAnsi"/>
          <w:noProof/>
          <w:sz w:val="20"/>
          <w:szCs w:val="20"/>
        </w:rPr>
        <w:drawing>
          <wp:inline distT="0" distB="0" distL="0" distR="0" wp14:anchorId="0EE57901" wp14:editId="145FCF24">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A15270" w:rsidRPr="00F36D97" w:rsidRDefault="00A15270" w:rsidP="00A15270">
      <w:pPr>
        <w:rPr>
          <w:rFonts w:ascii="Cambria" w:hAnsi="Cambria"/>
        </w:rPr>
      </w:pPr>
    </w:p>
    <w:p w:rsidR="00A15270" w:rsidRPr="00F36D97" w:rsidRDefault="00A15270" w:rsidP="00A15270">
      <w:pPr>
        <w:rPr>
          <w:rFonts w:ascii="Cambria" w:hAnsi="Cambria"/>
          <w:color w:val="000000" w:themeColor="text1"/>
        </w:rPr>
      </w:pPr>
    </w:p>
    <w:p w:rsidR="00A15270" w:rsidRPr="00F36D97" w:rsidRDefault="00A15270" w:rsidP="00A15270">
      <w:pPr>
        <w:rPr>
          <w:rFonts w:ascii="Cambria" w:hAnsi="Cambria"/>
          <w:color w:val="000000" w:themeColor="text1"/>
        </w:rPr>
      </w:pPr>
      <w:r w:rsidRPr="00F36D97">
        <w:rPr>
          <w:rFonts w:ascii="Cambria" w:hAnsi="Cambria"/>
          <w:color w:val="000000" w:themeColor="text1"/>
        </w:rPr>
        <w:t>4 August 2023</w:t>
      </w:r>
    </w:p>
    <w:p w:rsidR="00A15270" w:rsidRPr="00F36D97" w:rsidRDefault="00A15270" w:rsidP="00A15270">
      <w:pPr>
        <w:rPr>
          <w:rFonts w:ascii="Cambria" w:hAnsi="Cambria"/>
          <w:color w:val="000000" w:themeColor="text1"/>
        </w:rPr>
      </w:pPr>
    </w:p>
    <w:p w:rsidR="00A15270" w:rsidRPr="00F36D97" w:rsidRDefault="00A15270" w:rsidP="00A15270">
      <w:pPr>
        <w:rPr>
          <w:rFonts w:ascii="Cambria" w:hAnsi="Cambria"/>
        </w:rPr>
      </w:pPr>
      <w:r w:rsidRPr="00F36D97">
        <w:rPr>
          <w:rFonts w:ascii="Cambria" w:hAnsi="Cambria"/>
        </w:rPr>
        <w:t>Department of Health</w:t>
      </w:r>
    </w:p>
    <w:p w:rsidR="00A15270" w:rsidRPr="00F36D97" w:rsidRDefault="00A15270" w:rsidP="00A15270">
      <w:pPr>
        <w:rPr>
          <w:rFonts w:ascii="Cambria" w:hAnsi="Cambria"/>
        </w:rPr>
      </w:pPr>
      <w:r w:rsidRPr="00F36D97">
        <w:rPr>
          <w:rFonts w:ascii="Cambria" w:hAnsi="Cambria"/>
        </w:rPr>
        <w:t>Office of the Secretary</w:t>
      </w:r>
    </w:p>
    <w:p w:rsidR="00A15270" w:rsidRPr="00F36D97" w:rsidRDefault="00A15270" w:rsidP="00A15270">
      <w:pPr>
        <w:rPr>
          <w:rFonts w:ascii="Cambria" w:hAnsi="Cambria"/>
        </w:rPr>
      </w:pPr>
      <w:r w:rsidRPr="00F36D97">
        <w:rPr>
          <w:rFonts w:ascii="Cambria" w:hAnsi="Cambria"/>
        </w:rPr>
        <w:t>GPO Box 125</w:t>
      </w:r>
    </w:p>
    <w:p w:rsidR="00A15270" w:rsidRPr="00F36D97" w:rsidRDefault="00A15270" w:rsidP="00A15270">
      <w:pPr>
        <w:rPr>
          <w:rFonts w:ascii="Cambria" w:hAnsi="Cambria"/>
        </w:rPr>
      </w:pPr>
      <w:r w:rsidRPr="00F36D97">
        <w:rPr>
          <w:rFonts w:ascii="Cambria" w:hAnsi="Cambria"/>
        </w:rPr>
        <w:t>Hobart TAS 7001</w:t>
      </w:r>
    </w:p>
    <w:p w:rsidR="00A15270" w:rsidRPr="00F36D97" w:rsidRDefault="00A15270" w:rsidP="00A15270">
      <w:pPr>
        <w:rPr>
          <w:rFonts w:ascii="Cambria" w:hAnsi="Cambria"/>
        </w:rPr>
      </w:pPr>
      <w:proofErr w:type="spellStart"/>
      <w:r w:rsidRPr="00F36D97">
        <w:rPr>
          <w:rFonts w:ascii="Cambria" w:hAnsi="Cambria"/>
        </w:rPr>
        <w:t>attn:</w:t>
      </w:r>
      <w:proofErr w:type="spellEnd"/>
      <w:r w:rsidRPr="00F36D97">
        <w:rPr>
          <w:rFonts w:ascii="Cambria" w:hAnsi="Cambria"/>
        </w:rPr>
        <w:t xml:space="preserve"> Dr Robyn Greaves </w:t>
      </w:r>
      <w:r w:rsidRPr="00F36D97">
        <w:rPr>
          <w:rFonts w:ascii="Cambria" w:hAnsi="Cambria"/>
        </w:rPr>
        <w:tab/>
      </w:r>
      <w:r w:rsidRPr="00F36D97">
        <w:rPr>
          <w:rFonts w:ascii="Cambria" w:hAnsi="Cambria"/>
        </w:rPr>
        <w:tab/>
      </w:r>
    </w:p>
    <w:p w:rsidR="00A15270" w:rsidRPr="00F36D97" w:rsidRDefault="00A15270" w:rsidP="00A15270">
      <w:pPr>
        <w:ind w:left="2880" w:firstLine="720"/>
        <w:rPr>
          <w:rFonts w:ascii="Cambria" w:hAnsi="Cambria"/>
        </w:rPr>
      </w:pPr>
      <w:r w:rsidRPr="00F36D97">
        <w:rPr>
          <w:rFonts w:ascii="Cambria" w:hAnsi="Cambria"/>
          <w:b/>
          <w:bCs/>
          <w:i/>
          <w:iCs/>
        </w:rPr>
        <w:t>via email:</w:t>
      </w:r>
      <w:r w:rsidRPr="00F36D97">
        <w:rPr>
          <w:rFonts w:ascii="Cambria" w:hAnsi="Cambria"/>
          <w:i/>
          <w:iCs/>
        </w:rPr>
        <w:t xml:space="preserve"> </w:t>
      </w:r>
      <w:hyperlink r:id="rId8" w:history="1">
        <w:r w:rsidRPr="00F36D97">
          <w:rPr>
            <w:rStyle w:val="Hyperlink"/>
            <w:rFonts w:ascii="Cambria" w:hAnsi="Cambria"/>
            <w:i/>
            <w:iCs/>
          </w:rPr>
          <w:t>mhadd@health.tas.gov.au</w:t>
        </w:r>
      </w:hyperlink>
      <w:r w:rsidRPr="00F36D97">
        <w:rPr>
          <w:rFonts w:ascii="Cambria" w:hAnsi="Cambria"/>
          <w:i/>
          <w:iCs/>
        </w:rPr>
        <w:t xml:space="preserve"> </w:t>
      </w:r>
      <w:r w:rsidRPr="00F36D97">
        <w:rPr>
          <w:rFonts w:ascii="Cambria" w:hAnsi="Cambria"/>
        </w:rPr>
        <w:t xml:space="preserve"> </w:t>
      </w:r>
    </w:p>
    <w:p w:rsidR="00A15270" w:rsidRPr="00F36D97" w:rsidRDefault="00A15270" w:rsidP="00A15270">
      <w:pPr>
        <w:rPr>
          <w:rFonts w:ascii="Cambria" w:hAnsi="Cambria"/>
          <w:color w:val="000000" w:themeColor="text1"/>
        </w:rPr>
      </w:pPr>
    </w:p>
    <w:p w:rsidR="00A15270" w:rsidRPr="00F36D97" w:rsidRDefault="003F3E94" w:rsidP="00A15270">
      <w:pPr>
        <w:rPr>
          <w:rFonts w:ascii="Cambria" w:hAnsi="Cambria"/>
          <w:color w:val="000000" w:themeColor="text1"/>
        </w:rPr>
      </w:pPr>
      <w:r>
        <w:rPr>
          <w:rFonts w:ascii="Cambria" w:hAnsi="Cambria"/>
          <w:color w:val="000000" w:themeColor="text1"/>
        </w:rPr>
        <w:t>To</w:t>
      </w:r>
      <w:r w:rsidR="00A15270" w:rsidRPr="00F36D97">
        <w:rPr>
          <w:rFonts w:ascii="Cambria" w:hAnsi="Cambria"/>
          <w:color w:val="000000" w:themeColor="text1"/>
        </w:rPr>
        <w:t xml:space="preserve"> Dr Greaves, </w:t>
      </w:r>
    </w:p>
    <w:p w:rsidR="00A15270" w:rsidRPr="00F36D97" w:rsidRDefault="00A15270" w:rsidP="00A15270">
      <w:pPr>
        <w:pBdr>
          <w:bottom w:val="single" w:sz="6" w:space="1" w:color="auto"/>
        </w:pBdr>
        <w:rPr>
          <w:rFonts w:ascii="Cambria" w:hAnsi="Cambria"/>
          <w:b/>
          <w:bCs/>
          <w:color w:val="000000" w:themeColor="text1"/>
        </w:rPr>
      </w:pPr>
      <w:r w:rsidRPr="00F36D97">
        <w:rPr>
          <w:rFonts w:ascii="Cambria" w:hAnsi="Cambria"/>
          <w:b/>
          <w:bCs/>
          <w:color w:val="000000" w:themeColor="text1"/>
        </w:rPr>
        <w:t xml:space="preserve">Re: </w:t>
      </w:r>
      <w:r w:rsidRPr="00F36D97">
        <w:rPr>
          <w:rFonts w:ascii="Cambria" w:hAnsi="Cambria"/>
          <w:b/>
          <w:bCs/>
          <w:i/>
          <w:iCs/>
          <w:color w:val="000000" w:themeColor="text1"/>
        </w:rPr>
        <w:t>Tasmanian Drug Strategy 202</w:t>
      </w:r>
      <w:r w:rsidR="003F3E94">
        <w:rPr>
          <w:rFonts w:ascii="Cambria" w:hAnsi="Cambria"/>
          <w:b/>
          <w:bCs/>
          <w:i/>
          <w:iCs/>
          <w:color w:val="000000" w:themeColor="text1"/>
        </w:rPr>
        <w:t>3</w:t>
      </w:r>
      <w:r w:rsidRPr="00F36D97">
        <w:rPr>
          <w:rFonts w:ascii="Cambria" w:hAnsi="Cambria"/>
          <w:b/>
          <w:bCs/>
          <w:i/>
          <w:iCs/>
          <w:color w:val="000000" w:themeColor="text1"/>
        </w:rPr>
        <w:t>-202</w:t>
      </w:r>
      <w:r w:rsidR="003F3E94">
        <w:rPr>
          <w:rFonts w:ascii="Cambria" w:hAnsi="Cambria"/>
          <w:b/>
          <w:bCs/>
          <w:i/>
          <w:iCs/>
          <w:color w:val="000000" w:themeColor="text1"/>
        </w:rPr>
        <w:t>8 Consultation</w:t>
      </w:r>
      <w:r w:rsidR="00D455D7">
        <w:rPr>
          <w:rFonts w:ascii="Cambria" w:hAnsi="Cambria"/>
          <w:b/>
          <w:bCs/>
          <w:i/>
          <w:iCs/>
          <w:color w:val="000000" w:themeColor="text1"/>
        </w:rPr>
        <w:t xml:space="preserve"> Draft</w:t>
      </w:r>
    </w:p>
    <w:p w:rsidR="00A15270" w:rsidRPr="00F36D97" w:rsidRDefault="00A15270" w:rsidP="00A15270">
      <w:pPr>
        <w:rPr>
          <w:rFonts w:ascii="Cambria" w:hAnsi="Cambria"/>
          <w:color w:val="000000" w:themeColor="text1"/>
        </w:rPr>
      </w:pPr>
    </w:p>
    <w:p w:rsidR="00A12D9B" w:rsidRDefault="00A15270" w:rsidP="00A15270">
      <w:pPr>
        <w:pStyle w:val="NoSpacing"/>
        <w:shd w:val="clear" w:color="auto" w:fill="FFFFFF"/>
        <w:jc w:val="both"/>
        <w:rPr>
          <w:rFonts w:ascii="Cambria" w:hAnsi="Cambria"/>
          <w:color w:val="000000" w:themeColor="text1"/>
          <w:bdr w:val="none" w:sz="0" w:space="0" w:color="auto" w:frame="1"/>
        </w:rPr>
      </w:pPr>
      <w:r w:rsidRPr="00F36D97">
        <w:rPr>
          <w:rFonts w:ascii="Cambria" w:hAnsi="Cambria"/>
          <w:color w:val="000000" w:themeColor="text1"/>
          <w:bdr w:val="none" w:sz="0" w:space="0" w:color="auto" w:frame="1"/>
        </w:rPr>
        <w:t>Community Legal Centres Tasmania (CLC Tas) welcomes the opportunity to provide feedback to the consultation </w:t>
      </w:r>
      <w:r w:rsidRPr="00F36D97">
        <w:rPr>
          <w:rFonts w:ascii="Cambria" w:hAnsi="Cambria"/>
          <w:i/>
          <w:iCs/>
          <w:color w:val="000000" w:themeColor="text1"/>
          <w:bdr w:val="none" w:sz="0" w:space="0" w:color="auto" w:frame="1"/>
        </w:rPr>
        <w:t xml:space="preserve">Tasmanian Drug Strategy 2023-2028 </w:t>
      </w:r>
      <w:r w:rsidRPr="00F36D97">
        <w:rPr>
          <w:rFonts w:ascii="Cambria" w:hAnsi="Cambria"/>
          <w:color w:val="000000" w:themeColor="text1"/>
          <w:bdr w:val="none" w:sz="0" w:space="0" w:color="auto" w:frame="1"/>
        </w:rPr>
        <w:t>(‘the</w:t>
      </w:r>
      <w:r w:rsidR="003F3E94">
        <w:rPr>
          <w:rFonts w:ascii="Cambria" w:hAnsi="Cambria"/>
          <w:color w:val="000000" w:themeColor="text1"/>
          <w:bdr w:val="none" w:sz="0" w:space="0" w:color="auto" w:frame="1"/>
        </w:rPr>
        <w:t xml:space="preserve"> Consultation </w:t>
      </w:r>
      <w:r w:rsidRPr="00F36D97">
        <w:rPr>
          <w:rFonts w:ascii="Cambria" w:hAnsi="Cambria"/>
          <w:color w:val="000000" w:themeColor="text1"/>
          <w:bdr w:val="none" w:sz="0" w:space="0" w:color="auto" w:frame="1"/>
        </w:rPr>
        <w:t>Strategy’).</w:t>
      </w:r>
      <w:r w:rsidRPr="00F36D97">
        <w:rPr>
          <w:rStyle w:val="FootnoteReference"/>
          <w:rFonts w:ascii="Cambria" w:hAnsi="Cambria"/>
          <w:color w:val="000000" w:themeColor="text1"/>
        </w:rPr>
        <w:footnoteReference w:id="1"/>
      </w:r>
      <w:r w:rsidRPr="00F36D97">
        <w:rPr>
          <w:rFonts w:ascii="Cambria" w:hAnsi="Cambria"/>
          <w:color w:val="000000" w:themeColor="text1"/>
          <w:bdr w:val="none" w:sz="0" w:space="0" w:color="auto" w:frame="1"/>
        </w:rPr>
        <w:t xml:space="preserve"> We </w:t>
      </w:r>
      <w:r w:rsidR="00A04F18" w:rsidRPr="00F36D97">
        <w:rPr>
          <w:rFonts w:ascii="Cambria" w:hAnsi="Cambria"/>
          <w:color w:val="000000" w:themeColor="text1"/>
          <w:bdr w:val="none" w:sz="0" w:space="0" w:color="auto" w:frame="1"/>
        </w:rPr>
        <w:t xml:space="preserve">welcome the Government’s </w:t>
      </w:r>
      <w:r w:rsidR="001F6A94" w:rsidRPr="00F36D97">
        <w:rPr>
          <w:rFonts w:ascii="Cambria" w:hAnsi="Cambria"/>
          <w:color w:val="000000" w:themeColor="text1"/>
          <w:bdr w:val="none" w:sz="0" w:space="0" w:color="auto" w:frame="1"/>
        </w:rPr>
        <w:t>commitment to community consultation and a vision that includes “a health response to illicit drug use”</w:t>
      </w:r>
      <w:r w:rsidR="001F6A94" w:rsidRPr="00F36D97">
        <w:rPr>
          <w:rStyle w:val="FootnoteReference"/>
          <w:rFonts w:ascii="Cambria" w:hAnsi="Cambria"/>
          <w:color w:val="000000" w:themeColor="text1"/>
          <w:bdr w:val="none" w:sz="0" w:space="0" w:color="auto" w:frame="1"/>
        </w:rPr>
        <w:footnoteReference w:id="2"/>
      </w:r>
      <w:r w:rsidR="003F3E94">
        <w:rPr>
          <w:rFonts w:ascii="Cambria" w:hAnsi="Cambria"/>
          <w:color w:val="000000" w:themeColor="text1"/>
          <w:bdr w:val="none" w:sz="0" w:space="0" w:color="auto" w:frame="1"/>
        </w:rPr>
        <w:t xml:space="preserve"> </w:t>
      </w:r>
      <w:r w:rsidRPr="00F36D97">
        <w:rPr>
          <w:rFonts w:ascii="Cambria" w:hAnsi="Cambria"/>
          <w:color w:val="000000" w:themeColor="text1"/>
          <w:bdr w:val="none" w:sz="0" w:space="0" w:color="auto" w:frame="1"/>
        </w:rPr>
        <w:t>However,</w:t>
      </w:r>
      <w:r w:rsidR="00D502BB" w:rsidRPr="00F36D97">
        <w:rPr>
          <w:rFonts w:ascii="Cambria" w:hAnsi="Cambria"/>
          <w:color w:val="000000" w:themeColor="text1"/>
          <w:bdr w:val="none" w:sz="0" w:space="0" w:color="auto" w:frame="1"/>
        </w:rPr>
        <w:t xml:space="preserve"> th</w:t>
      </w:r>
      <w:r w:rsidR="001F6A94" w:rsidRPr="00F36D97">
        <w:rPr>
          <w:rFonts w:ascii="Cambria" w:hAnsi="Cambria"/>
          <w:color w:val="000000" w:themeColor="text1"/>
          <w:bdr w:val="none" w:sz="0" w:space="0" w:color="auto" w:frame="1"/>
        </w:rPr>
        <w:t>e</w:t>
      </w:r>
      <w:r w:rsidR="00D502BB" w:rsidRPr="00F36D97">
        <w:rPr>
          <w:rFonts w:ascii="Cambria" w:hAnsi="Cambria"/>
          <w:color w:val="000000" w:themeColor="text1"/>
          <w:bdr w:val="none" w:sz="0" w:space="0" w:color="auto" w:frame="1"/>
        </w:rPr>
        <w:t xml:space="preserve"> vision cannot be achieved as long as</w:t>
      </w:r>
      <w:r w:rsidR="001F6A94" w:rsidRPr="00F36D97">
        <w:rPr>
          <w:rFonts w:ascii="Cambria" w:hAnsi="Cambria"/>
          <w:color w:val="000000" w:themeColor="text1"/>
          <w:bdr w:val="none" w:sz="0" w:space="0" w:color="auto" w:frame="1"/>
        </w:rPr>
        <w:t xml:space="preserve"> </w:t>
      </w:r>
      <w:r w:rsidR="00D502BB" w:rsidRPr="00F36D97">
        <w:rPr>
          <w:rFonts w:ascii="Cambria" w:hAnsi="Cambria"/>
          <w:color w:val="000000" w:themeColor="text1"/>
          <w:bdr w:val="none" w:sz="0" w:space="0" w:color="auto" w:frame="1"/>
        </w:rPr>
        <w:t xml:space="preserve">some drug use </w:t>
      </w:r>
      <w:r w:rsidR="00503EEA" w:rsidRPr="00F36D97">
        <w:rPr>
          <w:rFonts w:ascii="Cambria" w:hAnsi="Cambria"/>
          <w:color w:val="000000" w:themeColor="text1"/>
          <w:bdr w:val="none" w:sz="0" w:space="0" w:color="auto" w:frame="1"/>
        </w:rPr>
        <w:t xml:space="preserve">continues to be treated </w:t>
      </w:r>
      <w:r w:rsidR="00D502BB" w:rsidRPr="00F36D97">
        <w:rPr>
          <w:rFonts w:ascii="Cambria" w:hAnsi="Cambria"/>
          <w:color w:val="000000" w:themeColor="text1"/>
          <w:bdr w:val="none" w:sz="0" w:space="0" w:color="auto" w:frame="1"/>
        </w:rPr>
        <w:t>as a crime. If the Government genuinely wants to reorientate personal drug use as a health</w:t>
      </w:r>
      <w:r w:rsidR="009124B4">
        <w:rPr>
          <w:rFonts w:ascii="Cambria" w:hAnsi="Cambria"/>
          <w:color w:val="000000" w:themeColor="text1"/>
          <w:bdr w:val="none" w:sz="0" w:space="0" w:color="auto" w:frame="1"/>
        </w:rPr>
        <w:t xml:space="preserve"> </w:t>
      </w:r>
      <w:r w:rsidR="00D502BB" w:rsidRPr="00F36D97">
        <w:rPr>
          <w:rFonts w:ascii="Cambria" w:hAnsi="Cambria"/>
          <w:color w:val="000000" w:themeColor="text1"/>
          <w:bdr w:val="none" w:sz="0" w:space="0" w:color="auto" w:frame="1"/>
        </w:rPr>
        <w:t>issue it must commit to law reform.</w:t>
      </w:r>
      <w:r w:rsidR="003F3E94">
        <w:rPr>
          <w:rFonts w:ascii="Cambria" w:hAnsi="Cambria"/>
          <w:color w:val="000000" w:themeColor="text1"/>
          <w:bdr w:val="none" w:sz="0" w:space="0" w:color="auto" w:frame="1"/>
        </w:rPr>
        <w:t xml:space="preserve"> </w:t>
      </w:r>
    </w:p>
    <w:p w:rsidR="00A12D9B" w:rsidRDefault="00A12D9B" w:rsidP="00A15270">
      <w:pPr>
        <w:pStyle w:val="NoSpacing"/>
        <w:shd w:val="clear" w:color="auto" w:fill="FFFFFF"/>
        <w:jc w:val="both"/>
        <w:rPr>
          <w:rFonts w:ascii="Cambria" w:hAnsi="Cambria"/>
          <w:color w:val="000000" w:themeColor="text1"/>
          <w:bdr w:val="none" w:sz="0" w:space="0" w:color="auto" w:frame="1"/>
        </w:rPr>
      </w:pPr>
    </w:p>
    <w:p w:rsidR="00A12D9B" w:rsidRDefault="003F3E94" w:rsidP="00A15270">
      <w:pPr>
        <w:pStyle w:val="NoSpacing"/>
        <w:shd w:val="clear" w:color="auto" w:fill="FFFFFF"/>
        <w:jc w:val="both"/>
        <w:rPr>
          <w:rFonts w:ascii="Cambria" w:hAnsi="Cambria"/>
          <w:color w:val="000000" w:themeColor="text1"/>
          <w:bdr w:val="none" w:sz="0" w:space="0" w:color="auto" w:frame="1"/>
        </w:rPr>
      </w:pPr>
      <w:r>
        <w:rPr>
          <w:rFonts w:ascii="Cambria" w:hAnsi="Cambria"/>
          <w:color w:val="000000" w:themeColor="text1"/>
          <w:bdr w:val="none" w:sz="0" w:space="0" w:color="auto" w:frame="1"/>
        </w:rPr>
        <w:t>Our response is limited to ‘Action 5: Illicit Drugs’, making a number of recommendations including</w:t>
      </w:r>
      <w:r w:rsidR="00A12D9B">
        <w:rPr>
          <w:rFonts w:ascii="Cambria" w:hAnsi="Cambria"/>
          <w:color w:val="000000" w:themeColor="text1"/>
          <w:bdr w:val="none" w:sz="0" w:space="0" w:color="auto" w:frame="1"/>
        </w:rPr>
        <w:t xml:space="preserve"> </w:t>
      </w:r>
      <w:r>
        <w:rPr>
          <w:rFonts w:ascii="Cambria" w:hAnsi="Cambria"/>
          <w:color w:val="000000" w:themeColor="text1"/>
          <w:bdr w:val="none" w:sz="0" w:space="0" w:color="auto" w:frame="1"/>
        </w:rPr>
        <w:t>reviewing the Illicit Drug Diversion Initiative</w:t>
      </w:r>
      <w:r w:rsidR="00A12D9B">
        <w:rPr>
          <w:rFonts w:ascii="Cambria" w:hAnsi="Cambria"/>
          <w:color w:val="000000" w:themeColor="text1"/>
          <w:bdr w:val="none" w:sz="0" w:space="0" w:color="auto" w:frame="1"/>
        </w:rPr>
        <w:t xml:space="preserve">, </w:t>
      </w:r>
      <w:r>
        <w:rPr>
          <w:rFonts w:ascii="Cambria" w:hAnsi="Cambria"/>
          <w:color w:val="000000" w:themeColor="text1"/>
          <w:bdr w:val="none" w:sz="0" w:space="0" w:color="auto" w:frame="1"/>
        </w:rPr>
        <w:t xml:space="preserve">expanding </w:t>
      </w:r>
      <w:r w:rsidR="00D54F8E">
        <w:rPr>
          <w:rFonts w:ascii="Cambria" w:hAnsi="Cambria"/>
          <w:color w:val="000000" w:themeColor="text1"/>
          <w:bdr w:val="none" w:sz="0" w:space="0" w:color="auto" w:frame="1"/>
        </w:rPr>
        <w:t xml:space="preserve">both </w:t>
      </w:r>
      <w:r>
        <w:rPr>
          <w:rFonts w:ascii="Cambria" w:hAnsi="Cambria"/>
          <w:color w:val="000000" w:themeColor="text1"/>
          <w:bdr w:val="none" w:sz="0" w:space="0" w:color="auto" w:frame="1"/>
        </w:rPr>
        <w:t>Court Mandated Diversion and prison-based rehabilitation programs</w:t>
      </w:r>
      <w:r w:rsidR="00A12D9B">
        <w:rPr>
          <w:rFonts w:ascii="Cambria" w:hAnsi="Cambria"/>
          <w:color w:val="000000" w:themeColor="text1"/>
          <w:bdr w:val="none" w:sz="0" w:space="0" w:color="auto" w:frame="1"/>
        </w:rPr>
        <w:t xml:space="preserve"> and undertaking a review of our drug driving laws.</w:t>
      </w:r>
      <w:r w:rsidR="003A484A">
        <w:rPr>
          <w:rFonts w:ascii="Cambria" w:hAnsi="Cambria"/>
          <w:color w:val="000000" w:themeColor="text1"/>
          <w:bdr w:val="none" w:sz="0" w:space="0" w:color="auto" w:frame="1"/>
        </w:rPr>
        <w:t xml:space="preserve"> In the event that the </w:t>
      </w:r>
      <w:r w:rsidR="003A484A" w:rsidRPr="003A484A">
        <w:rPr>
          <w:rFonts w:ascii="Cambria" w:hAnsi="Cambria"/>
          <w:i/>
          <w:iCs/>
          <w:color w:val="000000" w:themeColor="text1"/>
          <w:bdr w:val="none" w:sz="0" w:space="0" w:color="auto" w:frame="1"/>
        </w:rPr>
        <w:t>Tasmanian Drug Strategy</w:t>
      </w:r>
      <w:r w:rsidR="003A484A">
        <w:rPr>
          <w:rFonts w:ascii="Cambria" w:hAnsi="Cambria"/>
          <w:color w:val="000000" w:themeColor="text1"/>
          <w:bdr w:val="none" w:sz="0" w:space="0" w:color="auto" w:frame="1"/>
        </w:rPr>
        <w:t xml:space="preserve"> cannot commit to law reform, </w:t>
      </w:r>
      <w:r w:rsidR="00A12D9B">
        <w:rPr>
          <w:rFonts w:ascii="Cambria" w:hAnsi="Cambria"/>
          <w:color w:val="000000" w:themeColor="text1"/>
          <w:bdr w:val="none" w:sz="0" w:space="0" w:color="auto" w:frame="1"/>
        </w:rPr>
        <w:t>to move the debate forward we expressly call for a review of those jurisdictions that have moved to a health</w:t>
      </w:r>
      <w:r w:rsidR="00512B0F">
        <w:rPr>
          <w:rFonts w:ascii="Cambria" w:hAnsi="Cambria"/>
          <w:color w:val="000000" w:themeColor="text1"/>
          <w:bdr w:val="none" w:sz="0" w:space="0" w:color="auto" w:frame="1"/>
        </w:rPr>
        <w:t>-</w:t>
      </w:r>
      <w:r w:rsidR="00A12D9B">
        <w:rPr>
          <w:rFonts w:ascii="Cambria" w:hAnsi="Cambria"/>
          <w:color w:val="000000" w:themeColor="text1"/>
          <w:bdr w:val="none" w:sz="0" w:space="0" w:color="auto" w:frame="1"/>
        </w:rPr>
        <w:t xml:space="preserve">focused response to illicit drug use. </w:t>
      </w:r>
    </w:p>
    <w:p w:rsidR="001F6A94" w:rsidRPr="00F36D97" w:rsidRDefault="001F6A94" w:rsidP="00A15270">
      <w:pPr>
        <w:pStyle w:val="NoSpacing"/>
        <w:shd w:val="clear" w:color="auto" w:fill="FFFFFF"/>
        <w:jc w:val="both"/>
        <w:rPr>
          <w:rFonts w:ascii="Cambria" w:hAnsi="Cambria"/>
          <w:color w:val="000000" w:themeColor="text1"/>
          <w:bdr w:val="none" w:sz="0" w:space="0" w:color="auto" w:frame="1"/>
        </w:rPr>
      </w:pPr>
    </w:p>
    <w:p w:rsidR="00A15270" w:rsidRPr="00F36D97" w:rsidRDefault="00A15270" w:rsidP="00A15270">
      <w:pPr>
        <w:pStyle w:val="NoSpacing"/>
        <w:shd w:val="clear" w:color="auto" w:fill="FFFFFF"/>
        <w:jc w:val="both"/>
        <w:rPr>
          <w:rFonts w:ascii="Cambria" w:hAnsi="Cambria"/>
          <w:color w:val="000000" w:themeColor="text1"/>
          <w:bdr w:val="none" w:sz="0" w:space="0" w:color="auto" w:frame="1"/>
        </w:rPr>
      </w:pPr>
      <w:r w:rsidRPr="00F36D97">
        <w:rPr>
          <w:rFonts w:ascii="Cambria" w:hAnsi="Cambria" w:cs="Arial"/>
          <w:color w:val="000000" w:themeColor="text1"/>
          <w:lang w:eastAsia="en-AU"/>
        </w:rPr>
        <w:t xml:space="preserve">CLC Tas </w:t>
      </w:r>
      <w:r w:rsidRPr="00F36D97">
        <w:rPr>
          <w:rFonts w:ascii="Cambria" w:hAnsi="Cambria"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A15270" w:rsidRPr="00F36D97" w:rsidRDefault="00A15270" w:rsidP="00A15270">
      <w:pPr>
        <w:pStyle w:val="NoSpacing"/>
        <w:shd w:val="clear" w:color="auto" w:fill="FFFFFF"/>
        <w:jc w:val="both"/>
        <w:rPr>
          <w:rFonts w:ascii="Cambria" w:hAnsi="Cambria"/>
          <w:b/>
          <w:bCs/>
          <w:color w:val="000000" w:themeColor="text1"/>
          <w:bdr w:val="none" w:sz="0" w:space="0" w:color="auto" w:frame="1"/>
        </w:rPr>
      </w:pPr>
    </w:p>
    <w:p w:rsidR="00503EEA" w:rsidRPr="00F36D97" w:rsidRDefault="00503EEA" w:rsidP="00503EEA">
      <w:pPr>
        <w:pStyle w:val="NoSpacing"/>
        <w:shd w:val="clear" w:color="auto" w:fill="FFFFFF"/>
        <w:jc w:val="both"/>
        <w:rPr>
          <w:rFonts w:ascii="Cambria" w:hAnsi="Cambria"/>
          <w:b/>
          <w:bCs/>
          <w:color w:val="000000" w:themeColor="text1"/>
          <w:bdr w:val="none" w:sz="0" w:space="0" w:color="auto" w:frame="1"/>
        </w:rPr>
      </w:pPr>
      <w:r w:rsidRPr="00F36D97">
        <w:rPr>
          <w:rFonts w:ascii="Cambria" w:hAnsi="Cambria"/>
          <w:b/>
          <w:bCs/>
          <w:color w:val="000000" w:themeColor="text1"/>
          <w:bdr w:val="none" w:sz="0" w:space="0" w:color="auto" w:frame="1"/>
        </w:rPr>
        <w:t>Action Area 5: Illicit Drugs</w:t>
      </w:r>
    </w:p>
    <w:p w:rsidR="00503EEA" w:rsidRPr="00F36D97" w:rsidRDefault="00503EEA" w:rsidP="00503EEA">
      <w:pPr>
        <w:pStyle w:val="NoSpacing"/>
        <w:shd w:val="clear" w:color="auto" w:fill="FFFFFF"/>
        <w:jc w:val="both"/>
        <w:rPr>
          <w:rFonts w:ascii="Cambria" w:hAnsi="Cambria"/>
          <w:color w:val="000000" w:themeColor="text1"/>
          <w:bdr w:val="none" w:sz="0" w:space="0" w:color="auto" w:frame="1"/>
        </w:rPr>
      </w:pPr>
      <w:r w:rsidRPr="00F36D97">
        <w:rPr>
          <w:rFonts w:ascii="Cambria" w:hAnsi="Cambria"/>
          <w:color w:val="000000" w:themeColor="text1"/>
          <w:bdr w:val="none" w:sz="0" w:space="0" w:color="auto" w:frame="1"/>
        </w:rPr>
        <w:t xml:space="preserve">The </w:t>
      </w:r>
      <w:r w:rsidR="003F3E94">
        <w:rPr>
          <w:rFonts w:ascii="Cambria" w:hAnsi="Cambria"/>
          <w:color w:val="000000" w:themeColor="text1"/>
          <w:bdr w:val="none" w:sz="0" w:space="0" w:color="auto" w:frame="1"/>
        </w:rPr>
        <w:t xml:space="preserve">Consultation </w:t>
      </w:r>
      <w:r w:rsidRPr="00F36D97">
        <w:rPr>
          <w:rFonts w:ascii="Cambria" w:hAnsi="Cambria"/>
          <w:color w:val="000000" w:themeColor="text1"/>
          <w:bdr w:val="none" w:sz="0" w:space="0" w:color="auto" w:frame="1"/>
        </w:rPr>
        <w:t xml:space="preserve">Strategy lists seven priority action areas including illicit drug use. Action Area 5 of the </w:t>
      </w:r>
      <w:r w:rsidR="003F3E94">
        <w:rPr>
          <w:rFonts w:ascii="Cambria" w:hAnsi="Cambria"/>
          <w:color w:val="000000" w:themeColor="text1"/>
          <w:bdr w:val="none" w:sz="0" w:space="0" w:color="auto" w:frame="1"/>
        </w:rPr>
        <w:t xml:space="preserve">Consultation </w:t>
      </w:r>
      <w:r w:rsidRPr="00F36D97">
        <w:rPr>
          <w:rFonts w:ascii="Cambria" w:hAnsi="Cambria"/>
          <w:color w:val="000000" w:themeColor="text1"/>
          <w:bdr w:val="none" w:sz="0" w:space="0" w:color="auto" w:frame="1"/>
        </w:rPr>
        <w:t>Strategy is headed ‘A health response to illicit dr</w:t>
      </w:r>
      <w:r w:rsidR="00D54F8E">
        <w:rPr>
          <w:rFonts w:ascii="Cambria" w:hAnsi="Cambria"/>
          <w:color w:val="000000" w:themeColor="text1"/>
          <w:bdr w:val="none" w:sz="0" w:space="0" w:color="auto" w:frame="1"/>
        </w:rPr>
        <w:t xml:space="preserve">ug </w:t>
      </w:r>
      <w:r w:rsidRPr="00F36D97">
        <w:rPr>
          <w:rFonts w:ascii="Cambria" w:hAnsi="Cambria"/>
          <w:color w:val="000000" w:themeColor="text1"/>
          <w:bdr w:val="none" w:sz="0" w:space="0" w:color="auto" w:frame="1"/>
        </w:rPr>
        <w:t>use’ and lists 5 ‘Key Activities’ that will be committed to</w:t>
      </w:r>
      <w:r w:rsidR="00D54F8E">
        <w:rPr>
          <w:rFonts w:ascii="Cambria" w:hAnsi="Cambria"/>
          <w:color w:val="000000" w:themeColor="text1"/>
          <w:bdr w:val="none" w:sz="0" w:space="0" w:color="auto" w:frame="1"/>
        </w:rPr>
        <w:t xml:space="preserve"> between 2023-2028</w:t>
      </w:r>
      <w:r w:rsidRPr="00F36D97">
        <w:rPr>
          <w:rFonts w:ascii="Cambria" w:hAnsi="Cambria"/>
          <w:color w:val="000000" w:themeColor="text1"/>
          <w:bdr w:val="none" w:sz="0" w:space="0" w:color="auto" w:frame="1"/>
        </w:rPr>
        <w:t>, namely:</w:t>
      </w:r>
    </w:p>
    <w:p w:rsidR="00503EEA" w:rsidRPr="00F36D97" w:rsidRDefault="00503EEA" w:rsidP="00503EEA">
      <w:pPr>
        <w:pStyle w:val="NoSpacing"/>
        <w:shd w:val="clear" w:color="auto" w:fill="FFFFFF"/>
        <w:jc w:val="both"/>
        <w:rPr>
          <w:rFonts w:ascii="Cambria" w:hAnsi="Cambria"/>
          <w:color w:val="000000" w:themeColor="text1"/>
          <w:bdr w:val="none" w:sz="0" w:space="0" w:color="auto" w:frame="1"/>
        </w:rPr>
      </w:pPr>
    </w:p>
    <w:p w:rsidR="00D54F8E" w:rsidRDefault="00D54F8E" w:rsidP="00503EEA">
      <w:pPr>
        <w:pStyle w:val="NoSpacing"/>
        <w:shd w:val="clear" w:color="auto" w:fill="FFFFFF"/>
        <w:ind w:left="720"/>
        <w:jc w:val="both"/>
        <w:rPr>
          <w:rFonts w:ascii="Cambria" w:hAnsi="Cambria"/>
          <w:b/>
          <w:bCs/>
          <w:i/>
          <w:iCs/>
          <w:color w:val="000000" w:themeColor="text1"/>
          <w:bdr w:val="none" w:sz="0" w:space="0" w:color="auto" w:frame="1"/>
        </w:rPr>
      </w:pPr>
    </w:p>
    <w:p w:rsidR="003F3E94" w:rsidRPr="003F3E94" w:rsidRDefault="003F3E94" w:rsidP="00503EEA">
      <w:pPr>
        <w:pStyle w:val="NoSpacing"/>
        <w:shd w:val="clear" w:color="auto" w:fill="FFFFFF"/>
        <w:ind w:left="720"/>
        <w:jc w:val="both"/>
        <w:rPr>
          <w:rFonts w:ascii="Cambria" w:hAnsi="Cambria"/>
          <w:b/>
          <w:bCs/>
          <w:i/>
          <w:iCs/>
          <w:color w:val="000000" w:themeColor="text1"/>
          <w:bdr w:val="none" w:sz="0" w:space="0" w:color="auto" w:frame="1"/>
        </w:rPr>
      </w:pPr>
      <w:r w:rsidRPr="003F3E94">
        <w:rPr>
          <w:rFonts w:ascii="Cambria" w:hAnsi="Cambria"/>
          <w:b/>
          <w:bCs/>
          <w:i/>
          <w:iCs/>
          <w:color w:val="000000" w:themeColor="text1"/>
          <w:bdr w:val="none" w:sz="0" w:space="0" w:color="auto" w:frame="1"/>
        </w:rPr>
        <w:t xml:space="preserve">Key Activities </w:t>
      </w:r>
    </w:p>
    <w:p w:rsidR="00503EEA" w:rsidRPr="00F36D97" w:rsidRDefault="00503EEA" w:rsidP="00503EEA">
      <w:pPr>
        <w:pStyle w:val="NoSpacing"/>
        <w:shd w:val="clear" w:color="auto" w:fill="FFFFFF"/>
        <w:ind w:left="720"/>
        <w:jc w:val="both"/>
        <w:rPr>
          <w:rFonts w:ascii="Cambria" w:hAnsi="Cambria"/>
          <w:i/>
          <w:iCs/>
          <w:color w:val="000000" w:themeColor="text1"/>
          <w:bdr w:val="none" w:sz="0" w:space="0" w:color="auto" w:frame="1"/>
        </w:rPr>
      </w:pPr>
      <w:r w:rsidRPr="00F36D97">
        <w:rPr>
          <w:rFonts w:ascii="Cambria" w:hAnsi="Cambria"/>
          <w:i/>
          <w:iCs/>
          <w:color w:val="000000" w:themeColor="text1"/>
          <w:bdr w:val="none" w:sz="0" w:space="0" w:color="auto" w:frame="1"/>
        </w:rPr>
        <w:t>5.1 Develop an Illicit Drugs Action Plan with a focus on preventing harm and disrupting, dismantling and reducing supply in Tasmania.</w:t>
      </w:r>
    </w:p>
    <w:p w:rsidR="00503EEA" w:rsidRPr="00F36D97" w:rsidRDefault="00503EEA" w:rsidP="00503EEA">
      <w:pPr>
        <w:pStyle w:val="NoSpacing"/>
        <w:shd w:val="clear" w:color="auto" w:fill="FFFFFF"/>
        <w:ind w:left="720"/>
        <w:jc w:val="both"/>
        <w:rPr>
          <w:rFonts w:ascii="Cambria" w:hAnsi="Cambria"/>
          <w:i/>
          <w:iCs/>
          <w:color w:val="000000" w:themeColor="text1"/>
          <w:bdr w:val="none" w:sz="0" w:space="0" w:color="auto" w:frame="1"/>
        </w:rPr>
      </w:pPr>
    </w:p>
    <w:p w:rsidR="00503EEA" w:rsidRPr="00F36D97" w:rsidRDefault="00503EEA" w:rsidP="00503EEA">
      <w:pPr>
        <w:pStyle w:val="NoSpacing"/>
        <w:shd w:val="clear" w:color="auto" w:fill="FFFFFF"/>
        <w:ind w:left="720"/>
        <w:jc w:val="both"/>
        <w:rPr>
          <w:rFonts w:ascii="Cambria" w:hAnsi="Cambria"/>
          <w:i/>
          <w:iCs/>
          <w:color w:val="000000" w:themeColor="text1"/>
          <w:bdr w:val="none" w:sz="0" w:space="0" w:color="auto" w:frame="1"/>
        </w:rPr>
      </w:pPr>
      <w:r w:rsidRPr="00F36D97">
        <w:rPr>
          <w:rFonts w:ascii="Cambria" w:hAnsi="Cambria"/>
          <w:i/>
          <w:iCs/>
          <w:color w:val="000000" w:themeColor="text1"/>
          <w:bdr w:val="none" w:sz="0" w:space="0" w:color="auto" w:frame="1"/>
        </w:rPr>
        <w:t xml:space="preserve">5.2 Expand overdose prevention initiatives, </w:t>
      </w:r>
      <w:proofErr w:type="gramStart"/>
      <w:r w:rsidRPr="00F36D97">
        <w:rPr>
          <w:rFonts w:ascii="Cambria" w:hAnsi="Cambria"/>
          <w:i/>
          <w:iCs/>
          <w:color w:val="000000" w:themeColor="text1"/>
          <w:bdr w:val="none" w:sz="0" w:space="0" w:color="auto" w:frame="1"/>
        </w:rPr>
        <w:t>e.g.</w:t>
      </w:r>
      <w:proofErr w:type="gramEnd"/>
      <w:r w:rsidRPr="00F36D97">
        <w:rPr>
          <w:rFonts w:ascii="Cambria" w:hAnsi="Cambria"/>
          <w:i/>
          <w:iCs/>
          <w:color w:val="000000" w:themeColor="text1"/>
          <w:bdr w:val="none" w:sz="0" w:space="0" w:color="auto" w:frame="1"/>
        </w:rPr>
        <w:t xml:space="preserve"> access to naloxone, develop safe festival guidelines, safer injecting and prevention of blood-borne infections, e.g. needle and syringe programs. </w:t>
      </w:r>
    </w:p>
    <w:p w:rsidR="00503EEA" w:rsidRPr="00F36D97" w:rsidRDefault="00503EEA" w:rsidP="00503EEA">
      <w:pPr>
        <w:pStyle w:val="NoSpacing"/>
        <w:shd w:val="clear" w:color="auto" w:fill="FFFFFF"/>
        <w:ind w:left="720"/>
        <w:jc w:val="both"/>
        <w:rPr>
          <w:rFonts w:ascii="Cambria" w:hAnsi="Cambria"/>
          <w:i/>
          <w:iCs/>
          <w:color w:val="000000" w:themeColor="text1"/>
          <w:bdr w:val="none" w:sz="0" w:space="0" w:color="auto" w:frame="1"/>
        </w:rPr>
      </w:pPr>
    </w:p>
    <w:p w:rsidR="00503EEA" w:rsidRPr="00F36D97" w:rsidRDefault="00503EEA" w:rsidP="00503EEA">
      <w:pPr>
        <w:pStyle w:val="NoSpacing"/>
        <w:shd w:val="clear" w:color="auto" w:fill="FFFFFF"/>
        <w:ind w:left="720"/>
        <w:jc w:val="both"/>
        <w:rPr>
          <w:rFonts w:ascii="Cambria" w:hAnsi="Cambria"/>
          <w:i/>
          <w:iCs/>
          <w:color w:val="000000" w:themeColor="text1"/>
          <w:bdr w:val="none" w:sz="0" w:space="0" w:color="auto" w:frame="1"/>
        </w:rPr>
      </w:pPr>
      <w:r w:rsidRPr="00F36D97">
        <w:rPr>
          <w:rFonts w:ascii="Cambria" w:hAnsi="Cambria"/>
          <w:i/>
          <w:iCs/>
          <w:color w:val="000000" w:themeColor="text1"/>
          <w:bdr w:val="none" w:sz="0" w:space="0" w:color="auto" w:frame="1"/>
        </w:rPr>
        <w:t>5.3 Support the expansion of the Court Mandated Diversion (CMD) program and other existing diversionary options for drug offences, including reviewing whether recent changes to the Illicit Drug Diversion Initiative (IDDI) have been effective.</w:t>
      </w:r>
    </w:p>
    <w:p w:rsidR="00503EEA" w:rsidRPr="00F36D97" w:rsidRDefault="00503EEA" w:rsidP="00503EEA">
      <w:pPr>
        <w:pStyle w:val="NoSpacing"/>
        <w:shd w:val="clear" w:color="auto" w:fill="FFFFFF"/>
        <w:ind w:left="720"/>
        <w:jc w:val="both"/>
        <w:rPr>
          <w:rFonts w:ascii="Cambria" w:hAnsi="Cambria"/>
          <w:i/>
          <w:iCs/>
          <w:color w:val="000000" w:themeColor="text1"/>
          <w:bdr w:val="none" w:sz="0" w:space="0" w:color="auto" w:frame="1"/>
        </w:rPr>
      </w:pPr>
    </w:p>
    <w:p w:rsidR="00503EEA" w:rsidRPr="00F36D97" w:rsidRDefault="00503EEA" w:rsidP="00503EEA">
      <w:pPr>
        <w:pStyle w:val="NoSpacing"/>
        <w:shd w:val="clear" w:color="auto" w:fill="FFFFFF"/>
        <w:ind w:left="720"/>
        <w:jc w:val="both"/>
        <w:rPr>
          <w:rFonts w:ascii="Cambria" w:hAnsi="Cambria"/>
          <w:i/>
          <w:iCs/>
          <w:color w:val="000000" w:themeColor="text1"/>
          <w:bdr w:val="none" w:sz="0" w:space="0" w:color="auto" w:frame="1"/>
        </w:rPr>
      </w:pPr>
      <w:r w:rsidRPr="00F36D97">
        <w:rPr>
          <w:rFonts w:ascii="Cambria" w:hAnsi="Cambria"/>
          <w:i/>
          <w:iCs/>
          <w:color w:val="000000" w:themeColor="text1"/>
          <w:bdr w:val="none" w:sz="0" w:space="0" w:color="auto" w:frame="1"/>
        </w:rPr>
        <w:t xml:space="preserve">5.4 Investigate expansion of therapeutic responses to drug use issues, </w:t>
      </w:r>
      <w:proofErr w:type="gramStart"/>
      <w:r w:rsidRPr="00F36D97">
        <w:rPr>
          <w:rFonts w:ascii="Cambria" w:hAnsi="Cambria"/>
          <w:i/>
          <w:iCs/>
          <w:color w:val="000000" w:themeColor="text1"/>
          <w:bdr w:val="none" w:sz="0" w:space="0" w:color="auto" w:frame="1"/>
        </w:rPr>
        <w:t>e.g.</w:t>
      </w:r>
      <w:proofErr w:type="gramEnd"/>
      <w:r w:rsidRPr="00F36D97">
        <w:rPr>
          <w:rFonts w:ascii="Cambria" w:hAnsi="Cambria"/>
          <w:i/>
          <w:iCs/>
          <w:color w:val="000000" w:themeColor="text1"/>
          <w:bdr w:val="none" w:sz="0" w:space="0" w:color="auto" w:frame="1"/>
        </w:rPr>
        <w:t xml:space="preserve"> prison-based rehabilitation programs with through-care services on release. </w:t>
      </w:r>
    </w:p>
    <w:p w:rsidR="00503EEA" w:rsidRPr="00F36D97" w:rsidRDefault="00503EEA" w:rsidP="00503EEA">
      <w:pPr>
        <w:pStyle w:val="NoSpacing"/>
        <w:shd w:val="clear" w:color="auto" w:fill="FFFFFF"/>
        <w:ind w:left="720"/>
        <w:jc w:val="both"/>
        <w:rPr>
          <w:rFonts w:ascii="Cambria" w:hAnsi="Cambria"/>
          <w:i/>
          <w:iCs/>
          <w:color w:val="000000" w:themeColor="text1"/>
          <w:bdr w:val="none" w:sz="0" w:space="0" w:color="auto" w:frame="1"/>
        </w:rPr>
      </w:pPr>
    </w:p>
    <w:p w:rsidR="00503EEA" w:rsidRPr="00F36D97" w:rsidRDefault="00503EEA" w:rsidP="00503EEA">
      <w:pPr>
        <w:pStyle w:val="NoSpacing"/>
        <w:shd w:val="clear" w:color="auto" w:fill="FFFFFF"/>
        <w:ind w:left="720"/>
        <w:jc w:val="both"/>
        <w:rPr>
          <w:rFonts w:ascii="Cambria" w:hAnsi="Cambria"/>
          <w:i/>
          <w:iCs/>
          <w:color w:val="000000" w:themeColor="text1"/>
          <w:bdr w:val="none" w:sz="0" w:space="0" w:color="auto" w:frame="1"/>
        </w:rPr>
      </w:pPr>
      <w:r w:rsidRPr="00F36D97">
        <w:rPr>
          <w:rFonts w:ascii="Cambria" w:hAnsi="Cambria"/>
          <w:i/>
          <w:iCs/>
          <w:color w:val="000000" w:themeColor="text1"/>
          <w:bdr w:val="none" w:sz="0" w:space="0" w:color="auto" w:frame="1"/>
        </w:rPr>
        <w:t xml:space="preserve">5.5 Form a cross-sectoral working group to investigate and report back on harm reduction or health-focused, evidence-based responses.  </w:t>
      </w:r>
    </w:p>
    <w:p w:rsidR="00503EEA" w:rsidRPr="00F36D97" w:rsidRDefault="00503EEA" w:rsidP="00503EEA">
      <w:pPr>
        <w:pStyle w:val="NoSpacing"/>
        <w:shd w:val="clear" w:color="auto" w:fill="FFFFFF"/>
        <w:jc w:val="both"/>
        <w:rPr>
          <w:rFonts w:ascii="Cambria" w:hAnsi="Cambria"/>
          <w:color w:val="000000" w:themeColor="text1"/>
          <w:bdr w:val="none" w:sz="0" w:space="0" w:color="auto" w:frame="1"/>
        </w:rPr>
      </w:pPr>
    </w:p>
    <w:p w:rsidR="00CA07EE" w:rsidRPr="00F36D97" w:rsidRDefault="00CA07EE" w:rsidP="00CA07EE">
      <w:pPr>
        <w:pStyle w:val="NoSpacing"/>
        <w:numPr>
          <w:ilvl w:val="0"/>
          <w:numId w:val="8"/>
        </w:numPr>
        <w:shd w:val="clear" w:color="auto" w:fill="FFFFFF"/>
        <w:jc w:val="both"/>
        <w:rPr>
          <w:rFonts w:ascii="Cambria" w:hAnsi="Cambria"/>
          <w:b/>
          <w:bCs/>
          <w:i/>
          <w:iCs/>
          <w:color w:val="000000" w:themeColor="text1"/>
          <w:bdr w:val="none" w:sz="0" w:space="0" w:color="auto" w:frame="1"/>
        </w:rPr>
      </w:pPr>
      <w:r w:rsidRPr="00F36D97">
        <w:rPr>
          <w:rFonts w:ascii="Cambria" w:hAnsi="Cambria"/>
          <w:b/>
          <w:bCs/>
          <w:i/>
          <w:iCs/>
          <w:color w:val="000000" w:themeColor="text1"/>
          <w:bdr w:val="none" w:sz="0" w:space="0" w:color="auto" w:frame="1"/>
        </w:rPr>
        <w:t>Illicit Drug Diversion Initiative (IDDI)</w:t>
      </w:r>
    </w:p>
    <w:p w:rsidR="00245012" w:rsidRPr="00F36D97" w:rsidRDefault="00503EEA" w:rsidP="00245012">
      <w:pPr>
        <w:pStyle w:val="NoSpacing"/>
        <w:shd w:val="clear" w:color="auto" w:fill="FFFFFF"/>
        <w:jc w:val="both"/>
        <w:rPr>
          <w:rFonts w:ascii="Cambria" w:hAnsi="Cambria"/>
          <w:color w:val="000000" w:themeColor="text1"/>
        </w:rPr>
      </w:pPr>
      <w:r w:rsidRPr="00F36D97">
        <w:rPr>
          <w:rFonts w:ascii="Cambria" w:hAnsi="Cambria"/>
          <w:color w:val="000000" w:themeColor="text1"/>
          <w:bdr w:val="none" w:sz="0" w:space="0" w:color="auto" w:frame="1"/>
        </w:rPr>
        <w:t xml:space="preserve">It is concerning that the Illicit Drug Diversion Initiative (IDDI) </w:t>
      </w:r>
      <w:r w:rsidR="00245012" w:rsidRPr="00F36D97">
        <w:rPr>
          <w:rFonts w:ascii="Cambria" w:hAnsi="Cambria"/>
          <w:color w:val="000000" w:themeColor="text1"/>
          <w:bdr w:val="none" w:sz="0" w:space="0" w:color="auto" w:frame="1"/>
        </w:rPr>
        <w:t>is not</w:t>
      </w:r>
      <w:r w:rsidRPr="00F36D97">
        <w:rPr>
          <w:rFonts w:ascii="Cambria" w:hAnsi="Cambria"/>
          <w:color w:val="000000" w:themeColor="text1"/>
          <w:bdr w:val="none" w:sz="0" w:space="0" w:color="auto" w:frame="1"/>
        </w:rPr>
        <w:t xml:space="preserve"> </w:t>
      </w:r>
      <w:r w:rsidR="00245012" w:rsidRPr="00F36D97">
        <w:rPr>
          <w:rFonts w:ascii="Cambria" w:hAnsi="Cambria"/>
          <w:color w:val="000000" w:themeColor="text1"/>
          <w:bdr w:val="none" w:sz="0" w:space="0" w:color="auto" w:frame="1"/>
        </w:rPr>
        <w:t xml:space="preserve">being </w:t>
      </w:r>
      <w:r w:rsidRPr="00F36D97">
        <w:rPr>
          <w:rFonts w:ascii="Cambria" w:hAnsi="Cambria"/>
          <w:color w:val="000000" w:themeColor="text1"/>
          <w:bdr w:val="none" w:sz="0" w:space="0" w:color="auto" w:frame="1"/>
        </w:rPr>
        <w:t xml:space="preserve">utilised </w:t>
      </w:r>
      <w:r w:rsidR="00245012" w:rsidRPr="00F36D97">
        <w:rPr>
          <w:rFonts w:ascii="Cambria" w:hAnsi="Cambria"/>
          <w:color w:val="000000" w:themeColor="text1"/>
          <w:bdr w:val="none" w:sz="0" w:space="0" w:color="auto" w:frame="1"/>
        </w:rPr>
        <w:t xml:space="preserve">to its full potential </w:t>
      </w:r>
      <w:r w:rsidRPr="00F36D97">
        <w:rPr>
          <w:rFonts w:ascii="Cambria" w:hAnsi="Cambria"/>
          <w:color w:val="000000" w:themeColor="text1"/>
          <w:bdr w:val="none" w:sz="0" w:space="0" w:color="auto" w:frame="1"/>
        </w:rPr>
        <w:t>by Tasmania Police.</w:t>
      </w:r>
      <w:r w:rsidR="00245012" w:rsidRPr="00F36D97">
        <w:rPr>
          <w:rFonts w:ascii="Cambria" w:hAnsi="Cambria"/>
          <w:color w:val="000000" w:themeColor="text1"/>
          <w:bdr w:val="none" w:sz="0" w:space="0" w:color="auto" w:frame="1"/>
        </w:rPr>
        <w:t xml:space="preserve"> A</w:t>
      </w:r>
      <w:r w:rsidR="003F3E94">
        <w:rPr>
          <w:rFonts w:ascii="Cambria" w:hAnsi="Cambria"/>
        </w:rPr>
        <w:t xml:space="preserve"> response </w:t>
      </w:r>
      <w:r w:rsidR="00245012" w:rsidRPr="00F36D97">
        <w:rPr>
          <w:rFonts w:ascii="Cambria" w:hAnsi="Cambria"/>
          <w:color w:val="000000" w:themeColor="text1"/>
          <w:bdr w:val="none" w:sz="0" w:space="0" w:color="auto" w:frame="1"/>
        </w:rPr>
        <w:t xml:space="preserve">provided by the Department of Justice </w:t>
      </w:r>
      <w:r w:rsidR="00D54F8E">
        <w:rPr>
          <w:rFonts w:ascii="Cambria" w:hAnsi="Cambria"/>
          <w:color w:val="000000" w:themeColor="text1"/>
          <w:bdr w:val="none" w:sz="0" w:space="0" w:color="auto" w:frame="1"/>
        </w:rPr>
        <w:t xml:space="preserve">observed </w:t>
      </w:r>
      <w:r w:rsidR="00245012" w:rsidRPr="00F36D97">
        <w:rPr>
          <w:rFonts w:ascii="Cambria" w:hAnsi="Cambria"/>
          <w:color w:val="000000" w:themeColor="text1"/>
          <w:bdr w:val="none" w:sz="0" w:space="0" w:color="auto" w:frame="1"/>
        </w:rPr>
        <w:t>that</w:t>
      </w:r>
      <w:r w:rsidR="00245012" w:rsidRPr="00F36D97">
        <w:rPr>
          <w:rFonts w:ascii="Cambria" w:hAnsi="Cambria"/>
          <w:color w:val="000000" w:themeColor="text1"/>
        </w:rPr>
        <w:t xml:space="preserve"> the number of cautions issued has dropped by 78 per cent (from 1398 in 2003/04 to 299 in 2019/20).</w:t>
      </w:r>
      <w:r w:rsidR="00CA07EE" w:rsidRPr="00F36D97">
        <w:rPr>
          <w:rStyle w:val="FootnoteReference"/>
          <w:rFonts w:ascii="Cambria" w:hAnsi="Cambria"/>
          <w:color w:val="000000" w:themeColor="text1"/>
        </w:rPr>
        <w:footnoteReference w:id="3"/>
      </w:r>
      <w:r w:rsidR="00245012" w:rsidRPr="00F36D97">
        <w:rPr>
          <w:rFonts w:ascii="Cambria" w:hAnsi="Cambria"/>
          <w:color w:val="000000" w:themeColor="text1"/>
        </w:rPr>
        <w:t xml:space="preserve"> And, over the same period, the number of persons referred to health interventions including treatment has dropped by 21 per cent (from 179 to 148).</w:t>
      </w:r>
      <w:r w:rsidR="00245012" w:rsidRPr="00F36D97">
        <w:rPr>
          <w:rStyle w:val="FootnoteReference"/>
          <w:rFonts w:ascii="Cambria" w:hAnsi="Cambria"/>
          <w:color w:val="000000" w:themeColor="text1"/>
        </w:rPr>
        <w:footnoteReference w:id="4"/>
      </w:r>
      <w:r w:rsidR="00245012" w:rsidRPr="00F36D97">
        <w:rPr>
          <w:rFonts w:ascii="Cambria" w:hAnsi="Cambria"/>
          <w:color w:val="000000" w:themeColor="text1"/>
        </w:rPr>
        <w:t xml:space="preserve">  </w:t>
      </w:r>
    </w:p>
    <w:p w:rsidR="00245012" w:rsidRPr="00F36D97" w:rsidRDefault="00245012" w:rsidP="00503EEA">
      <w:pPr>
        <w:pStyle w:val="NoSpacing"/>
        <w:shd w:val="clear" w:color="auto" w:fill="FFFFFF"/>
        <w:jc w:val="both"/>
        <w:rPr>
          <w:rFonts w:ascii="Cambria" w:hAnsi="Cambria"/>
          <w:color w:val="000000" w:themeColor="text1"/>
          <w:bdr w:val="none" w:sz="0" w:space="0" w:color="auto" w:frame="1"/>
        </w:rPr>
      </w:pPr>
      <w:r w:rsidRPr="00F36D97">
        <w:rPr>
          <w:rFonts w:ascii="Cambria" w:hAnsi="Cambria"/>
          <w:color w:val="000000" w:themeColor="text1"/>
          <w:bdr w:val="none" w:sz="0" w:space="0" w:color="auto" w:frame="1"/>
        </w:rPr>
        <w:t xml:space="preserve">  </w:t>
      </w:r>
      <w:r w:rsidR="00503EEA" w:rsidRPr="00F36D97">
        <w:rPr>
          <w:rFonts w:ascii="Cambria" w:hAnsi="Cambria"/>
          <w:color w:val="000000" w:themeColor="text1"/>
          <w:bdr w:val="none" w:sz="0" w:space="0" w:color="auto" w:frame="1"/>
        </w:rPr>
        <w:t xml:space="preserve"> </w:t>
      </w:r>
    </w:p>
    <w:p w:rsidR="00245012" w:rsidRPr="00F36D97" w:rsidRDefault="00512B0F" w:rsidP="00503EEA">
      <w:pPr>
        <w:pStyle w:val="NoSpacing"/>
        <w:shd w:val="clear" w:color="auto" w:fill="FFFFFF"/>
        <w:jc w:val="both"/>
        <w:rPr>
          <w:rFonts w:ascii="Cambria" w:hAnsi="Cambria"/>
          <w:color w:val="000000" w:themeColor="text1"/>
          <w:bdr w:val="none" w:sz="0" w:space="0" w:color="auto" w:frame="1"/>
        </w:rPr>
      </w:pPr>
      <w:r>
        <w:rPr>
          <w:rFonts w:ascii="Cambria" w:hAnsi="Cambria"/>
          <w:color w:val="000000" w:themeColor="text1"/>
          <w:bdr w:val="none" w:sz="0" w:space="0" w:color="auto" w:frame="1"/>
        </w:rPr>
        <w:t>T</w:t>
      </w:r>
      <w:r w:rsidR="00245012" w:rsidRPr="00F36D97">
        <w:rPr>
          <w:rFonts w:ascii="Cambria" w:hAnsi="Cambria"/>
          <w:color w:val="000000" w:themeColor="text1"/>
          <w:bdr w:val="none" w:sz="0" w:space="0" w:color="auto" w:frame="1"/>
        </w:rPr>
        <w:t xml:space="preserve">he Australian Institute of Criminology </w:t>
      </w:r>
      <w:r>
        <w:rPr>
          <w:rFonts w:ascii="Cambria" w:hAnsi="Cambria"/>
          <w:color w:val="000000" w:themeColor="text1"/>
          <w:bdr w:val="none" w:sz="0" w:space="0" w:color="auto" w:frame="1"/>
        </w:rPr>
        <w:t>report that</w:t>
      </w:r>
      <w:r w:rsidR="00245012" w:rsidRPr="00F36D97">
        <w:rPr>
          <w:rFonts w:ascii="Cambria" w:hAnsi="Cambria"/>
          <w:color w:val="000000" w:themeColor="text1"/>
          <w:bdr w:val="none" w:sz="0" w:space="0" w:color="auto" w:frame="1"/>
        </w:rPr>
        <w:t xml:space="preserve"> </w:t>
      </w:r>
      <w:r w:rsidR="00395DE2" w:rsidRPr="00F36D97">
        <w:rPr>
          <w:rFonts w:ascii="Cambria" w:hAnsi="Cambria"/>
          <w:color w:val="000000" w:themeColor="text1"/>
          <w:bdr w:val="none" w:sz="0" w:space="0" w:color="auto" w:frame="1"/>
        </w:rPr>
        <w:t>police drug diversion programs across Australia have</w:t>
      </w:r>
      <w:r w:rsidR="00245012" w:rsidRPr="00F36D97">
        <w:rPr>
          <w:rFonts w:ascii="Cambria" w:hAnsi="Cambria"/>
          <w:color w:val="000000" w:themeColor="text1"/>
          <w:bdr w:val="none" w:sz="0" w:space="0" w:color="auto" w:frame="1"/>
        </w:rPr>
        <w:t xml:space="preserve"> a high level of compliance</w:t>
      </w:r>
      <w:r w:rsidR="00CA07EE" w:rsidRPr="00F36D97">
        <w:rPr>
          <w:rFonts w:ascii="Cambria" w:hAnsi="Cambria"/>
          <w:color w:val="000000" w:themeColor="text1"/>
          <w:bdr w:val="none" w:sz="0" w:space="0" w:color="auto" w:frame="1"/>
        </w:rPr>
        <w:t xml:space="preserve"> </w:t>
      </w:r>
      <w:r>
        <w:rPr>
          <w:rFonts w:ascii="Cambria" w:hAnsi="Cambria"/>
          <w:color w:val="000000" w:themeColor="text1"/>
          <w:bdr w:val="none" w:sz="0" w:space="0" w:color="auto" w:frame="1"/>
        </w:rPr>
        <w:t xml:space="preserve">with significant improvements in the recidivism rates </w:t>
      </w:r>
      <w:r w:rsidR="00245012" w:rsidRPr="00F36D97">
        <w:rPr>
          <w:rFonts w:ascii="Cambria" w:hAnsi="Cambria"/>
          <w:color w:val="000000" w:themeColor="text1"/>
          <w:bdr w:val="none" w:sz="0" w:space="0" w:color="auto" w:frame="1"/>
        </w:rPr>
        <w:t xml:space="preserve">of </w:t>
      </w:r>
      <w:r>
        <w:rPr>
          <w:rFonts w:ascii="Cambria" w:hAnsi="Cambria"/>
          <w:color w:val="000000" w:themeColor="text1"/>
          <w:bdr w:val="none" w:sz="0" w:space="0" w:color="auto" w:frame="1"/>
        </w:rPr>
        <w:t xml:space="preserve">most </w:t>
      </w:r>
      <w:r w:rsidR="00245012" w:rsidRPr="00F36D97">
        <w:rPr>
          <w:rFonts w:ascii="Cambria" w:hAnsi="Cambria"/>
          <w:color w:val="000000" w:themeColor="text1"/>
          <w:bdr w:val="none" w:sz="0" w:space="0" w:color="auto" w:frame="1"/>
        </w:rPr>
        <w:t>participants referred to diversion</w:t>
      </w:r>
      <w:r>
        <w:rPr>
          <w:rFonts w:ascii="Cambria" w:hAnsi="Cambria"/>
          <w:color w:val="000000" w:themeColor="text1"/>
          <w:bdr w:val="none" w:sz="0" w:space="0" w:color="auto" w:frame="1"/>
        </w:rPr>
        <w:t>.</w:t>
      </w:r>
      <w:r w:rsidR="00245012" w:rsidRPr="00F36D97">
        <w:rPr>
          <w:rStyle w:val="FootnoteReference"/>
          <w:rFonts w:ascii="Cambria" w:hAnsi="Cambria"/>
          <w:color w:val="000000" w:themeColor="text1"/>
          <w:bdr w:val="none" w:sz="0" w:space="0" w:color="auto" w:frame="1"/>
        </w:rPr>
        <w:footnoteReference w:id="5"/>
      </w:r>
      <w:r w:rsidR="00CA07EE" w:rsidRPr="00F36D97">
        <w:rPr>
          <w:rFonts w:ascii="Cambria" w:hAnsi="Cambria"/>
          <w:color w:val="000000" w:themeColor="text1"/>
          <w:bdr w:val="none" w:sz="0" w:space="0" w:color="auto" w:frame="1"/>
        </w:rPr>
        <w:t xml:space="preserve"> </w:t>
      </w:r>
      <w:r>
        <w:rPr>
          <w:rFonts w:ascii="Cambria" w:hAnsi="Cambria"/>
          <w:color w:val="000000" w:themeColor="text1"/>
          <w:bdr w:val="none" w:sz="0" w:space="0" w:color="auto" w:frame="1"/>
        </w:rPr>
        <w:t>Our research also shows support for IDDI among ATOD service providers in Tasmania.</w:t>
      </w:r>
      <w:r w:rsidRPr="00F36D97">
        <w:rPr>
          <w:rStyle w:val="FootnoteReference"/>
          <w:rFonts w:ascii="Cambria" w:hAnsi="Cambria"/>
          <w:color w:val="000000" w:themeColor="text1"/>
          <w:bdr w:val="none" w:sz="0" w:space="0" w:color="auto" w:frame="1"/>
        </w:rPr>
        <w:footnoteReference w:id="6"/>
      </w:r>
      <w:r>
        <w:rPr>
          <w:rFonts w:ascii="Cambria" w:hAnsi="Cambria"/>
          <w:color w:val="000000" w:themeColor="text1"/>
          <w:bdr w:val="none" w:sz="0" w:space="0" w:color="auto" w:frame="1"/>
        </w:rPr>
        <w:t xml:space="preserve"> I</w:t>
      </w:r>
      <w:r w:rsidR="00CA07EE" w:rsidRPr="00F36D97">
        <w:rPr>
          <w:rFonts w:ascii="Cambria" w:hAnsi="Cambria"/>
          <w:color w:val="000000" w:themeColor="text1"/>
          <w:bdr w:val="none" w:sz="0" w:space="0" w:color="auto" w:frame="1"/>
        </w:rPr>
        <w:t xml:space="preserve">t is </w:t>
      </w:r>
      <w:r>
        <w:rPr>
          <w:rFonts w:ascii="Cambria" w:hAnsi="Cambria"/>
          <w:color w:val="000000" w:themeColor="text1"/>
          <w:bdr w:val="none" w:sz="0" w:space="0" w:color="auto" w:frame="1"/>
        </w:rPr>
        <w:t xml:space="preserve">therefore </w:t>
      </w:r>
      <w:r w:rsidR="00CA07EE" w:rsidRPr="00F36D97">
        <w:rPr>
          <w:rFonts w:ascii="Cambria" w:hAnsi="Cambria"/>
          <w:color w:val="000000" w:themeColor="text1"/>
          <w:bdr w:val="none" w:sz="0" w:space="0" w:color="auto" w:frame="1"/>
        </w:rPr>
        <w:t xml:space="preserve">unclear why Tasmania Police are not cautioning and/or diverting </w:t>
      </w:r>
      <w:r w:rsidR="003F3E94" w:rsidRPr="00F36D97">
        <w:rPr>
          <w:rFonts w:ascii="Cambria" w:hAnsi="Cambria"/>
          <w:color w:val="000000" w:themeColor="text1"/>
          <w:bdr w:val="none" w:sz="0" w:space="0" w:color="auto" w:frame="1"/>
        </w:rPr>
        <w:t>more persons</w:t>
      </w:r>
      <w:r w:rsidR="00CA07EE" w:rsidRPr="00F36D97">
        <w:rPr>
          <w:rFonts w:ascii="Cambria" w:hAnsi="Cambria"/>
          <w:color w:val="000000" w:themeColor="text1"/>
          <w:bdr w:val="none" w:sz="0" w:space="0" w:color="auto" w:frame="1"/>
        </w:rPr>
        <w:t xml:space="preserve"> to health interventions.</w:t>
      </w:r>
      <w:r w:rsidR="00D54F8E">
        <w:rPr>
          <w:rFonts w:ascii="Cambria" w:hAnsi="Cambria"/>
          <w:color w:val="000000" w:themeColor="text1"/>
          <w:bdr w:val="none" w:sz="0" w:space="0" w:color="auto" w:frame="1"/>
        </w:rPr>
        <w:t xml:space="preserve"> </w:t>
      </w:r>
      <w:r>
        <w:rPr>
          <w:rFonts w:ascii="Cambria" w:hAnsi="Cambria"/>
          <w:color w:val="000000" w:themeColor="text1"/>
          <w:bdr w:val="none" w:sz="0" w:space="0" w:color="auto" w:frame="1"/>
        </w:rPr>
        <w:t>We welcome t</w:t>
      </w:r>
      <w:r w:rsidR="00D54F8E">
        <w:rPr>
          <w:rFonts w:ascii="Cambria" w:hAnsi="Cambria"/>
          <w:color w:val="000000" w:themeColor="text1"/>
          <w:bdr w:val="none" w:sz="0" w:space="0" w:color="auto" w:frame="1"/>
        </w:rPr>
        <w:t>he Consultation Strategy’s commitment to review the IDDI</w:t>
      </w:r>
      <w:r>
        <w:rPr>
          <w:rFonts w:ascii="Cambria" w:hAnsi="Cambria"/>
          <w:color w:val="000000" w:themeColor="text1"/>
          <w:bdr w:val="none" w:sz="0" w:space="0" w:color="auto" w:frame="1"/>
        </w:rPr>
        <w:t xml:space="preserve"> on the basis that it will address existing barriers to implementation</w:t>
      </w:r>
      <w:r w:rsidR="00D54F8E">
        <w:rPr>
          <w:rFonts w:ascii="Cambria" w:hAnsi="Cambria"/>
          <w:color w:val="000000" w:themeColor="text1"/>
          <w:bdr w:val="none" w:sz="0" w:space="0" w:color="auto" w:frame="1"/>
        </w:rPr>
        <w:t xml:space="preserve">.  </w:t>
      </w:r>
      <w:r w:rsidR="00CA07EE" w:rsidRPr="00F36D97">
        <w:rPr>
          <w:rFonts w:ascii="Cambria" w:hAnsi="Cambria"/>
          <w:color w:val="000000" w:themeColor="text1"/>
          <w:bdr w:val="none" w:sz="0" w:space="0" w:color="auto" w:frame="1"/>
        </w:rPr>
        <w:t xml:space="preserve">  </w:t>
      </w:r>
      <w:r w:rsidR="00245012" w:rsidRPr="00F36D97">
        <w:rPr>
          <w:rFonts w:ascii="Cambria" w:hAnsi="Cambria"/>
          <w:color w:val="000000" w:themeColor="text1"/>
          <w:bdr w:val="none" w:sz="0" w:space="0" w:color="auto" w:frame="1"/>
        </w:rPr>
        <w:t xml:space="preserve">  </w:t>
      </w:r>
    </w:p>
    <w:p w:rsidR="00503EEA" w:rsidRPr="00F36D97" w:rsidRDefault="00503EEA" w:rsidP="00503EEA">
      <w:pPr>
        <w:pStyle w:val="NoSpacing"/>
        <w:shd w:val="clear" w:color="auto" w:fill="FFFFFF"/>
        <w:jc w:val="both"/>
        <w:rPr>
          <w:rFonts w:ascii="Cambria" w:hAnsi="Cambria"/>
          <w:color w:val="000000" w:themeColor="text1"/>
          <w:bdr w:val="none" w:sz="0" w:space="0" w:color="auto" w:frame="1"/>
        </w:rPr>
      </w:pPr>
    </w:p>
    <w:p w:rsidR="00503EEA" w:rsidRPr="00F36D97" w:rsidRDefault="003F3E94" w:rsidP="003F3E94">
      <w:pPr>
        <w:pStyle w:val="NoSpacing"/>
        <w:pBdr>
          <w:top w:val="single" w:sz="4" w:space="1" w:color="auto"/>
          <w:left w:val="single" w:sz="4" w:space="4" w:color="auto"/>
          <w:bottom w:val="single" w:sz="4" w:space="1" w:color="auto"/>
          <w:right w:val="single" w:sz="4" w:space="4" w:color="auto"/>
        </w:pBdr>
        <w:shd w:val="clear" w:color="auto" w:fill="FFFFFF"/>
        <w:jc w:val="both"/>
        <w:rPr>
          <w:rFonts w:ascii="Cambria" w:hAnsi="Cambria"/>
          <w:color w:val="000000" w:themeColor="text1"/>
          <w:bdr w:val="none" w:sz="0" w:space="0" w:color="auto" w:frame="1"/>
        </w:rPr>
      </w:pPr>
      <w:r w:rsidRPr="003F3E94">
        <w:rPr>
          <w:rFonts w:ascii="Cambria" w:hAnsi="Cambria"/>
          <w:b/>
          <w:bCs/>
          <w:color w:val="000000" w:themeColor="text1"/>
          <w:bdr w:val="none" w:sz="0" w:space="0" w:color="auto" w:frame="1"/>
        </w:rPr>
        <w:t>Recommendation:</w:t>
      </w:r>
      <w:r>
        <w:rPr>
          <w:rFonts w:ascii="Cambria" w:hAnsi="Cambria"/>
          <w:color w:val="000000" w:themeColor="text1"/>
          <w:bdr w:val="none" w:sz="0" w:space="0" w:color="auto" w:frame="1"/>
        </w:rPr>
        <w:t xml:space="preserve"> </w:t>
      </w:r>
      <w:r w:rsidR="00D54F8E">
        <w:rPr>
          <w:rFonts w:ascii="Cambria" w:hAnsi="Cambria"/>
          <w:color w:val="000000" w:themeColor="text1"/>
          <w:bdr w:val="none" w:sz="0" w:space="0" w:color="auto" w:frame="1"/>
        </w:rPr>
        <w:t>That</w:t>
      </w:r>
      <w:r w:rsidR="00503EEA" w:rsidRPr="00F36D97">
        <w:rPr>
          <w:rFonts w:ascii="Cambria" w:hAnsi="Cambria"/>
          <w:color w:val="000000" w:themeColor="text1"/>
          <w:bdr w:val="none" w:sz="0" w:space="0" w:color="auto" w:frame="1"/>
        </w:rPr>
        <w:t xml:space="preserve"> the </w:t>
      </w:r>
      <w:r w:rsidR="00D54F8E" w:rsidRPr="00D54F8E">
        <w:rPr>
          <w:rFonts w:ascii="Cambria" w:hAnsi="Cambria"/>
          <w:i/>
          <w:iCs/>
          <w:color w:val="000000" w:themeColor="text1"/>
          <w:bdr w:val="none" w:sz="0" w:space="0" w:color="auto" w:frame="1"/>
        </w:rPr>
        <w:t xml:space="preserve">Tasmanian Drug </w:t>
      </w:r>
      <w:r w:rsidR="00503EEA" w:rsidRPr="00D54F8E">
        <w:rPr>
          <w:rFonts w:ascii="Cambria" w:hAnsi="Cambria"/>
          <w:i/>
          <w:iCs/>
          <w:color w:val="000000" w:themeColor="text1"/>
          <w:bdr w:val="none" w:sz="0" w:space="0" w:color="auto" w:frame="1"/>
        </w:rPr>
        <w:t>Strategy</w:t>
      </w:r>
      <w:r w:rsidR="00D54F8E" w:rsidRPr="00D54F8E">
        <w:rPr>
          <w:rFonts w:ascii="Cambria" w:hAnsi="Cambria"/>
          <w:i/>
          <w:iCs/>
          <w:color w:val="000000" w:themeColor="text1"/>
          <w:bdr w:val="none" w:sz="0" w:space="0" w:color="auto" w:frame="1"/>
        </w:rPr>
        <w:t xml:space="preserve"> 2023-2028</w:t>
      </w:r>
      <w:r w:rsidR="00503EEA" w:rsidRPr="00F36D97">
        <w:rPr>
          <w:rFonts w:ascii="Cambria" w:hAnsi="Cambria"/>
          <w:color w:val="000000" w:themeColor="text1"/>
          <w:bdr w:val="none" w:sz="0" w:space="0" w:color="auto" w:frame="1"/>
        </w:rPr>
        <w:t xml:space="preserve"> </w:t>
      </w:r>
      <w:r w:rsidR="00A12D9B">
        <w:rPr>
          <w:rFonts w:ascii="Cambria" w:hAnsi="Cambria"/>
          <w:color w:val="000000" w:themeColor="text1"/>
          <w:bdr w:val="none" w:sz="0" w:space="0" w:color="auto" w:frame="1"/>
        </w:rPr>
        <w:t xml:space="preserve">expressly </w:t>
      </w:r>
      <w:r w:rsidR="00503EEA" w:rsidRPr="00F36D97">
        <w:rPr>
          <w:rFonts w:ascii="Cambria" w:hAnsi="Cambria"/>
          <w:color w:val="000000" w:themeColor="text1"/>
          <w:bdr w:val="none" w:sz="0" w:space="0" w:color="auto" w:frame="1"/>
        </w:rPr>
        <w:t xml:space="preserve">commit to review </w:t>
      </w:r>
      <w:r w:rsidR="00512B0F">
        <w:rPr>
          <w:rFonts w:ascii="Cambria" w:hAnsi="Cambria"/>
          <w:color w:val="000000" w:themeColor="text1"/>
          <w:bdr w:val="none" w:sz="0" w:space="0" w:color="auto" w:frame="1"/>
        </w:rPr>
        <w:t>the barriers to implementation</w:t>
      </w:r>
      <w:r w:rsidR="003A484A">
        <w:rPr>
          <w:rFonts w:ascii="Cambria" w:hAnsi="Cambria"/>
          <w:color w:val="000000" w:themeColor="text1"/>
          <w:bdr w:val="none" w:sz="0" w:space="0" w:color="auto" w:frame="1"/>
        </w:rPr>
        <w:t xml:space="preserve"> of the IDDI</w:t>
      </w:r>
      <w:r w:rsidR="00503EEA" w:rsidRPr="00F36D97">
        <w:rPr>
          <w:rFonts w:ascii="Cambria" w:hAnsi="Cambria"/>
          <w:color w:val="000000" w:themeColor="text1"/>
          <w:bdr w:val="none" w:sz="0" w:space="0" w:color="auto" w:frame="1"/>
        </w:rPr>
        <w:t xml:space="preserve">. </w:t>
      </w:r>
    </w:p>
    <w:p w:rsidR="00503EEA" w:rsidRPr="00F36D97" w:rsidRDefault="00503EEA" w:rsidP="00503EEA">
      <w:pPr>
        <w:pStyle w:val="NoSpacing"/>
        <w:shd w:val="clear" w:color="auto" w:fill="FFFFFF"/>
        <w:jc w:val="both"/>
        <w:rPr>
          <w:rFonts w:ascii="Cambria" w:hAnsi="Cambria"/>
          <w:color w:val="000000" w:themeColor="text1"/>
          <w:bdr w:val="none" w:sz="0" w:space="0" w:color="auto" w:frame="1"/>
        </w:rPr>
      </w:pPr>
    </w:p>
    <w:p w:rsidR="00CA07EE" w:rsidRPr="00F36D97" w:rsidRDefault="00CA07EE" w:rsidP="00CA07EE">
      <w:pPr>
        <w:pStyle w:val="NoSpacing"/>
        <w:numPr>
          <w:ilvl w:val="0"/>
          <w:numId w:val="8"/>
        </w:numPr>
        <w:shd w:val="clear" w:color="auto" w:fill="FFFFFF"/>
        <w:jc w:val="both"/>
        <w:rPr>
          <w:rFonts w:ascii="Cambria" w:hAnsi="Cambria"/>
          <w:b/>
          <w:bCs/>
          <w:i/>
          <w:iCs/>
          <w:color w:val="000000" w:themeColor="text1"/>
          <w:bdr w:val="none" w:sz="0" w:space="0" w:color="auto" w:frame="1"/>
        </w:rPr>
      </w:pPr>
      <w:r w:rsidRPr="00F36D97">
        <w:rPr>
          <w:rFonts w:ascii="Cambria" w:hAnsi="Cambria"/>
          <w:b/>
          <w:bCs/>
          <w:i/>
          <w:iCs/>
          <w:color w:val="000000" w:themeColor="text1"/>
          <w:bdr w:val="none" w:sz="0" w:space="0" w:color="auto" w:frame="1"/>
        </w:rPr>
        <w:t>Court Mandated Diversion</w:t>
      </w:r>
    </w:p>
    <w:p w:rsidR="00CA07EE" w:rsidRPr="00D54F8E" w:rsidRDefault="00CA07EE" w:rsidP="00503EEA">
      <w:pPr>
        <w:pStyle w:val="NoSpacing"/>
        <w:shd w:val="clear" w:color="auto" w:fill="FFFFFF"/>
        <w:jc w:val="both"/>
        <w:rPr>
          <w:rFonts w:ascii="Cambria" w:hAnsi="Cambria"/>
          <w:color w:val="000000" w:themeColor="text1"/>
          <w:bdr w:val="none" w:sz="0" w:space="0" w:color="auto" w:frame="1"/>
        </w:rPr>
      </w:pPr>
      <w:r w:rsidRPr="00F36D97">
        <w:rPr>
          <w:rFonts w:ascii="Cambria" w:hAnsi="Cambria"/>
          <w:color w:val="000000" w:themeColor="text1"/>
          <w:bdr w:val="none" w:sz="0" w:space="0" w:color="auto" w:frame="1"/>
        </w:rPr>
        <w:t xml:space="preserve">We support the </w:t>
      </w:r>
      <w:r w:rsidR="003F3E94">
        <w:rPr>
          <w:rFonts w:ascii="Cambria" w:hAnsi="Cambria"/>
          <w:color w:val="000000" w:themeColor="text1"/>
          <w:bdr w:val="none" w:sz="0" w:space="0" w:color="auto" w:frame="1"/>
        </w:rPr>
        <w:t xml:space="preserve">Consultation </w:t>
      </w:r>
      <w:r w:rsidRPr="00F36D97">
        <w:rPr>
          <w:rFonts w:ascii="Cambria" w:hAnsi="Cambria"/>
          <w:color w:val="000000" w:themeColor="text1"/>
          <w:bdr w:val="none" w:sz="0" w:space="0" w:color="auto" w:frame="1"/>
        </w:rPr>
        <w:t>Strategy’s expansion of Court Mandated Diversion</w:t>
      </w:r>
      <w:r w:rsidR="003F3E94">
        <w:rPr>
          <w:rFonts w:ascii="Cambria" w:hAnsi="Cambria"/>
          <w:color w:val="000000" w:themeColor="text1"/>
          <w:bdr w:val="none" w:sz="0" w:space="0" w:color="auto" w:frame="1"/>
        </w:rPr>
        <w:t xml:space="preserve"> (CMD)</w:t>
      </w:r>
      <w:r w:rsidRPr="00F36D97">
        <w:rPr>
          <w:rFonts w:ascii="Cambria" w:hAnsi="Cambria"/>
          <w:color w:val="000000" w:themeColor="text1"/>
          <w:bdr w:val="none" w:sz="0" w:space="0" w:color="auto" w:frame="1"/>
        </w:rPr>
        <w:t xml:space="preserve">. </w:t>
      </w:r>
      <w:r w:rsidR="009F0ABB" w:rsidRPr="00F36D97">
        <w:rPr>
          <w:rFonts w:ascii="Cambria" w:hAnsi="Cambria"/>
          <w:color w:val="000000" w:themeColor="text1"/>
          <w:bdr w:val="none" w:sz="0" w:space="0" w:color="auto" w:frame="1"/>
        </w:rPr>
        <w:t>Whilst the number of places made available</w:t>
      </w:r>
      <w:r w:rsidR="003F3E94">
        <w:rPr>
          <w:rFonts w:ascii="Cambria" w:hAnsi="Cambria"/>
          <w:color w:val="000000" w:themeColor="text1"/>
          <w:bdr w:val="none" w:sz="0" w:space="0" w:color="auto" w:frame="1"/>
        </w:rPr>
        <w:t xml:space="preserve"> should be increased</w:t>
      </w:r>
      <w:r w:rsidR="009F0ABB" w:rsidRPr="00F36D97">
        <w:rPr>
          <w:rFonts w:ascii="Cambria" w:hAnsi="Cambria"/>
          <w:color w:val="000000" w:themeColor="text1"/>
          <w:bdr w:val="none" w:sz="0" w:space="0" w:color="auto" w:frame="1"/>
        </w:rPr>
        <w:t>, the eligibility criteria should also be expanded.</w:t>
      </w:r>
      <w:r w:rsidR="00512B0F">
        <w:rPr>
          <w:rFonts w:ascii="Cambria" w:hAnsi="Cambria"/>
          <w:color w:val="000000" w:themeColor="text1"/>
          <w:bdr w:val="none" w:sz="0" w:space="0" w:color="auto" w:frame="1"/>
        </w:rPr>
        <w:t xml:space="preserve"> </w:t>
      </w:r>
      <w:r w:rsidRPr="00F36D97">
        <w:rPr>
          <w:rFonts w:ascii="Cambria" w:hAnsi="Cambria"/>
          <w:color w:val="000000" w:themeColor="text1"/>
        </w:rPr>
        <w:t xml:space="preserve">Currently, </w:t>
      </w:r>
      <w:r w:rsidR="003F3E94">
        <w:rPr>
          <w:rFonts w:ascii="Cambria" w:hAnsi="Cambria"/>
          <w:color w:val="000000" w:themeColor="text1"/>
        </w:rPr>
        <w:t>CMD</w:t>
      </w:r>
      <w:r w:rsidRPr="00F36D97">
        <w:rPr>
          <w:rFonts w:ascii="Cambria" w:hAnsi="Cambria"/>
          <w:color w:val="000000" w:themeColor="text1"/>
        </w:rPr>
        <w:t xml:space="preserve"> </w:t>
      </w:r>
      <w:r w:rsidR="003F3E94">
        <w:rPr>
          <w:rFonts w:ascii="Cambria" w:hAnsi="Cambria"/>
          <w:color w:val="000000" w:themeColor="text1"/>
        </w:rPr>
        <w:t>is</w:t>
      </w:r>
      <w:r w:rsidRPr="00F36D97">
        <w:rPr>
          <w:rFonts w:ascii="Cambria" w:hAnsi="Cambria"/>
          <w:color w:val="000000" w:themeColor="text1"/>
        </w:rPr>
        <w:t xml:space="preserve"> not available to persons with </w:t>
      </w:r>
      <w:r w:rsidR="00D54F8E">
        <w:rPr>
          <w:rFonts w:ascii="Cambria" w:hAnsi="Cambria"/>
          <w:color w:val="000000" w:themeColor="text1"/>
        </w:rPr>
        <w:t xml:space="preserve">an </w:t>
      </w:r>
      <w:r w:rsidRPr="00F36D97">
        <w:rPr>
          <w:rFonts w:ascii="Cambria" w:hAnsi="Cambria"/>
          <w:color w:val="000000" w:themeColor="text1"/>
        </w:rPr>
        <w:t xml:space="preserve">alcohol </w:t>
      </w:r>
      <w:r w:rsidR="00D54F8E">
        <w:rPr>
          <w:rFonts w:ascii="Cambria" w:hAnsi="Cambria"/>
          <w:color w:val="000000" w:themeColor="text1"/>
        </w:rPr>
        <w:lastRenderedPageBreak/>
        <w:t>addiction</w:t>
      </w:r>
      <w:r w:rsidRPr="00F36D97">
        <w:rPr>
          <w:rFonts w:ascii="Cambria" w:hAnsi="Cambria"/>
          <w:color w:val="000000" w:themeColor="text1"/>
        </w:rPr>
        <w:t xml:space="preserve">. The Sentencing Advisory </w:t>
      </w:r>
      <w:r w:rsidRPr="00F36D97">
        <w:rPr>
          <w:rFonts w:ascii="Cambria" w:hAnsi="Cambria"/>
        </w:rPr>
        <w:t>Council,</w:t>
      </w:r>
      <w:r w:rsidRPr="00F36D97">
        <w:rPr>
          <w:rStyle w:val="FootnoteReference"/>
          <w:rFonts w:ascii="Cambria" w:hAnsi="Cambria"/>
        </w:rPr>
        <w:footnoteReference w:id="7"/>
      </w:r>
      <w:r w:rsidRPr="00F36D97">
        <w:rPr>
          <w:rFonts w:ascii="Cambria" w:hAnsi="Cambria"/>
        </w:rPr>
        <w:t xml:space="preserve"> the Tasmania Law Reform Institute</w:t>
      </w:r>
      <w:r w:rsidRPr="00F36D97">
        <w:rPr>
          <w:rStyle w:val="FootnoteReference"/>
          <w:rFonts w:ascii="Cambria" w:hAnsi="Cambria"/>
        </w:rPr>
        <w:footnoteReference w:id="8"/>
      </w:r>
      <w:r w:rsidRPr="00F36D97">
        <w:rPr>
          <w:rFonts w:ascii="Cambria" w:hAnsi="Cambria"/>
        </w:rPr>
        <w:t xml:space="preserve"> and the Alcohol Tobacco and Other Drugs Council of Tasmania</w:t>
      </w:r>
      <w:r w:rsidRPr="00F36D97">
        <w:rPr>
          <w:rStyle w:val="FootnoteReference"/>
          <w:rFonts w:ascii="Cambria" w:hAnsi="Cambria"/>
        </w:rPr>
        <w:footnoteReference w:id="9"/>
      </w:r>
      <w:r w:rsidRPr="00F36D97">
        <w:rPr>
          <w:rFonts w:ascii="Cambria" w:hAnsi="Cambria"/>
        </w:rPr>
        <w:t xml:space="preserve"> have all recommended extending </w:t>
      </w:r>
      <w:r w:rsidR="003F3E94">
        <w:rPr>
          <w:rFonts w:ascii="Cambria" w:hAnsi="Cambria"/>
          <w:color w:val="000000" w:themeColor="text1"/>
        </w:rPr>
        <w:t>CMD</w:t>
      </w:r>
      <w:r w:rsidR="003F3E94" w:rsidRPr="00F36D97">
        <w:rPr>
          <w:rFonts w:ascii="Cambria" w:hAnsi="Cambria"/>
          <w:color w:val="000000" w:themeColor="text1"/>
        </w:rPr>
        <w:t xml:space="preserve"> </w:t>
      </w:r>
      <w:r w:rsidRPr="00F36D97">
        <w:rPr>
          <w:rFonts w:ascii="Cambria" w:hAnsi="Cambria"/>
        </w:rPr>
        <w:t xml:space="preserve">to include alcohol </w:t>
      </w:r>
      <w:r w:rsidR="00D54F8E">
        <w:rPr>
          <w:rFonts w:ascii="Cambria" w:hAnsi="Cambria"/>
        </w:rPr>
        <w:t>addiction</w:t>
      </w:r>
      <w:r w:rsidRPr="00F36D97">
        <w:rPr>
          <w:rFonts w:ascii="Cambria" w:hAnsi="Cambria"/>
        </w:rPr>
        <w:t>, where the substance abuse has contributed to the offending behaviour.</w:t>
      </w:r>
    </w:p>
    <w:p w:rsidR="009F0ABB" w:rsidRPr="00F36D97" w:rsidRDefault="009F0ABB" w:rsidP="00503EEA">
      <w:pPr>
        <w:pStyle w:val="NoSpacing"/>
        <w:shd w:val="clear" w:color="auto" w:fill="FFFFFF"/>
        <w:jc w:val="both"/>
        <w:rPr>
          <w:rFonts w:ascii="Cambria" w:hAnsi="Cambria"/>
        </w:rPr>
      </w:pPr>
    </w:p>
    <w:p w:rsidR="00586D27" w:rsidRDefault="009F0ABB" w:rsidP="00586D27">
      <w:pPr>
        <w:pStyle w:val="NoSpacing"/>
        <w:shd w:val="clear" w:color="auto" w:fill="FFFFFF"/>
        <w:jc w:val="both"/>
        <w:rPr>
          <w:rFonts w:ascii="Cambria" w:hAnsi="Cambria"/>
          <w:color w:val="000000"/>
        </w:rPr>
      </w:pPr>
      <w:r w:rsidRPr="00F36D97">
        <w:rPr>
          <w:rFonts w:ascii="Cambria" w:hAnsi="Cambria"/>
        </w:rPr>
        <w:t xml:space="preserve">As well, </w:t>
      </w:r>
      <w:r w:rsidR="009A0889" w:rsidRPr="00F36D97">
        <w:rPr>
          <w:rFonts w:ascii="Cambria" w:hAnsi="Cambria"/>
        </w:rPr>
        <w:t xml:space="preserve">CMD </w:t>
      </w:r>
      <w:r w:rsidR="00DF1971" w:rsidRPr="00F36D97">
        <w:rPr>
          <w:rFonts w:ascii="Cambria" w:hAnsi="Cambria"/>
        </w:rPr>
        <w:t>is only</w:t>
      </w:r>
      <w:r w:rsidR="009A0889" w:rsidRPr="00F36D97">
        <w:rPr>
          <w:rFonts w:ascii="Cambria" w:hAnsi="Cambria"/>
        </w:rPr>
        <w:t xml:space="preserve"> available</w:t>
      </w:r>
      <w:r w:rsidR="00DF1971" w:rsidRPr="00F36D97">
        <w:rPr>
          <w:rFonts w:ascii="Cambria" w:hAnsi="Cambria"/>
        </w:rPr>
        <w:t xml:space="preserve"> to</w:t>
      </w:r>
      <w:r w:rsidR="009A0889" w:rsidRPr="00F36D97">
        <w:rPr>
          <w:rFonts w:ascii="Cambria" w:hAnsi="Cambria"/>
        </w:rPr>
        <w:t xml:space="preserve"> offenders who would otherwise receive up to two years imprisonment, with Brett J for example ruling in </w:t>
      </w:r>
      <w:r w:rsidR="009A0889" w:rsidRPr="00F36D97">
        <w:rPr>
          <w:rFonts w:ascii="Cambria" w:hAnsi="Cambria"/>
          <w:i/>
          <w:iCs/>
          <w:color w:val="000000"/>
        </w:rPr>
        <w:t>Tasmania v Joseph</w:t>
      </w:r>
      <w:r w:rsidR="009A0889" w:rsidRPr="00F36D97">
        <w:rPr>
          <w:rFonts w:ascii="Cambria" w:hAnsi="Cambria"/>
          <w:color w:val="000000"/>
        </w:rPr>
        <w:t xml:space="preserve"> </w:t>
      </w:r>
      <w:r w:rsidR="009A0889" w:rsidRPr="00F36D97">
        <w:rPr>
          <w:rFonts w:ascii="Cambria" w:hAnsi="Cambria"/>
        </w:rPr>
        <w:t xml:space="preserve">that </w:t>
      </w:r>
      <w:r w:rsidRPr="00F36D97">
        <w:rPr>
          <w:rFonts w:ascii="Cambria" w:hAnsi="Cambria"/>
          <w:color w:val="000000"/>
        </w:rPr>
        <w:t>“it would, in most circumstances, be inappropriate to make a drug treatment order if the custodial component will exceed two years”.</w:t>
      </w:r>
      <w:r w:rsidRPr="00F36D97">
        <w:rPr>
          <w:rStyle w:val="FootnoteReference"/>
          <w:rFonts w:ascii="Cambria" w:hAnsi="Cambria"/>
          <w:color w:val="000000"/>
        </w:rPr>
        <w:footnoteReference w:id="10"/>
      </w:r>
      <w:r w:rsidR="009A0889" w:rsidRPr="00F36D97">
        <w:rPr>
          <w:rFonts w:ascii="Cambria" w:hAnsi="Cambria"/>
          <w:color w:val="000000"/>
        </w:rPr>
        <w:t xml:space="preserve"> We strongly believe that the </w:t>
      </w:r>
      <w:r w:rsidR="009A0889" w:rsidRPr="00F36D97">
        <w:rPr>
          <w:rFonts w:ascii="Cambria" w:hAnsi="Cambria"/>
          <w:i/>
          <w:iCs/>
          <w:color w:val="000000"/>
        </w:rPr>
        <w:t>Sentencing Act 1997</w:t>
      </w:r>
      <w:r w:rsidR="009A0889" w:rsidRPr="00F36D97">
        <w:rPr>
          <w:rFonts w:ascii="Cambria" w:hAnsi="Cambria"/>
          <w:color w:val="000000"/>
        </w:rPr>
        <w:t xml:space="preserve"> (Tas) should </w:t>
      </w:r>
      <w:r w:rsidR="00DF1971" w:rsidRPr="00F36D97">
        <w:rPr>
          <w:rFonts w:ascii="Cambria" w:hAnsi="Cambria"/>
          <w:color w:val="000000"/>
        </w:rPr>
        <w:t xml:space="preserve">explicitly </w:t>
      </w:r>
      <w:r w:rsidR="009A0889" w:rsidRPr="00F36D97">
        <w:rPr>
          <w:rFonts w:ascii="Cambria" w:hAnsi="Cambria"/>
          <w:color w:val="000000"/>
        </w:rPr>
        <w:t>provide that CMD is available to offenders who would otherwise receive a sentence of imprisonment of up to four years. This is consistent with the position of the ACT, Queensland</w:t>
      </w:r>
      <w:r w:rsidR="007838FF">
        <w:rPr>
          <w:rFonts w:ascii="Cambria" w:hAnsi="Cambria"/>
          <w:color w:val="000000"/>
        </w:rPr>
        <w:t xml:space="preserve"> and Victoria</w:t>
      </w:r>
      <w:r w:rsidR="009A0889" w:rsidRPr="00F36D97">
        <w:rPr>
          <w:rFonts w:ascii="Cambria" w:hAnsi="Cambria"/>
          <w:color w:val="000000"/>
        </w:rPr>
        <w:t>.</w:t>
      </w:r>
      <w:r w:rsidR="009A0889" w:rsidRPr="00F36D97">
        <w:rPr>
          <w:rStyle w:val="FootnoteReference"/>
          <w:rFonts w:ascii="Cambria" w:hAnsi="Cambria"/>
          <w:color w:val="000000"/>
        </w:rPr>
        <w:footnoteReference w:id="11"/>
      </w:r>
    </w:p>
    <w:p w:rsidR="00586D27" w:rsidRDefault="00586D27" w:rsidP="00586D27">
      <w:pPr>
        <w:pStyle w:val="NoSpacing"/>
        <w:shd w:val="clear" w:color="auto" w:fill="FFFFFF"/>
        <w:jc w:val="both"/>
        <w:rPr>
          <w:rFonts w:ascii="Cambria" w:hAnsi="Cambria"/>
          <w:color w:val="000000"/>
        </w:rPr>
      </w:pPr>
    </w:p>
    <w:p w:rsidR="00DF1971" w:rsidRPr="00586D27" w:rsidRDefault="00DF1971" w:rsidP="00586D27">
      <w:pPr>
        <w:pStyle w:val="NoSpacing"/>
        <w:shd w:val="clear" w:color="auto" w:fill="FFFFFF"/>
        <w:jc w:val="both"/>
        <w:rPr>
          <w:rFonts w:ascii="Cambria" w:hAnsi="Cambria"/>
          <w:color w:val="000000" w:themeColor="text1"/>
          <w:bdr w:val="none" w:sz="0" w:space="0" w:color="auto" w:frame="1"/>
        </w:rPr>
      </w:pPr>
      <w:r w:rsidRPr="00F36D97">
        <w:rPr>
          <w:rFonts w:ascii="Cambria" w:hAnsi="Cambria" w:cs="Arial"/>
        </w:rPr>
        <w:t xml:space="preserve">Finally, we note that section 27B(1)(a)(ii) of the </w:t>
      </w:r>
      <w:r w:rsidRPr="00F36D97">
        <w:rPr>
          <w:rFonts w:ascii="Cambria" w:hAnsi="Cambria" w:cs="Arial"/>
          <w:i/>
        </w:rPr>
        <w:t>Sentencing Act 1997</w:t>
      </w:r>
      <w:r w:rsidRPr="00F36D97">
        <w:rPr>
          <w:rFonts w:ascii="Cambria" w:hAnsi="Cambria" w:cs="Arial"/>
        </w:rPr>
        <w:t xml:space="preserve"> (Tas) provides that </w:t>
      </w:r>
      <w:r w:rsidR="00F32C19" w:rsidRPr="00F36D97">
        <w:rPr>
          <w:rFonts w:ascii="Cambria" w:hAnsi="Cambria" w:cs="Arial"/>
        </w:rPr>
        <w:t>CMD</w:t>
      </w:r>
      <w:r w:rsidRPr="00F36D97">
        <w:rPr>
          <w:rFonts w:ascii="Cambria" w:hAnsi="Cambria" w:cs="Arial"/>
        </w:rPr>
        <w:t xml:space="preserve"> </w:t>
      </w:r>
      <w:r w:rsidR="00D54F8E">
        <w:rPr>
          <w:rFonts w:ascii="Cambria" w:hAnsi="Cambria" w:cs="Arial"/>
        </w:rPr>
        <w:t>is unavailable for offenders who have been convicted of</w:t>
      </w:r>
      <w:r w:rsidRPr="00F36D97">
        <w:rPr>
          <w:rFonts w:ascii="Cambria" w:hAnsi="Cambria" w:cs="Arial"/>
        </w:rPr>
        <w:t xml:space="preserve"> </w:t>
      </w:r>
      <w:r w:rsidRPr="00F36D97">
        <w:rPr>
          <w:rFonts w:ascii="Cambria" w:hAnsi="Cambria"/>
        </w:rPr>
        <w:t xml:space="preserve">offences ‘involving the infliction of actual bodily harm that, in the court’s opinion, was not minor harm’. The effect of this provision is that many offenders who would otherwise be eligible are deemed ineligible. A model that should be considered is NSW where offenders are eligible for </w:t>
      </w:r>
      <w:r w:rsidR="003F3E94">
        <w:rPr>
          <w:rFonts w:ascii="Cambria" w:hAnsi="Cambria"/>
          <w:color w:val="000000" w:themeColor="text1"/>
        </w:rPr>
        <w:t>CMD</w:t>
      </w:r>
      <w:r w:rsidR="003F3E94" w:rsidRPr="00F36D97">
        <w:rPr>
          <w:rFonts w:ascii="Cambria" w:hAnsi="Cambria"/>
          <w:color w:val="000000" w:themeColor="text1"/>
        </w:rPr>
        <w:t xml:space="preserve"> </w:t>
      </w:r>
      <w:r w:rsidRPr="00F36D97">
        <w:rPr>
          <w:rFonts w:ascii="Cambria" w:hAnsi="Cambria"/>
        </w:rPr>
        <w:t>if convicted of an offence other than murder, manslaughter and attempted murder.</w:t>
      </w:r>
      <w:r w:rsidRPr="00F36D97">
        <w:rPr>
          <w:rStyle w:val="FootnoteReference"/>
          <w:rFonts w:ascii="Cambria" w:hAnsi="Cambria"/>
        </w:rPr>
        <w:footnoteReference w:id="12"/>
      </w:r>
      <w:r w:rsidRPr="00F36D97">
        <w:rPr>
          <w:rFonts w:ascii="Cambria" w:hAnsi="Cambria"/>
        </w:rPr>
        <w:t xml:space="preserve"> </w:t>
      </w:r>
    </w:p>
    <w:p w:rsidR="00F32C19" w:rsidRPr="00F36D97" w:rsidRDefault="00F32C19" w:rsidP="00DF1971">
      <w:pPr>
        <w:ind w:right="-347"/>
        <w:jc w:val="both"/>
        <w:rPr>
          <w:rFonts w:ascii="Cambria" w:hAnsi="Cambria"/>
        </w:rPr>
      </w:pPr>
    </w:p>
    <w:p w:rsidR="00586D27" w:rsidRDefault="00F32C19" w:rsidP="00586D27">
      <w:pPr>
        <w:jc w:val="both"/>
        <w:rPr>
          <w:rFonts w:ascii="Cambria" w:hAnsi="Cambria"/>
          <w:color w:val="000000"/>
          <w:bdr w:val="none" w:sz="0" w:space="0" w:color="auto" w:frame="1"/>
          <w:shd w:val="clear" w:color="auto" w:fill="FFFFFF"/>
        </w:rPr>
      </w:pPr>
      <w:r w:rsidRPr="00F36D97">
        <w:rPr>
          <w:rFonts w:ascii="Cambria" w:hAnsi="Cambria"/>
          <w:color w:val="000000"/>
          <w:bdr w:val="none" w:sz="0" w:space="0" w:color="auto" w:frame="1"/>
          <w:shd w:val="clear" w:color="auto" w:fill="FFFFFF"/>
        </w:rPr>
        <w:t xml:space="preserve">The advantage of expanding CMD both in the number of places available and the eligibility criteria is that it reduces recidivism. </w:t>
      </w:r>
      <w:r w:rsidRPr="00F36D97">
        <w:rPr>
          <w:rFonts w:ascii="Cambria" w:hAnsi="Cambria"/>
        </w:rPr>
        <w:t>In 2015 an evaluation of the Victorian Drug Court found a 23 per cent reduction in reoffending over the first 12 months post completion and a 29 per cent reduction in reoffending 24 months post treatment order. The evaluation also found an overall reduction in serious offences, including a 90 per cent reduction in trafficking offences and a 54 per cent reduction in assaults with a weapon.</w:t>
      </w:r>
      <w:r w:rsidRPr="00F36D97">
        <w:rPr>
          <w:rStyle w:val="FootnoteReference"/>
          <w:rFonts w:ascii="Cambria" w:hAnsi="Cambria"/>
        </w:rPr>
        <w:footnoteReference w:id="13"/>
      </w:r>
      <w:r w:rsidRPr="00F36D97">
        <w:rPr>
          <w:rFonts w:ascii="Cambria" w:hAnsi="Cambria"/>
        </w:rPr>
        <w:t xml:space="preserve"> Similarly, </w:t>
      </w:r>
      <w:r w:rsidRPr="00F36D97">
        <w:rPr>
          <w:rFonts w:ascii="Cambria" w:hAnsi="Cambria"/>
          <w:color w:val="000000"/>
          <w:bdr w:val="none" w:sz="0" w:space="0" w:color="auto" w:frame="1"/>
          <w:shd w:val="clear" w:color="auto" w:fill="FFFFFF"/>
        </w:rPr>
        <w:t>a review carried out in NSW found that participants in the NSW Drug Court were less likely to be reconvicted than offenders given conventional sanctions.</w:t>
      </w:r>
      <w:r w:rsidRPr="00F36D97">
        <w:rPr>
          <w:rStyle w:val="FootnoteReference"/>
          <w:rFonts w:ascii="Cambria" w:hAnsi="Cambria"/>
          <w:color w:val="000000"/>
          <w:bdr w:val="none" w:sz="0" w:space="0" w:color="auto" w:frame="1"/>
          <w:shd w:val="clear" w:color="auto" w:fill="FFFFFF"/>
        </w:rPr>
        <w:footnoteReference w:id="14"/>
      </w:r>
      <w:r w:rsidRPr="00F36D97">
        <w:rPr>
          <w:rFonts w:ascii="Cambria" w:hAnsi="Cambria"/>
          <w:color w:val="000000"/>
          <w:bdr w:val="none" w:sz="0" w:space="0" w:color="auto" w:frame="1"/>
          <w:shd w:val="clear" w:color="auto" w:fill="FFFFFF"/>
        </w:rPr>
        <w:t xml:space="preserve"> It is also worth acknowledging that successful completion of </w:t>
      </w:r>
      <w:r w:rsidR="003F3E94">
        <w:rPr>
          <w:rFonts w:ascii="Cambria" w:hAnsi="Cambria"/>
          <w:color w:val="000000" w:themeColor="text1"/>
        </w:rPr>
        <w:t>CMD</w:t>
      </w:r>
      <w:r w:rsidR="003F3E94" w:rsidRPr="00F36D97">
        <w:rPr>
          <w:rFonts w:ascii="Cambria" w:hAnsi="Cambria"/>
          <w:color w:val="000000" w:themeColor="text1"/>
        </w:rPr>
        <w:t xml:space="preserve"> </w:t>
      </w:r>
      <w:r w:rsidRPr="00F36D97">
        <w:rPr>
          <w:rFonts w:ascii="Cambria" w:hAnsi="Cambria"/>
          <w:color w:val="000000"/>
          <w:bdr w:val="none" w:sz="0" w:space="0" w:color="auto" w:frame="1"/>
          <w:shd w:val="clear" w:color="auto" w:fill="FFFFFF"/>
        </w:rPr>
        <w:t xml:space="preserve">not only reduces recidivism but also has positive flow on effects on police, court and prison resources. </w:t>
      </w:r>
    </w:p>
    <w:p w:rsidR="00586D27" w:rsidRDefault="00586D27" w:rsidP="00586D27">
      <w:pPr>
        <w:jc w:val="both"/>
        <w:rPr>
          <w:rFonts w:ascii="Cambria" w:hAnsi="Cambria"/>
          <w:color w:val="000000"/>
          <w:bdr w:val="none" w:sz="0" w:space="0" w:color="auto" w:frame="1"/>
          <w:shd w:val="clear" w:color="auto" w:fill="FFFFFF"/>
        </w:rPr>
      </w:pPr>
    </w:p>
    <w:p w:rsidR="00F32C19" w:rsidRPr="003F3E94" w:rsidRDefault="003F3E94" w:rsidP="003F3E94">
      <w:pPr>
        <w:pBdr>
          <w:top w:val="single" w:sz="4" w:space="1" w:color="auto"/>
          <w:left w:val="single" w:sz="4" w:space="4" w:color="auto"/>
          <w:bottom w:val="single" w:sz="4" w:space="1" w:color="auto"/>
          <w:right w:val="single" w:sz="4" w:space="4" w:color="auto"/>
        </w:pBdr>
        <w:jc w:val="both"/>
        <w:rPr>
          <w:rFonts w:ascii="Cambria" w:hAnsi="Cambria"/>
          <w:color w:val="000000"/>
          <w:bdr w:val="none" w:sz="0" w:space="0" w:color="auto" w:frame="1"/>
          <w:shd w:val="clear" w:color="auto" w:fill="FFFFFF"/>
        </w:rPr>
      </w:pPr>
      <w:r w:rsidRPr="003F3E94">
        <w:rPr>
          <w:rFonts w:ascii="Cambria" w:hAnsi="Cambria"/>
          <w:b/>
          <w:bCs/>
          <w:color w:val="000000" w:themeColor="text1"/>
          <w:bdr w:val="none" w:sz="0" w:space="0" w:color="auto" w:frame="1"/>
        </w:rPr>
        <w:t>Recommendation:</w:t>
      </w:r>
      <w:r>
        <w:rPr>
          <w:rFonts w:ascii="Cambria" w:hAnsi="Cambria"/>
          <w:color w:val="000000" w:themeColor="text1"/>
          <w:bdr w:val="none" w:sz="0" w:space="0" w:color="auto" w:frame="1"/>
        </w:rPr>
        <w:t xml:space="preserve"> </w:t>
      </w:r>
      <w:r w:rsidR="00D54F8E">
        <w:rPr>
          <w:rFonts w:ascii="Cambria" w:hAnsi="Cambria"/>
          <w:color w:val="000000" w:themeColor="text1"/>
          <w:bdr w:val="none" w:sz="0" w:space="0" w:color="auto" w:frame="1"/>
        </w:rPr>
        <w:t xml:space="preserve">That the </w:t>
      </w:r>
      <w:r w:rsidR="00D54F8E" w:rsidRPr="00D54F8E">
        <w:rPr>
          <w:rFonts w:ascii="Cambria" w:hAnsi="Cambria"/>
          <w:i/>
          <w:iCs/>
          <w:color w:val="000000" w:themeColor="text1"/>
          <w:bdr w:val="none" w:sz="0" w:space="0" w:color="auto" w:frame="1"/>
        </w:rPr>
        <w:t>Tasmanian Drug Strategy 2023-2028</w:t>
      </w:r>
      <w:r w:rsidR="00D54F8E" w:rsidRPr="00F36D97">
        <w:rPr>
          <w:rFonts w:ascii="Cambria" w:hAnsi="Cambria"/>
          <w:color w:val="000000" w:themeColor="text1"/>
          <w:bdr w:val="none" w:sz="0" w:space="0" w:color="auto" w:frame="1"/>
        </w:rPr>
        <w:t xml:space="preserve"> </w:t>
      </w:r>
      <w:r w:rsidR="00A12D9B">
        <w:rPr>
          <w:rFonts w:ascii="Cambria" w:hAnsi="Cambria"/>
          <w:color w:val="000000" w:themeColor="text1"/>
          <w:bdr w:val="none" w:sz="0" w:space="0" w:color="auto" w:frame="1"/>
        </w:rPr>
        <w:t xml:space="preserve">expressly </w:t>
      </w:r>
      <w:r w:rsidR="00D54F8E">
        <w:rPr>
          <w:rFonts w:ascii="Cambria" w:hAnsi="Cambria"/>
          <w:color w:val="000000" w:themeColor="text1"/>
          <w:bdr w:val="none" w:sz="0" w:space="0" w:color="auto" w:frame="1"/>
        </w:rPr>
        <w:t>commit to an expansion of Court Mandated Diversion that includes</w:t>
      </w:r>
      <w:r w:rsidR="00F32C19" w:rsidRPr="00F36D97">
        <w:rPr>
          <w:rFonts w:ascii="Cambria" w:hAnsi="Cambria"/>
          <w:color w:val="000000" w:themeColor="text1"/>
          <w:bdr w:val="none" w:sz="0" w:space="0" w:color="auto" w:frame="1"/>
        </w:rPr>
        <w:t xml:space="preserve"> both a broadening of the eligibility criteria and the number of places available.   </w:t>
      </w:r>
    </w:p>
    <w:p w:rsidR="00F32C19" w:rsidRPr="00F36D97" w:rsidRDefault="00F32C19" w:rsidP="00F32C19">
      <w:pPr>
        <w:pStyle w:val="NoSpacing"/>
        <w:numPr>
          <w:ilvl w:val="0"/>
          <w:numId w:val="8"/>
        </w:numPr>
        <w:shd w:val="clear" w:color="auto" w:fill="FFFFFF"/>
        <w:jc w:val="both"/>
        <w:rPr>
          <w:rFonts w:ascii="Cambria" w:hAnsi="Cambria"/>
          <w:b/>
          <w:bCs/>
          <w:i/>
          <w:iCs/>
          <w:color w:val="000000" w:themeColor="text1"/>
          <w:bdr w:val="none" w:sz="0" w:space="0" w:color="auto" w:frame="1"/>
        </w:rPr>
      </w:pPr>
      <w:r w:rsidRPr="00F36D97">
        <w:rPr>
          <w:rFonts w:ascii="Cambria" w:hAnsi="Cambria"/>
          <w:b/>
          <w:bCs/>
          <w:i/>
          <w:iCs/>
          <w:color w:val="000000" w:themeColor="text1"/>
          <w:bdr w:val="none" w:sz="0" w:space="0" w:color="auto" w:frame="1"/>
        </w:rPr>
        <w:lastRenderedPageBreak/>
        <w:t>Prison-based rehabilitation programs</w:t>
      </w:r>
    </w:p>
    <w:p w:rsidR="00F32C19" w:rsidRPr="00F36D97" w:rsidRDefault="00F32C19" w:rsidP="00F32C19">
      <w:pPr>
        <w:pStyle w:val="NoSpacing"/>
        <w:shd w:val="clear" w:color="auto" w:fill="FFFFFF"/>
        <w:jc w:val="both"/>
        <w:rPr>
          <w:rFonts w:ascii="Cambria" w:hAnsi="Cambria"/>
          <w:color w:val="000000" w:themeColor="text1"/>
          <w:bdr w:val="none" w:sz="0" w:space="0" w:color="auto" w:frame="1"/>
        </w:rPr>
      </w:pPr>
      <w:r w:rsidRPr="00F36D97">
        <w:rPr>
          <w:rFonts w:ascii="Cambria" w:hAnsi="Cambria"/>
          <w:color w:val="000000" w:themeColor="text1"/>
          <w:bdr w:val="none" w:sz="0" w:space="0" w:color="auto" w:frame="1"/>
        </w:rPr>
        <w:t xml:space="preserve">The </w:t>
      </w:r>
      <w:r w:rsidR="003F3E94">
        <w:rPr>
          <w:rFonts w:ascii="Cambria" w:hAnsi="Cambria"/>
          <w:color w:val="000000" w:themeColor="text1"/>
          <w:bdr w:val="none" w:sz="0" w:space="0" w:color="auto" w:frame="1"/>
        </w:rPr>
        <w:t xml:space="preserve">Consultation </w:t>
      </w:r>
      <w:r w:rsidRPr="00F36D97">
        <w:rPr>
          <w:rFonts w:ascii="Cambria" w:hAnsi="Cambria"/>
          <w:color w:val="000000" w:themeColor="text1"/>
          <w:bdr w:val="none" w:sz="0" w:space="0" w:color="auto" w:frame="1"/>
        </w:rPr>
        <w:t>Strategy commits to investigating the expansion of prison-based rehabilitation programs. We strongly believe that prison-based rehabilitation programs must be a priority given the link between p</w:t>
      </w:r>
      <w:r w:rsidRPr="00F36D97">
        <w:rPr>
          <w:rFonts w:ascii="Cambria" w:hAnsi="Cambria"/>
          <w:color w:val="000000" w:themeColor="text1"/>
        </w:rPr>
        <w:t>roblematic drug use and crime. Australian studies have found that almost half (47 per cent) of all detainees surveyed in 2021 reported that use of alcohol and/or other drugs was a contributing factor to their most recent offending.</w:t>
      </w:r>
      <w:r w:rsidRPr="00F36D97">
        <w:rPr>
          <w:rStyle w:val="FootnoteReference"/>
          <w:rFonts w:ascii="Cambria" w:hAnsi="Cambria"/>
          <w:color w:val="000000" w:themeColor="text1"/>
        </w:rPr>
        <w:footnoteReference w:id="15"/>
      </w:r>
      <w:r w:rsidRPr="00F36D97">
        <w:rPr>
          <w:rFonts w:ascii="Cambria" w:hAnsi="Cambria"/>
          <w:color w:val="000000" w:themeColor="text1"/>
        </w:rPr>
        <w:t xml:space="preserve"> Similar findings have also been found in Tasmania, with  around two-fifths of persons in prison reporting that the main reason for committing the most serious offence for which they were currently incarcerated was drug related.</w:t>
      </w:r>
      <w:r w:rsidRPr="00F36D97">
        <w:rPr>
          <w:rStyle w:val="FootnoteReference"/>
          <w:rFonts w:ascii="Cambria" w:hAnsi="Cambria"/>
          <w:color w:val="000000" w:themeColor="text1"/>
        </w:rPr>
        <w:footnoteReference w:id="16"/>
      </w:r>
      <w:r w:rsidRPr="00F36D97">
        <w:rPr>
          <w:rFonts w:ascii="Cambria" w:hAnsi="Cambria"/>
          <w:color w:val="000000" w:themeColor="text1"/>
        </w:rPr>
        <w:t xml:space="preserve"> </w:t>
      </w:r>
    </w:p>
    <w:p w:rsidR="00F32C19" w:rsidRPr="00F36D97" w:rsidRDefault="00F32C19" w:rsidP="00F32C19">
      <w:pPr>
        <w:ind w:right="-52"/>
        <w:jc w:val="both"/>
        <w:rPr>
          <w:rFonts w:ascii="Cambria" w:hAnsi="Cambria"/>
          <w:color w:val="000000" w:themeColor="text1"/>
        </w:rPr>
      </w:pPr>
    </w:p>
    <w:p w:rsidR="00F32C19" w:rsidRPr="00F36D97" w:rsidRDefault="00F32C19" w:rsidP="00F32C19">
      <w:pPr>
        <w:ind w:right="-52"/>
        <w:jc w:val="both"/>
        <w:rPr>
          <w:rFonts w:ascii="Cambria" w:hAnsi="Cambria"/>
          <w:color w:val="000000" w:themeColor="text1"/>
        </w:rPr>
      </w:pPr>
      <w:r w:rsidRPr="00F36D97">
        <w:rPr>
          <w:rFonts w:ascii="Cambria" w:hAnsi="Cambria"/>
          <w:color w:val="000000" w:themeColor="text1"/>
        </w:rPr>
        <w:t xml:space="preserve">Given the high proportion of persons entering prison with problematic drug use and the </w:t>
      </w:r>
      <w:r w:rsidR="00473083">
        <w:rPr>
          <w:rFonts w:ascii="Cambria" w:hAnsi="Cambria"/>
          <w:color w:val="000000" w:themeColor="text1"/>
        </w:rPr>
        <w:t xml:space="preserve">high </w:t>
      </w:r>
      <w:r w:rsidRPr="00F36D97">
        <w:rPr>
          <w:rFonts w:ascii="Cambria" w:hAnsi="Cambria"/>
          <w:color w:val="000000" w:themeColor="text1"/>
        </w:rPr>
        <w:t xml:space="preserve">likelihood </w:t>
      </w:r>
      <w:r w:rsidR="00473083">
        <w:rPr>
          <w:rFonts w:ascii="Cambria" w:hAnsi="Cambria"/>
          <w:color w:val="000000" w:themeColor="text1"/>
        </w:rPr>
        <w:t>on ongoing involvement with the criminal justice system post-release if ATOD issues are not addressed</w:t>
      </w:r>
      <w:r w:rsidRPr="00F36D97">
        <w:rPr>
          <w:rFonts w:ascii="Cambria" w:hAnsi="Cambria"/>
          <w:color w:val="000000" w:themeColor="text1"/>
        </w:rPr>
        <w:t xml:space="preserve">, imprisonment should be seen as an opportunity to deliver treatment. </w:t>
      </w:r>
    </w:p>
    <w:p w:rsidR="00F32C19" w:rsidRPr="00F36D97" w:rsidRDefault="00F32C19" w:rsidP="00F32C19">
      <w:pPr>
        <w:ind w:right="-52"/>
        <w:jc w:val="both"/>
        <w:rPr>
          <w:rFonts w:ascii="Cambria" w:hAnsi="Cambria"/>
          <w:color w:val="000000" w:themeColor="text1"/>
        </w:rPr>
      </w:pPr>
    </w:p>
    <w:p w:rsidR="00586D27" w:rsidRDefault="00F36D97" w:rsidP="00F32C19">
      <w:pPr>
        <w:ind w:right="-52"/>
        <w:jc w:val="both"/>
        <w:rPr>
          <w:rFonts w:ascii="Cambria" w:hAnsi="Cambria"/>
          <w:color w:val="000000" w:themeColor="text1"/>
        </w:rPr>
      </w:pPr>
      <w:r w:rsidRPr="00F36D97">
        <w:rPr>
          <w:rFonts w:ascii="Cambria" w:hAnsi="Cambria"/>
          <w:color w:val="000000" w:themeColor="text1"/>
        </w:rPr>
        <w:t xml:space="preserve">The residential treatment that was formerly provided in the Apsley Alcohol and Drug Treatment Unit (‘Apsley’) </w:t>
      </w:r>
      <w:r w:rsidRPr="00F36D97">
        <w:rPr>
          <w:rFonts w:ascii="Cambria" w:hAnsi="Cambria"/>
        </w:rPr>
        <w:t>has</w:t>
      </w:r>
      <w:r w:rsidR="00F32C19" w:rsidRPr="00F36D97">
        <w:rPr>
          <w:rFonts w:ascii="Cambria" w:hAnsi="Cambria"/>
        </w:rPr>
        <w:t xml:space="preserve"> been found to be the most effective treatment model in a prison setting</w:t>
      </w:r>
      <w:r w:rsidR="003A484A">
        <w:rPr>
          <w:rFonts w:ascii="Cambria" w:hAnsi="Cambria"/>
        </w:rPr>
        <w:t>,</w:t>
      </w:r>
      <w:r w:rsidR="00F32C19" w:rsidRPr="00F36D97">
        <w:rPr>
          <w:rFonts w:ascii="Cambria" w:hAnsi="Cambria"/>
        </w:rPr>
        <w:t xml:space="preserve"> with studies finding “relatively consistent reductions in recidivism and alcohol and other drug use”.</w:t>
      </w:r>
      <w:r w:rsidR="00F32C19" w:rsidRPr="00F36D97">
        <w:rPr>
          <w:rStyle w:val="FootnoteReference"/>
          <w:rFonts w:ascii="Cambria" w:hAnsi="Cambria"/>
        </w:rPr>
        <w:footnoteReference w:id="17"/>
      </w:r>
      <w:r w:rsidR="00F32C19" w:rsidRPr="00F36D97">
        <w:rPr>
          <w:rFonts w:ascii="Cambria" w:hAnsi="Cambria"/>
        </w:rPr>
        <w:t xml:space="preserve"> </w:t>
      </w:r>
      <w:r w:rsidRPr="00F36D97">
        <w:rPr>
          <w:rFonts w:ascii="Cambria" w:hAnsi="Cambria"/>
        </w:rPr>
        <w:t>Nevertheless,</w:t>
      </w:r>
      <w:r w:rsidR="00586D27">
        <w:rPr>
          <w:rFonts w:ascii="Cambria" w:hAnsi="Cambria"/>
        </w:rPr>
        <w:t xml:space="preserve"> a recent response from the Department of Justice noted that between 2017/18 – 2019/20 </w:t>
      </w:r>
      <w:r w:rsidR="00F32C19" w:rsidRPr="00F36D97">
        <w:rPr>
          <w:rFonts w:ascii="Cambria" w:hAnsi="Cambria"/>
          <w:color w:val="000000" w:themeColor="text1"/>
        </w:rPr>
        <w:t xml:space="preserve">less than one-third (29 per cent) of all referrals </w:t>
      </w:r>
      <w:r w:rsidR="00D54F8E">
        <w:rPr>
          <w:rFonts w:ascii="Cambria" w:hAnsi="Cambria"/>
          <w:color w:val="000000" w:themeColor="text1"/>
        </w:rPr>
        <w:t xml:space="preserve">to residential treatment </w:t>
      </w:r>
      <w:r w:rsidR="00F32C19" w:rsidRPr="00F36D97">
        <w:rPr>
          <w:rFonts w:ascii="Cambria" w:hAnsi="Cambria"/>
          <w:color w:val="000000" w:themeColor="text1"/>
        </w:rPr>
        <w:t>resulted in commencement.</w:t>
      </w:r>
      <w:r w:rsidR="00F32C19" w:rsidRPr="00F36D97">
        <w:rPr>
          <w:rStyle w:val="FootnoteReference"/>
          <w:rFonts w:ascii="Cambria" w:hAnsi="Cambria"/>
          <w:color w:val="000000"/>
          <w:shd w:val="clear" w:color="auto" w:fill="FFFFFF"/>
        </w:rPr>
        <w:footnoteReference w:id="18"/>
      </w:r>
    </w:p>
    <w:p w:rsidR="00586D27" w:rsidRDefault="00586D27" w:rsidP="00F32C19">
      <w:pPr>
        <w:ind w:right="-52"/>
        <w:jc w:val="both"/>
        <w:rPr>
          <w:rFonts w:ascii="Cambria" w:hAnsi="Cambria"/>
          <w:color w:val="000000" w:themeColor="text1"/>
        </w:rPr>
      </w:pPr>
    </w:p>
    <w:p w:rsidR="00F32C19" w:rsidRPr="00586D27" w:rsidRDefault="00F36D97" w:rsidP="00F32C19">
      <w:pPr>
        <w:ind w:right="-52"/>
        <w:jc w:val="both"/>
        <w:rPr>
          <w:rFonts w:ascii="Cambria" w:hAnsi="Cambria"/>
        </w:rPr>
      </w:pPr>
      <w:r w:rsidRPr="00F36D97">
        <w:rPr>
          <w:rFonts w:ascii="Cambria" w:hAnsi="Cambria"/>
          <w:color w:val="000000" w:themeColor="text1"/>
        </w:rPr>
        <w:t xml:space="preserve">We welcome the </w:t>
      </w:r>
      <w:r w:rsidR="00F32C19" w:rsidRPr="00F36D97">
        <w:rPr>
          <w:rFonts w:ascii="Cambria" w:hAnsi="Cambria"/>
          <w:color w:val="000000" w:themeColor="text1"/>
        </w:rPr>
        <w:t>Minister for Corrections announce</w:t>
      </w:r>
      <w:r w:rsidRPr="00F36D97">
        <w:rPr>
          <w:rFonts w:ascii="Cambria" w:hAnsi="Cambria"/>
          <w:color w:val="000000" w:themeColor="text1"/>
        </w:rPr>
        <w:t>ment</w:t>
      </w:r>
      <w:r w:rsidR="00F32C19" w:rsidRPr="00F36D97">
        <w:rPr>
          <w:rFonts w:ascii="Cambria" w:hAnsi="Cambria"/>
          <w:color w:val="000000" w:themeColor="text1"/>
        </w:rPr>
        <w:t xml:space="preserve"> that Apsley </w:t>
      </w:r>
      <w:r w:rsidRPr="00F36D97">
        <w:rPr>
          <w:rFonts w:ascii="Cambria" w:hAnsi="Cambria"/>
          <w:color w:val="000000" w:themeColor="text1"/>
        </w:rPr>
        <w:t>is</w:t>
      </w:r>
      <w:r w:rsidR="00F32C19" w:rsidRPr="00F36D97">
        <w:rPr>
          <w:rFonts w:ascii="Cambria" w:hAnsi="Cambria"/>
          <w:color w:val="000000" w:themeColor="text1"/>
        </w:rPr>
        <w:t xml:space="preserve"> </w:t>
      </w:r>
      <w:r w:rsidRPr="00F36D97">
        <w:rPr>
          <w:rFonts w:ascii="Cambria" w:hAnsi="Cambria"/>
          <w:color w:val="000000" w:themeColor="text1"/>
        </w:rPr>
        <w:t xml:space="preserve">in the process </w:t>
      </w:r>
      <w:r w:rsidR="00F32C19" w:rsidRPr="00F36D97">
        <w:rPr>
          <w:rFonts w:ascii="Cambria" w:hAnsi="Cambria"/>
          <w:color w:val="000000" w:themeColor="text1"/>
        </w:rPr>
        <w:t>of being transferred to the Ron Barwick Prison, “to facilitate a larger residential therapeutic program, specifically delivered to medium- and minimum-security rated prisoners. This expanded program will accommodate 34 participants (compared to the previous 10 places)”.</w:t>
      </w:r>
      <w:r w:rsidRPr="00F36D97">
        <w:rPr>
          <w:rStyle w:val="FootnoteReference"/>
          <w:rFonts w:ascii="Cambria" w:hAnsi="Cambria"/>
          <w:color w:val="000000" w:themeColor="text1"/>
        </w:rPr>
        <w:footnoteReference w:id="19"/>
      </w:r>
      <w:r w:rsidRPr="00F36D97">
        <w:rPr>
          <w:rFonts w:ascii="Cambria" w:hAnsi="Cambria"/>
          <w:color w:val="000000" w:themeColor="text1"/>
        </w:rPr>
        <w:t xml:space="preserve"> </w:t>
      </w:r>
      <w:r w:rsidR="00F32C19" w:rsidRPr="00F36D97">
        <w:rPr>
          <w:rFonts w:ascii="Cambria" w:hAnsi="Cambria"/>
          <w:color w:val="000000" w:themeColor="text1"/>
        </w:rPr>
        <w:t>Whilst we strongly support the intention to increase the number of participants who will be accommodated within the new Alcohol and Drug Treatment Unit it is nevertheless half of those who were assessed as eligible for the program between 2017-18 and 2019-20.</w:t>
      </w:r>
      <w:r w:rsidR="003F3E94">
        <w:rPr>
          <w:rStyle w:val="FootnoteReference"/>
          <w:rFonts w:ascii="Cambria" w:hAnsi="Cambria"/>
          <w:color w:val="000000" w:themeColor="text1"/>
        </w:rPr>
        <w:footnoteReference w:id="20"/>
      </w:r>
      <w:r w:rsidR="00F32C19" w:rsidRPr="00F36D97">
        <w:rPr>
          <w:rFonts w:ascii="Cambria" w:hAnsi="Cambria"/>
          <w:color w:val="000000" w:themeColor="text1"/>
        </w:rPr>
        <w:t xml:space="preserve"> </w:t>
      </w:r>
    </w:p>
    <w:p w:rsidR="00586D27" w:rsidRDefault="00586D27" w:rsidP="00F36D97">
      <w:pPr>
        <w:ind w:right="-52"/>
        <w:jc w:val="both"/>
        <w:rPr>
          <w:rFonts w:ascii="Cambria" w:hAnsi="Cambria"/>
          <w:color w:val="000000" w:themeColor="text1"/>
        </w:rPr>
      </w:pPr>
    </w:p>
    <w:p w:rsidR="00F36D97" w:rsidRPr="009B5582" w:rsidRDefault="00F36D97" w:rsidP="00F36D97">
      <w:pPr>
        <w:ind w:right="-52"/>
        <w:jc w:val="both"/>
        <w:rPr>
          <w:rFonts w:ascii="Cambria" w:hAnsi="Cambria"/>
          <w:color w:val="000000" w:themeColor="text1"/>
        </w:rPr>
      </w:pPr>
      <w:r>
        <w:rPr>
          <w:rFonts w:ascii="Cambria" w:hAnsi="Cambria"/>
          <w:color w:val="000000" w:themeColor="text1"/>
        </w:rPr>
        <w:lastRenderedPageBreak/>
        <w:t xml:space="preserve">We would also note that </w:t>
      </w:r>
      <w:r w:rsidRPr="009B5582">
        <w:rPr>
          <w:rFonts w:ascii="Cambria" w:hAnsi="Cambria"/>
          <w:color w:val="000000" w:themeColor="text1"/>
        </w:rPr>
        <w:t xml:space="preserve">many persons </w:t>
      </w:r>
      <w:r>
        <w:rPr>
          <w:rFonts w:ascii="Cambria" w:hAnsi="Cambria"/>
          <w:color w:val="000000" w:themeColor="text1"/>
        </w:rPr>
        <w:t xml:space="preserve">in prison </w:t>
      </w:r>
      <w:r w:rsidR="003A484A">
        <w:rPr>
          <w:rFonts w:ascii="Cambria" w:hAnsi="Cambria"/>
          <w:color w:val="000000" w:themeColor="text1"/>
        </w:rPr>
        <w:t xml:space="preserve">are still unable to access </w:t>
      </w:r>
      <w:r>
        <w:rPr>
          <w:rFonts w:ascii="Cambria" w:hAnsi="Cambria"/>
          <w:color w:val="000000" w:themeColor="text1"/>
        </w:rPr>
        <w:t>the treatment they need</w:t>
      </w:r>
      <w:r w:rsidRPr="009B5582">
        <w:rPr>
          <w:rFonts w:ascii="Cambria" w:hAnsi="Cambria"/>
          <w:color w:val="000000" w:themeColor="text1"/>
        </w:rPr>
        <w:t>. For example,</w:t>
      </w:r>
      <w:r>
        <w:rPr>
          <w:rFonts w:ascii="Cambria" w:hAnsi="Cambria"/>
          <w:color w:val="000000" w:themeColor="text1"/>
        </w:rPr>
        <w:t xml:space="preserve"> </w:t>
      </w:r>
      <w:r w:rsidRPr="009B5582">
        <w:rPr>
          <w:rFonts w:ascii="Cambria" w:hAnsi="Cambria"/>
          <w:color w:val="000000" w:themeColor="text1"/>
        </w:rPr>
        <w:t>a review of decisions of the Parole Board of Tasmania during 2022 found that 20 per cent of successful applications had not received alcohol and other drug treatment whilst in prison.</w:t>
      </w:r>
      <w:r w:rsidRPr="009B5582">
        <w:rPr>
          <w:rStyle w:val="FootnoteReference"/>
          <w:rFonts w:ascii="Cambria" w:hAnsi="Cambria"/>
          <w:color w:val="000000" w:themeColor="text1"/>
        </w:rPr>
        <w:footnoteReference w:id="21"/>
      </w:r>
      <w:r w:rsidRPr="009B5582">
        <w:rPr>
          <w:rFonts w:ascii="Cambria" w:hAnsi="Cambria"/>
          <w:color w:val="000000" w:themeColor="text1"/>
        </w:rPr>
        <w:t xml:space="preserve"> </w:t>
      </w:r>
    </w:p>
    <w:p w:rsidR="003F3E94" w:rsidRDefault="003F3E94" w:rsidP="003F3E94">
      <w:pPr>
        <w:jc w:val="both"/>
        <w:rPr>
          <w:rFonts w:ascii="Cambria" w:hAnsi="Cambria"/>
          <w:color w:val="000000"/>
          <w:bdr w:val="none" w:sz="0" w:space="0" w:color="auto" w:frame="1"/>
          <w:shd w:val="clear" w:color="auto" w:fill="FFFFFF"/>
        </w:rPr>
      </w:pPr>
    </w:p>
    <w:p w:rsidR="00D54F8E" w:rsidRDefault="003F3E94" w:rsidP="003F3E94">
      <w:pPr>
        <w:pBdr>
          <w:top w:val="single" w:sz="4" w:space="1" w:color="auto"/>
          <w:left w:val="single" w:sz="4" w:space="4" w:color="auto"/>
          <w:bottom w:val="single" w:sz="4" w:space="1" w:color="auto"/>
          <w:right w:val="single" w:sz="4" w:space="4" w:color="auto"/>
        </w:pBdr>
        <w:jc w:val="both"/>
        <w:rPr>
          <w:rFonts w:ascii="Cambria" w:hAnsi="Cambria"/>
          <w:color w:val="000000" w:themeColor="text1"/>
          <w:bdr w:val="none" w:sz="0" w:space="0" w:color="auto" w:frame="1"/>
        </w:rPr>
      </w:pPr>
      <w:r w:rsidRPr="003F3E94">
        <w:rPr>
          <w:rFonts w:ascii="Cambria" w:hAnsi="Cambria"/>
          <w:b/>
          <w:bCs/>
          <w:color w:val="000000" w:themeColor="text1"/>
          <w:bdr w:val="none" w:sz="0" w:space="0" w:color="auto" w:frame="1"/>
        </w:rPr>
        <w:t>Recommendation:</w:t>
      </w:r>
      <w:r>
        <w:rPr>
          <w:rFonts w:ascii="Cambria" w:hAnsi="Cambria"/>
          <w:color w:val="000000" w:themeColor="text1"/>
          <w:bdr w:val="none" w:sz="0" w:space="0" w:color="auto" w:frame="1"/>
        </w:rPr>
        <w:t xml:space="preserve"> </w:t>
      </w:r>
      <w:r w:rsidR="00D54F8E">
        <w:rPr>
          <w:rFonts w:ascii="Cambria" w:hAnsi="Cambria"/>
          <w:color w:val="000000" w:themeColor="text1"/>
          <w:bdr w:val="none" w:sz="0" w:space="0" w:color="auto" w:frame="1"/>
        </w:rPr>
        <w:t xml:space="preserve">That the </w:t>
      </w:r>
      <w:r w:rsidR="00D54F8E" w:rsidRPr="00D54F8E">
        <w:rPr>
          <w:rFonts w:ascii="Cambria" w:hAnsi="Cambria"/>
          <w:i/>
          <w:iCs/>
          <w:color w:val="000000" w:themeColor="text1"/>
          <w:bdr w:val="none" w:sz="0" w:space="0" w:color="auto" w:frame="1"/>
        </w:rPr>
        <w:t>Tasmanian Drug Strategy 2023-2028</w:t>
      </w:r>
      <w:r w:rsidR="00D54F8E" w:rsidRPr="00F36D97">
        <w:rPr>
          <w:rFonts w:ascii="Cambria" w:hAnsi="Cambria"/>
          <w:color w:val="000000" w:themeColor="text1"/>
          <w:bdr w:val="none" w:sz="0" w:space="0" w:color="auto" w:frame="1"/>
        </w:rPr>
        <w:t xml:space="preserve"> </w:t>
      </w:r>
      <w:r w:rsidRPr="00F36D97">
        <w:rPr>
          <w:rFonts w:ascii="Cambria" w:hAnsi="Cambria"/>
          <w:color w:val="000000" w:themeColor="text1"/>
          <w:bdr w:val="none" w:sz="0" w:space="0" w:color="auto" w:frame="1"/>
        </w:rPr>
        <w:t>commit to</w:t>
      </w:r>
      <w:r w:rsidR="00D54F8E">
        <w:rPr>
          <w:rFonts w:ascii="Cambria" w:hAnsi="Cambria"/>
          <w:color w:val="000000" w:themeColor="text1"/>
          <w:bdr w:val="none" w:sz="0" w:space="0" w:color="auto" w:frame="1"/>
        </w:rPr>
        <w:t xml:space="preserve">; </w:t>
      </w:r>
      <w:r>
        <w:rPr>
          <w:rFonts w:ascii="Cambria" w:hAnsi="Cambria"/>
          <w:color w:val="000000" w:themeColor="text1"/>
          <w:bdr w:val="none" w:sz="0" w:space="0" w:color="auto" w:frame="1"/>
        </w:rPr>
        <w:t xml:space="preserve"> </w:t>
      </w:r>
    </w:p>
    <w:p w:rsidR="00D54F8E" w:rsidRDefault="00D54F8E" w:rsidP="003F3E94">
      <w:pPr>
        <w:pBdr>
          <w:top w:val="single" w:sz="4" w:space="1" w:color="auto"/>
          <w:left w:val="single" w:sz="4" w:space="4" w:color="auto"/>
          <w:bottom w:val="single" w:sz="4" w:space="1" w:color="auto"/>
          <w:right w:val="single" w:sz="4" w:space="4" w:color="auto"/>
        </w:pBdr>
        <w:jc w:val="both"/>
        <w:rPr>
          <w:rFonts w:ascii="Cambria" w:hAnsi="Cambria"/>
          <w:color w:val="000000" w:themeColor="text1"/>
          <w:bdr w:val="none" w:sz="0" w:space="0" w:color="auto" w:frame="1"/>
        </w:rPr>
      </w:pPr>
      <w:proofErr w:type="spellStart"/>
      <w:r>
        <w:rPr>
          <w:rFonts w:ascii="Cambria" w:hAnsi="Cambria"/>
          <w:color w:val="000000" w:themeColor="text1"/>
          <w:bdr w:val="none" w:sz="0" w:space="0" w:color="auto" w:frame="1"/>
        </w:rPr>
        <w:t>i</w:t>
      </w:r>
      <w:proofErr w:type="spellEnd"/>
      <w:r>
        <w:rPr>
          <w:rFonts w:ascii="Cambria" w:hAnsi="Cambria"/>
          <w:color w:val="000000" w:themeColor="text1"/>
          <w:bdr w:val="none" w:sz="0" w:space="0" w:color="auto" w:frame="1"/>
        </w:rPr>
        <w:t xml:space="preserve">) </w:t>
      </w:r>
      <w:r w:rsidR="003F3E94">
        <w:rPr>
          <w:rFonts w:ascii="Cambria" w:hAnsi="Cambria"/>
          <w:color w:val="000000" w:themeColor="text1"/>
          <w:bdr w:val="none" w:sz="0" w:space="0" w:color="auto" w:frame="1"/>
        </w:rPr>
        <w:t xml:space="preserve">investigating the expansion of </w:t>
      </w:r>
      <w:r>
        <w:rPr>
          <w:rFonts w:ascii="Cambria" w:hAnsi="Cambria"/>
          <w:color w:val="000000" w:themeColor="text1"/>
          <w:bdr w:val="none" w:sz="0" w:space="0" w:color="auto" w:frame="1"/>
        </w:rPr>
        <w:t xml:space="preserve">residential treatment within the prison; and </w:t>
      </w:r>
    </w:p>
    <w:p w:rsidR="00D54F8E" w:rsidRDefault="00D54F8E" w:rsidP="003F3E94">
      <w:pPr>
        <w:pBdr>
          <w:top w:val="single" w:sz="4" w:space="1" w:color="auto"/>
          <w:left w:val="single" w:sz="4" w:space="4" w:color="auto"/>
          <w:bottom w:val="single" w:sz="4" w:space="1" w:color="auto"/>
          <w:right w:val="single" w:sz="4" w:space="4" w:color="auto"/>
        </w:pBdr>
        <w:jc w:val="both"/>
        <w:rPr>
          <w:rFonts w:ascii="Cambria" w:hAnsi="Cambria"/>
          <w:color w:val="000000" w:themeColor="text1"/>
          <w:bdr w:val="none" w:sz="0" w:space="0" w:color="auto" w:frame="1"/>
        </w:rPr>
      </w:pPr>
      <w:r>
        <w:rPr>
          <w:rFonts w:ascii="Cambria" w:hAnsi="Cambria"/>
          <w:color w:val="000000" w:themeColor="text1"/>
          <w:bdr w:val="none" w:sz="0" w:space="0" w:color="auto" w:frame="1"/>
        </w:rPr>
        <w:t>ii) the provision of treatment to people who are imprisoned but not yet sentenced; and</w:t>
      </w:r>
    </w:p>
    <w:p w:rsidR="003F3E94" w:rsidRDefault="00D54F8E" w:rsidP="003F3E94">
      <w:pPr>
        <w:pBdr>
          <w:top w:val="single" w:sz="4" w:space="1" w:color="auto"/>
          <w:left w:val="single" w:sz="4" w:space="4" w:color="auto"/>
          <w:bottom w:val="single" w:sz="4" w:space="1" w:color="auto"/>
          <w:right w:val="single" w:sz="4" w:space="4" w:color="auto"/>
        </w:pBdr>
        <w:jc w:val="both"/>
        <w:rPr>
          <w:rFonts w:ascii="Cambria" w:hAnsi="Cambria"/>
          <w:color w:val="000000" w:themeColor="text1"/>
          <w:bdr w:val="none" w:sz="0" w:space="0" w:color="auto" w:frame="1"/>
        </w:rPr>
      </w:pPr>
      <w:r>
        <w:rPr>
          <w:rFonts w:ascii="Cambria" w:hAnsi="Cambria"/>
          <w:color w:val="000000" w:themeColor="text1"/>
          <w:bdr w:val="none" w:sz="0" w:space="0" w:color="auto" w:frame="1"/>
        </w:rPr>
        <w:t>iii) throughcare services upon release</w:t>
      </w:r>
      <w:r w:rsidR="003F3E94">
        <w:rPr>
          <w:rFonts w:ascii="Cambria" w:hAnsi="Cambria"/>
          <w:color w:val="000000" w:themeColor="text1"/>
          <w:bdr w:val="none" w:sz="0" w:space="0" w:color="auto" w:frame="1"/>
        </w:rPr>
        <w:t xml:space="preserve">.   </w:t>
      </w:r>
    </w:p>
    <w:p w:rsidR="00D54F8E" w:rsidRDefault="00D54F8E" w:rsidP="00A15270">
      <w:pPr>
        <w:pStyle w:val="NoSpacing"/>
        <w:shd w:val="clear" w:color="auto" w:fill="FFFFFF"/>
        <w:jc w:val="both"/>
        <w:rPr>
          <w:rFonts w:ascii="Cambria" w:hAnsi="Cambria"/>
          <w:b/>
          <w:bCs/>
          <w:color w:val="000000" w:themeColor="text1"/>
          <w:bdr w:val="none" w:sz="0" w:space="0" w:color="auto" w:frame="1"/>
        </w:rPr>
      </w:pPr>
    </w:p>
    <w:p w:rsidR="00503EEA" w:rsidRPr="00AA4E65" w:rsidRDefault="00AA4E65" w:rsidP="00AA4E65">
      <w:pPr>
        <w:pStyle w:val="NoSpacing"/>
        <w:numPr>
          <w:ilvl w:val="0"/>
          <w:numId w:val="8"/>
        </w:numPr>
        <w:shd w:val="clear" w:color="auto" w:fill="FFFFFF"/>
        <w:jc w:val="both"/>
        <w:rPr>
          <w:rFonts w:ascii="Cambria" w:hAnsi="Cambria"/>
          <w:b/>
          <w:bCs/>
          <w:i/>
          <w:iCs/>
          <w:color w:val="000000" w:themeColor="text1"/>
          <w:bdr w:val="none" w:sz="0" w:space="0" w:color="auto" w:frame="1"/>
        </w:rPr>
      </w:pPr>
      <w:r w:rsidRPr="00AA4E65">
        <w:rPr>
          <w:rFonts w:ascii="Cambria" w:hAnsi="Cambria"/>
          <w:b/>
          <w:bCs/>
          <w:i/>
          <w:iCs/>
          <w:color w:val="000000" w:themeColor="text1"/>
          <w:bdr w:val="none" w:sz="0" w:space="0" w:color="auto" w:frame="1"/>
        </w:rPr>
        <w:t>Health-focused, evidence-based response to drug use</w:t>
      </w:r>
    </w:p>
    <w:p w:rsidR="00D54F8E" w:rsidRDefault="00AA4E65" w:rsidP="00F91F24">
      <w:pPr>
        <w:pStyle w:val="NoSpacing"/>
        <w:shd w:val="clear" w:color="auto" w:fill="FFFFFF"/>
        <w:jc w:val="both"/>
        <w:rPr>
          <w:rFonts w:ascii="Cambria" w:hAnsi="Cambria"/>
          <w:color w:val="000000" w:themeColor="text1"/>
          <w:bdr w:val="none" w:sz="0" w:space="0" w:color="auto" w:frame="1"/>
          <w:shd w:val="clear" w:color="auto" w:fill="FFFFFF"/>
        </w:rPr>
      </w:pPr>
      <w:r w:rsidRPr="00AA4E65">
        <w:rPr>
          <w:rFonts w:ascii="Cambria" w:hAnsi="Cambria"/>
          <w:color w:val="000000" w:themeColor="text1"/>
          <w:bdr w:val="none" w:sz="0" w:space="0" w:color="auto" w:frame="1"/>
        </w:rPr>
        <w:t xml:space="preserve">We strongly </w:t>
      </w:r>
      <w:r w:rsidR="00F91F24">
        <w:rPr>
          <w:rFonts w:ascii="Cambria" w:hAnsi="Cambria"/>
          <w:color w:val="000000" w:themeColor="text1"/>
          <w:bdr w:val="none" w:sz="0" w:space="0" w:color="auto" w:frame="1"/>
        </w:rPr>
        <w:t xml:space="preserve">support the Consultation Strategy’s commitment to </w:t>
      </w:r>
      <w:r w:rsidR="00F91F24" w:rsidRPr="00F36D97">
        <w:rPr>
          <w:rFonts w:ascii="Cambria" w:hAnsi="Cambria"/>
          <w:color w:val="000000" w:themeColor="text1"/>
          <w:bdr w:val="none" w:sz="0" w:space="0" w:color="auto" w:frame="1"/>
        </w:rPr>
        <w:t>“a health response to illicit drug use”</w:t>
      </w:r>
      <w:r w:rsidR="00F91F24">
        <w:rPr>
          <w:rFonts w:ascii="Cambria" w:hAnsi="Cambria"/>
          <w:color w:val="000000" w:themeColor="text1"/>
          <w:bdr w:val="none" w:sz="0" w:space="0" w:color="auto" w:frame="1"/>
        </w:rPr>
        <w:t>.</w:t>
      </w:r>
      <w:r w:rsidR="00F91F24" w:rsidRPr="00F36D97">
        <w:rPr>
          <w:rStyle w:val="FootnoteReference"/>
          <w:rFonts w:ascii="Cambria" w:hAnsi="Cambria"/>
          <w:color w:val="000000" w:themeColor="text1"/>
          <w:bdr w:val="none" w:sz="0" w:space="0" w:color="auto" w:frame="1"/>
        </w:rPr>
        <w:footnoteReference w:id="22"/>
      </w:r>
      <w:r w:rsidR="00F91F24">
        <w:rPr>
          <w:rFonts w:ascii="Cambria" w:hAnsi="Cambria"/>
          <w:color w:val="000000" w:themeColor="text1"/>
          <w:bdr w:val="none" w:sz="0" w:space="0" w:color="auto" w:frame="1"/>
        </w:rPr>
        <w:t xml:space="preserve"> However, with </w:t>
      </w:r>
      <w:r w:rsidR="00D54F8E">
        <w:rPr>
          <w:rFonts w:ascii="Cambria" w:hAnsi="Cambria"/>
          <w:color w:val="000000" w:themeColor="text1"/>
          <w:bdr w:val="none" w:sz="0" w:space="0" w:color="auto" w:frame="1"/>
        </w:rPr>
        <w:t xml:space="preserve">studies finding that </w:t>
      </w:r>
      <w:r w:rsidR="00F91F24" w:rsidRPr="00C47C36">
        <w:rPr>
          <w:rFonts w:ascii="Cambria" w:hAnsi="Cambria"/>
          <w:color w:val="000000" w:themeColor="text1"/>
          <w:bdr w:val="none" w:sz="0" w:space="0" w:color="auto" w:frame="1"/>
          <w:shd w:val="clear" w:color="auto" w:fill="FFFFFF"/>
        </w:rPr>
        <w:t xml:space="preserve">nearly two-thirds (64 per cent) </w:t>
      </w:r>
      <w:r w:rsidR="00F91F24">
        <w:rPr>
          <w:rFonts w:ascii="Cambria" w:hAnsi="Cambria"/>
          <w:color w:val="000000" w:themeColor="text1"/>
          <w:bdr w:val="none" w:sz="0" w:space="0" w:color="auto" w:frame="1"/>
          <w:shd w:val="clear" w:color="auto" w:fill="FFFFFF"/>
        </w:rPr>
        <w:t xml:space="preserve">of </w:t>
      </w:r>
      <w:r w:rsidR="00D54F8E">
        <w:rPr>
          <w:rFonts w:ascii="Cambria" w:hAnsi="Cambria"/>
          <w:color w:val="000000" w:themeColor="text1"/>
          <w:bdr w:val="none" w:sz="0" w:space="0" w:color="auto" w:frame="1"/>
          <w:shd w:val="clear" w:color="auto" w:fill="FFFFFF"/>
        </w:rPr>
        <w:t>all Commonwealth, State and Territory</w:t>
      </w:r>
      <w:r w:rsidR="00F91F24">
        <w:rPr>
          <w:rFonts w:ascii="Cambria" w:hAnsi="Cambria"/>
          <w:color w:val="000000" w:themeColor="text1"/>
          <w:bdr w:val="none" w:sz="0" w:space="0" w:color="auto" w:frame="1"/>
          <w:shd w:val="clear" w:color="auto" w:fill="FFFFFF"/>
        </w:rPr>
        <w:t xml:space="preserve"> funding </w:t>
      </w:r>
      <w:proofErr w:type="gramStart"/>
      <w:r w:rsidR="00D54F8E">
        <w:rPr>
          <w:rFonts w:ascii="Cambria" w:hAnsi="Cambria"/>
          <w:color w:val="000000" w:themeColor="text1"/>
          <w:bdr w:val="none" w:sz="0" w:space="0" w:color="auto" w:frame="1"/>
          <w:shd w:val="clear" w:color="auto" w:fill="FFFFFF"/>
        </w:rPr>
        <w:t>is</w:t>
      </w:r>
      <w:proofErr w:type="gramEnd"/>
      <w:r w:rsidR="00D54F8E">
        <w:rPr>
          <w:rFonts w:ascii="Cambria" w:hAnsi="Cambria"/>
          <w:color w:val="000000" w:themeColor="text1"/>
          <w:bdr w:val="none" w:sz="0" w:space="0" w:color="auto" w:frame="1"/>
          <w:shd w:val="clear" w:color="auto" w:fill="FFFFFF"/>
        </w:rPr>
        <w:t xml:space="preserve"> </w:t>
      </w:r>
      <w:r w:rsidR="00F91F24" w:rsidRPr="00C47C36">
        <w:rPr>
          <w:rFonts w:ascii="Cambria" w:hAnsi="Cambria"/>
          <w:color w:val="000000" w:themeColor="text1"/>
          <w:bdr w:val="none" w:sz="0" w:space="0" w:color="auto" w:frame="1"/>
          <w:shd w:val="clear" w:color="auto" w:fill="FFFFFF"/>
        </w:rPr>
        <w:t>directed to law enforcement</w:t>
      </w:r>
      <w:r w:rsidR="00F91F24" w:rsidRPr="00C47C36">
        <w:rPr>
          <w:rStyle w:val="FootnoteReference"/>
          <w:rFonts w:ascii="Cambria" w:hAnsi="Cambria"/>
          <w:color w:val="000000" w:themeColor="text1"/>
          <w:bdr w:val="none" w:sz="0" w:space="0" w:color="auto" w:frame="1"/>
          <w:shd w:val="clear" w:color="auto" w:fill="FFFFFF"/>
        </w:rPr>
        <w:footnoteReference w:id="23"/>
      </w:r>
      <w:r w:rsidR="00F91F24">
        <w:rPr>
          <w:rFonts w:ascii="Cambria" w:hAnsi="Cambria"/>
          <w:color w:val="000000" w:themeColor="text1"/>
          <w:bdr w:val="none" w:sz="0" w:space="0" w:color="auto" w:frame="1"/>
          <w:shd w:val="clear" w:color="auto" w:fill="FFFFFF"/>
        </w:rPr>
        <w:t xml:space="preserve"> it is unclear how this </w:t>
      </w:r>
      <w:r w:rsidR="00D54F8E">
        <w:rPr>
          <w:rFonts w:ascii="Cambria" w:hAnsi="Cambria"/>
          <w:color w:val="000000" w:themeColor="text1"/>
          <w:bdr w:val="none" w:sz="0" w:space="0" w:color="auto" w:frame="1"/>
          <w:shd w:val="clear" w:color="auto" w:fill="FFFFFF"/>
        </w:rPr>
        <w:t>reorientation</w:t>
      </w:r>
      <w:r w:rsidR="00F91F24">
        <w:rPr>
          <w:rFonts w:ascii="Cambria" w:hAnsi="Cambria"/>
          <w:color w:val="000000" w:themeColor="text1"/>
          <w:bdr w:val="none" w:sz="0" w:space="0" w:color="auto" w:frame="1"/>
          <w:shd w:val="clear" w:color="auto" w:fill="FFFFFF"/>
        </w:rPr>
        <w:t xml:space="preserve"> will be achieved</w:t>
      </w:r>
      <w:r w:rsidR="00D54F8E">
        <w:rPr>
          <w:rFonts w:ascii="Cambria" w:hAnsi="Cambria"/>
          <w:color w:val="000000" w:themeColor="text1"/>
          <w:bdr w:val="none" w:sz="0" w:space="0" w:color="auto" w:frame="1"/>
          <w:shd w:val="clear" w:color="auto" w:fill="FFFFFF"/>
        </w:rPr>
        <w:t xml:space="preserve"> in Tasmania</w:t>
      </w:r>
      <w:r w:rsidR="003A484A">
        <w:rPr>
          <w:rFonts w:ascii="Cambria" w:hAnsi="Cambria"/>
          <w:color w:val="000000" w:themeColor="text1"/>
          <w:bdr w:val="none" w:sz="0" w:space="0" w:color="auto" w:frame="1"/>
          <w:shd w:val="clear" w:color="auto" w:fill="FFFFFF"/>
        </w:rPr>
        <w:t xml:space="preserve"> without law reform</w:t>
      </w:r>
      <w:r w:rsidR="00F91F24">
        <w:rPr>
          <w:rFonts w:ascii="Cambria" w:hAnsi="Cambria"/>
          <w:color w:val="000000" w:themeColor="text1"/>
          <w:bdr w:val="none" w:sz="0" w:space="0" w:color="auto" w:frame="1"/>
          <w:shd w:val="clear" w:color="auto" w:fill="FFFFFF"/>
        </w:rPr>
        <w:t>.</w:t>
      </w:r>
      <w:r w:rsidR="003A484A">
        <w:rPr>
          <w:rFonts w:ascii="Cambria" w:hAnsi="Cambria"/>
          <w:color w:val="000000" w:themeColor="text1"/>
          <w:bdr w:val="none" w:sz="0" w:space="0" w:color="auto" w:frame="1"/>
          <w:shd w:val="clear" w:color="auto" w:fill="FFFFFF"/>
        </w:rPr>
        <w:t xml:space="preserve"> </w:t>
      </w:r>
      <w:r w:rsidR="00F91F24">
        <w:rPr>
          <w:rFonts w:ascii="Cambria" w:hAnsi="Cambria"/>
          <w:color w:val="000000" w:themeColor="text1"/>
          <w:bdr w:val="none" w:sz="0" w:space="0" w:color="auto" w:frame="1"/>
          <w:shd w:val="clear" w:color="auto" w:fill="FFFFFF"/>
        </w:rPr>
        <w:t xml:space="preserve"> </w:t>
      </w:r>
    </w:p>
    <w:p w:rsidR="00D54F8E" w:rsidRDefault="00D54F8E" w:rsidP="00F91F24">
      <w:pPr>
        <w:pStyle w:val="NoSpacing"/>
        <w:shd w:val="clear" w:color="auto" w:fill="FFFFFF"/>
        <w:jc w:val="both"/>
        <w:rPr>
          <w:rFonts w:ascii="Cambria" w:hAnsi="Cambria"/>
          <w:color w:val="000000" w:themeColor="text1"/>
          <w:bdr w:val="none" w:sz="0" w:space="0" w:color="auto" w:frame="1"/>
          <w:shd w:val="clear" w:color="auto" w:fill="FFFFFF"/>
        </w:rPr>
      </w:pPr>
    </w:p>
    <w:p w:rsidR="009C5F4F" w:rsidRDefault="003A484A" w:rsidP="009C5F4F">
      <w:pPr>
        <w:pStyle w:val="NoSpacing"/>
        <w:shd w:val="clear" w:color="auto" w:fill="FFFFFF"/>
        <w:jc w:val="both"/>
        <w:rPr>
          <w:rFonts w:ascii="Cambria" w:hAnsi="Cambria"/>
          <w:color w:val="000000" w:themeColor="text1"/>
          <w:bdr w:val="none" w:sz="0" w:space="0" w:color="auto" w:frame="1"/>
        </w:rPr>
      </w:pPr>
      <w:r>
        <w:rPr>
          <w:rFonts w:ascii="Cambria" w:hAnsi="Cambria"/>
          <w:color w:val="000000" w:themeColor="text1"/>
          <w:bdr w:val="none" w:sz="0" w:space="0" w:color="auto" w:frame="1"/>
        </w:rPr>
        <w:t xml:space="preserve">In the event that the </w:t>
      </w:r>
      <w:r w:rsidRPr="003A484A">
        <w:rPr>
          <w:rFonts w:ascii="Cambria" w:hAnsi="Cambria"/>
          <w:i/>
          <w:iCs/>
          <w:color w:val="000000" w:themeColor="text1"/>
          <w:bdr w:val="none" w:sz="0" w:space="0" w:color="auto" w:frame="1"/>
        </w:rPr>
        <w:t>Tasmanian Drug Strategy</w:t>
      </w:r>
      <w:r>
        <w:rPr>
          <w:rFonts w:ascii="Cambria" w:hAnsi="Cambria"/>
          <w:color w:val="000000" w:themeColor="text1"/>
          <w:bdr w:val="none" w:sz="0" w:space="0" w:color="auto" w:frame="1"/>
        </w:rPr>
        <w:t xml:space="preserve"> cannot commit to</w:t>
      </w:r>
      <w:r w:rsidR="00C90F66">
        <w:rPr>
          <w:rFonts w:ascii="Cambria" w:hAnsi="Cambria"/>
          <w:color w:val="000000" w:themeColor="text1"/>
          <w:bdr w:val="none" w:sz="0" w:space="0" w:color="auto" w:frame="1"/>
        </w:rPr>
        <w:t xml:space="preserve"> the</w:t>
      </w:r>
      <w:r>
        <w:rPr>
          <w:rFonts w:ascii="Cambria" w:hAnsi="Cambria"/>
          <w:color w:val="000000" w:themeColor="text1"/>
          <w:bdr w:val="none" w:sz="0" w:space="0" w:color="auto" w:frame="1"/>
        </w:rPr>
        <w:t xml:space="preserve"> </w:t>
      </w:r>
      <w:r>
        <w:rPr>
          <w:rFonts w:ascii="Cambria" w:hAnsi="Cambria"/>
          <w:color w:val="000000" w:themeColor="text1"/>
          <w:bdr w:val="none" w:sz="0" w:space="0" w:color="auto" w:frame="1"/>
        </w:rPr>
        <w:t>law reform</w:t>
      </w:r>
      <w:r w:rsidR="00C90F66">
        <w:rPr>
          <w:rFonts w:ascii="Cambria" w:hAnsi="Cambria"/>
          <w:color w:val="000000" w:themeColor="text1"/>
          <w:bdr w:val="none" w:sz="0" w:space="0" w:color="auto" w:frame="1"/>
        </w:rPr>
        <w:t xml:space="preserve"> we need</w:t>
      </w:r>
      <w:r>
        <w:rPr>
          <w:rFonts w:ascii="Cambria" w:hAnsi="Cambria"/>
          <w:color w:val="000000" w:themeColor="text1"/>
          <w:bdr w:val="none" w:sz="0" w:space="0" w:color="auto" w:frame="1"/>
        </w:rPr>
        <w:t>, to move the debate forward we expressly call for a review of those jurisdictions that have moved to a health-focused response to illicit drug use.</w:t>
      </w:r>
      <w:r>
        <w:rPr>
          <w:rFonts w:ascii="Cambria" w:hAnsi="Cambria"/>
          <w:color w:val="000000" w:themeColor="text1"/>
          <w:bdr w:val="none" w:sz="0" w:space="0" w:color="auto" w:frame="1"/>
        </w:rPr>
        <w:t xml:space="preserve"> Also, r</w:t>
      </w:r>
      <w:r w:rsidR="00D54F8E">
        <w:rPr>
          <w:rFonts w:ascii="Cambria" w:hAnsi="Cambria"/>
          <w:color w:val="000000" w:themeColor="text1"/>
          <w:bdr w:val="none" w:sz="0" w:space="0" w:color="auto" w:frame="1"/>
          <w:shd w:val="clear" w:color="auto" w:fill="FFFFFF"/>
        </w:rPr>
        <w:t>ather than committing to “investigate and report back on harm reduction or health-focused, evidence-based responses” w</w:t>
      </w:r>
      <w:r w:rsidR="00F91F24" w:rsidRPr="00C47C36">
        <w:rPr>
          <w:rFonts w:ascii="Cambria" w:hAnsi="Cambria"/>
          <w:color w:val="000000" w:themeColor="text1"/>
          <w:bdr w:val="none" w:sz="0" w:space="0" w:color="auto" w:frame="1"/>
        </w:rPr>
        <w:t xml:space="preserve">e </w:t>
      </w:r>
      <w:r w:rsidR="00D54F8E">
        <w:rPr>
          <w:rFonts w:ascii="Cambria" w:hAnsi="Cambria"/>
          <w:color w:val="000000" w:themeColor="text1"/>
          <w:bdr w:val="none" w:sz="0" w:space="0" w:color="auto" w:frame="1"/>
        </w:rPr>
        <w:t>believe</w:t>
      </w:r>
      <w:r w:rsidR="00F91F24" w:rsidRPr="00C47C36">
        <w:rPr>
          <w:rFonts w:ascii="Cambria" w:hAnsi="Cambria"/>
          <w:color w:val="000000" w:themeColor="text1"/>
          <w:bdr w:val="none" w:sz="0" w:space="0" w:color="auto" w:frame="1"/>
        </w:rPr>
        <w:t xml:space="preserve"> the </w:t>
      </w:r>
      <w:r w:rsidR="00D54F8E">
        <w:rPr>
          <w:rFonts w:ascii="Cambria" w:hAnsi="Cambria"/>
          <w:color w:val="000000" w:themeColor="text1"/>
          <w:bdr w:val="none" w:sz="0" w:space="0" w:color="auto" w:frame="1"/>
        </w:rPr>
        <w:t xml:space="preserve">Consultation Strategy should commit to reviewing both harm reduction </w:t>
      </w:r>
      <w:r w:rsidR="00D54F8E" w:rsidRPr="00A12D9B">
        <w:rPr>
          <w:rFonts w:ascii="Cambria" w:hAnsi="Cambria"/>
          <w:color w:val="000000" w:themeColor="text1"/>
          <w:u w:val="single"/>
          <w:bdr w:val="none" w:sz="0" w:space="0" w:color="auto" w:frame="1"/>
        </w:rPr>
        <w:t>and</w:t>
      </w:r>
      <w:r w:rsidR="00D54F8E">
        <w:rPr>
          <w:rFonts w:ascii="Cambria" w:hAnsi="Cambria"/>
          <w:color w:val="000000" w:themeColor="text1"/>
          <w:bdr w:val="none" w:sz="0" w:space="0" w:color="auto" w:frame="1"/>
        </w:rPr>
        <w:t xml:space="preserve"> health-focused, evidence-based programs. </w:t>
      </w:r>
    </w:p>
    <w:p w:rsidR="009C5F4F" w:rsidRDefault="009C5F4F" w:rsidP="009C5F4F">
      <w:pPr>
        <w:pStyle w:val="NoSpacing"/>
        <w:shd w:val="clear" w:color="auto" w:fill="FFFFFF"/>
        <w:jc w:val="both"/>
        <w:rPr>
          <w:rFonts w:ascii="Cambria" w:hAnsi="Cambria"/>
          <w:color w:val="000000" w:themeColor="text1"/>
          <w:bdr w:val="none" w:sz="0" w:space="0" w:color="auto" w:frame="1"/>
        </w:rPr>
      </w:pPr>
    </w:p>
    <w:p w:rsidR="00A12D9B" w:rsidRPr="00A12D9B" w:rsidRDefault="00D54F8E" w:rsidP="00A12D9B">
      <w:pPr>
        <w:pStyle w:val="NoSpacing"/>
        <w:shd w:val="clear" w:color="auto" w:fill="FFFFFF"/>
        <w:jc w:val="both"/>
        <w:rPr>
          <w:rFonts w:ascii="Cambria" w:hAnsi="Cambria"/>
          <w:color w:val="000000" w:themeColor="text1"/>
        </w:rPr>
      </w:pPr>
      <w:r w:rsidRPr="00EF569B">
        <w:rPr>
          <w:rFonts w:ascii="Cambria" w:hAnsi="Cambria"/>
        </w:rPr>
        <w:t xml:space="preserve">Finally, we </w:t>
      </w:r>
      <w:r w:rsidR="00EF569B">
        <w:rPr>
          <w:rFonts w:ascii="Cambria" w:hAnsi="Cambria"/>
        </w:rPr>
        <w:t>recommend that the Strategy expressly commit to</w:t>
      </w:r>
      <w:r w:rsidRPr="00EF569B">
        <w:rPr>
          <w:rFonts w:ascii="Cambria" w:hAnsi="Cambria"/>
        </w:rPr>
        <w:t xml:space="preserve"> a review</w:t>
      </w:r>
      <w:r w:rsidR="00EF569B">
        <w:rPr>
          <w:rFonts w:ascii="Cambria" w:hAnsi="Cambria"/>
        </w:rPr>
        <w:t xml:space="preserve"> </w:t>
      </w:r>
      <w:r w:rsidRPr="00EF569B">
        <w:rPr>
          <w:rFonts w:ascii="Cambria" w:hAnsi="Cambria"/>
        </w:rPr>
        <w:t>of drug-driving laws.</w:t>
      </w:r>
      <w:r w:rsidR="00EF569B">
        <w:rPr>
          <w:rFonts w:ascii="Cambria" w:hAnsi="Cambria"/>
        </w:rPr>
        <w:t xml:space="preserve"> </w:t>
      </w:r>
      <w:r w:rsidRPr="00EF569B">
        <w:rPr>
          <w:rFonts w:ascii="Cambria" w:hAnsi="Cambria"/>
          <w:color w:val="000000" w:themeColor="text1"/>
        </w:rPr>
        <w:t>Whilst our  drink driving laws adopt a legal limit in which an offence is only committed if the limit is exceeded</w:t>
      </w:r>
      <w:r w:rsidRPr="00EF569B">
        <w:rPr>
          <w:rStyle w:val="FootnoteReference"/>
          <w:rFonts w:ascii="Cambria" w:hAnsi="Cambria"/>
          <w:color w:val="000000" w:themeColor="text1"/>
        </w:rPr>
        <w:footnoteReference w:id="24"/>
      </w:r>
      <w:r w:rsidR="00EF569B">
        <w:rPr>
          <w:rFonts w:ascii="Cambria" w:hAnsi="Cambria"/>
          <w:color w:val="000000" w:themeColor="text1"/>
        </w:rPr>
        <w:t xml:space="preserve"> our d</w:t>
      </w:r>
      <w:r w:rsidRPr="00187347">
        <w:rPr>
          <w:rFonts w:ascii="Cambria" w:hAnsi="Cambria"/>
          <w:color w:val="000000" w:themeColor="text1"/>
        </w:rPr>
        <w:t>rug driving laws</w:t>
      </w:r>
      <w:r w:rsidR="00A12D9B">
        <w:rPr>
          <w:rFonts w:ascii="Cambria" w:hAnsi="Cambria"/>
          <w:color w:val="000000" w:themeColor="text1"/>
        </w:rPr>
        <w:t xml:space="preserve"> </w:t>
      </w:r>
      <w:r w:rsidRPr="00187347">
        <w:rPr>
          <w:rFonts w:ascii="Cambria" w:hAnsi="Cambria"/>
          <w:color w:val="000000" w:themeColor="text1"/>
        </w:rPr>
        <w:t>adopt a zero</w:t>
      </w:r>
      <w:r>
        <w:rPr>
          <w:rFonts w:ascii="Cambria" w:hAnsi="Cambria"/>
          <w:color w:val="000000" w:themeColor="text1"/>
        </w:rPr>
        <w:t>-</w:t>
      </w:r>
      <w:r w:rsidRPr="00187347">
        <w:rPr>
          <w:rFonts w:ascii="Cambria" w:hAnsi="Cambria"/>
          <w:color w:val="000000" w:themeColor="text1"/>
        </w:rPr>
        <w:t>tolerance approach, in which any detectable amount of an illicit drug is an offence.</w:t>
      </w:r>
      <w:r w:rsidR="00EF569B" w:rsidRPr="00187347">
        <w:rPr>
          <w:rStyle w:val="FootnoteReference"/>
          <w:rFonts w:ascii="Cambria" w:hAnsi="Cambria"/>
          <w:color w:val="000000" w:themeColor="text1"/>
        </w:rPr>
        <w:footnoteReference w:id="25"/>
      </w:r>
      <w:r w:rsidR="00A12D9B">
        <w:rPr>
          <w:rFonts w:ascii="Cambria" w:hAnsi="Cambria"/>
          <w:color w:val="000000" w:themeColor="text1"/>
        </w:rPr>
        <w:t xml:space="preserve"> </w:t>
      </w:r>
      <w:r w:rsidR="00EF569B">
        <w:rPr>
          <w:rFonts w:ascii="Cambria" w:hAnsi="Cambria"/>
          <w:color w:val="000000" w:themeColor="text1"/>
          <w:shd w:val="clear" w:color="auto" w:fill="FFFFFF"/>
        </w:rPr>
        <w:t xml:space="preserve">A review of drug-driving laws is consistent with </w:t>
      </w:r>
      <w:r w:rsidR="009C5F4F">
        <w:rPr>
          <w:rFonts w:ascii="Cambria" w:hAnsi="Cambria"/>
          <w:color w:val="000000" w:themeColor="text1"/>
          <w:shd w:val="clear" w:color="auto" w:fill="FFFFFF"/>
        </w:rPr>
        <w:t xml:space="preserve">an evidence-based response to illicit drug use as well as </w:t>
      </w:r>
      <w:r w:rsidR="00EF569B">
        <w:rPr>
          <w:rFonts w:ascii="Cambria" w:hAnsi="Cambria"/>
          <w:color w:val="000000" w:themeColor="text1"/>
          <w:shd w:val="clear" w:color="auto" w:fill="FFFFFF"/>
        </w:rPr>
        <w:t>the Government’s health-focused response to illicit drug use</w:t>
      </w:r>
      <w:r w:rsidR="009C5F4F">
        <w:rPr>
          <w:rFonts w:ascii="Cambria" w:hAnsi="Cambria"/>
          <w:color w:val="000000" w:themeColor="text1"/>
          <w:shd w:val="clear" w:color="auto" w:fill="FFFFFF"/>
        </w:rPr>
        <w:t xml:space="preserve">. Importantly, a review is also </w:t>
      </w:r>
      <w:r w:rsidR="00EF569B">
        <w:rPr>
          <w:rFonts w:ascii="Cambria" w:hAnsi="Cambria"/>
          <w:color w:val="000000" w:themeColor="text1"/>
          <w:shd w:val="clear" w:color="auto" w:fill="FFFFFF"/>
        </w:rPr>
        <w:t>necessary given the disproportionate number of drug drivers being sentenced in Tasmania’s criminal justice system.</w:t>
      </w:r>
      <w:r w:rsidR="00EF569B">
        <w:rPr>
          <w:rStyle w:val="FootnoteReference"/>
          <w:rFonts w:ascii="Cambria" w:hAnsi="Cambria"/>
          <w:color w:val="000000" w:themeColor="text1"/>
          <w:shd w:val="clear" w:color="auto" w:fill="FFFFFF"/>
        </w:rPr>
        <w:footnoteReference w:id="26"/>
      </w:r>
      <w:r w:rsidR="00C90F66">
        <w:rPr>
          <w:rFonts w:ascii="Cambria" w:hAnsi="Cambria"/>
          <w:color w:val="000000" w:themeColor="text1"/>
          <w:shd w:val="clear" w:color="auto" w:fill="FFFFFF"/>
        </w:rPr>
        <w:t xml:space="preserve"> The review should consider drug-driving laws that have been adopted overseas as well as sentences imposed.  </w:t>
      </w:r>
    </w:p>
    <w:p w:rsidR="003A484A" w:rsidRDefault="003A484A" w:rsidP="00A12D9B">
      <w:pPr>
        <w:pStyle w:val="NoSpacing"/>
        <w:shd w:val="clear" w:color="auto" w:fill="FFFFFF"/>
        <w:jc w:val="both"/>
        <w:rPr>
          <w:rFonts w:ascii="Cambria" w:hAnsi="Cambria"/>
          <w:color w:val="000000" w:themeColor="text1"/>
          <w:shd w:val="clear" w:color="auto" w:fill="FFFFFF"/>
        </w:rPr>
      </w:pPr>
    </w:p>
    <w:p w:rsidR="00C90F66" w:rsidRDefault="00C90F66" w:rsidP="00A12D9B">
      <w:pPr>
        <w:pStyle w:val="NoSpacing"/>
        <w:shd w:val="clear" w:color="auto" w:fill="FFFFFF"/>
        <w:jc w:val="both"/>
        <w:rPr>
          <w:rFonts w:ascii="Cambria" w:hAnsi="Cambria"/>
          <w:color w:val="000000" w:themeColor="text1"/>
          <w:shd w:val="clear" w:color="auto" w:fill="FFFFFF"/>
        </w:rPr>
      </w:pPr>
    </w:p>
    <w:p w:rsidR="00C90F66" w:rsidRDefault="00C90F66" w:rsidP="00A12D9B">
      <w:pPr>
        <w:pStyle w:val="NoSpacing"/>
        <w:shd w:val="clear" w:color="auto" w:fill="FFFFFF"/>
        <w:jc w:val="both"/>
        <w:rPr>
          <w:rFonts w:ascii="Cambria" w:hAnsi="Cambria"/>
          <w:color w:val="000000" w:themeColor="text1"/>
          <w:shd w:val="clear" w:color="auto" w:fill="FFFFFF"/>
        </w:rPr>
      </w:pPr>
    </w:p>
    <w:p w:rsidR="00A12D9B" w:rsidRPr="00A12D9B" w:rsidRDefault="00A12D9B" w:rsidP="00A12D9B">
      <w:pPr>
        <w:pStyle w:val="NoSpacing"/>
        <w:pBdr>
          <w:top w:val="single" w:sz="4" w:space="1" w:color="auto"/>
          <w:left w:val="single" w:sz="4" w:space="4" w:color="auto"/>
          <w:bottom w:val="single" w:sz="4" w:space="1" w:color="auto"/>
          <w:right w:val="single" w:sz="4" w:space="4" w:color="auto"/>
        </w:pBdr>
        <w:shd w:val="clear" w:color="auto" w:fill="FFFFFF"/>
        <w:jc w:val="both"/>
        <w:rPr>
          <w:rFonts w:ascii="Cambria" w:hAnsi="Cambria"/>
          <w:color w:val="000000" w:themeColor="text1"/>
          <w:shd w:val="clear" w:color="auto" w:fill="FFFFFF"/>
        </w:rPr>
      </w:pPr>
      <w:r w:rsidRPr="00D54F8E">
        <w:rPr>
          <w:rFonts w:ascii="Cambria" w:hAnsi="Cambria"/>
          <w:b/>
          <w:bCs/>
          <w:color w:val="000000" w:themeColor="text1"/>
        </w:rPr>
        <w:lastRenderedPageBreak/>
        <w:t>Recommendation:</w:t>
      </w:r>
      <w:r w:rsidRPr="00D54F8E">
        <w:rPr>
          <w:rFonts w:ascii="Cambria" w:hAnsi="Cambria"/>
          <w:color w:val="000000" w:themeColor="text1"/>
        </w:rPr>
        <w:t xml:space="preserve"> That the </w:t>
      </w:r>
      <w:r w:rsidRPr="00D54F8E">
        <w:rPr>
          <w:rFonts w:ascii="Cambria" w:hAnsi="Cambria"/>
          <w:i/>
          <w:iCs/>
          <w:color w:val="000000" w:themeColor="text1"/>
        </w:rPr>
        <w:t>Tasmanian Drug Strategy 2023-2028</w:t>
      </w:r>
      <w:r w:rsidRPr="00D54F8E">
        <w:rPr>
          <w:rFonts w:ascii="Cambria" w:hAnsi="Cambria"/>
          <w:color w:val="000000" w:themeColor="text1"/>
        </w:rPr>
        <w:t xml:space="preserve"> </w:t>
      </w:r>
      <w:r>
        <w:rPr>
          <w:rFonts w:ascii="Cambria" w:hAnsi="Cambria"/>
          <w:color w:val="000000" w:themeColor="text1"/>
        </w:rPr>
        <w:t xml:space="preserve">expressly </w:t>
      </w:r>
      <w:r w:rsidRPr="00D54F8E">
        <w:rPr>
          <w:rFonts w:ascii="Cambria" w:hAnsi="Cambria"/>
          <w:color w:val="000000" w:themeColor="text1"/>
        </w:rPr>
        <w:t>commit to</w:t>
      </w:r>
      <w:r>
        <w:rPr>
          <w:rFonts w:ascii="Cambria" w:hAnsi="Cambria"/>
          <w:color w:val="000000" w:themeColor="text1"/>
        </w:rPr>
        <w:t xml:space="preserve">: </w:t>
      </w:r>
    </w:p>
    <w:p w:rsidR="003A484A" w:rsidRDefault="00A12D9B" w:rsidP="00A12D9B">
      <w:pPr>
        <w:pStyle w:val="NoSpacing"/>
        <w:pBdr>
          <w:top w:val="single" w:sz="4" w:space="1" w:color="auto"/>
          <w:left w:val="single" w:sz="4" w:space="4" w:color="auto"/>
          <w:bottom w:val="single" w:sz="4" w:space="1" w:color="auto"/>
          <w:right w:val="single" w:sz="4" w:space="4" w:color="auto"/>
        </w:pBdr>
        <w:shd w:val="clear" w:color="auto" w:fill="FFFFFF"/>
        <w:jc w:val="both"/>
        <w:rPr>
          <w:rFonts w:ascii="Cambria" w:hAnsi="Cambria"/>
          <w:color w:val="000000" w:themeColor="text1"/>
          <w:bdr w:val="none" w:sz="0" w:space="0" w:color="auto" w:frame="1"/>
        </w:rPr>
      </w:pPr>
      <w:proofErr w:type="spellStart"/>
      <w:r>
        <w:rPr>
          <w:rFonts w:ascii="Cambria" w:hAnsi="Cambria"/>
          <w:color w:val="000000" w:themeColor="text1"/>
        </w:rPr>
        <w:t>i</w:t>
      </w:r>
      <w:proofErr w:type="spellEnd"/>
      <w:r>
        <w:rPr>
          <w:rFonts w:ascii="Cambria" w:hAnsi="Cambria"/>
          <w:color w:val="000000" w:themeColor="text1"/>
        </w:rPr>
        <w:t xml:space="preserve">) </w:t>
      </w:r>
      <w:r w:rsidR="003A484A" w:rsidRPr="00D54F8E">
        <w:rPr>
          <w:rFonts w:ascii="Cambria" w:hAnsi="Cambria"/>
          <w:color w:val="000000" w:themeColor="text1"/>
          <w:bdr w:val="none" w:sz="0" w:space="0" w:color="auto" w:frame="1"/>
        </w:rPr>
        <w:t>reviewing those jurisdictions that have moved from a law enforcement to a health focused response to illicit drug use</w:t>
      </w:r>
      <w:r w:rsidR="003A484A">
        <w:rPr>
          <w:rFonts w:ascii="Cambria" w:hAnsi="Cambria"/>
          <w:color w:val="000000" w:themeColor="text1"/>
          <w:bdr w:val="none" w:sz="0" w:space="0" w:color="auto" w:frame="1"/>
        </w:rPr>
        <w:t>;</w:t>
      </w:r>
      <w:r w:rsidR="003A484A">
        <w:rPr>
          <w:rFonts w:ascii="Cambria" w:hAnsi="Cambria"/>
          <w:color w:val="000000" w:themeColor="text1"/>
          <w:bdr w:val="none" w:sz="0" w:space="0" w:color="auto" w:frame="1"/>
        </w:rPr>
        <w:t xml:space="preserve"> and</w:t>
      </w:r>
      <w:r w:rsidR="003A484A">
        <w:rPr>
          <w:rFonts w:ascii="Cambria" w:hAnsi="Cambria"/>
          <w:color w:val="000000" w:themeColor="text1"/>
          <w:bdr w:val="none" w:sz="0" w:space="0" w:color="auto" w:frame="1"/>
        </w:rPr>
        <w:t xml:space="preserve"> </w:t>
      </w:r>
    </w:p>
    <w:p w:rsidR="00A12D9B" w:rsidRPr="003A484A" w:rsidRDefault="003A484A" w:rsidP="00A12D9B">
      <w:pPr>
        <w:pStyle w:val="NoSpacing"/>
        <w:pBdr>
          <w:top w:val="single" w:sz="4" w:space="1" w:color="auto"/>
          <w:left w:val="single" w:sz="4" w:space="4" w:color="auto"/>
          <w:bottom w:val="single" w:sz="4" w:space="1" w:color="auto"/>
          <w:right w:val="single" w:sz="4" w:space="4" w:color="auto"/>
        </w:pBdr>
        <w:shd w:val="clear" w:color="auto" w:fill="FFFFFF"/>
        <w:jc w:val="both"/>
        <w:rPr>
          <w:rFonts w:ascii="Cambria" w:hAnsi="Cambria"/>
          <w:color w:val="000000" w:themeColor="text1"/>
        </w:rPr>
      </w:pPr>
      <w:r>
        <w:rPr>
          <w:rFonts w:ascii="Cambria" w:hAnsi="Cambria"/>
          <w:color w:val="000000" w:themeColor="text1"/>
          <w:bdr w:val="none" w:sz="0" w:space="0" w:color="auto" w:frame="1"/>
        </w:rPr>
        <w:t xml:space="preserve">ii) </w:t>
      </w:r>
      <w:r w:rsidR="00A12D9B" w:rsidRPr="00D54F8E">
        <w:rPr>
          <w:rFonts w:ascii="Cambria" w:hAnsi="Cambria"/>
          <w:color w:val="000000" w:themeColor="text1"/>
        </w:rPr>
        <w:t>reviewing</w:t>
      </w:r>
      <w:r w:rsidR="00A12D9B">
        <w:rPr>
          <w:rFonts w:ascii="Cambria" w:hAnsi="Cambria"/>
          <w:color w:val="000000" w:themeColor="text1"/>
        </w:rPr>
        <w:t xml:space="preserve"> both harm reduction and health-focused, evidence-based responses to illicit drug use; and </w:t>
      </w:r>
    </w:p>
    <w:p w:rsidR="00A12D9B" w:rsidRPr="00A12D9B" w:rsidRDefault="00A12D9B" w:rsidP="00A12D9B">
      <w:pPr>
        <w:pStyle w:val="NoSpacing"/>
        <w:pBdr>
          <w:top w:val="single" w:sz="4" w:space="1" w:color="auto"/>
          <w:left w:val="single" w:sz="4" w:space="4" w:color="auto"/>
          <w:bottom w:val="single" w:sz="4" w:space="1" w:color="auto"/>
          <w:right w:val="single" w:sz="4" w:space="4" w:color="auto"/>
        </w:pBdr>
        <w:shd w:val="clear" w:color="auto" w:fill="FFFFFF"/>
        <w:jc w:val="both"/>
        <w:rPr>
          <w:rFonts w:ascii="Cambria" w:hAnsi="Cambria"/>
          <w:color w:val="000000" w:themeColor="text1"/>
          <w:bdr w:val="none" w:sz="0" w:space="0" w:color="auto" w:frame="1"/>
        </w:rPr>
      </w:pPr>
      <w:r>
        <w:rPr>
          <w:rFonts w:ascii="Cambria" w:hAnsi="Cambria"/>
          <w:color w:val="000000" w:themeColor="text1"/>
          <w:bdr w:val="none" w:sz="0" w:space="0" w:color="auto" w:frame="1"/>
        </w:rPr>
        <w:t>iii) reviewing drug-driving laws</w:t>
      </w:r>
      <w:r w:rsidRPr="00187347">
        <w:rPr>
          <w:rFonts w:ascii="Cambria" w:hAnsi="Cambria"/>
        </w:rPr>
        <w:t>.</w:t>
      </w:r>
    </w:p>
    <w:p w:rsidR="00A12D9B" w:rsidRDefault="00A12D9B" w:rsidP="00A15270">
      <w:pPr>
        <w:pStyle w:val="NoSpacing"/>
        <w:shd w:val="clear" w:color="auto" w:fill="FFFFFF"/>
        <w:jc w:val="both"/>
        <w:rPr>
          <w:rFonts w:ascii="Cambria" w:hAnsi="Cambria"/>
          <w:color w:val="000000" w:themeColor="text1"/>
          <w:bdr w:val="none" w:sz="0" w:space="0" w:color="auto" w:frame="1"/>
        </w:rPr>
      </w:pPr>
    </w:p>
    <w:p w:rsidR="00D54F8E" w:rsidRPr="00C47C36" w:rsidRDefault="00D54F8E" w:rsidP="00A15270">
      <w:pPr>
        <w:pStyle w:val="NoSpacing"/>
        <w:shd w:val="clear" w:color="auto" w:fill="FFFFFF"/>
        <w:jc w:val="both"/>
        <w:rPr>
          <w:rFonts w:ascii="Cambria" w:hAnsi="Cambria"/>
          <w:color w:val="000000" w:themeColor="text1"/>
          <w:bdr w:val="none" w:sz="0" w:space="0" w:color="auto" w:frame="1"/>
        </w:rPr>
      </w:pPr>
      <w:r>
        <w:rPr>
          <w:rFonts w:ascii="Cambria" w:hAnsi="Cambria"/>
          <w:color w:val="000000" w:themeColor="text1"/>
          <w:bdr w:val="none" w:sz="0" w:space="0" w:color="auto" w:frame="1"/>
        </w:rPr>
        <w:t xml:space="preserve">If you have any queries, please do not hesitate to contact us. </w:t>
      </w:r>
    </w:p>
    <w:p w:rsidR="00A15270" w:rsidRPr="00C47C36" w:rsidRDefault="00A15270" w:rsidP="00A15270">
      <w:pPr>
        <w:pStyle w:val="NoSpacing"/>
        <w:shd w:val="clear" w:color="auto" w:fill="FFFFFF"/>
        <w:jc w:val="both"/>
        <w:rPr>
          <w:rFonts w:ascii="Cambria" w:hAnsi="Cambria" w:cs="Arial"/>
          <w:color w:val="000000" w:themeColor="text1"/>
        </w:rPr>
      </w:pPr>
    </w:p>
    <w:p w:rsidR="00A15270" w:rsidRPr="00C47C36" w:rsidRDefault="00A15270" w:rsidP="00A15270">
      <w:pPr>
        <w:rPr>
          <w:rFonts w:ascii="Cambria" w:hAnsi="Cambria"/>
          <w:color w:val="000000" w:themeColor="text1"/>
        </w:rPr>
      </w:pPr>
      <w:bookmarkStart w:id="0" w:name="OLE_LINK1"/>
      <w:r w:rsidRPr="00C47C36">
        <w:rPr>
          <w:rFonts w:ascii="Cambria" w:hAnsi="Cambria"/>
          <w:color w:val="000000" w:themeColor="text1"/>
        </w:rPr>
        <w:t>Yours faithfully,</w:t>
      </w:r>
    </w:p>
    <w:bookmarkEnd w:id="0"/>
    <w:p w:rsidR="00A15270" w:rsidRDefault="00A15270" w:rsidP="00A15270">
      <w:pPr>
        <w:rPr>
          <w:rFonts w:ascii="Cambria" w:hAnsi="Cambria"/>
          <w:color w:val="000000" w:themeColor="text1"/>
        </w:rPr>
      </w:pPr>
    </w:p>
    <w:p w:rsidR="00D455D7" w:rsidRDefault="00D455D7" w:rsidP="00A15270">
      <w:pPr>
        <w:rPr>
          <w:rFonts w:ascii="Cambria" w:hAnsi="Cambria"/>
          <w:color w:val="000000" w:themeColor="text1"/>
        </w:rPr>
      </w:pPr>
    </w:p>
    <w:p w:rsidR="00D455D7" w:rsidRPr="00C47C36" w:rsidRDefault="00D455D7" w:rsidP="00A15270">
      <w:pPr>
        <w:rPr>
          <w:rFonts w:ascii="Cambria" w:hAnsi="Cambria"/>
          <w:color w:val="000000" w:themeColor="text1"/>
        </w:rPr>
      </w:pPr>
    </w:p>
    <w:p w:rsidR="00A15270" w:rsidRPr="00C47C36" w:rsidRDefault="00A15270" w:rsidP="00A15270">
      <w:pPr>
        <w:rPr>
          <w:rFonts w:ascii="Cambria" w:hAnsi="Cambria"/>
          <w:color w:val="000000" w:themeColor="text1"/>
        </w:rPr>
      </w:pPr>
      <w:r w:rsidRPr="00C47C36">
        <w:rPr>
          <w:rFonts w:ascii="Cambria" w:hAnsi="Cambria"/>
          <w:color w:val="000000" w:themeColor="text1"/>
        </w:rPr>
        <w:t xml:space="preserve">Benedict </w:t>
      </w:r>
      <w:proofErr w:type="spellStart"/>
      <w:r w:rsidRPr="00C47C36">
        <w:rPr>
          <w:rFonts w:ascii="Cambria" w:hAnsi="Cambria"/>
          <w:color w:val="000000" w:themeColor="text1"/>
        </w:rPr>
        <w:t>Bartl</w:t>
      </w:r>
      <w:proofErr w:type="spellEnd"/>
    </w:p>
    <w:p w:rsidR="00A15270" w:rsidRPr="00C47C36" w:rsidRDefault="00A15270" w:rsidP="00A15270">
      <w:pPr>
        <w:rPr>
          <w:rFonts w:ascii="Cambria" w:hAnsi="Cambria"/>
          <w:color w:val="000000" w:themeColor="text1"/>
        </w:rPr>
      </w:pPr>
      <w:r w:rsidRPr="00C47C36">
        <w:rPr>
          <w:rFonts w:ascii="Cambria" w:hAnsi="Cambria"/>
          <w:color w:val="000000" w:themeColor="text1"/>
        </w:rPr>
        <w:t>Policy Officer</w:t>
      </w:r>
    </w:p>
    <w:p w:rsidR="00A15270" w:rsidRPr="00C47C36" w:rsidRDefault="00A15270" w:rsidP="00A15270">
      <w:pPr>
        <w:pBdr>
          <w:bottom w:val="single" w:sz="6" w:space="1" w:color="auto"/>
        </w:pBdr>
        <w:rPr>
          <w:rFonts w:ascii="Cambria" w:hAnsi="Cambria"/>
          <w:b/>
          <w:bCs/>
          <w:color w:val="000000" w:themeColor="text1"/>
        </w:rPr>
      </w:pPr>
      <w:r w:rsidRPr="00C47C36">
        <w:rPr>
          <w:rFonts w:ascii="Cambria" w:hAnsi="Cambria"/>
          <w:b/>
          <w:bCs/>
          <w:color w:val="000000" w:themeColor="text1"/>
        </w:rPr>
        <w:t>Community Legal Centres Tasmania</w:t>
      </w:r>
    </w:p>
    <w:p w:rsidR="00A15270" w:rsidRPr="00C47C36" w:rsidRDefault="00A15270" w:rsidP="00A15270">
      <w:pPr>
        <w:rPr>
          <w:rFonts w:ascii="Cambria" w:hAnsi="Cambria"/>
          <w:color w:val="000000" w:themeColor="text1"/>
        </w:rPr>
      </w:pPr>
    </w:p>
    <w:p w:rsidR="00A15270" w:rsidRPr="00C47C36" w:rsidRDefault="00A15270" w:rsidP="00A15270">
      <w:pPr>
        <w:pStyle w:val="NoSpacing"/>
        <w:shd w:val="clear" w:color="auto" w:fill="FFFFFF"/>
        <w:jc w:val="both"/>
        <w:rPr>
          <w:rFonts w:ascii="Cambria" w:hAnsi="Cambria"/>
          <w:color w:val="000000" w:themeColor="text1"/>
          <w:bdr w:val="none" w:sz="0" w:space="0" w:color="auto" w:frame="1"/>
        </w:rPr>
      </w:pPr>
    </w:p>
    <w:p w:rsidR="00A15270" w:rsidRDefault="00A15270" w:rsidP="00A15270">
      <w:pPr>
        <w:pStyle w:val="xmsonormal"/>
        <w:shd w:val="clear" w:color="auto" w:fill="FFFFFF"/>
        <w:spacing w:before="0" w:beforeAutospacing="0" w:after="0" w:afterAutospacing="0"/>
        <w:jc w:val="both"/>
        <w:rPr>
          <w:rFonts w:ascii="Cambria" w:hAnsi="Cambria"/>
          <w:color w:val="000000" w:themeColor="text1"/>
          <w:bdr w:val="none" w:sz="0" w:space="0" w:color="auto" w:frame="1"/>
        </w:rPr>
      </w:pPr>
    </w:p>
    <w:p w:rsidR="00A15270" w:rsidRDefault="00A15270" w:rsidP="00A15270">
      <w:pPr>
        <w:pStyle w:val="xmsonormal"/>
        <w:shd w:val="clear" w:color="auto" w:fill="FFFFFF"/>
        <w:spacing w:before="0" w:beforeAutospacing="0" w:after="0" w:afterAutospacing="0"/>
        <w:jc w:val="both"/>
        <w:rPr>
          <w:rFonts w:ascii="Cambria" w:hAnsi="Cambria"/>
          <w:color w:val="000000" w:themeColor="text1"/>
          <w:bdr w:val="none" w:sz="0" w:space="0" w:color="auto" w:frame="1"/>
        </w:rPr>
      </w:pPr>
    </w:p>
    <w:p w:rsidR="00576A90" w:rsidRDefault="00000000"/>
    <w:sectPr w:rsidR="00576A90"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999" w:rsidRDefault="00605999" w:rsidP="00A15270">
      <w:r>
        <w:separator/>
      </w:r>
    </w:p>
  </w:endnote>
  <w:endnote w:type="continuationSeparator" w:id="0">
    <w:p w:rsidR="00605999" w:rsidRDefault="00605999" w:rsidP="00A1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999" w:rsidRDefault="00605999" w:rsidP="00A15270">
      <w:r>
        <w:separator/>
      </w:r>
    </w:p>
  </w:footnote>
  <w:footnote w:type="continuationSeparator" w:id="0">
    <w:p w:rsidR="00605999" w:rsidRDefault="00605999" w:rsidP="00A15270">
      <w:r>
        <w:continuationSeparator/>
      </w:r>
    </w:p>
  </w:footnote>
  <w:footnote w:id="1">
    <w:p w:rsidR="00A15270" w:rsidRPr="004A1659" w:rsidRDefault="00A15270" w:rsidP="00A15270">
      <w:pPr>
        <w:pStyle w:val="FootnoteText"/>
        <w:rPr>
          <w:rFonts w:ascii="Cambria" w:hAnsi="Cambria"/>
          <w:sz w:val="20"/>
          <w:szCs w:val="20"/>
          <w:lang w:val="en-AU"/>
        </w:rPr>
      </w:pPr>
      <w:r w:rsidRPr="004A1659">
        <w:rPr>
          <w:rStyle w:val="FootnoteReference"/>
          <w:rFonts w:ascii="Cambria" w:hAnsi="Cambria"/>
          <w:sz w:val="20"/>
          <w:szCs w:val="20"/>
          <w:lang w:val="en-AU"/>
        </w:rPr>
        <w:footnoteRef/>
      </w:r>
      <w:r w:rsidRPr="004A1659">
        <w:rPr>
          <w:rFonts w:ascii="Cambria" w:hAnsi="Cambria"/>
          <w:sz w:val="20"/>
          <w:szCs w:val="20"/>
          <w:lang w:val="en-AU"/>
        </w:rPr>
        <w:t xml:space="preserve"> CLC Tas would like to acknowledge those persons and organisations who gave freely of their time in assisting with our submission. </w:t>
      </w:r>
    </w:p>
  </w:footnote>
  <w:footnote w:id="2">
    <w:p w:rsidR="001F6A94" w:rsidRPr="004A1659" w:rsidRDefault="001F6A94" w:rsidP="001F6A94">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Tasmanian Government, </w:t>
      </w:r>
      <w:r w:rsidRPr="004A1659">
        <w:rPr>
          <w:rFonts w:ascii="Cambria" w:hAnsi="Cambria"/>
          <w:i/>
          <w:iCs/>
          <w:sz w:val="20"/>
          <w:szCs w:val="20"/>
        </w:rPr>
        <w:t>Tasmanian Drug Strategy 2023-2028</w:t>
      </w:r>
      <w:r w:rsidRPr="004A1659">
        <w:rPr>
          <w:rFonts w:ascii="Cambria" w:hAnsi="Cambria"/>
          <w:sz w:val="20"/>
          <w:szCs w:val="20"/>
        </w:rPr>
        <w:t xml:space="preserve"> (consultation draft) </w:t>
      </w:r>
      <w:r w:rsidRPr="004A1659">
        <w:rPr>
          <w:rFonts w:ascii="Cambria" w:hAnsi="Cambria"/>
          <w:sz w:val="20"/>
          <w:szCs w:val="20"/>
          <w:lang w:val="en-AU"/>
        </w:rPr>
        <w:t xml:space="preserve">at 9. </w:t>
      </w:r>
    </w:p>
  </w:footnote>
  <w:footnote w:id="3">
    <w:p w:rsidR="00CA07EE" w:rsidRPr="004A1659" w:rsidRDefault="00CA07EE" w:rsidP="00CA07EE">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w:t>
      </w:r>
      <w:r w:rsidRPr="004A1659">
        <w:rPr>
          <w:rFonts w:ascii="Cambria" w:hAnsi="Cambria"/>
          <w:i/>
          <w:iCs/>
          <w:sz w:val="20"/>
          <w:szCs w:val="20"/>
        </w:rPr>
        <w:t>The case for a Health focused response to drug use in Tasmania’s Legal System</w:t>
      </w:r>
      <w:r w:rsidRPr="004A1659">
        <w:rPr>
          <w:rFonts w:ascii="Cambria" w:hAnsi="Cambria"/>
          <w:sz w:val="20"/>
          <w:szCs w:val="20"/>
        </w:rPr>
        <w:t xml:space="preserve"> (Update 2023) at 23.</w:t>
      </w:r>
    </w:p>
  </w:footnote>
  <w:footnote w:id="4">
    <w:p w:rsidR="00245012" w:rsidRPr="004A1659" w:rsidRDefault="00245012" w:rsidP="00245012">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w:t>
      </w:r>
      <w:r w:rsidRPr="004A1659">
        <w:rPr>
          <w:rFonts w:ascii="Cambria" w:hAnsi="Cambria"/>
          <w:i/>
          <w:iCs/>
          <w:sz w:val="20"/>
          <w:szCs w:val="20"/>
        </w:rPr>
        <w:t>The case for a Health focused response to drug use in Tasmania’s Legal System</w:t>
      </w:r>
      <w:r w:rsidRPr="004A1659">
        <w:rPr>
          <w:rFonts w:ascii="Cambria" w:hAnsi="Cambria"/>
          <w:sz w:val="20"/>
          <w:szCs w:val="20"/>
        </w:rPr>
        <w:t xml:space="preserve"> (Update 2023) at 23.</w:t>
      </w:r>
    </w:p>
  </w:footnote>
  <w:footnote w:id="5">
    <w:p w:rsidR="00245012" w:rsidRPr="004A1659" w:rsidRDefault="00245012">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w:t>
      </w:r>
      <w:r w:rsidRPr="004A1659">
        <w:rPr>
          <w:rFonts w:ascii="Cambria" w:hAnsi="Cambria"/>
          <w:sz w:val="20"/>
          <w:szCs w:val="20"/>
          <w:lang w:val="en-AU"/>
        </w:rPr>
        <w:t xml:space="preserve">J Payne, M </w:t>
      </w:r>
      <w:proofErr w:type="spellStart"/>
      <w:r w:rsidRPr="004A1659">
        <w:rPr>
          <w:rFonts w:ascii="Cambria" w:hAnsi="Cambria"/>
          <w:sz w:val="20"/>
          <w:szCs w:val="20"/>
          <w:lang w:val="en-AU"/>
        </w:rPr>
        <w:t>Kwiatowski</w:t>
      </w:r>
      <w:proofErr w:type="spellEnd"/>
      <w:r w:rsidRPr="004A1659">
        <w:rPr>
          <w:rFonts w:ascii="Cambria" w:hAnsi="Cambria"/>
          <w:sz w:val="20"/>
          <w:szCs w:val="20"/>
          <w:lang w:val="en-AU"/>
        </w:rPr>
        <w:t xml:space="preserve"> and J </w:t>
      </w:r>
      <w:proofErr w:type="spellStart"/>
      <w:r w:rsidRPr="004A1659">
        <w:rPr>
          <w:rFonts w:ascii="Cambria" w:hAnsi="Cambria"/>
          <w:sz w:val="20"/>
          <w:szCs w:val="20"/>
          <w:lang w:val="en-AU"/>
        </w:rPr>
        <w:t>Wundersitz</w:t>
      </w:r>
      <w:proofErr w:type="spellEnd"/>
      <w:r w:rsidRPr="004A1659">
        <w:rPr>
          <w:rFonts w:ascii="Cambria" w:hAnsi="Cambria"/>
          <w:sz w:val="20"/>
          <w:szCs w:val="20"/>
          <w:lang w:val="en-AU"/>
        </w:rPr>
        <w:t xml:space="preserve">, </w:t>
      </w:r>
      <w:r w:rsidRPr="004A1659">
        <w:rPr>
          <w:rFonts w:ascii="Cambria" w:hAnsi="Cambria"/>
          <w:i/>
          <w:iCs/>
          <w:sz w:val="20"/>
          <w:szCs w:val="20"/>
          <w:lang w:val="en-AU"/>
        </w:rPr>
        <w:t>Police drug diversion: a study of criminal offending outcomes</w:t>
      </w:r>
      <w:r w:rsidRPr="004A1659">
        <w:rPr>
          <w:rFonts w:ascii="Cambria" w:hAnsi="Cambria"/>
          <w:sz w:val="20"/>
          <w:szCs w:val="20"/>
          <w:lang w:val="en-AU"/>
        </w:rPr>
        <w:t xml:space="preserve"> (2008) Research and Public Policy Series Report 97. Canberra: Australian Institute of Criminology. </w:t>
      </w:r>
    </w:p>
  </w:footnote>
  <w:footnote w:id="6">
    <w:p w:rsidR="00512B0F" w:rsidRPr="004A1659" w:rsidRDefault="00512B0F" w:rsidP="00512B0F">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w:t>
      </w:r>
      <w:r w:rsidRPr="004A1659">
        <w:rPr>
          <w:rFonts w:ascii="Cambria" w:hAnsi="Cambria"/>
          <w:i/>
          <w:iCs/>
          <w:sz w:val="20"/>
          <w:szCs w:val="20"/>
        </w:rPr>
        <w:t>The case for a Health focused response to drug use in Tasmania’s Legal System</w:t>
      </w:r>
      <w:r w:rsidRPr="004A1659">
        <w:rPr>
          <w:rFonts w:ascii="Cambria" w:hAnsi="Cambria"/>
          <w:sz w:val="20"/>
          <w:szCs w:val="20"/>
        </w:rPr>
        <w:t xml:space="preserve"> (Update 2023) at </w:t>
      </w:r>
      <w:r w:rsidRPr="004A1659">
        <w:rPr>
          <w:rFonts w:ascii="Cambria" w:hAnsi="Cambria"/>
          <w:sz w:val="20"/>
          <w:szCs w:val="20"/>
        </w:rPr>
        <w:t>18</w:t>
      </w:r>
      <w:r w:rsidRPr="004A1659">
        <w:rPr>
          <w:rFonts w:ascii="Cambria" w:hAnsi="Cambria"/>
          <w:sz w:val="20"/>
          <w:szCs w:val="20"/>
        </w:rPr>
        <w:t>.</w:t>
      </w:r>
    </w:p>
    <w:p w:rsidR="00512B0F" w:rsidRPr="004A1659" w:rsidRDefault="00512B0F" w:rsidP="00512B0F">
      <w:pPr>
        <w:pStyle w:val="FootnoteText"/>
        <w:rPr>
          <w:rFonts w:ascii="Cambria" w:hAnsi="Cambria"/>
          <w:sz w:val="20"/>
          <w:szCs w:val="20"/>
          <w:lang w:val="en-AU"/>
        </w:rPr>
      </w:pPr>
    </w:p>
  </w:footnote>
  <w:footnote w:id="7">
    <w:p w:rsidR="00CA07EE" w:rsidRPr="004A1659" w:rsidRDefault="00CA07EE" w:rsidP="00CA07EE">
      <w:pPr>
        <w:pStyle w:val="FootnoteText"/>
        <w:rPr>
          <w:rFonts w:ascii="Cambria" w:hAnsi="Cambria"/>
          <w:sz w:val="20"/>
          <w:szCs w:val="20"/>
          <w:lang w:val="en-AU"/>
        </w:rPr>
      </w:pPr>
      <w:r w:rsidRPr="004A1659">
        <w:rPr>
          <w:rStyle w:val="FootnoteReference"/>
          <w:rFonts w:ascii="Cambria" w:hAnsi="Cambria"/>
          <w:sz w:val="20"/>
          <w:szCs w:val="20"/>
          <w:lang w:val="en-AU"/>
        </w:rPr>
        <w:footnoteRef/>
      </w:r>
      <w:r w:rsidRPr="004A1659">
        <w:rPr>
          <w:rFonts w:ascii="Cambria" w:hAnsi="Cambria"/>
          <w:sz w:val="20"/>
          <w:szCs w:val="20"/>
          <w:lang w:val="en-AU"/>
        </w:rPr>
        <w:t xml:space="preserve"> Sentencing Advisory Council, </w:t>
      </w:r>
      <w:r w:rsidRPr="004A1659">
        <w:rPr>
          <w:rFonts w:ascii="Cambria" w:hAnsi="Cambria"/>
          <w:i/>
          <w:iCs/>
          <w:sz w:val="20"/>
          <w:szCs w:val="20"/>
          <w:lang w:val="en-AU"/>
        </w:rPr>
        <w:t>Phasing Out of Suspended Sentences</w:t>
      </w:r>
      <w:r w:rsidRPr="004A1659">
        <w:rPr>
          <w:rFonts w:ascii="Cambria" w:hAnsi="Cambria"/>
          <w:sz w:val="20"/>
          <w:szCs w:val="20"/>
          <w:lang w:val="en-AU"/>
        </w:rPr>
        <w:t xml:space="preserve"> (Final Report No. 6: March 2016) Recommendation 6. </w:t>
      </w:r>
    </w:p>
  </w:footnote>
  <w:footnote w:id="8">
    <w:p w:rsidR="00CA07EE" w:rsidRPr="004A1659" w:rsidRDefault="00CA07EE" w:rsidP="00CA07EE">
      <w:pPr>
        <w:pStyle w:val="FootnoteText"/>
        <w:rPr>
          <w:rFonts w:ascii="Cambria" w:hAnsi="Cambria"/>
          <w:sz w:val="20"/>
          <w:szCs w:val="20"/>
          <w:lang w:val="en-AU"/>
        </w:rPr>
      </w:pPr>
      <w:r w:rsidRPr="004A1659">
        <w:rPr>
          <w:rStyle w:val="FootnoteReference"/>
          <w:rFonts w:ascii="Cambria" w:hAnsi="Cambria"/>
          <w:sz w:val="20"/>
          <w:szCs w:val="20"/>
          <w:lang w:val="en-AU"/>
        </w:rPr>
        <w:footnoteRef/>
      </w:r>
      <w:r w:rsidRPr="004A1659">
        <w:rPr>
          <w:rFonts w:ascii="Cambria" w:hAnsi="Cambria"/>
          <w:sz w:val="20"/>
          <w:szCs w:val="20"/>
          <w:lang w:val="en-AU"/>
        </w:rPr>
        <w:t xml:space="preserve"> Tasmania Law Reform Institute, </w:t>
      </w:r>
      <w:r w:rsidRPr="004A1659">
        <w:rPr>
          <w:rFonts w:ascii="Cambria" w:hAnsi="Cambria"/>
          <w:i/>
          <w:iCs/>
          <w:sz w:val="20"/>
          <w:szCs w:val="20"/>
          <w:lang w:val="en-AU"/>
        </w:rPr>
        <w:t>Responding to the Problem of Recidivist Drink Drivers</w:t>
      </w:r>
      <w:r w:rsidRPr="004A1659">
        <w:rPr>
          <w:rFonts w:ascii="Cambria" w:hAnsi="Cambria"/>
          <w:sz w:val="20"/>
          <w:szCs w:val="20"/>
          <w:lang w:val="en-AU"/>
        </w:rPr>
        <w:t xml:space="preserve"> (Final Report No. 24: March 2018) at 61. </w:t>
      </w:r>
    </w:p>
  </w:footnote>
  <w:footnote w:id="9">
    <w:p w:rsidR="00CA07EE" w:rsidRPr="004A1659" w:rsidRDefault="00CA07EE" w:rsidP="00CA07EE">
      <w:pPr>
        <w:pStyle w:val="FootnoteText"/>
        <w:rPr>
          <w:rFonts w:ascii="Cambria" w:hAnsi="Cambria"/>
          <w:sz w:val="20"/>
          <w:szCs w:val="20"/>
          <w:lang w:val="en-AU"/>
        </w:rPr>
      </w:pPr>
      <w:r w:rsidRPr="004A1659">
        <w:rPr>
          <w:rStyle w:val="FootnoteReference"/>
          <w:rFonts w:ascii="Cambria" w:hAnsi="Cambria"/>
          <w:sz w:val="20"/>
          <w:szCs w:val="20"/>
          <w:lang w:val="en-AU"/>
        </w:rPr>
        <w:footnoteRef/>
      </w:r>
      <w:r w:rsidRPr="004A1659">
        <w:rPr>
          <w:rFonts w:ascii="Cambria" w:hAnsi="Cambria"/>
          <w:sz w:val="20"/>
          <w:szCs w:val="20"/>
          <w:lang w:val="en-AU"/>
        </w:rPr>
        <w:t xml:space="preserve"> Alcohol Tobacco and Other Drugs Council of Tasmania, </w:t>
      </w:r>
      <w:r w:rsidRPr="004A1659">
        <w:rPr>
          <w:rFonts w:ascii="Cambria" w:hAnsi="Cambria"/>
          <w:i/>
          <w:iCs/>
          <w:sz w:val="20"/>
          <w:szCs w:val="20"/>
          <w:lang w:val="en-AU"/>
        </w:rPr>
        <w:t>Strengthening Tasmania’s justice response to problematic alcohol and other drug use</w:t>
      </w:r>
      <w:r w:rsidRPr="004A1659">
        <w:rPr>
          <w:rFonts w:ascii="Cambria" w:hAnsi="Cambria"/>
          <w:sz w:val="20"/>
          <w:szCs w:val="20"/>
          <w:lang w:val="en-AU"/>
        </w:rPr>
        <w:t xml:space="preserve"> (September 2019). </w:t>
      </w:r>
    </w:p>
  </w:footnote>
  <w:footnote w:id="10">
    <w:p w:rsidR="009F0ABB" w:rsidRPr="004A1659" w:rsidRDefault="009F0ABB">
      <w:pPr>
        <w:pStyle w:val="FootnoteText"/>
        <w:rPr>
          <w:rFonts w:ascii="Cambria" w:hAnsi="Cambria"/>
          <w:sz w:val="20"/>
          <w:szCs w:val="20"/>
          <w:lang w:val="en-AU"/>
        </w:rPr>
      </w:pPr>
      <w:r w:rsidRPr="004A1659">
        <w:rPr>
          <w:rStyle w:val="FootnoteReference"/>
          <w:rFonts w:ascii="Cambria" w:hAnsi="Cambria"/>
          <w:sz w:val="20"/>
          <w:szCs w:val="20"/>
        </w:rPr>
        <w:footnoteRef/>
      </w:r>
      <w:r w:rsidR="009A0889" w:rsidRPr="004A1659">
        <w:rPr>
          <w:rFonts w:ascii="Cambria" w:hAnsi="Cambria"/>
          <w:sz w:val="20"/>
          <w:szCs w:val="20"/>
        </w:rPr>
        <w:t xml:space="preserve"> </w:t>
      </w:r>
      <w:r w:rsidRPr="004A1659">
        <w:rPr>
          <w:rFonts w:ascii="Cambria" w:hAnsi="Cambria"/>
          <w:color w:val="000000"/>
          <w:sz w:val="20"/>
          <w:szCs w:val="20"/>
        </w:rPr>
        <w:t>[2017] TASSC 23 at para. 34</w:t>
      </w:r>
      <w:r w:rsidR="00781729" w:rsidRPr="004A1659">
        <w:rPr>
          <w:rFonts w:ascii="Cambria" w:hAnsi="Cambria"/>
          <w:color w:val="000000"/>
          <w:sz w:val="20"/>
          <w:szCs w:val="20"/>
        </w:rPr>
        <w:t xml:space="preserve"> per Brett J. Also see </w:t>
      </w:r>
      <w:r w:rsidR="00781729" w:rsidRPr="004A1659">
        <w:rPr>
          <w:rFonts w:ascii="Cambria" w:hAnsi="Cambria"/>
          <w:i/>
          <w:iCs/>
          <w:color w:val="000000"/>
          <w:sz w:val="20"/>
          <w:szCs w:val="20"/>
        </w:rPr>
        <w:t>Bell v Tasmania</w:t>
      </w:r>
      <w:r w:rsidR="00781729" w:rsidRPr="004A1659">
        <w:rPr>
          <w:rFonts w:ascii="Cambria" w:hAnsi="Cambria"/>
          <w:color w:val="000000"/>
          <w:sz w:val="20"/>
          <w:szCs w:val="20"/>
        </w:rPr>
        <w:t xml:space="preserve"> [2021] TASCCA 3 at para 32 per Martin AJ; Marshall AJ and Porter AJ in agreement; </w:t>
      </w:r>
      <w:r w:rsidR="00781729" w:rsidRPr="004A1659">
        <w:rPr>
          <w:rFonts w:ascii="Cambria" w:hAnsi="Cambria"/>
          <w:i/>
          <w:iCs/>
          <w:color w:val="000000"/>
          <w:sz w:val="20"/>
          <w:szCs w:val="20"/>
        </w:rPr>
        <w:t>State of Tasmania v Cameron Clark</w:t>
      </w:r>
      <w:r w:rsidR="00781729" w:rsidRPr="004A1659">
        <w:rPr>
          <w:rFonts w:ascii="Cambria" w:hAnsi="Cambria"/>
          <w:color w:val="000000"/>
          <w:sz w:val="20"/>
          <w:szCs w:val="20"/>
        </w:rPr>
        <w:t xml:space="preserve"> (comments on passing sentence) 6 November 2018 per Estcourt J.</w:t>
      </w:r>
    </w:p>
  </w:footnote>
  <w:footnote w:id="11">
    <w:p w:rsidR="009A0889" w:rsidRPr="004A1659" w:rsidRDefault="009A0889">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w:t>
      </w:r>
      <w:r w:rsidRPr="004A1659">
        <w:rPr>
          <w:rFonts w:ascii="Cambria" w:hAnsi="Cambria"/>
          <w:i/>
          <w:iCs/>
          <w:sz w:val="20"/>
          <w:szCs w:val="20"/>
        </w:rPr>
        <w:t>Crimes (Sentencing) Act 2005</w:t>
      </w:r>
      <w:r w:rsidRPr="004A1659">
        <w:rPr>
          <w:rFonts w:ascii="Cambria" w:hAnsi="Cambria"/>
          <w:sz w:val="20"/>
          <w:szCs w:val="20"/>
        </w:rPr>
        <w:t xml:space="preserve"> (ACT) s 12A(1)(a); </w:t>
      </w:r>
      <w:r w:rsidRPr="004A1659">
        <w:rPr>
          <w:rFonts w:ascii="Cambria" w:hAnsi="Cambria"/>
          <w:i/>
          <w:iCs/>
          <w:sz w:val="20"/>
          <w:szCs w:val="20"/>
        </w:rPr>
        <w:t>Penalties and Sentences Act 1992</w:t>
      </w:r>
      <w:r w:rsidRPr="004A1659">
        <w:rPr>
          <w:rFonts w:ascii="Cambria" w:hAnsi="Cambria"/>
          <w:sz w:val="20"/>
          <w:szCs w:val="20"/>
        </w:rPr>
        <w:t xml:space="preserve"> (Qld).</w:t>
      </w:r>
      <w:r w:rsidR="00512B0F" w:rsidRPr="004A1659">
        <w:rPr>
          <w:rFonts w:ascii="Cambria" w:hAnsi="Cambria"/>
          <w:sz w:val="20"/>
          <w:szCs w:val="20"/>
        </w:rPr>
        <w:t xml:space="preserve"> In Victoria, this only applies to orders made in the County Court: </w:t>
      </w:r>
      <w:r w:rsidR="00512B0F" w:rsidRPr="004A1659">
        <w:rPr>
          <w:rFonts w:ascii="Cambria" w:hAnsi="Cambria"/>
          <w:i/>
          <w:iCs/>
          <w:sz w:val="20"/>
          <w:szCs w:val="20"/>
        </w:rPr>
        <w:t>Sentencing Act 1991</w:t>
      </w:r>
      <w:r w:rsidR="00512B0F" w:rsidRPr="004A1659">
        <w:rPr>
          <w:rFonts w:ascii="Cambria" w:hAnsi="Cambria"/>
          <w:sz w:val="20"/>
          <w:szCs w:val="20"/>
        </w:rPr>
        <w:t xml:space="preserve"> (Vic) s 18Z(1)(d)(ii)</w:t>
      </w:r>
      <w:r w:rsidR="00512B0F" w:rsidRPr="004A1659">
        <w:rPr>
          <w:rFonts w:ascii="Cambria" w:hAnsi="Cambria"/>
          <w:sz w:val="20"/>
          <w:szCs w:val="20"/>
        </w:rPr>
        <w:t>.</w:t>
      </w:r>
    </w:p>
  </w:footnote>
  <w:footnote w:id="12">
    <w:p w:rsidR="00DF1971" w:rsidRPr="004A1659" w:rsidRDefault="00DF1971">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Section 5A of the </w:t>
      </w:r>
      <w:r w:rsidRPr="004A1659">
        <w:rPr>
          <w:rFonts w:ascii="Cambria" w:hAnsi="Cambria"/>
          <w:i/>
          <w:sz w:val="20"/>
          <w:szCs w:val="20"/>
        </w:rPr>
        <w:t>Drug Court Act 1998</w:t>
      </w:r>
      <w:r w:rsidRPr="004A1659">
        <w:rPr>
          <w:rFonts w:ascii="Cambria" w:hAnsi="Cambria"/>
          <w:sz w:val="20"/>
          <w:szCs w:val="20"/>
        </w:rPr>
        <w:t xml:space="preserve"> (NSW).</w:t>
      </w:r>
    </w:p>
  </w:footnote>
  <w:footnote w:id="13">
    <w:p w:rsidR="00F32C19" w:rsidRPr="004A1659" w:rsidRDefault="00F32C19" w:rsidP="00F32C19">
      <w:pPr>
        <w:pStyle w:val="FootnoteText"/>
        <w:rPr>
          <w:rFonts w:ascii="Cambria" w:hAnsi="Cambria"/>
          <w:sz w:val="20"/>
          <w:szCs w:val="20"/>
        </w:rPr>
      </w:pPr>
      <w:r w:rsidRPr="004A1659">
        <w:rPr>
          <w:rStyle w:val="FootnoteReference"/>
          <w:rFonts w:ascii="Cambria" w:hAnsi="Cambria"/>
          <w:sz w:val="20"/>
          <w:szCs w:val="20"/>
        </w:rPr>
        <w:footnoteRef/>
      </w:r>
      <w:r w:rsidRPr="004A1659">
        <w:rPr>
          <w:rFonts w:ascii="Cambria" w:hAnsi="Cambria"/>
          <w:sz w:val="20"/>
          <w:szCs w:val="20"/>
        </w:rPr>
        <w:t xml:space="preserve"> </w:t>
      </w:r>
      <w:r w:rsidRPr="004A1659">
        <w:rPr>
          <w:rFonts w:ascii="Cambria" w:eastAsia="Times New Roman" w:hAnsi="Cambria" w:cs="Times New Roman"/>
          <w:sz w:val="20"/>
          <w:szCs w:val="20"/>
          <w:lang w:eastAsia="en-GB"/>
        </w:rPr>
        <w:t xml:space="preserve">KPMG, </w:t>
      </w:r>
      <w:r w:rsidRPr="004A1659">
        <w:rPr>
          <w:rFonts w:ascii="Cambria" w:eastAsia="Times New Roman" w:hAnsi="Cambria" w:cs="Times New Roman"/>
          <w:i/>
          <w:iCs/>
          <w:sz w:val="20"/>
          <w:szCs w:val="20"/>
          <w:lang w:eastAsia="en-GB"/>
        </w:rPr>
        <w:t>Evaluation of the Drug Court of Victoria</w:t>
      </w:r>
      <w:r w:rsidRPr="004A1659">
        <w:rPr>
          <w:rFonts w:ascii="Cambria" w:eastAsia="Times New Roman" w:hAnsi="Cambria" w:cs="Times New Roman"/>
          <w:sz w:val="20"/>
          <w:szCs w:val="20"/>
          <w:lang w:eastAsia="en-GB"/>
        </w:rPr>
        <w:t xml:space="preserve"> (Final Report: December 2014) at 4.   </w:t>
      </w:r>
    </w:p>
  </w:footnote>
  <w:footnote w:id="14">
    <w:p w:rsidR="00F32C19" w:rsidRPr="004A1659" w:rsidRDefault="00F32C19" w:rsidP="00F32C19">
      <w:pPr>
        <w:pStyle w:val="FootnoteText"/>
        <w:rPr>
          <w:rFonts w:ascii="Cambria" w:hAnsi="Cambria"/>
          <w:sz w:val="20"/>
          <w:szCs w:val="20"/>
        </w:rPr>
      </w:pPr>
      <w:r w:rsidRPr="004A1659">
        <w:rPr>
          <w:rStyle w:val="FootnoteReference"/>
          <w:rFonts w:ascii="Cambria" w:hAnsi="Cambria"/>
          <w:sz w:val="20"/>
          <w:szCs w:val="20"/>
        </w:rPr>
        <w:footnoteRef/>
      </w:r>
      <w:r w:rsidRPr="004A1659">
        <w:rPr>
          <w:rFonts w:ascii="Cambria" w:hAnsi="Cambria"/>
          <w:sz w:val="20"/>
          <w:szCs w:val="20"/>
        </w:rPr>
        <w:t xml:space="preserve"> </w:t>
      </w:r>
      <w:r w:rsidRPr="004A1659">
        <w:rPr>
          <w:rFonts w:ascii="Cambria" w:hAnsi="Cambria"/>
          <w:color w:val="000000"/>
          <w:sz w:val="20"/>
          <w:szCs w:val="20"/>
          <w:bdr w:val="none" w:sz="0" w:space="0" w:color="auto" w:frame="1"/>
          <w:shd w:val="clear" w:color="auto" w:fill="FFFFFF"/>
        </w:rPr>
        <w:t xml:space="preserve">Don </w:t>
      </w:r>
      <w:proofErr w:type="spellStart"/>
      <w:r w:rsidRPr="004A1659">
        <w:rPr>
          <w:rFonts w:ascii="Cambria" w:hAnsi="Cambria"/>
          <w:color w:val="000000"/>
          <w:sz w:val="20"/>
          <w:szCs w:val="20"/>
          <w:bdr w:val="none" w:sz="0" w:space="0" w:color="auto" w:frame="1"/>
          <w:shd w:val="clear" w:color="auto" w:fill="FFFFFF"/>
        </w:rPr>
        <w:t>Weatherburn</w:t>
      </w:r>
      <w:proofErr w:type="spellEnd"/>
      <w:r w:rsidRPr="004A1659">
        <w:rPr>
          <w:rFonts w:ascii="Cambria" w:hAnsi="Cambria"/>
          <w:color w:val="000000"/>
          <w:sz w:val="20"/>
          <w:szCs w:val="20"/>
          <w:bdr w:val="none" w:sz="0" w:space="0" w:color="auto" w:frame="1"/>
          <w:shd w:val="clear" w:color="auto" w:fill="FFFFFF"/>
        </w:rPr>
        <w:t xml:space="preserve">, Craig Jones, Lucy Snowball and </w:t>
      </w:r>
      <w:proofErr w:type="spellStart"/>
      <w:r w:rsidRPr="004A1659">
        <w:rPr>
          <w:rFonts w:ascii="Cambria" w:hAnsi="Cambria"/>
          <w:color w:val="000000"/>
          <w:sz w:val="20"/>
          <w:szCs w:val="20"/>
          <w:bdr w:val="none" w:sz="0" w:space="0" w:color="auto" w:frame="1"/>
          <w:shd w:val="clear" w:color="auto" w:fill="FFFFFF"/>
        </w:rPr>
        <w:t>Jiuzhao</w:t>
      </w:r>
      <w:proofErr w:type="spellEnd"/>
      <w:r w:rsidRPr="004A1659">
        <w:rPr>
          <w:rFonts w:ascii="Cambria" w:hAnsi="Cambria"/>
          <w:color w:val="000000"/>
          <w:sz w:val="20"/>
          <w:szCs w:val="20"/>
          <w:bdr w:val="none" w:sz="0" w:space="0" w:color="auto" w:frame="1"/>
          <w:shd w:val="clear" w:color="auto" w:fill="FFFFFF"/>
        </w:rPr>
        <w:t xml:space="preserve"> Hua, ‘The NSW Drug Court: A re-evaluation of its effectiveness’ (Crime and Justice Bulletin No 121, NSW Bureau of Crime and Statistics and Research, September 2008).</w:t>
      </w:r>
    </w:p>
  </w:footnote>
  <w:footnote w:id="15">
    <w:p w:rsidR="00F32C19" w:rsidRPr="004A1659" w:rsidRDefault="00F32C19" w:rsidP="00F32C19">
      <w:pPr>
        <w:pStyle w:val="NoSpacing"/>
        <w:rPr>
          <w:rFonts w:ascii="Cambria" w:hAnsi="Cambria"/>
          <w:sz w:val="20"/>
          <w:szCs w:val="20"/>
        </w:rPr>
      </w:pPr>
      <w:r w:rsidRPr="004A1659">
        <w:rPr>
          <w:rStyle w:val="FootnoteReference"/>
          <w:rFonts w:ascii="Cambria" w:hAnsi="Cambria"/>
          <w:sz w:val="20"/>
          <w:szCs w:val="20"/>
        </w:rPr>
        <w:footnoteRef/>
      </w:r>
      <w:r w:rsidRPr="004A1659">
        <w:rPr>
          <w:rFonts w:ascii="Cambria" w:hAnsi="Cambria"/>
          <w:sz w:val="20"/>
          <w:szCs w:val="20"/>
        </w:rPr>
        <w:t xml:space="preserve"> Alexandra Voce and Tom Sullivan, </w:t>
      </w:r>
      <w:r w:rsidRPr="004A1659">
        <w:rPr>
          <w:rFonts w:ascii="Cambria" w:hAnsi="Cambria"/>
          <w:i/>
          <w:iCs/>
          <w:sz w:val="20"/>
          <w:szCs w:val="20"/>
        </w:rPr>
        <w:t>Drug use monitoring in Australia: Drug use among police detainees 2021</w:t>
      </w:r>
      <w:r w:rsidRPr="004A1659">
        <w:rPr>
          <w:rFonts w:ascii="Cambria" w:hAnsi="Cambria"/>
          <w:sz w:val="20"/>
          <w:szCs w:val="20"/>
        </w:rPr>
        <w:t xml:space="preserve"> (Australian Institute of Criminology Statistical Report 40: 2021) Table D2.</w:t>
      </w:r>
      <w:r w:rsidRPr="004A1659">
        <w:rPr>
          <w:rFonts w:ascii="Cambria" w:hAnsi="Cambria"/>
          <w:color w:val="000000" w:themeColor="text1"/>
          <w:sz w:val="20"/>
          <w:szCs w:val="20"/>
        </w:rPr>
        <w:t xml:space="preserve"> </w:t>
      </w:r>
    </w:p>
  </w:footnote>
  <w:footnote w:id="16">
    <w:p w:rsidR="00F32C19" w:rsidRPr="004A1659" w:rsidRDefault="00F32C19" w:rsidP="00F32C19">
      <w:pPr>
        <w:pStyle w:val="NoSpacing"/>
        <w:rPr>
          <w:rFonts w:ascii="Cambria" w:hAnsi="Cambria"/>
          <w:sz w:val="20"/>
          <w:szCs w:val="20"/>
        </w:rPr>
      </w:pPr>
      <w:r w:rsidRPr="004A1659">
        <w:rPr>
          <w:rStyle w:val="FootnoteReference"/>
          <w:rFonts w:ascii="Cambria" w:hAnsi="Cambria"/>
          <w:sz w:val="20"/>
          <w:szCs w:val="20"/>
        </w:rPr>
        <w:footnoteRef/>
      </w:r>
      <w:r w:rsidRPr="004A1659">
        <w:rPr>
          <w:rFonts w:ascii="Cambria" w:hAnsi="Cambria"/>
          <w:sz w:val="20"/>
          <w:szCs w:val="20"/>
        </w:rPr>
        <w:t xml:space="preserve"> Toni Makkai and Jason Payne, </w:t>
      </w:r>
      <w:r w:rsidRPr="004A1659">
        <w:rPr>
          <w:rFonts w:ascii="Cambria" w:hAnsi="Cambria"/>
          <w:i/>
          <w:iCs/>
          <w:sz w:val="20"/>
          <w:szCs w:val="20"/>
        </w:rPr>
        <w:t>Key findings from the drug use careers of offenders (DUCO) study</w:t>
      </w:r>
      <w:r w:rsidRPr="004A1659">
        <w:rPr>
          <w:rFonts w:ascii="Cambria" w:hAnsi="Cambria"/>
          <w:sz w:val="20"/>
          <w:szCs w:val="20"/>
        </w:rPr>
        <w:t xml:space="preserve"> (Australian Institute of Criminology: Trends &amp; Issues in Crime and Justice, No. 267. Canberra 2003). As found in Tasmanian Law Reform Institute, </w:t>
      </w:r>
      <w:r w:rsidRPr="004A1659">
        <w:rPr>
          <w:rFonts w:ascii="Cambria" w:hAnsi="Cambria"/>
          <w:i/>
          <w:sz w:val="20"/>
          <w:szCs w:val="20"/>
        </w:rPr>
        <w:t>The Establishment of a Drug Court Pilot in Tasmania</w:t>
      </w:r>
      <w:r w:rsidRPr="004A1659">
        <w:rPr>
          <w:rFonts w:ascii="Cambria" w:hAnsi="Cambria"/>
          <w:sz w:val="20"/>
          <w:szCs w:val="20"/>
        </w:rPr>
        <w:t xml:space="preserve"> (Research Paper No. 2) at 13.  </w:t>
      </w:r>
    </w:p>
  </w:footnote>
  <w:footnote w:id="17">
    <w:p w:rsidR="00F32C19" w:rsidRPr="004A1659" w:rsidRDefault="00F32C19" w:rsidP="00F32C19">
      <w:pPr>
        <w:pStyle w:val="NoSpacing"/>
        <w:rPr>
          <w:rFonts w:ascii="Cambria" w:hAnsi="Cambria"/>
          <w:sz w:val="20"/>
          <w:szCs w:val="20"/>
        </w:rPr>
      </w:pPr>
      <w:r w:rsidRPr="004A1659">
        <w:rPr>
          <w:rStyle w:val="FootnoteReference"/>
          <w:rFonts w:ascii="Cambria" w:hAnsi="Cambria"/>
          <w:sz w:val="20"/>
          <w:szCs w:val="20"/>
        </w:rPr>
        <w:footnoteRef/>
      </w:r>
      <w:r w:rsidRPr="004A1659">
        <w:rPr>
          <w:rFonts w:ascii="Cambria" w:hAnsi="Cambria"/>
          <w:sz w:val="20"/>
          <w:szCs w:val="20"/>
        </w:rPr>
        <w:t xml:space="preserve"> Jarryd Bartle, Steven Bothwell, Nicole Lee and Linda Jenner, </w:t>
      </w:r>
      <w:r w:rsidRPr="004A1659">
        <w:rPr>
          <w:rFonts w:ascii="Cambria" w:hAnsi="Cambria"/>
          <w:i/>
          <w:iCs/>
          <w:sz w:val="20"/>
          <w:szCs w:val="20"/>
        </w:rPr>
        <w:t>What Works. Alcohol and other drug interventions in prisons</w:t>
      </w:r>
      <w:r w:rsidRPr="004A1659">
        <w:rPr>
          <w:rFonts w:ascii="Cambria" w:hAnsi="Cambria"/>
          <w:sz w:val="20"/>
          <w:szCs w:val="20"/>
        </w:rPr>
        <w:t xml:space="preserve"> (360Edge: 2021) at 25. Also see David Wilson, ‘Correctional Programs’ in David Weisburd, David Farrington and Charlotte Gill (eds), </w:t>
      </w:r>
      <w:r w:rsidRPr="004A1659">
        <w:rPr>
          <w:rFonts w:ascii="Cambria" w:hAnsi="Cambria"/>
          <w:i/>
          <w:iCs/>
          <w:sz w:val="20"/>
          <w:szCs w:val="20"/>
        </w:rPr>
        <w:t>What Works in Crime Prevention and Rehabilitation: Lessons from Systematic Reviews</w:t>
      </w:r>
      <w:r w:rsidRPr="004A1659">
        <w:rPr>
          <w:rFonts w:ascii="Cambria" w:hAnsi="Cambria"/>
          <w:sz w:val="20"/>
          <w:szCs w:val="20"/>
        </w:rPr>
        <w:t xml:space="preserve"> (Cambridge: 2016) 193 at 205. </w:t>
      </w:r>
    </w:p>
  </w:footnote>
  <w:footnote w:id="18">
    <w:p w:rsidR="00F32C19" w:rsidRPr="004A1659" w:rsidRDefault="00F32C19" w:rsidP="00F32C19">
      <w:pPr>
        <w:pStyle w:val="NoSpacing"/>
        <w:rPr>
          <w:rFonts w:ascii="Cambria" w:hAnsi="Cambria"/>
          <w:sz w:val="20"/>
          <w:szCs w:val="20"/>
        </w:rPr>
      </w:pPr>
      <w:r w:rsidRPr="004A1659">
        <w:rPr>
          <w:rStyle w:val="FootnoteReference"/>
          <w:rFonts w:ascii="Cambria" w:hAnsi="Cambria"/>
          <w:sz w:val="20"/>
          <w:szCs w:val="20"/>
        </w:rPr>
        <w:footnoteRef/>
      </w:r>
      <w:r w:rsidRPr="004A1659">
        <w:rPr>
          <w:rFonts w:ascii="Cambria" w:hAnsi="Cambria"/>
          <w:sz w:val="20"/>
          <w:szCs w:val="20"/>
        </w:rPr>
        <w:t xml:space="preserve"> </w:t>
      </w:r>
      <w:r w:rsidR="003F3E94" w:rsidRPr="004A1659">
        <w:rPr>
          <w:rFonts w:ascii="Cambria" w:hAnsi="Cambria"/>
          <w:color w:val="000000" w:themeColor="text1"/>
          <w:sz w:val="20"/>
          <w:szCs w:val="20"/>
        </w:rPr>
        <w:t xml:space="preserve">Community Legal Centres Tasmania, </w:t>
      </w:r>
      <w:r w:rsidR="003F3E94" w:rsidRPr="004A1659">
        <w:rPr>
          <w:rFonts w:ascii="Cambria" w:hAnsi="Cambria" w:cs="Open Sans"/>
          <w:color w:val="000000" w:themeColor="text1"/>
          <w:sz w:val="20"/>
          <w:szCs w:val="20"/>
          <w:shd w:val="clear" w:color="auto" w:fill="FFFFFF"/>
        </w:rPr>
        <w:t>Submission to the </w:t>
      </w:r>
      <w:r w:rsidR="003F3E94" w:rsidRPr="004A1659">
        <w:rPr>
          <w:rStyle w:val="Emphasis"/>
          <w:rFonts w:ascii="Cambria" w:hAnsi="Cambria" w:cs="Open Sans"/>
          <w:color w:val="000000" w:themeColor="text1"/>
          <w:sz w:val="20"/>
          <w:szCs w:val="20"/>
          <w:shd w:val="clear" w:color="auto" w:fill="FFFFFF"/>
        </w:rPr>
        <w:t>Inquiry into Tasmanian Adult Imprisonment and Youth Detention Matters</w:t>
      </w:r>
      <w:r w:rsidR="003F3E94" w:rsidRPr="004A1659">
        <w:rPr>
          <w:rFonts w:ascii="Cambria" w:hAnsi="Cambria" w:cs="Open Sans"/>
          <w:color w:val="000000" w:themeColor="text1"/>
          <w:sz w:val="20"/>
          <w:szCs w:val="20"/>
          <w:shd w:val="clear" w:color="auto" w:fill="FFFFFF"/>
        </w:rPr>
        <w:t xml:space="preserve"> (April 2023) at 14. As found at </w:t>
      </w:r>
      <w:hyperlink r:id="rId1" w:history="1">
        <w:r w:rsidR="003F3E94" w:rsidRPr="004A1659">
          <w:rPr>
            <w:rStyle w:val="Hyperlink"/>
            <w:rFonts w:ascii="Cambria" w:hAnsi="Cambria" w:cs="Open Sans"/>
            <w:sz w:val="20"/>
            <w:szCs w:val="20"/>
            <w:shd w:val="clear" w:color="auto" w:fill="FFFFFF"/>
          </w:rPr>
          <w:t>http://www.clctas.org.au/what/reform/</w:t>
        </w:r>
      </w:hyperlink>
      <w:r w:rsidR="003F3E94" w:rsidRPr="004A1659">
        <w:rPr>
          <w:rFonts w:ascii="Cambria" w:hAnsi="Cambria" w:cs="Open Sans"/>
          <w:color w:val="4D4E52"/>
          <w:sz w:val="20"/>
          <w:szCs w:val="20"/>
          <w:shd w:val="clear" w:color="auto" w:fill="FFFFFF"/>
        </w:rPr>
        <w:t xml:space="preserve"> </w:t>
      </w:r>
      <w:r w:rsidR="003F3E94" w:rsidRPr="004A1659">
        <w:rPr>
          <w:rFonts w:ascii="Cambria" w:hAnsi="Cambria" w:cs="Open Sans"/>
          <w:color w:val="000000" w:themeColor="text1"/>
          <w:sz w:val="20"/>
          <w:szCs w:val="20"/>
          <w:shd w:val="clear" w:color="auto" w:fill="FFFFFF"/>
        </w:rPr>
        <w:t>(accessed 31 July 2023).</w:t>
      </w:r>
    </w:p>
  </w:footnote>
  <w:footnote w:id="19">
    <w:p w:rsidR="00F36D97" w:rsidRPr="004A1659" w:rsidRDefault="00F36D97" w:rsidP="00F36D97">
      <w:pPr>
        <w:pStyle w:val="NoSpacing"/>
        <w:rPr>
          <w:rFonts w:ascii="Cambria" w:hAnsi="Cambria"/>
          <w:sz w:val="20"/>
          <w:szCs w:val="20"/>
        </w:rPr>
      </w:pPr>
      <w:r w:rsidRPr="004A1659">
        <w:rPr>
          <w:rStyle w:val="FootnoteReference"/>
          <w:rFonts w:ascii="Cambria" w:hAnsi="Cambria"/>
          <w:sz w:val="20"/>
          <w:szCs w:val="20"/>
        </w:rPr>
        <w:footnoteRef/>
      </w:r>
      <w:r w:rsidRPr="004A1659">
        <w:rPr>
          <w:rFonts w:ascii="Cambria" w:hAnsi="Cambria"/>
          <w:sz w:val="20"/>
          <w:szCs w:val="20"/>
        </w:rPr>
        <w:t xml:space="preserve"> Minister for Corrections, ‘Drug and alcohol treatment services continue within the TPS’, Media Release, 2 August 2021</w:t>
      </w:r>
      <w:r w:rsidRPr="004A1659">
        <w:rPr>
          <w:rFonts w:ascii="Cambria" w:hAnsi="Cambria"/>
          <w:color w:val="000000" w:themeColor="text1"/>
          <w:sz w:val="20"/>
          <w:szCs w:val="20"/>
        </w:rPr>
        <w:t>.</w:t>
      </w:r>
    </w:p>
  </w:footnote>
  <w:footnote w:id="20">
    <w:p w:rsidR="003F3E94" w:rsidRPr="004A1659" w:rsidRDefault="003F3E94">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Between 2017/18 and 2019-20 there were 209 persons who were assessed as eligible for residential treatment. As found at </w:t>
      </w:r>
      <w:r w:rsidRPr="004A1659">
        <w:rPr>
          <w:rFonts w:ascii="Cambria" w:hAnsi="Cambria"/>
          <w:color w:val="000000" w:themeColor="text1"/>
          <w:sz w:val="20"/>
          <w:szCs w:val="20"/>
        </w:rPr>
        <w:t xml:space="preserve">Community Legal </w:t>
      </w:r>
      <w:proofErr w:type="spellStart"/>
      <w:r w:rsidRPr="004A1659">
        <w:rPr>
          <w:rFonts w:ascii="Cambria" w:hAnsi="Cambria"/>
          <w:color w:val="000000" w:themeColor="text1"/>
          <w:sz w:val="20"/>
          <w:szCs w:val="20"/>
        </w:rPr>
        <w:t>Centres</w:t>
      </w:r>
      <w:proofErr w:type="spellEnd"/>
      <w:r w:rsidRPr="004A1659">
        <w:rPr>
          <w:rFonts w:ascii="Cambria" w:hAnsi="Cambria"/>
          <w:color w:val="000000" w:themeColor="text1"/>
          <w:sz w:val="20"/>
          <w:szCs w:val="20"/>
        </w:rPr>
        <w:t xml:space="preserve"> Tasmania, </w:t>
      </w:r>
      <w:r w:rsidRPr="004A1659">
        <w:rPr>
          <w:rFonts w:ascii="Cambria" w:hAnsi="Cambria" w:cs="Open Sans"/>
          <w:color w:val="000000" w:themeColor="text1"/>
          <w:sz w:val="20"/>
          <w:szCs w:val="20"/>
          <w:shd w:val="clear" w:color="auto" w:fill="FFFFFF"/>
        </w:rPr>
        <w:t>Submission to the </w:t>
      </w:r>
      <w:r w:rsidRPr="004A1659">
        <w:rPr>
          <w:rStyle w:val="Emphasis"/>
          <w:rFonts w:ascii="Cambria" w:hAnsi="Cambria" w:cs="Open Sans"/>
          <w:color w:val="000000" w:themeColor="text1"/>
          <w:sz w:val="20"/>
          <w:szCs w:val="20"/>
          <w:shd w:val="clear" w:color="auto" w:fill="FFFFFF"/>
        </w:rPr>
        <w:t>Inquiry into Tasmanian Adult Imprisonment and Youth Detention Matters</w:t>
      </w:r>
      <w:r w:rsidRPr="004A1659">
        <w:rPr>
          <w:rFonts w:ascii="Cambria" w:hAnsi="Cambria" w:cs="Open Sans"/>
          <w:color w:val="000000" w:themeColor="text1"/>
          <w:sz w:val="20"/>
          <w:szCs w:val="20"/>
          <w:shd w:val="clear" w:color="auto" w:fill="FFFFFF"/>
        </w:rPr>
        <w:t xml:space="preserve"> (April 2023) at 14. As found at </w:t>
      </w:r>
      <w:hyperlink r:id="rId2" w:history="1">
        <w:r w:rsidRPr="004A1659">
          <w:rPr>
            <w:rStyle w:val="Hyperlink"/>
            <w:rFonts w:ascii="Cambria" w:hAnsi="Cambria" w:cs="Open Sans"/>
            <w:sz w:val="20"/>
            <w:szCs w:val="20"/>
            <w:shd w:val="clear" w:color="auto" w:fill="FFFFFF"/>
          </w:rPr>
          <w:t>http://www.clctas.org.au/what/reform/</w:t>
        </w:r>
      </w:hyperlink>
      <w:r w:rsidRPr="004A1659">
        <w:rPr>
          <w:rFonts w:ascii="Cambria" w:hAnsi="Cambria" w:cs="Open Sans"/>
          <w:color w:val="4D4E52"/>
          <w:sz w:val="20"/>
          <w:szCs w:val="20"/>
          <w:shd w:val="clear" w:color="auto" w:fill="FFFFFF"/>
        </w:rPr>
        <w:t xml:space="preserve"> </w:t>
      </w:r>
      <w:r w:rsidRPr="004A1659">
        <w:rPr>
          <w:rFonts w:ascii="Cambria" w:hAnsi="Cambria" w:cs="Open Sans"/>
          <w:color w:val="000000" w:themeColor="text1"/>
          <w:sz w:val="20"/>
          <w:szCs w:val="20"/>
          <w:shd w:val="clear" w:color="auto" w:fill="FFFFFF"/>
        </w:rPr>
        <w:t>(accessed 31 July 2023).</w:t>
      </w:r>
    </w:p>
  </w:footnote>
  <w:footnote w:id="21">
    <w:p w:rsidR="00F36D97" w:rsidRPr="004A1659" w:rsidRDefault="00F36D97" w:rsidP="00F36D97">
      <w:pPr>
        <w:pStyle w:val="NoSpacing"/>
        <w:rPr>
          <w:rFonts w:ascii="Cambria" w:hAnsi="Cambria"/>
          <w:sz w:val="20"/>
          <w:szCs w:val="20"/>
        </w:rPr>
      </w:pPr>
      <w:r w:rsidRPr="004A1659">
        <w:rPr>
          <w:rStyle w:val="FootnoteReference"/>
          <w:rFonts w:ascii="Cambria" w:hAnsi="Cambria"/>
          <w:sz w:val="20"/>
          <w:szCs w:val="20"/>
        </w:rPr>
        <w:footnoteRef/>
      </w:r>
      <w:r w:rsidRPr="004A1659">
        <w:rPr>
          <w:rFonts w:ascii="Cambria" w:hAnsi="Cambria"/>
          <w:sz w:val="20"/>
          <w:szCs w:val="20"/>
        </w:rPr>
        <w:t xml:space="preserve"> </w:t>
      </w:r>
      <w:r w:rsidRPr="004A1659">
        <w:rPr>
          <w:rFonts w:ascii="Cambria" w:hAnsi="Cambria"/>
          <w:color w:val="000000" w:themeColor="text1"/>
          <w:sz w:val="20"/>
          <w:szCs w:val="20"/>
        </w:rPr>
        <w:t xml:space="preserve">Community Legal Centres Tasmania, </w:t>
      </w:r>
      <w:r w:rsidRPr="004A1659">
        <w:rPr>
          <w:rFonts w:ascii="Cambria" w:hAnsi="Cambria" w:cs="Open Sans"/>
          <w:color w:val="000000" w:themeColor="text1"/>
          <w:sz w:val="20"/>
          <w:szCs w:val="20"/>
          <w:shd w:val="clear" w:color="auto" w:fill="FFFFFF"/>
        </w:rPr>
        <w:t>Submission to the </w:t>
      </w:r>
      <w:r w:rsidRPr="004A1659">
        <w:rPr>
          <w:rStyle w:val="Emphasis"/>
          <w:rFonts w:ascii="Cambria" w:hAnsi="Cambria" w:cs="Open Sans"/>
          <w:color w:val="000000" w:themeColor="text1"/>
          <w:sz w:val="20"/>
          <w:szCs w:val="20"/>
          <w:shd w:val="clear" w:color="auto" w:fill="FFFFFF"/>
        </w:rPr>
        <w:t>Inquiry into Tasmanian Adult Imprisonment and Youth Detention Matters</w:t>
      </w:r>
      <w:r w:rsidRPr="004A1659">
        <w:rPr>
          <w:rFonts w:ascii="Cambria" w:hAnsi="Cambria" w:cs="Open Sans"/>
          <w:color w:val="000000" w:themeColor="text1"/>
          <w:sz w:val="20"/>
          <w:szCs w:val="20"/>
          <w:shd w:val="clear" w:color="auto" w:fill="FFFFFF"/>
        </w:rPr>
        <w:t xml:space="preserve"> (April 2023). As found at </w:t>
      </w:r>
      <w:hyperlink r:id="rId3" w:history="1">
        <w:r w:rsidRPr="004A1659">
          <w:rPr>
            <w:rStyle w:val="Hyperlink"/>
            <w:rFonts w:ascii="Cambria" w:hAnsi="Cambria" w:cs="Open Sans"/>
            <w:sz w:val="20"/>
            <w:szCs w:val="20"/>
            <w:shd w:val="clear" w:color="auto" w:fill="FFFFFF"/>
          </w:rPr>
          <w:t>http://www.clctas.org.au/what/reform/</w:t>
        </w:r>
      </w:hyperlink>
      <w:r w:rsidRPr="004A1659">
        <w:rPr>
          <w:rFonts w:ascii="Cambria" w:hAnsi="Cambria" w:cs="Open Sans"/>
          <w:color w:val="4D4E52"/>
          <w:sz w:val="20"/>
          <w:szCs w:val="20"/>
          <w:shd w:val="clear" w:color="auto" w:fill="FFFFFF"/>
        </w:rPr>
        <w:t xml:space="preserve"> </w:t>
      </w:r>
      <w:r w:rsidRPr="004A1659">
        <w:rPr>
          <w:rFonts w:ascii="Cambria" w:hAnsi="Cambria" w:cs="Open Sans"/>
          <w:color w:val="000000" w:themeColor="text1"/>
          <w:sz w:val="20"/>
          <w:szCs w:val="20"/>
          <w:shd w:val="clear" w:color="auto" w:fill="FFFFFF"/>
        </w:rPr>
        <w:t xml:space="preserve">(accessed 31 July 2023). </w:t>
      </w:r>
    </w:p>
  </w:footnote>
  <w:footnote w:id="22">
    <w:p w:rsidR="00F91F24" w:rsidRPr="004A1659" w:rsidRDefault="00F91F24" w:rsidP="00F91F24">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Tasmanian Government, </w:t>
      </w:r>
      <w:r w:rsidRPr="004A1659">
        <w:rPr>
          <w:rFonts w:ascii="Cambria" w:hAnsi="Cambria"/>
          <w:i/>
          <w:iCs/>
          <w:sz w:val="20"/>
          <w:szCs w:val="20"/>
        </w:rPr>
        <w:t>Tasmanian Drug Strategy 2023-2028</w:t>
      </w:r>
      <w:r w:rsidRPr="004A1659">
        <w:rPr>
          <w:rFonts w:ascii="Cambria" w:hAnsi="Cambria"/>
          <w:sz w:val="20"/>
          <w:szCs w:val="20"/>
        </w:rPr>
        <w:t xml:space="preserve"> (consultation draft) </w:t>
      </w:r>
      <w:r w:rsidRPr="004A1659">
        <w:rPr>
          <w:rFonts w:ascii="Cambria" w:hAnsi="Cambria"/>
          <w:sz w:val="20"/>
          <w:szCs w:val="20"/>
          <w:lang w:val="en-AU"/>
        </w:rPr>
        <w:t xml:space="preserve">at 9. </w:t>
      </w:r>
    </w:p>
  </w:footnote>
  <w:footnote w:id="23">
    <w:p w:rsidR="00F91F24" w:rsidRPr="004A1659" w:rsidRDefault="00F91F24" w:rsidP="00F91F24">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Alison </w:t>
      </w:r>
      <w:r w:rsidRPr="004A1659">
        <w:rPr>
          <w:rFonts w:ascii="Cambria" w:hAnsi="Cambria"/>
          <w:color w:val="000000"/>
          <w:sz w:val="20"/>
          <w:szCs w:val="20"/>
          <w:bdr w:val="none" w:sz="0" w:space="0" w:color="auto" w:frame="1"/>
          <w:shd w:val="clear" w:color="auto" w:fill="FFFFFF"/>
        </w:rPr>
        <w:t xml:space="preserve">Ritter, Ross McLeod and Marian Shanahan. </w:t>
      </w:r>
      <w:r w:rsidRPr="004A1659">
        <w:rPr>
          <w:rFonts w:ascii="Cambria" w:hAnsi="Cambria"/>
          <w:i/>
          <w:iCs/>
          <w:color w:val="000000"/>
          <w:sz w:val="20"/>
          <w:szCs w:val="20"/>
          <w:bdr w:val="none" w:sz="0" w:space="0" w:color="auto" w:frame="1"/>
          <w:shd w:val="clear" w:color="auto" w:fill="FFFFFF"/>
        </w:rPr>
        <w:t>Monograph No. 24: Government drug policy expenditure in Australia – 2009/10</w:t>
      </w:r>
      <w:r w:rsidRPr="004A1659">
        <w:rPr>
          <w:rFonts w:ascii="Cambria" w:hAnsi="Cambria"/>
          <w:color w:val="000000"/>
          <w:sz w:val="20"/>
          <w:szCs w:val="20"/>
          <w:bdr w:val="none" w:sz="0" w:space="0" w:color="auto" w:frame="1"/>
          <w:shd w:val="clear" w:color="auto" w:fill="FFFFFF"/>
        </w:rPr>
        <w:t xml:space="preserve"> (National Drug and Alcohol Research Centre: Sydney June 2013).</w:t>
      </w:r>
    </w:p>
  </w:footnote>
  <w:footnote w:id="24">
    <w:p w:rsidR="00D54F8E" w:rsidRPr="004A1659" w:rsidRDefault="00D54F8E">
      <w:pPr>
        <w:pStyle w:val="FootnoteText"/>
        <w:rPr>
          <w:rFonts w:ascii="Cambria" w:hAnsi="Cambria"/>
          <w:sz w:val="20"/>
          <w:szCs w:val="20"/>
          <w:lang w:val="en-AU"/>
        </w:rPr>
      </w:pPr>
      <w:r w:rsidRPr="004A1659">
        <w:rPr>
          <w:rStyle w:val="FootnoteReference"/>
          <w:rFonts w:ascii="Cambria" w:hAnsi="Cambria"/>
          <w:sz w:val="20"/>
          <w:szCs w:val="20"/>
        </w:rPr>
        <w:footnoteRef/>
      </w:r>
      <w:r w:rsidRPr="004A1659">
        <w:rPr>
          <w:rFonts w:ascii="Cambria" w:hAnsi="Cambria"/>
          <w:sz w:val="20"/>
          <w:szCs w:val="20"/>
        </w:rPr>
        <w:t xml:space="preserve"> </w:t>
      </w:r>
      <w:r w:rsidRPr="004A1659">
        <w:rPr>
          <w:rFonts w:ascii="Cambria" w:hAnsi="Cambria"/>
          <w:color w:val="000000" w:themeColor="text1"/>
          <w:sz w:val="20"/>
          <w:szCs w:val="20"/>
          <w:lang w:val="en-AU"/>
        </w:rPr>
        <w:t xml:space="preserve">Section 6(1) of the </w:t>
      </w:r>
      <w:r w:rsidRPr="004A1659">
        <w:rPr>
          <w:rFonts w:ascii="Cambria" w:hAnsi="Cambria"/>
          <w:i/>
          <w:iCs/>
          <w:color w:val="000000" w:themeColor="text1"/>
          <w:sz w:val="20"/>
          <w:szCs w:val="20"/>
          <w:lang w:val="en-AU"/>
        </w:rPr>
        <w:t>Road Safety (Alcohol and Drugs) Act 1970</w:t>
      </w:r>
      <w:r w:rsidRPr="004A1659">
        <w:rPr>
          <w:rFonts w:ascii="Cambria" w:hAnsi="Cambria"/>
          <w:color w:val="000000" w:themeColor="text1"/>
          <w:sz w:val="20"/>
          <w:szCs w:val="20"/>
          <w:lang w:val="en-AU"/>
        </w:rPr>
        <w:t xml:space="preserve"> (Tas).</w:t>
      </w:r>
    </w:p>
  </w:footnote>
  <w:footnote w:id="25">
    <w:p w:rsidR="00EF569B" w:rsidRPr="004A1659" w:rsidRDefault="00EF569B" w:rsidP="00EF569B">
      <w:pPr>
        <w:pStyle w:val="FootnoteText"/>
        <w:rPr>
          <w:rFonts w:ascii="Cambria" w:hAnsi="Cambria"/>
          <w:sz w:val="20"/>
          <w:szCs w:val="20"/>
          <w:lang w:val="en-AU"/>
        </w:rPr>
      </w:pPr>
      <w:r w:rsidRPr="004A1659">
        <w:rPr>
          <w:rStyle w:val="FootnoteReference"/>
          <w:rFonts w:ascii="Cambria" w:hAnsi="Cambria"/>
          <w:sz w:val="20"/>
          <w:szCs w:val="20"/>
          <w:lang w:val="en-AU"/>
        </w:rPr>
        <w:footnoteRef/>
      </w:r>
      <w:r w:rsidRPr="004A1659">
        <w:rPr>
          <w:rFonts w:ascii="Cambria" w:hAnsi="Cambria"/>
          <w:sz w:val="20"/>
          <w:szCs w:val="20"/>
          <w:lang w:val="en-AU"/>
        </w:rPr>
        <w:t xml:space="preserve"> Section 6A(1) of the </w:t>
      </w:r>
      <w:r w:rsidRPr="004A1659">
        <w:rPr>
          <w:rFonts w:ascii="Cambria" w:hAnsi="Cambria"/>
          <w:i/>
          <w:iCs/>
          <w:sz w:val="20"/>
          <w:szCs w:val="20"/>
          <w:lang w:val="en-AU"/>
        </w:rPr>
        <w:t>Road Safety (Alcohol and Drugs) Act 1970</w:t>
      </w:r>
      <w:r w:rsidRPr="004A1659">
        <w:rPr>
          <w:rFonts w:ascii="Cambria" w:hAnsi="Cambria"/>
          <w:sz w:val="20"/>
          <w:szCs w:val="20"/>
          <w:lang w:val="en-AU"/>
        </w:rPr>
        <w:t xml:space="preserve"> (Tas). Pursuant to regulation 15 of the </w:t>
      </w:r>
      <w:r w:rsidRPr="004A1659">
        <w:rPr>
          <w:rFonts w:ascii="Cambria" w:hAnsi="Cambria"/>
          <w:i/>
          <w:iCs/>
          <w:sz w:val="20"/>
          <w:szCs w:val="20"/>
          <w:lang w:val="en-AU"/>
        </w:rPr>
        <w:t>Road Safety (Alcohol and Drugs) Regulations 2018</w:t>
      </w:r>
      <w:r w:rsidRPr="004A1659">
        <w:rPr>
          <w:rFonts w:ascii="Cambria" w:hAnsi="Cambria"/>
          <w:sz w:val="20"/>
          <w:szCs w:val="20"/>
          <w:lang w:val="en-AU"/>
        </w:rPr>
        <w:t xml:space="preserve"> (Tas) there are currently 18 prescribed illicit drugs listed in the including cocaine, ecstasy heroin, ketamine, LSD and magic mushrooms. </w:t>
      </w:r>
    </w:p>
  </w:footnote>
  <w:footnote w:id="26">
    <w:p w:rsidR="00EF569B" w:rsidRPr="00EF569B" w:rsidRDefault="00EF569B">
      <w:pPr>
        <w:pStyle w:val="FootnoteText"/>
        <w:rPr>
          <w:lang w:val="en-AU"/>
        </w:rPr>
      </w:pPr>
      <w:r w:rsidRPr="004A1659">
        <w:rPr>
          <w:rStyle w:val="FootnoteReference"/>
          <w:rFonts w:ascii="Cambria" w:hAnsi="Cambria"/>
          <w:sz w:val="20"/>
          <w:szCs w:val="20"/>
        </w:rPr>
        <w:footnoteRef/>
      </w:r>
      <w:r w:rsidRPr="004A1659">
        <w:rPr>
          <w:rFonts w:ascii="Cambria" w:hAnsi="Cambria"/>
          <w:sz w:val="20"/>
          <w:szCs w:val="20"/>
        </w:rPr>
        <w:t xml:space="preserve"> According to the </w:t>
      </w:r>
      <w:r w:rsidRPr="004A1659">
        <w:rPr>
          <w:rFonts w:ascii="Cambria" w:hAnsi="Cambria"/>
          <w:color w:val="000000" w:themeColor="text1"/>
          <w:sz w:val="20"/>
          <w:szCs w:val="20"/>
          <w:shd w:val="clear" w:color="auto" w:fill="FFFFFF"/>
          <w:lang w:val="en-AU"/>
        </w:rPr>
        <w:t xml:space="preserve">Sentencing Advisory Council’s sentencing database, between 2015-2021 there were 4727 offenders (53 per cent) who were sentenced for drink driving and 4245 offenders (47 per cent) who were sentenced for drug driving. As found at </w:t>
      </w:r>
      <w:r w:rsidRPr="004A1659">
        <w:rPr>
          <w:rFonts w:ascii="Cambria" w:hAnsi="Cambria"/>
          <w:color w:val="000000" w:themeColor="text1"/>
          <w:sz w:val="20"/>
          <w:szCs w:val="20"/>
        </w:rPr>
        <w:t xml:space="preserve">Community Legal </w:t>
      </w:r>
      <w:proofErr w:type="spellStart"/>
      <w:r w:rsidRPr="004A1659">
        <w:rPr>
          <w:rFonts w:ascii="Cambria" w:hAnsi="Cambria"/>
          <w:color w:val="000000" w:themeColor="text1"/>
          <w:sz w:val="20"/>
          <w:szCs w:val="20"/>
        </w:rPr>
        <w:t>Centres</w:t>
      </w:r>
      <w:proofErr w:type="spellEnd"/>
      <w:r w:rsidRPr="004A1659">
        <w:rPr>
          <w:rFonts w:ascii="Cambria" w:hAnsi="Cambria"/>
          <w:color w:val="000000" w:themeColor="text1"/>
          <w:sz w:val="20"/>
          <w:szCs w:val="20"/>
        </w:rPr>
        <w:t xml:space="preserve"> Tasmania, </w:t>
      </w:r>
      <w:r w:rsidRPr="004A1659">
        <w:rPr>
          <w:rFonts w:ascii="Cambria" w:hAnsi="Cambria" w:cs="Open Sans"/>
          <w:color w:val="000000" w:themeColor="text1"/>
          <w:sz w:val="20"/>
          <w:szCs w:val="20"/>
          <w:shd w:val="clear" w:color="auto" w:fill="FFFFFF"/>
        </w:rPr>
        <w:t>Submission to the Legislative Council </w:t>
      </w:r>
      <w:r w:rsidRPr="004A1659">
        <w:rPr>
          <w:rStyle w:val="Emphasis"/>
          <w:rFonts w:ascii="Cambria" w:hAnsi="Cambria" w:cs="Open Sans"/>
          <w:color w:val="000000" w:themeColor="text1"/>
          <w:sz w:val="20"/>
          <w:szCs w:val="20"/>
          <w:shd w:val="clear" w:color="auto" w:fill="FFFFFF"/>
        </w:rPr>
        <w:t>Road Safety in Tasmania Inquiry</w:t>
      </w:r>
      <w:r w:rsidRPr="004A1659">
        <w:rPr>
          <w:rFonts w:ascii="Cambria" w:hAnsi="Cambria" w:cs="Open Sans"/>
          <w:color w:val="000000" w:themeColor="text1"/>
          <w:sz w:val="20"/>
          <w:szCs w:val="20"/>
          <w:shd w:val="clear" w:color="auto" w:fill="FFFFFF"/>
        </w:rPr>
        <w:t xml:space="preserve"> (September 2021). As found at </w:t>
      </w:r>
      <w:hyperlink r:id="rId4" w:history="1">
        <w:r w:rsidRPr="004A1659">
          <w:rPr>
            <w:rStyle w:val="Hyperlink"/>
            <w:rFonts w:ascii="Cambria" w:hAnsi="Cambria" w:cs="Open Sans"/>
            <w:sz w:val="20"/>
            <w:szCs w:val="20"/>
            <w:shd w:val="clear" w:color="auto" w:fill="FFFFFF"/>
          </w:rPr>
          <w:t>http://www.clctas.org.au/what/reform/</w:t>
        </w:r>
      </w:hyperlink>
      <w:r w:rsidRPr="004A1659">
        <w:rPr>
          <w:rFonts w:ascii="Cambria" w:hAnsi="Cambria" w:cs="Open Sans"/>
          <w:color w:val="4D4E52"/>
          <w:sz w:val="20"/>
          <w:szCs w:val="20"/>
          <w:shd w:val="clear" w:color="auto" w:fill="FFFFFF"/>
        </w:rPr>
        <w:t xml:space="preserve"> </w:t>
      </w:r>
      <w:r w:rsidRPr="004A1659">
        <w:rPr>
          <w:rFonts w:ascii="Cambria" w:hAnsi="Cambria" w:cs="Open Sans"/>
          <w:color w:val="000000" w:themeColor="text1"/>
          <w:sz w:val="20"/>
          <w:szCs w:val="20"/>
          <w:shd w:val="clear" w:color="auto" w:fill="FFFFFF"/>
        </w:rPr>
        <w:t>(accessed 31 July 2023).</w:t>
      </w:r>
      <w:r w:rsidRPr="00D54F8E">
        <w:rPr>
          <w:rFonts w:ascii="Cambria" w:hAnsi="Cambria" w:cs="Open Sans"/>
          <w:color w:val="000000" w:themeColor="text1"/>
          <w:sz w:val="20"/>
          <w:szCs w:val="20"/>
          <w:shd w:val="clear" w:color="auto" w:fill="FFFFFF"/>
        </w:rPr>
        <w:t xml:space="preserve"> </w:t>
      </w:r>
      <w:r>
        <w:rPr>
          <w:rFonts w:ascii="Cambria" w:hAnsi="Cambria"/>
          <w:color w:val="000000" w:themeColor="text1"/>
          <w:shd w:val="clear" w:color="auto" w:fill="FFFFFF"/>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5452"/>
    <w:multiLevelType w:val="hybridMultilevel"/>
    <w:tmpl w:val="2820DC02"/>
    <w:lvl w:ilvl="0" w:tplc="22E063AC">
      <w:start w:val="3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0F37"/>
    <w:multiLevelType w:val="hybridMultilevel"/>
    <w:tmpl w:val="E590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D5CDA"/>
    <w:multiLevelType w:val="hybridMultilevel"/>
    <w:tmpl w:val="D02A68AC"/>
    <w:lvl w:ilvl="0" w:tplc="B936C584">
      <w:start w:val="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F62EF"/>
    <w:multiLevelType w:val="hybridMultilevel"/>
    <w:tmpl w:val="F2E2837C"/>
    <w:lvl w:ilvl="0" w:tplc="6B4A571A">
      <w:start w:val="5"/>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B7BBF"/>
    <w:multiLevelType w:val="hybridMultilevel"/>
    <w:tmpl w:val="E3967D18"/>
    <w:lvl w:ilvl="0" w:tplc="C73494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72442"/>
    <w:multiLevelType w:val="hybridMultilevel"/>
    <w:tmpl w:val="1E2CD368"/>
    <w:lvl w:ilvl="0" w:tplc="E2A8F5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E6354C"/>
    <w:multiLevelType w:val="hybridMultilevel"/>
    <w:tmpl w:val="A828A726"/>
    <w:lvl w:ilvl="0" w:tplc="08090003">
      <w:start w:val="1"/>
      <w:numFmt w:val="bullet"/>
      <w:lvlText w:val="o"/>
      <w:lvlJc w:val="left"/>
      <w:pPr>
        <w:ind w:left="829" w:hanging="360"/>
      </w:pPr>
      <w:rPr>
        <w:rFonts w:ascii="Courier New" w:hAnsi="Courier New" w:cs="Courier New"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7" w15:restartNumberingAfterBreak="0">
    <w:nsid w:val="59682861"/>
    <w:multiLevelType w:val="hybridMultilevel"/>
    <w:tmpl w:val="6CA6B732"/>
    <w:lvl w:ilvl="0" w:tplc="B428D142">
      <w:start w:val="3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E55E4C"/>
    <w:multiLevelType w:val="hybridMultilevel"/>
    <w:tmpl w:val="ACE6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A782A"/>
    <w:multiLevelType w:val="multilevel"/>
    <w:tmpl w:val="749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A526CF"/>
    <w:multiLevelType w:val="hybridMultilevel"/>
    <w:tmpl w:val="0636C9CA"/>
    <w:lvl w:ilvl="0" w:tplc="344CA6FE">
      <w:start w:val="20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765598">
    <w:abstractNumId w:val="6"/>
  </w:num>
  <w:num w:numId="2" w16cid:durableId="1551185850">
    <w:abstractNumId w:val="2"/>
  </w:num>
  <w:num w:numId="3" w16cid:durableId="378864877">
    <w:abstractNumId w:val="0"/>
  </w:num>
  <w:num w:numId="4" w16cid:durableId="543911112">
    <w:abstractNumId w:val="7"/>
  </w:num>
  <w:num w:numId="5" w16cid:durableId="2024814770">
    <w:abstractNumId w:val="9"/>
  </w:num>
  <w:num w:numId="6" w16cid:durableId="996879218">
    <w:abstractNumId w:val="10"/>
  </w:num>
  <w:num w:numId="7" w16cid:durableId="1860510090">
    <w:abstractNumId w:val="1"/>
  </w:num>
  <w:num w:numId="8" w16cid:durableId="1189877592">
    <w:abstractNumId w:val="3"/>
  </w:num>
  <w:num w:numId="9" w16cid:durableId="161047073">
    <w:abstractNumId w:val="8"/>
  </w:num>
  <w:num w:numId="10" w16cid:durableId="645165436">
    <w:abstractNumId w:val="4"/>
  </w:num>
  <w:num w:numId="11" w16cid:durableId="152189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70"/>
    <w:rsid w:val="00024572"/>
    <w:rsid w:val="000E4CF0"/>
    <w:rsid w:val="00141294"/>
    <w:rsid w:val="001F6A94"/>
    <w:rsid w:val="00201FEE"/>
    <w:rsid w:val="00215FCE"/>
    <w:rsid w:val="00245012"/>
    <w:rsid w:val="00292DCC"/>
    <w:rsid w:val="00365588"/>
    <w:rsid w:val="00395DE2"/>
    <w:rsid w:val="003A484A"/>
    <w:rsid w:val="003C60EA"/>
    <w:rsid w:val="003F3E94"/>
    <w:rsid w:val="00473083"/>
    <w:rsid w:val="004A1659"/>
    <w:rsid w:val="00503EEA"/>
    <w:rsid w:val="00512B0F"/>
    <w:rsid w:val="00586D27"/>
    <w:rsid w:val="00602B80"/>
    <w:rsid w:val="00605999"/>
    <w:rsid w:val="006277E6"/>
    <w:rsid w:val="00781729"/>
    <w:rsid w:val="007838FF"/>
    <w:rsid w:val="007A0057"/>
    <w:rsid w:val="009124B4"/>
    <w:rsid w:val="009A0889"/>
    <w:rsid w:val="009C5F4F"/>
    <w:rsid w:val="009F0ABB"/>
    <w:rsid w:val="00A04F18"/>
    <w:rsid w:val="00A12D9B"/>
    <w:rsid w:val="00A15270"/>
    <w:rsid w:val="00AA4E65"/>
    <w:rsid w:val="00C83509"/>
    <w:rsid w:val="00C90F66"/>
    <w:rsid w:val="00CA07EE"/>
    <w:rsid w:val="00D455D7"/>
    <w:rsid w:val="00D502BB"/>
    <w:rsid w:val="00D54F8E"/>
    <w:rsid w:val="00D7587B"/>
    <w:rsid w:val="00DF1971"/>
    <w:rsid w:val="00E31E24"/>
    <w:rsid w:val="00EF569B"/>
    <w:rsid w:val="00F32C19"/>
    <w:rsid w:val="00F36D97"/>
    <w:rsid w:val="00F91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07A86BC"/>
  <w15:chartTrackingRefBased/>
  <w15:docId w15:val="{9A803455-4E90-7248-8B4B-23E0A46E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270"/>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270"/>
    <w:rPr>
      <w:color w:val="0563C1" w:themeColor="hyperlink"/>
      <w:u w:val="single"/>
    </w:rPr>
  </w:style>
  <w:style w:type="table" w:styleId="TableGrid">
    <w:name w:val="Table Grid"/>
    <w:basedOn w:val="TableNormal"/>
    <w:uiPriority w:val="39"/>
    <w:rsid w:val="00A1527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Text"/>
    <w:basedOn w:val="Normal"/>
    <w:link w:val="FootnoteTextChar"/>
    <w:uiPriority w:val="99"/>
    <w:unhideWhenUsed/>
    <w:rsid w:val="00A15270"/>
    <w:rPr>
      <w:rFonts w:asciiTheme="minorHAnsi" w:eastAsiaTheme="minorEastAsia" w:hAnsiTheme="minorHAnsi" w:cstheme="minorBidi"/>
      <w:lang w:val="en-US" w:eastAsia="en-US"/>
    </w:rPr>
  </w:style>
  <w:style w:type="character" w:customStyle="1" w:styleId="FootnoteTextChar">
    <w:name w:val="Footnote Text Char"/>
    <w:aliases w:val="Footnote Char,Text Char"/>
    <w:basedOn w:val="DefaultParagraphFont"/>
    <w:link w:val="FootnoteText"/>
    <w:uiPriority w:val="99"/>
    <w:rsid w:val="00A15270"/>
    <w:rPr>
      <w:rFonts w:eastAsiaTheme="minorEastAsia"/>
      <w:kern w:val="0"/>
      <w:lang w:val="en-US"/>
      <w14:ligatures w14:val="none"/>
    </w:rPr>
  </w:style>
  <w:style w:type="character" w:styleId="FootnoteReference">
    <w:name w:val="footnote reference"/>
    <w:aliases w:val="Ref,de nota al pie"/>
    <w:basedOn w:val="DefaultParagraphFont"/>
    <w:unhideWhenUsed/>
    <w:qFormat/>
    <w:rsid w:val="00A15270"/>
    <w:rPr>
      <w:vertAlign w:val="superscript"/>
    </w:rPr>
  </w:style>
  <w:style w:type="paragraph" w:styleId="NoSpacing">
    <w:name w:val="No Spacing"/>
    <w:uiPriority w:val="1"/>
    <w:qFormat/>
    <w:rsid w:val="00A15270"/>
    <w:rPr>
      <w:rFonts w:ascii="Times New Roman" w:eastAsia="Times New Roman" w:hAnsi="Times New Roman" w:cs="Times New Roman"/>
      <w:kern w:val="0"/>
      <w:lang w:eastAsia="en-GB"/>
      <w14:ligatures w14:val="none"/>
    </w:rPr>
  </w:style>
  <w:style w:type="paragraph" w:customStyle="1" w:styleId="xmsonormal">
    <w:name w:val="x_msonormal"/>
    <w:basedOn w:val="Normal"/>
    <w:rsid w:val="00A15270"/>
    <w:pPr>
      <w:spacing w:before="100" w:beforeAutospacing="1" w:after="100" w:afterAutospacing="1"/>
    </w:pPr>
  </w:style>
  <w:style w:type="character" w:customStyle="1" w:styleId="xapple-converted-space">
    <w:name w:val="x_apple-converted-space"/>
    <w:basedOn w:val="DefaultParagraphFont"/>
    <w:rsid w:val="00A15270"/>
  </w:style>
  <w:style w:type="paragraph" w:styleId="ListParagraph">
    <w:name w:val="List Paragraph"/>
    <w:basedOn w:val="Normal"/>
    <w:uiPriority w:val="34"/>
    <w:qFormat/>
    <w:rsid w:val="00A15270"/>
    <w:pPr>
      <w:ind w:left="720"/>
      <w:contextualSpacing/>
    </w:pPr>
  </w:style>
  <w:style w:type="character" w:styleId="UnresolvedMention">
    <w:name w:val="Unresolved Mention"/>
    <w:basedOn w:val="DefaultParagraphFont"/>
    <w:uiPriority w:val="99"/>
    <w:semiHidden/>
    <w:unhideWhenUsed/>
    <w:rsid w:val="009F0ABB"/>
    <w:rPr>
      <w:color w:val="605E5C"/>
      <w:shd w:val="clear" w:color="auto" w:fill="E1DFDD"/>
    </w:rPr>
  </w:style>
  <w:style w:type="character" w:styleId="Emphasis">
    <w:name w:val="Emphasis"/>
    <w:basedOn w:val="DefaultParagraphFont"/>
    <w:uiPriority w:val="20"/>
    <w:qFormat/>
    <w:rsid w:val="00F36D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dd@health.tas.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lctas.org.au/what/reform/" TargetMode="External"/><Relationship Id="rId2" Type="http://schemas.openxmlformats.org/officeDocument/2006/relationships/hyperlink" Target="http://www.clctas.org.au/what/reform/" TargetMode="External"/><Relationship Id="rId1" Type="http://schemas.openxmlformats.org/officeDocument/2006/relationships/hyperlink" Target="http://www.clctas.org.au/what/reform/" TargetMode="External"/><Relationship Id="rId4" Type="http://schemas.openxmlformats.org/officeDocument/2006/relationships/hyperlink" Target="http://www.clctas.org.au/wha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6</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cp:lastPrinted>2023-08-04T06:13:00Z</cp:lastPrinted>
  <dcterms:created xsi:type="dcterms:W3CDTF">2023-07-29T08:18:00Z</dcterms:created>
  <dcterms:modified xsi:type="dcterms:W3CDTF">2023-08-04T06:13:00Z</dcterms:modified>
</cp:coreProperties>
</file>