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BEB" w:rsidRDefault="00077BEB" w:rsidP="00077BEB"/>
    <w:p w:rsidR="00077BEB" w:rsidRDefault="00077BEB" w:rsidP="00077BEB"/>
    <w:p w:rsidR="00077BEB" w:rsidRDefault="00077BEB" w:rsidP="00077BEB">
      <w:pPr>
        <w:ind w:right="-347"/>
        <w:jc w:val="center"/>
      </w:pPr>
    </w:p>
    <w:p w:rsidR="00077BEB" w:rsidRDefault="00077BEB" w:rsidP="00077BEB">
      <w:pPr>
        <w:ind w:right="-347"/>
        <w:jc w:val="center"/>
      </w:pPr>
      <w:r>
        <w:rPr>
          <w:noProof/>
          <w:sz w:val="20"/>
          <w:szCs w:val="20"/>
        </w:rPr>
        <w:drawing>
          <wp:inline distT="0" distB="0" distL="0" distR="0" wp14:anchorId="258D255B" wp14:editId="32DEEC53">
            <wp:extent cx="1993187" cy="677222"/>
            <wp:effectExtent l="0" t="0" r="127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965" cy="690737"/>
                    </a:xfrm>
                    <a:prstGeom prst="rect">
                      <a:avLst/>
                    </a:prstGeom>
                    <a:noFill/>
                    <a:ln>
                      <a:noFill/>
                    </a:ln>
                  </pic:spPr>
                </pic:pic>
              </a:graphicData>
            </a:graphic>
          </wp:inline>
        </w:drawing>
      </w:r>
      <w:r>
        <w:t xml:space="preserve">                </w:t>
      </w:r>
      <w:r w:rsidRPr="002F6A39">
        <w:rPr>
          <w:rFonts w:ascii="Cambria" w:hAnsi="Cambria"/>
          <w:noProof/>
          <w:color w:val="000000" w:themeColor="text1"/>
        </w:rPr>
        <w:drawing>
          <wp:inline distT="0" distB="0" distL="0" distR="0" wp14:anchorId="2D1D04F2" wp14:editId="4D5374C1">
            <wp:extent cx="1293807" cy="510078"/>
            <wp:effectExtent l="0" t="0" r="190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6247" cy="518925"/>
                    </a:xfrm>
                    <a:prstGeom prst="rect">
                      <a:avLst/>
                    </a:prstGeom>
                  </pic:spPr>
                </pic:pic>
              </a:graphicData>
            </a:graphic>
          </wp:inline>
        </w:drawing>
      </w:r>
    </w:p>
    <w:p w:rsidR="00077BEB" w:rsidRPr="00EC003C" w:rsidRDefault="00077BEB" w:rsidP="00077BEB">
      <w:pPr>
        <w:ind w:right="-347"/>
        <w:rPr>
          <w:rFonts w:ascii="Cambria" w:hAnsi="Cambria"/>
        </w:rPr>
      </w:pPr>
    </w:p>
    <w:p w:rsidR="00077BEB" w:rsidRPr="00187347" w:rsidRDefault="00077BEB" w:rsidP="00077BEB">
      <w:pPr>
        <w:ind w:right="-52"/>
        <w:rPr>
          <w:rFonts w:ascii="Cambria" w:hAnsi="Cambria"/>
        </w:rPr>
      </w:pPr>
    </w:p>
    <w:p w:rsidR="00077BEB" w:rsidRPr="00187347" w:rsidRDefault="00077BEB" w:rsidP="00077BEB">
      <w:pPr>
        <w:ind w:right="-52"/>
        <w:rPr>
          <w:rFonts w:ascii="Cambria" w:hAnsi="Cambria"/>
        </w:rPr>
      </w:pPr>
      <w:r>
        <w:rPr>
          <w:rFonts w:ascii="Cambria" w:hAnsi="Cambria"/>
        </w:rPr>
        <w:t>20 June 2023</w:t>
      </w:r>
    </w:p>
    <w:p w:rsidR="00077BEB" w:rsidRPr="00187347" w:rsidRDefault="00077BEB" w:rsidP="00077BEB">
      <w:pPr>
        <w:ind w:right="-52"/>
        <w:rPr>
          <w:rFonts w:ascii="Cambria" w:hAnsi="Cambria"/>
        </w:rPr>
      </w:pPr>
    </w:p>
    <w:p w:rsidR="00077BEB" w:rsidRPr="00187347" w:rsidRDefault="00077BEB" w:rsidP="00077BEB">
      <w:pPr>
        <w:ind w:right="-52"/>
        <w:rPr>
          <w:rFonts w:ascii="Cambria" w:hAnsi="Cambria"/>
        </w:rPr>
      </w:pPr>
      <w:r w:rsidRPr="00187347">
        <w:rPr>
          <w:rFonts w:ascii="Cambria" w:hAnsi="Cambria"/>
        </w:rPr>
        <w:t xml:space="preserve">Inquiry Secretary </w:t>
      </w:r>
    </w:p>
    <w:p w:rsidR="00077BEB" w:rsidRPr="00187347" w:rsidRDefault="00077BEB" w:rsidP="00077BEB">
      <w:pPr>
        <w:ind w:right="-52"/>
        <w:rPr>
          <w:rFonts w:ascii="Cambria" w:hAnsi="Cambria"/>
        </w:rPr>
      </w:pPr>
      <w:r w:rsidRPr="00187347">
        <w:rPr>
          <w:rFonts w:ascii="Cambria" w:hAnsi="Cambria"/>
        </w:rPr>
        <w:t>Legislative Council Select Committee</w:t>
      </w:r>
    </w:p>
    <w:p w:rsidR="00077BEB" w:rsidRPr="00187347" w:rsidRDefault="00077BEB" w:rsidP="00077BEB">
      <w:pPr>
        <w:ind w:right="-52"/>
        <w:rPr>
          <w:rFonts w:ascii="Cambria" w:hAnsi="Cambria"/>
        </w:rPr>
      </w:pPr>
      <w:r w:rsidRPr="00187347">
        <w:rPr>
          <w:rFonts w:ascii="Cambria" w:hAnsi="Cambria"/>
        </w:rPr>
        <w:t>Parliament House</w:t>
      </w:r>
    </w:p>
    <w:p w:rsidR="00077BEB" w:rsidRPr="00187347" w:rsidRDefault="00077BEB" w:rsidP="00077BEB">
      <w:pPr>
        <w:ind w:right="-52"/>
        <w:rPr>
          <w:rFonts w:ascii="Cambria" w:hAnsi="Cambria"/>
        </w:rPr>
      </w:pPr>
      <w:r w:rsidRPr="00187347">
        <w:rPr>
          <w:rFonts w:ascii="Cambria" w:hAnsi="Cambria"/>
        </w:rPr>
        <w:t>Hobart TAS 7000</w:t>
      </w:r>
    </w:p>
    <w:p w:rsidR="00077BEB" w:rsidRPr="00187347" w:rsidRDefault="00077BEB" w:rsidP="00077BEB">
      <w:pPr>
        <w:ind w:right="-52"/>
        <w:rPr>
          <w:rFonts w:ascii="Cambria" w:hAnsi="Cambria"/>
        </w:rPr>
      </w:pPr>
      <w:proofErr w:type="spellStart"/>
      <w:r w:rsidRPr="00187347">
        <w:rPr>
          <w:rFonts w:ascii="Cambria" w:hAnsi="Cambria"/>
        </w:rPr>
        <w:t>attn:</w:t>
      </w:r>
      <w:proofErr w:type="spellEnd"/>
      <w:r>
        <w:rPr>
          <w:rFonts w:ascii="Cambria" w:hAnsi="Cambria"/>
        </w:rPr>
        <w:t xml:space="preserve"> Secretary</w:t>
      </w:r>
      <w:r w:rsidRPr="00187347">
        <w:rPr>
          <w:rFonts w:ascii="Cambria" w:hAnsi="Cambria"/>
        </w:rPr>
        <w:tab/>
      </w:r>
      <w:r w:rsidRPr="00187347">
        <w:rPr>
          <w:rFonts w:ascii="Cambria" w:hAnsi="Cambria"/>
        </w:rPr>
        <w:tab/>
      </w:r>
      <w:r w:rsidRPr="00187347">
        <w:rPr>
          <w:rFonts w:ascii="Cambria" w:hAnsi="Cambria"/>
          <w:i/>
          <w:iCs/>
        </w:rPr>
        <w:t xml:space="preserve">via email: </w:t>
      </w:r>
      <w:hyperlink r:id="rId9" w:history="1">
        <w:r w:rsidRPr="002B2CCE">
          <w:rPr>
            <w:rStyle w:val="Hyperlink"/>
            <w:rFonts w:ascii="Cambria" w:hAnsi="Cambria"/>
            <w:i/>
            <w:iCs/>
          </w:rPr>
          <w:t>csjs@parliament.tas.gov.au</w:t>
        </w:r>
      </w:hyperlink>
      <w:r w:rsidRPr="00187347">
        <w:rPr>
          <w:rFonts w:ascii="Cambria" w:hAnsi="Cambria"/>
        </w:rPr>
        <w:t xml:space="preserve"> </w:t>
      </w:r>
    </w:p>
    <w:p w:rsidR="00077BEB" w:rsidRPr="00187347" w:rsidRDefault="00077BEB" w:rsidP="00077BEB">
      <w:pPr>
        <w:ind w:right="-52"/>
        <w:rPr>
          <w:rFonts w:ascii="Cambria" w:hAnsi="Cambria"/>
        </w:rPr>
      </w:pPr>
    </w:p>
    <w:p w:rsidR="00077BEB" w:rsidRPr="009C62F9" w:rsidRDefault="00077BEB" w:rsidP="00077BEB">
      <w:pPr>
        <w:ind w:right="-52"/>
        <w:rPr>
          <w:rFonts w:ascii="Cambria" w:hAnsi="Cambria"/>
          <w:color w:val="000000" w:themeColor="text1"/>
        </w:rPr>
      </w:pPr>
      <w:r w:rsidRPr="009C62F9">
        <w:rPr>
          <w:rFonts w:ascii="Cambria" w:hAnsi="Cambria"/>
          <w:color w:val="000000" w:themeColor="text1"/>
        </w:rPr>
        <w:t xml:space="preserve">To Simon Scott, </w:t>
      </w:r>
    </w:p>
    <w:p w:rsidR="00077BEB" w:rsidRPr="009C62F9" w:rsidRDefault="00077BEB" w:rsidP="00077BEB">
      <w:pPr>
        <w:pBdr>
          <w:bottom w:val="single" w:sz="6" w:space="1" w:color="auto"/>
        </w:pBdr>
        <w:ind w:right="-52"/>
        <w:rPr>
          <w:rFonts w:ascii="Cambria" w:hAnsi="Cambria"/>
          <w:b/>
          <w:bCs/>
          <w:color w:val="000000" w:themeColor="text1"/>
        </w:rPr>
      </w:pPr>
      <w:r w:rsidRPr="009C62F9">
        <w:rPr>
          <w:rFonts w:ascii="Cambria" w:hAnsi="Cambria"/>
          <w:b/>
          <w:bCs/>
          <w:color w:val="000000" w:themeColor="text1"/>
        </w:rPr>
        <w:t>Re: Inquiry into Tasmanian Adult Imprisonment and Youth Detention Matters</w:t>
      </w:r>
    </w:p>
    <w:p w:rsidR="00077BEB" w:rsidRPr="009C62F9" w:rsidRDefault="00077BEB" w:rsidP="00077BEB">
      <w:pPr>
        <w:ind w:right="-52"/>
        <w:rPr>
          <w:rFonts w:ascii="Cambria" w:hAnsi="Cambria"/>
          <w:color w:val="000000" w:themeColor="text1"/>
        </w:rPr>
      </w:pPr>
    </w:p>
    <w:p w:rsidR="00C10F81" w:rsidRDefault="00077BEB" w:rsidP="00077BEB">
      <w:pPr>
        <w:ind w:right="-52"/>
        <w:jc w:val="both"/>
        <w:rPr>
          <w:rFonts w:ascii="Cambria" w:hAnsi="Cambria"/>
          <w:color w:val="000000" w:themeColor="text1"/>
          <w:lang w:eastAsia="en-AU"/>
        </w:rPr>
      </w:pPr>
      <w:r w:rsidRPr="00077BEB">
        <w:rPr>
          <w:rFonts w:ascii="Cambria" w:hAnsi="Cambria" w:cs="Calibri"/>
          <w:color w:val="000000" w:themeColor="text1"/>
        </w:rPr>
        <w:t>Several months ago, Community Legal Centres Tasmania (CLC Tas)</w:t>
      </w:r>
      <w:r w:rsidRPr="00077BEB">
        <w:rPr>
          <w:rFonts w:ascii="Cambria" w:hAnsi="Cambria"/>
          <w:color w:val="000000" w:themeColor="text1"/>
        </w:rPr>
        <w:t xml:space="preserve"> and </w:t>
      </w:r>
      <w:proofErr w:type="spellStart"/>
      <w:r w:rsidRPr="00077BEB">
        <w:rPr>
          <w:rFonts w:ascii="Cambria" w:hAnsi="Cambria"/>
          <w:color w:val="000000" w:themeColor="text1"/>
        </w:rPr>
        <w:t>JusTas</w:t>
      </w:r>
      <w:proofErr w:type="spellEnd"/>
      <w:r w:rsidRPr="00077BEB">
        <w:rPr>
          <w:rFonts w:ascii="Cambria" w:hAnsi="Cambria"/>
          <w:color w:val="000000" w:themeColor="text1"/>
        </w:rPr>
        <w:t xml:space="preserve"> provided a submission to the Inquiry into Tasmanian Adult Imprisonment and Youth Detention Matters (‘the Inquiry’).</w:t>
      </w:r>
      <w:r>
        <w:rPr>
          <w:rFonts w:ascii="Cambria" w:hAnsi="Cambria"/>
          <w:color w:val="000000" w:themeColor="text1"/>
        </w:rPr>
        <w:t xml:space="preserve"> Our submission focused on </w:t>
      </w:r>
      <w:r w:rsidRPr="009C62F9">
        <w:rPr>
          <w:rFonts w:ascii="Cambria" w:hAnsi="Cambria"/>
          <w:color w:val="000000" w:themeColor="text1"/>
          <w:lang w:eastAsia="en-AU"/>
        </w:rPr>
        <w:t xml:space="preserve">two of the most significant factors giving rise to recidivism </w:t>
      </w:r>
      <w:r>
        <w:rPr>
          <w:rFonts w:ascii="Cambria" w:hAnsi="Cambria"/>
          <w:color w:val="000000" w:themeColor="text1"/>
          <w:lang w:eastAsia="en-AU"/>
        </w:rPr>
        <w:t>namely a lack of housing and problematic drug use.</w:t>
      </w:r>
    </w:p>
    <w:p w:rsidR="00C10F81" w:rsidRDefault="00C10F81" w:rsidP="00077BEB">
      <w:pPr>
        <w:ind w:right="-52"/>
        <w:jc w:val="both"/>
        <w:rPr>
          <w:rFonts w:ascii="Cambria" w:hAnsi="Cambria"/>
          <w:color w:val="000000" w:themeColor="text1"/>
          <w:lang w:eastAsia="en-AU"/>
        </w:rPr>
      </w:pPr>
    </w:p>
    <w:p w:rsidR="00F81A33" w:rsidRPr="008269E2" w:rsidRDefault="00B4124F" w:rsidP="00077BEB">
      <w:pPr>
        <w:ind w:right="-52"/>
        <w:jc w:val="both"/>
        <w:rPr>
          <w:rFonts w:ascii="Cambria" w:hAnsi="Cambria" w:cs="Segoe UI"/>
          <w:color w:val="000000" w:themeColor="text1"/>
          <w:shd w:val="clear" w:color="auto" w:fill="FFFFFF"/>
        </w:rPr>
      </w:pPr>
      <w:r w:rsidRPr="008269E2">
        <w:rPr>
          <w:rFonts w:ascii="Cambria" w:hAnsi="Cambria" w:cs="Segoe UI"/>
          <w:color w:val="000000" w:themeColor="text1"/>
          <w:shd w:val="clear" w:color="auto" w:fill="FFFFFF"/>
        </w:rPr>
        <w:t xml:space="preserve">Unfortunately, a Right to Information response was unable to be </w:t>
      </w:r>
      <w:r w:rsidR="00430520" w:rsidRPr="008269E2">
        <w:rPr>
          <w:rFonts w:ascii="Cambria" w:hAnsi="Cambria" w:cs="Segoe UI"/>
          <w:color w:val="000000" w:themeColor="text1"/>
          <w:shd w:val="clear" w:color="auto" w:fill="FFFFFF"/>
        </w:rPr>
        <w:t>incorporated into our submission</w:t>
      </w:r>
      <w:r w:rsidRPr="008269E2">
        <w:rPr>
          <w:rFonts w:ascii="Cambria" w:hAnsi="Cambria" w:cs="Segoe UI"/>
          <w:color w:val="000000" w:themeColor="text1"/>
          <w:shd w:val="clear" w:color="auto" w:fill="FFFFFF"/>
        </w:rPr>
        <w:t xml:space="preserve"> within time. </w:t>
      </w:r>
      <w:r w:rsidR="00EA3DBA" w:rsidRPr="008269E2">
        <w:rPr>
          <w:rFonts w:ascii="Cambria" w:hAnsi="Cambria" w:cs="Segoe UI"/>
          <w:color w:val="000000" w:themeColor="text1"/>
          <w:shd w:val="clear" w:color="auto" w:fill="FFFFFF"/>
        </w:rPr>
        <w:t xml:space="preserve">This </w:t>
      </w:r>
      <w:r w:rsidRPr="008269E2">
        <w:rPr>
          <w:rFonts w:ascii="Cambria" w:hAnsi="Cambria" w:cs="Segoe UI"/>
          <w:color w:val="000000" w:themeColor="text1"/>
          <w:shd w:val="clear" w:color="auto" w:fill="FFFFFF"/>
        </w:rPr>
        <w:t xml:space="preserve">short </w:t>
      </w:r>
      <w:r w:rsidR="00EA3DBA" w:rsidRPr="008269E2">
        <w:rPr>
          <w:rFonts w:ascii="Cambria" w:hAnsi="Cambria" w:cs="Segoe UI"/>
          <w:color w:val="000000" w:themeColor="text1"/>
          <w:shd w:val="clear" w:color="auto" w:fill="FFFFFF"/>
        </w:rPr>
        <w:t>supplementary submission</w:t>
      </w:r>
      <w:r w:rsidRPr="008269E2">
        <w:rPr>
          <w:rFonts w:ascii="Cambria" w:hAnsi="Cambria" w:cs="Segoe UI"/>
          <w:color w:val="000000" w:themeColor="text1"/>
          <w:shd w:val="clear" w:color="auto" w:fill="FFFFFF"/>
        </w:rPr>
        <w:t xml:space="preserve"> seeks to address one further matter</w:t>
      </w:r>
      <w:r w:rsidR="00430520" w:rsidRPr="008269E2">
        <w:rPr>
          <w:rFonts w:ascii="Cambria" w:hAnsi="Cambria" w:cs="Segoe UI"/>
          <w:color w:val="000000" w:themeColor="text1"/>
          <w:shd w:val="clear" w:color="auto" w:fill="FFFFFF"/>
        </w:rPr>
        <w:t xml:space="preserve">, namely the number of out of cell hours </w:t>
      </w:r>
      <w:r w:rsidRPr="008269E2">
        <w:rPr>
          <w:rFonts w:ascii="Cambria" w:hAnsi="Cambria" w:cs="Segoe UI"/>
          <w:color w:val="000000" w:themeColor="text1"/>
          <w:shd w:val="clear" w:color="auto" w:fill="FFFFFF"/>
        </w:rPr>
        <w:t>in</w:t>
      </w:r>
      <w:r w:rsidR="00430520" w:rsidRPr="008269E2">
        <w:rPr>
          <w:rFonts w:ascii="Cambria" w:hAnsi="Cambria" w:cs="Segoe UI"/>
          <w:color w:val="000000" w:themeColor="text1"/>
          <w:shd w:val="clear" w:color="auto" w:fill="FFFFFF"/>
        </w:rPr>
        <w:t xml:space="preserve"> Tasmania’s </w:t>
      </w:r>
      <w:r w:rsidR="008269E2">
        <w:rPr>
          <w:rFonts w:ascii="Cambria" w:hAnsi="Cambria" w:cs="Segoe UI"/>
          <w:color w:val="000000" w:themeColor="text1"/>
          <w:shd w:val="clear" w:color="auto" w:fill="FFFFFF"/>
        </w:rPr>
        <w:t xml:space="preserve">adult </w:t>
      </w:r>
      <w:r w:rsidRPr="008269E2">
        <w:rPr>
          <w:rFonts w:ascii="Cambria" w:hAnsi="Cambria" w:cs="Segoe UI"/>
          <w:color w:val="000000" w:themeColor="text1"/>
          <w:shd w:val="clear" w:color="auto" w:fill="FFFFFF"/>
        </w:rPr>
        <w:t xml:space="preserve">correctional facilities. </w:t>
      </w:r>
    </w:p>
    <w:p w:rsidR="00B4124F" w:rsidRDefault="00B4124F" w:rsidP="00077BEB">
      <w:pPr>
        <w:ind w:right="-52"/>
        <w:jc w:val="both"/>
        <w:rPr>
          <w:rFonts w:ascii="Cambria" w:hAnsi="Cambria" w:cs="Segoe UI"/>
          <w:color w:val="000000"/>
          <w:shd w:val="clear" w:color="auto" w:fill="FFFFFF"/>
        </w:rPr>
      </w:pPr>
    </w:p>
    <w:p w:rsidR="00B4124F" w:rsidRDefault="00B4124F" w:rsidP="00B4124F">
      <w:pPr>
        <w:pStyle w:val="xmsonormal"/>
        <w:shd w:val="clear" w:color="auto" w:fill="FFFFFF"/>
        <w:spacing w:before="0" w:beforeAutospacing="0" w:after="0" w:afterAutospacing="0"/>
        <w:rPr>
          <w:color w:val="000000"/>
        </w:rPr>
      </w:pPr>
      <w:r>
        <w:rPr>
          <w:rStyle w:val="xcontentpasted0"/>
          <w:rFonts w:ascii="Cambria" w:eastAsiaTheme="majorEastAsia" w:hAnsi="Cambria"/>
          <w:b/>
          <w:bCs/>
          <w:color w:val="000000"/>
          <w:bdr w:val="none" w:sz="0" w:space="0" w:color="auto" w:frame="1"/>
        </w:rPr>
        <w:t>Out of Cell Hours </w:t>
      </w:r>
    </w:p>
    <w:p w:rsidR="003C5B1C" w:rsidRDefault="00B4124F" w:rsidP="00D03179">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r>
        <w:rPr>
          <w:rStyle w:val="xcontentpasted0"/>
          <w:rFonts w:ascii="Cambria" w:eastAsiaTheme="majorEastAsia" w:hAnsi="Cambria"/>
          <w:color w:val="000000"/>
          <w:bdr w:val="none" w:sz="0" w:space="0" w:color="auto" w:frame="1"/>
        </w:rPr>
        <w:t xml:space="preserve">Out of cell hours or time out of cell </w:t>
      </w:r>
      <w:r w:rsidR="00430520">
        <w:rPr>
          <w:rStyle w:val="xcontentpasted0"/>
          <w:rFonts w:ascii="Cambria" w:eastAsiaTheme="majorEastAsia" w:hAnsi="Cambria"/>
          <w:color w:val="000000"/>
          <w:bdr w:val="none" w:sz="0" w:space="0" w:color="auto" w:frame="1"/>
        </w:rPr>
        <w:t>is</w:t>
      </w:r>
      <w:r>
        <w:rPr>
          <w:rStyle w:val="xcontentpasted0"/>
          <w:rFonts w:ascii="Cambria" w:eastAsiaTheme="majorEastAsia" w:hAnsi="Cambria"/>
          <w:color w:val="000000"/>
          <w:bdr w:val="none" w:sz="0" w:space="0" w:color="auto" w:frame="1"/>
        </w:rPr>
        <w:t xml:space="preserve"> defined by the Tasmanian Prison Service as the number of hours persons in prison are not confined to their cells or accommodation units.</w:t>
      </w:r>
      <w:r>
        <w:rPr>
          <w:rStyle w:val="FootnoteReference"/>
          <w:rFonts w:ascii="Cambria" w:eastAsiaTheme="majorEastAsia" w:hAnsi="Cambria"/>
          <w:color w:val="000000"/>
          <w:bdr w:val="none" w:sz="0" w:space="0" w:color="auto" w:frame="1"/>
        </w:rPr>
        <w:footnoteReference w:id="1"/>
      </w:r>
      <w:r w:rsidR="00D03179">
        <w:rPr>
          <w:rStyle w:val="xcontentpasted0"/>
          <w:rFonts w:ascii="Cambria" w:eastAsiaTheme="majorEastAsia" w:hAnsi="Cambria"/>
          <w:color w:val="000000"/>
          <w:bdr w:val="none" w:sz="0" w:space="0" w:color="auto" w:frame="1"/>
        </w:rPr>
        <w:t xml:space="preserve"> The higher the number </w:t>
      </w:r>
      <w:r w:rsidR="00085547">
        <w:rPr>
          <w:rStyle w:val="xcontentpasted0"/>
          <w:rFonts w:ascii="Cambria" w:eastAsiaTheme="majorEastAsia" w:hAnsi="Cambria"/>
          <w:color w:val="000000"/>
          <w:bdr w:val="none" w:sz="0" w:space="0" w:color="auto" w:frame="1"/>
        </w:rPr>
        <w:t xml:space="preserve">of </w:t>
      </w:r>
      <w:r w:rsidR="00D03179">
        <w:rPr>
          <w:rStyle w:val="xcontentpasted0"/>
          <w:rFonts w:ascii="Cambria" w:eastAsiaTheme="majorEastAsia" w:hAnsi="Cambria"/>
          <w:color w:val="000000"/>
          <w:bdr w:val="none" w:sz="0" w:space="0" w:color="auto" w:frame="1"/>
        </w:rPr>
        <w:t>out of cell</w:t>
      </w:r>
      <w:r w:rsidR="00085547">
        <w:rPr>
          <w:rStyle w:val="xcontentpasted0"/>
          <w:rFonts w:ascii="Cambria" w:eastAsiaTheme="majorEastAsia" w:hAnsi="Cambria"/>
          <w:color w:val="000000"/>
          <w:bdr w:val="none" w:sz="0" w:space="0" w:color="auto" w:frame="1"/>
        </w:rPr>
        <w:t xml:space="preserve"> hours</w:t>
      </w:r>
      <w:r w:rsidR="003456F2">
        <w:rPr>
          <w:rStyle w:val="xcontentpasted0"/>
          <w:rFonts w:ascii="Cambria" w:eastAsiaTheme="majorEastAsia" w:hAnsi="Cambria"/>
          <w:color w:val="000000"/>
          <w:bdr w:val="none" w:sz="0" w:space="0" w:color="auto" w:frame="1"/>
        </w:rPr>
        <w:t>,</w:t>
      </w:r>
      <w:r w:rsidR="00D03179">
        <w:rPr>
          <w:rStyle w:val="xcontentpasted0"/>
          <w:rFonts w:ascii="Cambria" w:eastAsiaTheme="majorEastAsia" w:hAnsi="Cambria"/>
          <w:color w:val="000000"/>
          <w:bdr w:val="none" w:sz="0" w:space="0" w:color="auto" w:frame="1"/>
        </w:rPr>
        <w:t xml:space="preserve"> the greater the </w:t>
      </w:r>
      <w:r w:rsidR="00EF2D25">
        <w:rPr>
          <w:rStyle w:val="xcontentpasted0"/>
          <w:rFonts w:ascii="Cambria" w:eastAsiaTheme="majorEastAsia" w:hAnsi="Cambria"/>
          <w:color w:val="000000"/>
          <w:bdr w:val="none" w:sz="0" w:space="0" w:color="auto" w:frame="1"/>
        </w:rPr>
        <w:t>likelihood</w:t>
      </w:r>
      <w:r w:rsidR="00D03179">
        <w:rPr>
          <w:rStyle w:val="xcontentpasted0"/>
          <w:rFonts w:ascii="Cambria" w:eastAsiaTheme="majorEastAsia" w:hAnsi="Cambria"/>
          <w:color w:val="000000"/>
          <w:bdr w:val="none" w:sz="0" w:space="0" w:color="auto" w:frame="1"/>
        </w:rPr>
        <w:t xml:space="preserve"> that persons attend educational, treatment and rehabilitative courses and the more likely that persons will better reintegrate upon their release. </w:t>
      </w:r>
    </w:p>
    <w:p w:rsidR="003C5B1C" w:rsidRDefault="003C5B1C" w:rsidP="00D03179">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p>
    <w:p w:rsidR="00430520" w:rsidRDefault="00D03179" w:rsidP="00D03179">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r>
        <w:rPr>
          <w:rStyle w:val="xcontentpasted0"/>
          <w:rFonts w:ascii="Cambria" w:eastAsiaTheme="majorEastAsia" w:hAnsi="Cambria"/>
          <w:color w:val="000000"/>
          <w:bdr w:val="none" w:sz="0" w:space="0" w:color="auto" w:frame="1"/>
        </w:rPr>
        <w:t>The importance of out of cell hours is also important given that there are up to 662 persons imprisoned in a Tasmanian adult correctional facility</w:t>
      </w:r>
      <w:r w:rsidR="00EF2D25">
        <w:rPr>
          <w:rStyle w:val="xcontentpasted0"/>
          <w:rFonts w:ascii="Cambria" w:eastAsiaTheme="majorEastAsia" w:hAnsi="Cambria"/>
          <w:color w:val="000000"/>
          <w:bdr w:val="none" w:sz="0" w:space="0" w:color="auto" w:frame="1"/>
        </w:rPr>
        <w:t xml:space="preserve"> on any given day</w:t>
      </w:r>
      <w:r>
        <w:rPr>
          <w:rStyle w:val="xcontentpasted0"/>
          <w:rFonts w:ascii="Cambria" w:eastAsiaTheme="majorEastAsia" w:hAnsi="Cambria"/>
          <w:color w:val="000000"/>
          <w:bdr w:val="none" w:sz="0" w:space="0" w:color="auto" w:frame="1"/>
        </w:rPr>
        <w:t xml:space="preserve">. </w:t>
      </w:r>
      <w:r w:rsidR="00430520">
        <w:rPr>
          <w:rStyle w:val="xcontentpasted0"/>
          <w:rFonts w:ascii="Cambria" w:eastAsiaTheme="majorEastAsia" w:hAnsi="Cambria"/>
          <w:color w:val="000000"/>
          <w:bdr w:val="none" w:sz="0" w:space="0" w:color="auto" w:frame="1"/>
        </w:rPr>
        <w:t>According to the Custodial Inspector, the Risdon Prison Complex has capacity to house 303 persons, whilst the Ron Barwick Prison which includes the O'Hara Cottages has capacity to house </w:t>
      </w:r>
      <w:r w:rsidR="00430520">
        <w:rPr>
          <w:rStyle w:val="xcontentpasted4"/>
          <w:rFonts w:ascii="Cambria" w:hAnsi="Cambria"/>
          <w:color w:val="000000"/>
          <w:bdr w:val="none" w:sz="0" w:space="0" w:color="auto" w:frame="1"/>
          <w:shd w:val="clear" w:color="auto" w:fill="FFFFFF"/>
        </w:rPr>
        <w:t>248 persons</w:t>
      </w:r>
      <w:r w:rsidR="00430520">
        <w:rPr>
          <w:rStyle w:val="xcontentpasted0"/>
          <w:rFonts w:ascii="Cambria" w:eastAsiaTheme="majorEastAsia" w:hAnsi="Cambria"/>
          <w:color w:val="000000"/>
          <w:bdr w:val="none" w:sz="0" w:space="0" w:color="auto" w:frame="1"/>
        </w:rPr>
        <w:t>, 46 persons in the Mary Hutchinson Women's Prison, 36 persons in the Hobart Reception Prison and 29 in the Launceston Reception Centre.</w:t>
      </w:r>
      <w:r w:rsidR="00430520">
        <w:rPr>
          <w:rStyle w:val="FootnoteReference"/>
          <w:rFonts w:ascii="Cambria" w:eastAsiaTheme="majorEastAsia" w:hAnsi="Cambria"/>
          <w:color w:val="000000"/>
          <w:bdr w:val="none" w:sz="0" w:space="0" w:color="auto" w:frame="1"/>
        </w:rPr>
        <w:footnoteReference w:id="2"/>
      </w:r>
      <w:r w:rsidR="00430520">
        <w:rPr>
          <w:rStyle w:val="xcontentpasted0"/>
          <w:rFonts w:ascii="Cambria" w:eastAsiaTheme="majorEastAsia" w:hAnsi="Cambria"/>
          <w:color w:val="000000"/>
          <w:bdr w:val="none" w:sz="0" w:space="0" w:color="auto" w:frame="1"/>
        </w:rPr>
        <w:t xml:space="preserve"> </w:t>
      </w:r>
    </w:p>
    <w:p w:rsidR="00430520" w:rsidRDefault="00430520" w:rsidP="00B4124F">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p>
    <w:p w:rsidR="00430520" w:rsidRDefault="00430520" w:rsidP="00B4124F">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p>
    <w:p w:rsidR="00430520" w:rsidRDefault="00430520" w:rsidP="00B4124F">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p>
    <w:p w:rsidR="00B4124F" w:rsidRDefault="00B4124F" w:rsidP="00B4124F">
      <w:pPr>
        <w:pStyle w:val="xmsonormal"/>
        <w:shd w:val="clear" w:color="auto" w:fill="FFFFFF"/>
        <w:spacing w:before="0" w:beforeAutospacing="0" w:after="0" w:afterAutospacing="0"/>
        <w:jc w:val="both"/>
        <w:rPr>
          <w:color w:val="000000"/>
        </w:rPr>
      </w:pPr>
      <w:r>
        <w:rPr>
          <w:rStyle w:val="xcontentpasted0"/>
          <w:rFonts w:ascii="Cambria" w:eastAsiaTheme="majorEastAsia" w:hAnsi="Cambria"/>
          <w:color w:val="000000"/>
          <w:bdr w:val="none" w:sz="0" w:space="0" w:color="auto" w:frame="1"/>
        </w:rPr>
        <w:lastRenderedPageBreak/>
        <w:t>In a Right to Information response provided by the Department of Justice, data was provided on the number of out of cell hours by facility operated by the Tasmanian Prison Service for the period 2016-17 to 2021-22.</w:t>
      </w:r>
      <w:r>
        <w:rPr>
          <w:rStyle w:val="FootnoteReference"/>
          <w:rFonts w:ascii="Cambria" w:eastAsiaTheme="majorEastAsia" w:hAnsi="Cambria"/>
          <w:color w:val="000000"/>
          <w:bdr w:val="none" w:sz="0" w:space="0" w:color="auto" w:frame="1"/>
        </w:rPr>
        <w:footnoteReference w:id="3"/>
      </w:r>
      <w:r>
        <w:rPr>
          <w:rStyle w:val="xcontentpasted0"/>
          <w:rFonts w:ascii="Cambria" w:eastAsiaTheme="majorEastAsia" w:hAnsi="Cambria"/>
          <w:color w:val="000000"/>
          <w:bdr w:val="none" w:sz="0" w:space="0" w:color="auto" w:frame="1"/>
        </w:rPr>
        <w:t>    </w:t>
      </w:r>
    </w:p>
    <w:p w:rsidR="00B4124F" w:rsidRDefault="00B4124F" w:rsidP="00B4124F">
      <w:pPr>
        <w:pStyle w:val="xmsonormal"/>
        <w:shd w:val="clear" w:color="auto" w:fill="FFFFFF"/>
        <w:spacing w:before="0" w:beforeAutospacing="0" w:after="0" w:afterAutospacing="0"/>
        <w:rPr>
          <w:color w:val="000000"/>
        </w:rPr>
      </w:pPr>
      <w:r>
        <w:rPr>
          <w:rFonts w:ascii="Cambria" w:hAnsi="Cambria"/>
          <w:color w:val="000000"/>
          <w:bdr w:val="none" w:sz="0" w:space="0" w:color="auto" w:frame="1"/>
        </w:rPr>
        <w:t> </w:t>
      </w: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1133"/>
        <w:gridCol w:w="1133"/>
        <w:gridCol w:w="1133"/>
        <w:gridCol w:w="1133"/>
        <w:gridCol w:w="1133"/>
        <w:gridCol w:w="1138"/>
      </w:tblGrid>
      <w:tr w:rsidR="00D03179" w:rsidRPr="00EF2D25" w:rsidTr="00D03179">
        <w:tc>
          <w:tcPr>
            <w:tcW w:w="22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Facility </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2016-17 </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2017-18 </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2018-19 </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2019-20 </w:t>
            </w:r>
          </w:p>
        </w:tc>
        <w:tc>
          <w:tcPr>
            <w:tcW w:w="11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2020-21 </w:t>
            </w:r>
          </w:p>
        </w:tc>
        <w:tc>
          <w:tcPr>
            <w:tcW w:w="11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b/>
                <w:bCs/>
                <w:color w:val="000000"/>
                <w:sz w:val="22"/>
                <w:szCs w:val="22"/>
                <w:bdr w:val="none" w:sz="0" w:space="0" w:color="auto" w:frame="1"/>
              </w:rPr>
              <w:t>2021-22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Hobart Reception Prison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7.1 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6.4 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6.1 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4.5 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5.5 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5.7 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Launceston Reception Centre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7.9 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7.6 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7.2 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6.1 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6.9 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5.1 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Mary Hutchinson Women’s Prison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9.3 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8.8 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8.2 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8.5 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8.2 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7.1 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Risdon Prison Complex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7.2 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6.6 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6.0 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5.0 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4.5 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3.7 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Ron Barwick Prison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10.7 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10.7 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9.9 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10.0 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12.7 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13.9 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O’Hara Cottages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16.8 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16.7 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16.8 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16.5 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16.5 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color w:val="000000"/>
                <w:sz w:val="22"/>
                <w:szCs w:val="22"/>
              </w:rPr>
            </w:pPr>
            <w:r w:rsidRPr="00EF2D25">
              <w:rPr>
                <w:rStyle w:val="xcontentpasted0"/>
                <w:rFonts w:ascii="Cambria" w:eastAsiaTheme="majorEastAsia" w:hAnsi="Cambria"/>
                <w:color w:val="000000"/>
                <w:sz w:val="22"/>
                <w:szCs w:val="22"/>
                <w:bdr w:val="none" w:sz="0" w:space="0" w:color="auto" w:frame="1"/>
              </w:rPr>
              <w:t>15.5 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Total Secure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8.6 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8.4 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7.7 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7.0 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7.8 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7.4 </w:t>
            </w:r>
          </w:p>
        </w:tc>
      </w:tr>
      <w:tr w:rsidR="00D03179" w:rsidRPr="00EF2D25" w:rsidTr="00D03179">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Total Open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16.8 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16.8 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16.8 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16.5 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16.5 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15.5 </w:t>
            </w:r>
          </w:p>
        </w:tc>
      </w:tr>
      <w:tr w:rsidR="00D03179" w:rsidRPr="00EF2D25" w:rsidTr="00D03179">
        <w:trPr>
          <w:trHeight w:val="89"/>
        </w:trPr>
        <w:tc>
          <w:tcPr>
            <w:tcW w:w="2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Total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8.8 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8.6 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7.9 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7.1 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8.0 </w:t>
            </w:r>
          </w:p>
        </w:tc>
        <w:tc>
          <w:tcPr>
            <w:tcW w:w="11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4124F" w:rsidRPr="00EF2D25" w:rsidRDefault="00B4124F">
            <w:pPr>
              <w:pStyle w:val="xmsonormal"/>
              <w:spacing w:before="0" w:beforeAutospacing="0" w:after="0" w:afterAutospacing="0"/>
              <w:rPr>
                <w:rFonts w:ascii="Cambria" w:hAnsi="Cambria"/>
                <w:b/>
                <w:bCs/>
                <w:color w:val="000000"/>
                <w:sz w:val="22"/>
                <w:szCs w:val="22"/>
              </w:rPr>
            </w:pPr>
            <w:r w:rsidRPr="00EF2D25">
              <w:rPr>
                <w:rStyle w:val="xcontentpasted0"/>
                <w:rFonts w:ascii="Cambria" w:eastAsiaTheme="majorEastAsia" w:hAnsi="Cambria"/>
                <w:b/>
                <w:bCs/>
                <w:color w:val="000000"/>
                <w:sz w:val="22"/>
                <w:szCs w:val="22"/>
                <w:bdr w:val="none" w:sz="0" w:space="0" w:color="auto" w:frame="1"/>
              </w:rPr>
              <w:t>7.7 </w:t>
            </w:r>
          </w:p>
        </w:tc>
      </w:tr>
    </w:tbl>
    <w:p w:rsidR="003C5B1C" w:rsidRPr="009B5582" w:rsidRDefault="00B4124F" w:rsidP="003C5B1C">
      <w:pPr>
        <w:ind w:right="-52"/>
        <w:jc w:val="both"/>
        <w:rPr>
          <w:rFonts w:ascii="Cambria" w:hAnsi="Cambria" w:cs="Open Sans"/>
          <w:color w:val="000000" w:themeColor="text1"/>
          <w:sz w:val="20"/>
          <w:szCs w:val="20"/>
        </w:rPr>
      </w:pPr>
      <w:r>
        <w:rPr>
          <w:rFonts w:ascii="Cambria" w:hAnsi="Cambria"/>
          <w:color w:val="000000"/>
          <w:bdr w:val="none" w:sz="0" w:space="0" w:color="auto" w:frame="1"/>
        </w:rPr>
        <w:t> </w:t>
      </w:r>
      <w:r w:rsidR="003C5B1C" w:rsidRPr="009B5582">
        <w:rPr>
          <w:rFonts w:ascii="Cambria" w:hAnsi="Cambria" w:cs="Open Sans"/>
          <w:color w:val="000000" w:themeColor="text1"/>
          <w:sz w:val="20"/>
          <w:szCs w:val="20"/>
        </w:rPr>
        <w:t xml:space="preserve">Source: Department of Justice, Request under the </w:t>
      </w:r>
      <w:r w:rsidR="003C5B1C" w:rsidRPr="009B5582">
        <w:rPr>
          <w:rFonts w:ascii="Cambria" w:hAnsi="Cambria" w:cs="Open Sans"/>
          <w:i/>
          <w:iCs/>
          <w:color w:val="000000" w:themeColor="text1"/>
          <w:sz w:val="20"/>
          <w:szCs w:val="20"/>
        </w:rPr>
        <w:t>Right to Information Act 2009</w:t>
      </w:r>
      <w:r w:rsidR="003C5B1C" w:rsidRPr="009B5582">
        <w:rPr>
          <w:rFonts w:ascii="Cambria" w:hAnsi="Cambria" w:cs="Open Sans"/>
          <w:color w:val="000000" w:themeColor="text1"/>
          <w:sz w:val="20"/>
          <w:szCs w:val="20"/>
        </w:rPr>
        <w:t xml:space="preserve"> (dated 13 April 2023) </w:t>
      </w:r>
    </w:p>
    <w:p w:rsidR="00430520" w:rsidRPr="00D03179" w:rsidRDefault="00430520" w:rsidP="00B4124F">
      <w:pPr>
        <w:pStyle w:val="xmsonormal"/>
        <w:shd w:val="clear" w:color="auto" w:fill="FFFFFF"/>
        <w:spacing w:before="0" w:beforeAutospacing="0" w:after="0" w:afterAutospacing="0"/>
        <w:rPr>
          <w:rStyle w:val="xcontentpasted0"/>
          <w:color w:val="000000"/>
        </w:rPr>
      </w:pPr>
    </w:p>
    <w:p w:rsidR="00BA2514" w:rsidRDefault="00B4124F" w:rsidP="00D03179">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r>
        <w:rPr>
          <w:rStyle w:val="xcontentpasted0"/>
          <w:rFonts w:ascii="Cambria" w:eastAsiaTheme="majorEastAsia" w:hAnsi="Cambria"/>
          <w:color w:val="000000"/>
          <w:bdr w:val="none" w:sz="0" w:space="0" w:color="auto" w:frame="1"/>
        </w:rPr>
        <w:t xml:space="preserve">The data demonstrates that over the last </w:t>
      </w:r>
      <w:r w:rsidR="00085547">
        <w:rPr>
          <w:rStyle w:val="xcontentpasted0"/>
          <w:rFonts w:ascii="Cambria" w:eastAsiaTheme="majorEastAsia" w:hAnsi="Cambria"/>
          <w:color w:val="000000"/>
          <w:bdr w:val="none" w:sz="0" w:space="0" w:color="auto" w:frame="1"/>
        </w:rPr>
        <w:t>six</w:t>
      </w:r>
      <w:r>
        <w:rPr>
          <w:rStyle w:val="xcontentpasted0"/>
          <w:rFonts w:ascii="Cambria" w:eastAsiaTheme="majorEastAsia" w:hAnsi="Cambria"/>
          <w:color w:val="000000"/>
          <w:bdr w:val="none" w:sz="0" w:space="0" w:color="auto" w:frame="1"/>
        </w:rPr>
        <w:t xml:space="preserve"> years, out of cell hours has declined in all prison facilities except the Ron Barwick</w:t>
      </w:r>
      <w:r w:rsidR="00085547">
        <w:rPr>
          <w:rStyle w:val="xcontentpasted0"/>
          <w:rFonts w:ascii="Cambria" w:eastAsiaTheme="majorEastAsia" w:hAnsi="Cambria"/>
          <w:color w:val="000000"/>
          <w:bdr w:val="none" w:sz="0" w:space="0" w:color="auto" w:frame="1"/>
        </w:rPr>
        <w:t xml:space="preserve"> Prison</w:t>
      </w:r>
      <w:r w:rsidR="00BA2514">
        <w:rPr>
          <w:rStyle w:val="xcontentpasted0"/>
          <w:rFonts w:ascii="Cambria" w:eastAsiaTheme="majorEastAsia" w:hAnsi="Cambria"/>
          <w:color w:val="000000"/>
          <w:bdr w:val="none" w:sz="0" w:space="0" w:color="auto" w:frame="1"/>
        </w:rPr>
        <w:t>, Tasmania’s minimum security facility</w:t>
      </w:r>
      <w:r>
        <w:rPr>
          <w:rStyle w:val="xcontentpasted0"/>
          <w:rFonts w:ascii="Cambria" w:eastAsiaTheme="majorEastAsia" w:hAnsi="Cambria"/>
          <w:color w:val="000000"/>
          <w:bdr w:val="none" w:sz="0" w:space="0" w:color="auto" w:frame="1"/>
        </w:rPr>
        <w:t xml:space="preserve">. As well, out of cell hours in the Risdon Prison Complex where all medium and maximum-security persons are housed has almost halved over the last </w:t>
      </w:r>
      <w:r w:rsidR="00085547">
        <w:rPr>
          <w:rStyle w:val="xcontentpasted0"/>
          <w:rFonts w:ascii="Cambria" w:eastAsiaTheme="majorEastAsia" w:hAnsi="Cambria"/>
          <w:color w:val="000000"/>
          <w:bdr w:val="none" w:sz="0" w:space="0" w:color="auto" w:frame="1"/>
        </w:rPr>
        <w:t>six</w:t>
      </w:r>
      <w:r>
        <w:rPr>
          <w:rStyle w:val="xcontentpasted0"/>
          <w:rFonts w:ascii="Cambria" w:eastAsiaTheme="majorEastAsia" w:hAnsi="Cambria"/>
          <w:color w:val="000000"/>
          <w:bdr w:val="none" w:sz="0" w:space="0" w:color="auto" w:frame="1"/>
        </w:rPr>
        <w:t xml:space="preserve"> years from 7.2 hours in 2016-17 to 3.7 hours in 2021-22. </w:t>
      </w:r>
    </w:p>
    <w:p w:rsidR="00BA2514" w:rsidRDefault="00BA2514" w:rsidP="00D03179">
      <w:pPr>
        <w:pStyle w:val="xmsonormal"/>
        <w:shd w:val="clear" w:color="auto" w:fill="FFFFFF"/>
        <w:spacing w:before="0" w:beforeAutospacing="0" w:after="0" w:afterAutospacing="0"/>
        <w:jc w:val="both"/>
        <w:rPr>
          <w:rStyle w:val="xcontentpasted0"/>
          <w:rFonts w:ascii="Cambria" w:eastAsiaTheme="majorEastAsia" w:hAnsi="Cambria"/>
          <w:color w:val="000000"/>
          <w:bdr w:val="none" w:sz="0" w:space="0" w:color="auto" w:frame="1"/>
        </w:rPr>
      </w:pPr>
    </w:p>
    <w:p w:rsidR="00B4124F" w:rsidRDefault="00B4124F" w:rsidP="00BA2514">
      <w:pPr>
        <w:pStyle w:val="xmsonormal"/>
        <w:shd w:val="clear" w:color="auto" w:fill="FFFFFF"/>
        <w:spacing w:before="0" w:beforeAutospacing="0" w:after="0" w:afterAutospacing="0"/>
        <w:jc w:val="both"/>
        <w:rPr>
          <w:color w:val="000000"/>
        </w:rPr>
      </w:pPr>
      <w:r>
        <w:rPr>
          <w:rStyle w:val="xcontentpasted0"/>
          <w:rFonts w:ascii="Cambria" w:eastAsiaTheme="majorEastAsia" w:hAnsi="Cambria"/>
          <w:color w:val="000000"/>
          <w:bdr w:val="none" w:sz="0" w:space="0" w:color="auto" w:frame="1"/>
        </w:rPr>
        <w:t xml:space="preserve">It is also concerning that the most recent data </w:t>
      </w:r>
      <w:r w:rsidR="00EF2D25">
        <w:rPr>
          <w:rStyle w:val="xcontentpasted0"/>
          <w:rFonts w:ascii="Cambria" w:eastAsiaTheme="majorEastAsia" w:hAnsi="Cambria"/>
          <w:color w:val="000000"/>
          <w:bdr w:val="none" w:sz="0" w:space="0" w:color="auto" w:frame="1"/>
        </w:rPr>
        <w:t>published</w:t>
      </w:r>
      <w:r>
        <w:rPr>
          <w:rStyle w:val="xcontentpasted0"/>
          <w:rFonts w:ascii="Cambria" w:eastAsiaTheme="majorEastAsia" w:hAnsi="Cambria"/>
          <w:color w:val="000000"/>
          <w:bdr w:val="none" w:sz="0" w:space="0" w:color="auto" w:frame="1"/>
        </w:rPr>
        <w:t xml:space="preserve"> by the Productivity Commission demonstrates that Tasmania has the lowest out of cell hours in Australia at 8 hours</w:t>
      </w:r>
      <w:r w:rsidR="00085547">
        <w:rPr>
          <w:rStyle w:val="xcontentpasted0"/>
          <w:rFonts w:ascii="Cambria" w:eastAsiaTheme="majorEastAsia" w:hAnsi="Cambria"/>
          <w:color w:val="000000"/>
          <w:bdr w:val="none" w:sz="0" w:space="0" w:color="auto" w:frame="1"/>
        </w:rPr>
        <w:t xml:space="preserve"> per day</w:t>
      </w:r>
      <w:r>
        <w:rPr>
          <w:rStyle w:val="xcontentpasted0"/>
          <w:rFonts w:ascii="Cambria" w:eastAsiaTheme="majorEastAsia" w:hAnsi="Cambria"/>
          <w:color w:val="000000"/>
          <w:bdr w:val="none" w:sz="0" w:space="0" w:color="auto" w:frame="1"/>
        </w:rPr>
        <w:t>.   </w:t>
      </w:r>
      <w:r>
        <w:rPr>
          <w:rFonts w:ascii="Cambria" w:hAnsi="Cambria"/>
          <w:color w:val="000000"/>
          <w:bdr w:val="none" w:sz="0" w:space="0" w:color="auto" w:frame="1"/>
        </w:rPr>
        <w:br/>
      </w:r>
    </w:p>
    <w:p w:rsidR="00EF2D25" w:rsidRPr="0092780B" w:rsidRDefault="00D03179" w:rsidP="00EF2D25">
      <w:pPr>
        <w:ind w:right="-347"/>
        <w:jc w:val="both"/>
        <w:rPr>
          <w:rFonts w:ascii="Cambria" w:hAnsi="Cambria"/>
          <w:bCs/>
          <w:color w:val="000000" w:themeColor="text1"/>
          <w:sz w:val="20"/>
          <w:szCs w:val="20"/>
          <w:lang w:eastAsia="en-AU"/>
        </w:rPr>
      </w:pPr>
      <w:r>
        <w:rPr>
          <w:rFonts w:ascii="Cambria" w:hAnsi="Cambria"/>
          <w:noProof/>
          <w:color w:val="000000"/>
          <w:bdr w:val="none" w:sz="0" w:space="0" w:color="auto" w:frame="1"/>
        </w:rPr>
        <w:drawing>
          <wp:inline distT="0" distB="0" distL="0" distR="0">
            <wp:extent cx="5486400" cy="3200400"/>
            <wp:effectExtent l="0" t="0" r="12700" b="12700"/>
            <wp:docPr id="8364743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4124F">
        <w:rPr>
          <w:rFonts w:ascii="Cambria" w:hAnsi="Cambria"/>
          <w:color w:val="000000"/>
          <w:bdr w:val="none" w:sz="0" w:space="0" w:color="auto" w:frame="1"/>
        </w:rPr>
        <w:br/>
      </w:r>
      <w:r w:rsidR="00EF2D25" w:rsidRPr="0092780B">
        <w:rPr>
          <w:rFonts w:ascii="Cambria" w:hAnsi="Cambria"/>
          <w:bCs/>
          <w:color w:val="000000" w:themeColor="text1"/>
          <w:sz w:val="20"/>
          <w:szCs w:val="20"/>
          <w:lang w:eastAsia="en-AU"/>
        </w:rPr>
        <w:t xml:space="preserve">Source: </w:t>
      </w:r>
      <w:r w:rsidR="00EF2D25" w:rsidRPr="0092780B">
        <w:rPr>
          <w:rFonts w:ascii="Cambria" w:hAnsi="Cambria"/>
          <w:color w:val="000000" w:themeColor="text1"/>
          <w:sz w:val="20"/>
          <w:szCs w:val="20"/>
        </w:rPr>
        <w:t xml:space="preserve">Productivity Commissioner, </w:t>
      </w:r>
      <w:r w:rsidR="00EF2D25" w:rsidRPr="0092780B">
        <w:rPr>
          <w:rFonts w:ascii="Cambria" w:hAnsi="Cambria"/>
          <w:i/>
          <w:iCs/>
          <w:color w:val="000000" w:themeColor="text1"/>
          <w:sz w:val="20"/>
          <w:szCs w:val="20"/>
        </w:rPr>
        <w:t xml:space="preserve">Report on Government Services </w:t>
      </w:r>
      <w:r w:rsidR="00EF2D25">
        <w:rPr>
          <w:rFonts w:ascii="Cambria" w:hAnsi="Cambria"/>
          <w:i/>
          <w:iCs/>
          <w:color w:val="000000" w:themeColor="text1"/>
          <w:sz w:val="20"/>
          <w:szCs w:val="20"/>
        </w:rPr>
        <w:t xml:space="preserve">2022 </w:t>
      </w:r>
      <w:r w:rsidR="00EF2D25" w:rsidRPr="0092780B">
        <w:rPr>
          <w:rFonts w:ascii="Cambria" w:hAnsi="Cambria"/>
          <w:i/>
          <w:iCs/>
          <w:color w:val="000000" w:themeColor="text1"/>
          <w:sz w:val="20"/>
          <w:szCs w:val="20"/>
        </w:rPr>
        <w:t>- Justice</w:t>
      </w:r>
      <w:r w:rsidR="00EF2D25" w:rsidRPr="0092780B">
        <w:rPr>
          <w:rFonts w:ascii="Cambria" w:hAnsi="Cambria"/>
          <w:color w:val="000000" w:themeColor="text1"/>
          <w:sz w:val="20"/>
          <w:szCs w:val="20"/>
        </w:rPr>
        <w:t xml:space="preserve">, Table </w:t>
      </w:r>
      <w:r w:rsidR="00EF2D25">
        <w:rPr>
          <w:rFonts w:ascii="Cambria" w:hAnsi="Cambria"/>
          <w:color w:val="000000" w:themeColor="text1"/>
          <w:sz w:val="20"/>
          <w:szCs w:val="20"/>
        </w:rPr>
        <w:t>8</w:t>
      </w:r>
      <w:r w:rsidR="00EF2D25" w:rsidRPr="0092780B">
        <w:rPr>
          <w:rFonts w:ascii="Cambria" w:hAnsi="Cambria"/>
          <w:color w:val="000000" w:themeColor="text1"/>
          <w:sz w:val="20"/>
          <w:szCs w:val="20"/>
        </w:rPr>
        <w:t>A.</w:t>
      </w:r>
      <w:r w:rsidR="00EF2D25">
        <w:rPr>
          <w:rFonts w:ascii="Cambria" w:hAnsi="Cambria"/>
          <w:color w:val="000000" w:themeColor="text1"/>
          <w:sz w:val="20"/>
          <w:szCs w:val="20"/>
        </w:rPr>
        <w:t>13</w:t>
      </w:r>
      <w:r w:rsidR="00EF2D25" w:rsidRPr="0092780B">
        <w:rPr>
          <w:rFonts w:ascii="Cambria" w:hAnsi="Cambria"/>
          <w:color w:val="000000" w:themeColor="text1"/>
          <w:sz w:val="20"/>
          <w:szCs w:val="20"/>
        </w:rPr>
        <w:t>.</w:t>
      </w:r>
      <w:r w:rsidR="00EF2D25" w:rsidRPr="0092780B">
        <w:rPr>
          <w:rFonts w:ascii="Cambria" w:hAnsi="Cambria"/>
          <w:bCs/>
          <w:color w:val="000000" w:themeColor="text1"/>
          <w:sz w:val="20"/>
          <w:szCs w:val="20"/>
          <w:lang w:eastAsia="en-AU"/>
        </w:rPr>
        <w:t xml:space="preserve"> </w:t>
      </w:r>
    </w:p>
    <w:p w:rsidR="00B4124F" w:rsidRDefault="00B4124F" w:rsidP="00B4124F">
      <w:pPr>
        <w:pStyle w:val="xmsonormal"/>
        <w:shd w:val="clear" w:color="auto" w:fill="FFFFFF"/>
        <w:spacing w:before="0" w:beforeAutospacing="0" w:after="0" w:afterAutospacing="0"/>
        <w:rPr>
          <w:color w:val="000000"/>
        </w:rPr>
      </w:pPr>
    </w:p>
    <w:p w:rsidR="00B4124F" w:rsidRDefault="00B4124F" w:rsidP="00B4124F">
      <w:pPr>
        <w:pStyle w:val="xmsonormal"/>
        <w:shd w:val="clear" w:color="auto" w:fill="FFFFFF"/>
        <w:spacing w:before="0" w:beforeAutospacing="0" w:after="0" w:afterAutospacing="0"/>
        <w:rPr>
          <w:color w:val="000000"/>
        </w:rPr>
      </w:pPr>
      <w:r>
        <w:rPr>
          <w:rStyle w:val="xcontentpasted1"/>
          <w:rFonts w:ascii="Cambria" w:hAnsi="Cambria"/>
          <w:color w:val="000000"/>
          <w:bdr w:val="none" w:sz="0" w:space="0" w:color="auto" w:frame="1"/>
        </w:rPr>
        <w:t>In 2018 the Custodial Inspector of Tasmania noted that lockdowns reduce the chance of a successful reintegration with education, rehabilitation and family programs all being impacted detrimentally</w:t>
      </w:r>
      <w:r w:rsidR="00BA2514">
        <w:rPr>
          <w:rStyle w:val="xcontentpasted1"/>
          <w:rFonts w:ascii="Cambria" w:hAnsi="Cambria"/>
          <w:color w:val="000000"/>
          <w:bdr w:val="none" w:sz="0" w:space="0" w:color="auto" w:frame="1"/>
        </w:rPr>
        <w:t>:</w:t>
      </w:r>
      <w:r w:rsidR="00BA2514">
        <w:rPr>
          <w:rStyle w:val="FootnoteReference"/>
          <w:rFonts w:ascii="Cambria" w:hAnsi="Cambria"/>
          <w:color w:val="000000"/>
          <w:bdr w:val="none" w:sz="0" w:space="0" w:color="auto" w:frame="1"/>
        </w:rPr>
        <w:footnoteReference w:id="4"/>
      </w:r>
      <w:r>
        <w:rPr>
          <w:rStyle w:val="xcontentpasted1"/>
          <w:rFonts w:ascii="Cambria" w:hAnsi="Cambria"/>
          <w:color w:val="000000"/>
          <w:bdr w:val="none" w:sz="0" w:space="0" w:color="auto" w:frame="1"/>
        </w:rPr>
        <w:t> </w:t>
      </w:r>
    </w:p>
    <w:p w:rsidR="00B4124F" w:rsidRDefault="00B4124F" w:rsidP="00B4124F">
      <w:pPr>
        <w:pStyle w:val="xmsonormal"/>
        <w:shd w:val="clear" w:color="auto" w:fill="FFFFFF"/>
        <w:spacing w:before="0" w:beforeAutospacing="0" w:after="0" w:afterAutospacing="0"/>
        <w:rPr>
          <w:color w:val="000000"/>
        </w:rPr>
      </w:pPr>
      <w:r>
        <w:rPr>
          <w:rFonts w:ascii="Cambria" w:hAnsi="Cambria"/>
          <w:color w:val="000000"/>
          <w:bdr w:val="none" w:sz="0" w:space="0" w:color="auto" w:frame="1"/>
        </w:rPr>
        <w:t> </w:t>
      </w:r>
    </w:p>
    <w:p w:rsidR="00B4124F" w:rsidRDefault="00B4124F" w:rsidP="00B4124F">
      <w:pPr>
        <w:pStyle w:val="xmsonormal"/>
        <w:shd w:val="clear" w:color="auto" w:fill="FFFFFF"/>
        <w:spacing w:before="0" w:beforeAutospacing="0" w:after="0" w:afterAutospacing="0"/>
        <w:ind w:left="720"/>
        <w:jc w:val="both"/>
        <w:rPr>
          <w:color w:val="000000"/>
        </w:rPr>
      </w:pPr>
      <w:r>
        <w:rPr>
          <w:rStyle w:val="xcontentpasted1"/>
          <w:rFonts w:ascii="Cambria" w:hAnsi="Cambria"/>
          <w:i/>
          <w:iCs/>
          <w:color w:val="000000"/>
          <w:bdr w:val="none" w:sz="0" w:space="0" w:color="auto" w:frame="1"/>
        </w:rPr>
        <w:t>The impact of lockdowns is severe and wide ranging. During lockdowns, prisoners have limited access to education, therapeutic counselling and criminogenic programs. Additionally, lockdowns have an impact on family and significant relationships, with planned visits cancelled at short notice, and prisoners experiencing difficulties accessing telephones. The inspection also found that lockdowns limit TPS [Tasmanian Prison Service] in delivering reintegration and rehabilitation services.  </w:t>
      </w:r>
    </w:p>
    <w:p w:rsidR="00B4124F" w:rsidRDefault="00B4124F" w:rsidP="00077BEB">
      <w:pPr>
        <w:ind w:right="-52"/>
        <w:jc w:val="both"/>
        <w:rPr>
          <w:rFonts w:ascii="Cambria" w:hAnsi="Cambria" w:cs="Segoe UI"/>
          <w:color w:val="000000"/>
          <w:shd w:val="clear" w:color="auto" w:fill="FFFFFF"/>
        </w:rPr>
      </w:pPr>
    </w:p>
    <w:p w:rsidR="00F81A33" w:rsidRDefault="00A569C3" w:rsidP="00077BEB">
      <w:pPr>
        <w:ind w:right="-52"/>
        <w:jc w:val="both"/>
        <w:rPr>
          <w:rFonts w:ascii="Cambria" w:hAnsi="Cambria" w:cs="Segoe UI"/>
          <w:color w:val="000000"/>
          <w:shd w:val="clear" w:color="auto" w:fill="FFFFFF"/>
        </w:rPr>
      </w:pPr>
      <w:r>
        <w:rPr>
          <w:rFonts w:ascii="Cambria" w:hAnsi="Cambria" w:cs="Segoe UI"/>
          <w:color w:val="000000"/>
          <w:shd w:val="clear" w:color="auto" w:fill="FFFFFF"/>
        </w:rPr>
        <w:t>The Custodial Inspector of Tasmania also found that lockdowns impact heavily on correctional staff workloads which leads to “higher amounts of stress on already overworked staff. This in turn tends to result in even more cases of sick leave and workers compensation, and, in turn, more staff shortages and perpetuating lockdowns”.</w:t>
      </w:r>
      <w:r>
        <w:rPr>
          <w:rStyle w:val="FootnoteReference"/>
          <w:rFonts w:ascii="Cambria" w:hAnsi="Cambria" w:cs="Segoe UI"/>
          <w:color w:val="000000"/>
          <w:shd w:val="clear" w:color="auto" w:fill="FFFFFF"/>
        </w:rPr>
        <w:footnoteReference w:id="5"/>
      </w:r>
      <w:r>
        <w:rPr>
          <w:rFonts w:ascii="Cambria" w:hAnsi="Cambria" w:cs="Segoe UI"/>
          <w:color w:val="000000"/>
          <w:shd w:val="clear" w:color="auto" w:fill="FFFFFF"/>
        </w:rPr>
        <w:t xml:space="preserve">  </w:t>
      </w:r>
    </w:p>
    <w:p w:rsidR="00A569C3" w:rsidRDefault="00A569C3" w:rsidP="00077BEB">
      <w:pPr>
        <w:ind w:right="-52"/>
        <w:jc w:val="both"/>
        <w:rPr>
          <w:rFonts w:ascii="Cambria" w:hAnsi="Cambria" w:cs="Segoe UI"/>
          <w:color w:val="000000"/>
          <w:shd w:val="clear" w:color="auto" w:fill="FFFFFF"/>
        </w:rPr>
      </w:pPr>
    </w:p>
    <w:p w:rsidR="00A569C3" w:rsidRPr="009C62F9" w:rsidRDefault="00A569C3" w:rsidP="00A569C3">
      <w:pPr>
        <w:ind w:right="-52"/>
        <w:jc w:val="both"/>
        <w:rPr>
          <w:rFonts w:ascii="Cambria" w:hAnsi="Cambria"/>
          <w:b/>
          <w:color w:val="000000" w:themeColor="text1"/>
          <w:lang w:eastAsia="en-AU"/>
        </w:rPr>
      </w:pPr>
      <w:r w:rsidRPr="009C62F9">
        <w:rPr>
          <w:rFonts w:ascii="Cambria" w:hAnsi="Cambria"/>
          <w:b/>
          <w:color w:val="000000" w:themeColor="text1"/>
          <w:lang w:eastAsia="en-AU"/>
        </w:rPr>
        <w:t>Summary</w:t>
      </w:r>
    </w:p>
    <w:p w:rsidR="00781C59" w:rsidRDefault="00A569C3" w:rsidP="00A569C3">
      <w:pPr>
        <w:ind w:right="-52"/>
        <w:jc w:val="both"/>
        <w:rPr>
          <w:rFonts w:ascii="Cambria" w:hAnsi="Cambria"/>
          <w:bCs/>
          <w:color w:val="000000" w:themeColor="text1"/>
          <w:lang w:eastAsia="en-AU"/>
        </w:rPr>
      </w:pPr>
      <w:r w:rsidRPr="009C62F9">
        <w:rPr>
          <w:rFonts w:ascii="Cambria" w:hAnsi="Cambria"/>
          <w:bCs/>
          <w:color w:val="000000" w:themeColor="text1"/>
          <w:lang w:eastAsia="en-AU"/>
        </w:rPr>
        <w:t xml:space="preserve">We are safer when people exiting prison </w:t>
      </w:r>
      <w:r w:rsidR="00781C59">
        <w:rPr>
          <w:rFonts w:ascii="Cambria" w:hAnsi="Cambria"/>
          <w:bCs/>
          <w:color w:val="000000" w:themeColor="text1"/>
          <w:lang w:eastAsia="en-AU"/>
        </w:rPr>
        <w:t xml:space="preserve">have accessed the education, </w:t>
      </w:r>
      <w:r w:rsidR="00781C59">
        <w:rPr>
          <w:rStyle w:val="xcontentpasted0"/>
          <w:rFonts w:ascii="Cambria" w:eastAsiaTheme="majorEastAsia" w:hAnsi="Cambria"/>
          <w:color w:val="000000"/>
          <w:bdr w:val="none" w:sz="0" w:space="0" w:color="auto" w:frame="1"/>
        </w:rPr>
        <w:t xml:space="preserve">treatment and rehabilitative programs that they need to better reintegrate upon their release. Lockdowns mean that many persons exiting prison are not being provided with the access </w:t>
      </w:r>
      <w:r w:rsidR="00085547">
        <w:rPr>
          <w:rStyle w:val="xcontentpasted0"/>
          <w:rFonts w:ascii="Cambria" w:eastAsiaTheme="majorEastAsia" w:hAnsi="Cambria"/>
          <w:color w:val="000000"/>
          <w:bdr w:val="none" w:sz="0" w:space="0" w:color="auto" w:frame="1"/>
        </w:rPr>
        <w:t xml:space="preserve">to programs </w:t>
      </w:r>
      <w:r w:rsidR="00781C59">
        <w:rPr>
          <w:rStyle w:val="xcontentpasted0"/>
          <w:rFonts w:ascii="Cambria" w:eastAsiaTheme="majorEastAsia" w:hAnsi="Cambria"/>
          <w:color w:val="000000"/>
          <w:bdr w:val="none" w:sz="0" w:space="0" w:color="auto" w:frame="1"/>
        </w:rPr>
        <w:t xml:space="preserve">they need. Lockdowns also have an impact on staff resulting in sick leave, workers compensation and staff shortages.  </w:t>
      </w:r>
    </w:p>
    <w:p w:rsidR="00A569C3" w:rsidRPr="009C62F9" w:rsidRDefault="00A569C3" w:rsidP="00A569C3">
      <w:pPr>
        <w:ind w:right="-52"/>
        <w:jc w:val="both"/>
        <w:rPr>
          <w:rFonts w:ascii="Cambria" w:hAnsi="Cambria" w:cs="Arial"/>
          <w:color w:val="000000" w:themeColor="text1"/>
        </w:rPr>
      </w:pPr>
    </w:p>
    <w:p w:rsidR="008269E2" w:rsidRDefault="00A569C3" w:rsidP="00A569C3">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r w:rsidRPr="009C62F9">
        <w:rPr>
          <w:rFonts w:ascii="Cambria" w:hAnsi="Cambria" w:cs="Arial"/>
          <w:b/>
          <w:bCs/>
          <w:color w:val="000000" w:themeColor="text1"/>
        </w:rPr>
        <w:t>Recommendation:</w:t>
      </w:r>
      <w:r w:rsidRPr="009C62F9">
        <w:rPr>
          <w:rFonts w:ascii="Cambria" w:hAnsi="Cambria" w:cs="Arial"/>
          <w:color w:val="000000" w:themeColor="text1"/>
        </w:rPr>
        <w:t xml:space="preserve"> </w:t>
      </w:r>
    </w:p>
    <w:p w:rsidR="00A569C3" w:rsidRPr="009C62F9" w:rsidRDefault="00A569C3" w:rsidP="00A569C3">
      <w:pPr>
        <w:pBdr>
          <w:top w:val="single" w:sz="4" w:space="1" w:color="auto"/>
          <w:left w:val="single" w:sz="4" w:space="4" w:color="auto"/>
          <w:bottom w:val="single" w:sz="4" w:space="1" w:color="auto"/>
          <w:right w:val="single" w:sz="4" w:space="4" w:color="auto"/>
        </w:pBdr>
        <w:ind w:right="-52"/>
        <w:jc w:val="both"/>
        <w:rPr>
          <w:rFonts w:ascii="Cambria" w:hAnsi="Cambria" w:cs="Arial"/>
          <w:color w:val="000000" w:themeColor="text1"/>
        </w:rPr>
      </w:pPr>
      <w:r w:rsidRPr="009C62F9">
        <w:rPr>
          <w:rFonts w:ascii="Cambria" w:hAnsi="Cambria" w:cs="Arial"/>
          <w:color w:val="000000" w:themeColor="text1"/>
        </w:rPr>
        <w:t xml:space="preserve">That the Tasmanian Government </w:t>
      </w:r>
      <w:r w:rsidR="00781C59">
        <w:rPr>
          <w:rFonts w:ascii="Cambria" w:hAnsi="Cambria" w:cs="Arial"/>
          <w:color w:val="000000" w:themeColor="text1"/>
        </w:rPr>
        <w:t xml:space="preserve">commit to the recommendations set out in the Custodial Inspector of Tasmania’s </w:t>
      </w:r>
      <w:r w:rsidR="00781C59" w:rsidRPr="00781C59">
        <w:rPr>
          <w:rFonts w:ascii="Cambria" w:hAnsi="Cambria" w:cs="Arial"/>
          <w:i/>
          <w:iCs/>
          <w:color w:val="000000" w:themeColor="text1"/>
        </w:rPr>
        <w:t>Lockdowns Review 2021</w:t>
      </w:r>
      <w:r w:rsidR="00781C59">
        <w:rPr>
          <w:rFonts w:ascii="Cambria" w:hAnsi="Cambria" w:cs="Arial"/>
          <w:color w:val="000000" w:themeColor="text1"/>
        </w:rPr>
        <w:t xml:space="preserve"> including a </w:t>
      </w:r>
      <w:r w:rsidRPr="009C62F9">
        <w:rPr>
          <w:rFonts w:ascii="Cambria" w:hAnsi="Cambria" w:cs="Arial"/>
          <w:color w:val="000000" w:themeColor="text1"/>
        </w:rPr>
        <w:t>commit</w:t>
      </w:r>
      <w:r w:rsidR="00781C59">
        <w:rPr>
          <w:rFonts w:ascii="Cambria" w:hAnsi="Cambria" w:cs="Arial"/>
          <w:color w:val="000000" w:themeColor="text1"/>
        </w:rPr>
        <w:t xml:space="preserve">ment that there will always be sufficient staff to ensure that there are no lockdowns due to staff shortages.   </w:t>
      </w:r>
    </w:p>
    <w:p w:rsidR="00A569C3" w:rsidRDefault="00A569C3" w:rsidP="00077BEB">
      <w:pPr>
        <w:ind w:right="-52"/>
        <w:jc w:val="both"/>
        <w:rPr>
          <w:rFonts w:ascii="Cambria" w:hAnsi="Cambria" w:cs="Segoe UI"/>
          <w:color w:val="000000"/>
          <w:shd w:val="clear" w:color="auto" w:fill="FFFFFF"/>
        </w:rPr>
      </w:pPr>
    </w:p>
    <w:p w:rsidR="00077BEB" w:rsidRPr="009C62F9" w:rsidRDefault="00077BEB" w:rsidP="00077BEB">
      <w:pPr>
        <w:ind w:right="-347"/>
        <w:jc w:val="both"/>
        <w:rPr>
          <w:rFonts w:ascii="Cambria" w:hAnsi="Cambria" w:cs="Arial"/>
          <w:color w:val="000000" w:themeColor="text1"/>
        </w:rPr>
      </w:pPr>
      <w:r w:rsidRPr="009C62F9">
        <w:rPr>
          <w:rFonts w:ascii="Cambria" w:hAnsi="Cambria"/>
          <w:bCs/>
          <w:color w:val="000000" w:themeColor="text1"/>
          <w:lang w:eastAsia="en-AU"/>
        </w:rPr>
        <w:t>If we can be of any further assistance, please do not hesitate to contact us.</w:t>
      </w:r>
    </w:p>
    <w:p w:rsidR="00077BEB" w:rsidRDefault="00077BEB" w:rsidP="00077BEB">
      <w:pPr>
        <w:shd w:val="clear" w:color="auto" w:fill="FFFFFF"/>
        <w:ind w:right="-347"/>
        <w:jc w:val="both"/>
        <w:rPr>
          <w:rFonts w:ascii="Cambria" w:hAnsi="Cambria"/>
          <w:bCs/>
          <w:color w:val="000000" w:themeColor="text1"/>
          <w:lang w:eastAsia="en-AU"/>
        </w:rPr>
      </w:pPr>
    </w:p>
    <w:p w:rsidR="00077BEB" w:rsidRDefault="00077BEB" w:rsidP="00077BEB">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Yours faithfully,</w:t>
      </w:r>
    </w:p>
    <w:p w:rsidR="00EE56C1" w:rsidRDefault="00EE56C1" w:rsidP="00077BEB">
      <w:pPr>
        <w:shd w:val="clear" w:color="auto" w:fill="FFFFFF"/>
        <w:ind w:right="-347"/>
        <w:jc w:val="both"/>
        <w:rPr>
          <w:rFonts w:ascii="Cambria" w:hAnsi="Cambria"/>
          <w:bCs/>
          <w:color w:val="000000" w:themeColor="text1"/>
          <w:lang w:eastAsia="en-AU"/>
        </w:rPr>
      </w:pPr>
    </w:p>
    <w:p w:rsidR="00EE56C1" w:rsidRDefault="00EE56C1" w:rsidP="00077BEB">
      <w:pPr>
        <w:shd w:val="clear" w:color="auto" w:fill="FFFFFF"/>
        <w:ind w:right="-347"/>
        <w:jc w:val="both"/>
        <w:rPr>
          <w:rFonts w:ascii="Cambria" w:hAnsi="Cambria"/>
          <w:bCs/>
          <w:color w:val="000000" w:themeColor="text1"/>
          <w:lang w:eastAsia="en-AU"/>
        </w:rPr>
      </w:pPr>
    </w:p>
    <w:p w:rsidR="00077BEB" w:rsidRPr="009C62F9" w:rsidRDefault="00077BEB" w:rsidP="00077BEB">
      <w:pPr>
        <w:shd w:val="clear" w:color="auto" w:fill="FFFFFF"/>
        <w:ind w:right="-347"/>
        <w:jc w:val="both"/>
        <w:rPr>
          <w:rFonts w:ascii="Cambria" w:hAnsi="Cambria"/>
          <w:bCs/>
          <w:color w:val="000000" w:themeColor="text1"/>
          <w:lang w:eastAsia="en-AU"/>
        </w:rPr>
      </w:pPr>
      <w:r>
        <w:rPr>
          <w:rFonts w:ascii="Cambria" w:hAnsi="Cambria"/>
          <w:bCs/>
          <w:color w:val="000000" w:themeColor="text1"/>
          <w:lang w:eastAsia="en-AU"/>
        </w:rPr>
        <w:tab/>
      </w:r>
      <w:r>
        <w:rPr>
          <w:rFonts w:ascii="Cambria" w:hAnsi="Cambria"/>
          <w:bCs/>
          <w:color w:val="000000" w:themeColor="text1"/>
          <w:lang w:eastAsia="en-AU"/>
        </w:rPr>
        <w:tab/>
      </w:r>
      <w:r>
        <w:rPr>
          <w:rFonts w:ascii="Cambria" w:hAnsi="Cambria"/>
          <w:bCs/>
          <w:color w:val="000000" w:themeColor="text1"/>
          <w:lang w:eastAsia="en-AU"/>
        </w:rPr>
        <w:tab/>
      </w:r>
      <w:r w:rsidR="003456F2">
        <w:rPr>
          <w:rFonts w:ascii="Cambria" w:hAnsi="Cambria"/>
          <w:bCs/>
          <w:color w:val="000000" w:themeColor="text1"/>
          <w:lang w:eastAsia="en-AU"/>
        </w:rPr>
        <w:tab/>
      </w:r>
    </w:p>
    <w:p w:rsidR="00077BEB" w:rsidRPr="009C62F9" w:rsidRDefault="00077BEB" w:rsidP="00077BEB">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 xml:space="preserve">Benedict </w:t>
      </w:r>
      <w:proofErr w:type="spellStart"/>
      <w:r w:rsidRPr="009C62F9">
        <w:rPr>
          <w:rFonts w:ascii="Cambria" w:hAnsi="Cambria"/>
          <w:bCs/>
          <w:color w:val="000000" w:themeColor="text1"/>
          <w:lang w:eastAsia="en-AU"/>
        </w:rPr>
        <w:t>Bartl</w:t>
      </w:r>
      <w:proofErr w:type="spellEnd"/>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t>Don McCrae</w:t>
      </w:r>
    </w:p>
    <w:p w:rsidR="00077BEB" w:rsidRPr="009C62F9" w:rsidRDefault="00077BEB" w:rsidP="00077BEB">
      <w:pPr>
        <w:shd w:val="clear" w:color="auto" w:fill="FFFFFF"/>
        <w:ind w:right="-347"/>
        <w:jc w:val="both"/>
        <w:rPr>
          <w:rFonts w:ascii="Cambria" w:hAnsi="Cambria"/>
          <w:bCs/>
          <w:color w:val="000000" w:themeColor="text1"/>
          <w:lang w:eastAsia="en-AU"/>
        </w:rPr>
      </w:pPr>
      <w:r w:rsidRPr="009C62F9">
        <w:rPr>
          <w:rFonts w:ascii="Cambria" w:hAnsi="Cambria"/>
          <w:bCs/>
          <w:color w:val="000000" w:themeColor="text1"/>
          <w:lang w:eastAsia="en-AU"/>
        </w:rPr>
        <w:t>Policy Officer</w:t>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r>
      <w:r w:rsidRPr="009C62F9">
        <w:rPr>
          <w:rFonts w:ascii="Cambria" w:hAnsi="Cambria"/>
          <w:bCs/>
          <w:color w:val="000000" w:themeColor="text1"/>
          <w:lang w:eastAsia="en-AU"/>
        </w:rPr>
        <w:tab/>
        <w:t>Chief Executive Officer</w:t>
      </w:r>
    </w:p>
    <w:p w:rsidR="00077BEB" w:rsidRPr="009C62F9" w:rsidRDefault="00077BEB" w:rsidP="00077BEB">
      <w:pPr>
        <w:pBdr>
          <w:bottom w:val="single" w:sz="6" w:space="1" w:color="auto"/>
        </w:pBdr>
        <w:shd w:val="clear" w:color="auto" w:fill="FFFFFF"/>
        <w:ind w:right="-347"/>
        <w:jc w:val="both"/>
        <w:rPr>
          <w:rFonts w:ascii="Cambria" w:hAnsi="Cambria"/>
          <w:b/>
          <w:bCs/>
          <w:color w:val="000000" w:themeColor="text1"/>
          <w:lang w:eastAsia="en-AU"/>
        </w:rPr>
      </w:pPr>
      <w:r w:rsidRPr="009C62F9">
        <w:rPr>
          <w:rFonts w:ascii="Cambria" w:hAnsi="Cambria"/>
          <w:b/>
          <w:bCs/>
          <w:color w:val="000000" w:themeColor="text1"/>
          <w:lang w:eastAsia="en-AU"/>
        </w:rPr>
        <w:t>Community Legal Centres Tasmania</w:t>
      </w:r>
      <w:r w:rsidRPr="009C62F9">
        <w:rPr>
          <w:rFonts w:ascii="Cambria" w:hAnsi="Cambria"/>
          <w:b/>
          <w:bCs/>
          <w:color w:val="000000" w:themeColor="text1"/>
          <w:lang w:eastAsia="en-AU"/>
        </w:rPr>
        <w:tab/>
      </w:r>
      <w:proofErr w:type="spellStart"/>
      <w:r w:rsidRPr="009C62F9">
        <w:rPr>
          <w:rFonts w:ascii="Cambria" w:hAnsi="Cambria"/>
          <w:b/>
          <w:bCs/>
          <w:color w:val="000000" w:themeColor="text1"/>
          <w:lang w:eastAsia="en-AU"/>
        </w:rPr>
        <w:t>JusTas</w:t>
      </w:r>
      <w:proofErr w:type="spellEnd"/>
    </w:p>
    <w:p w:rsidR="00077BEB" w:rsidRPr="009C62F9" w:rsidRDefault="00077BEB" w:rsidP="00077BEB">
      <w:pPr>
        <w:shd w:val="clear" w:color="auto" w:fill="FFFFFF"/>
        <w:ind w:right="-347"/>
        <w:jc w:val="both"/>
        <w:rPr>
          <w:rFonts w:ascii="Cambria" w:hAnsi="Cambria"/>
          <w:bCs/>
          <w:color w:val="000000" w:themeColor="text1"/>
          <w:lang w:eastAsia="en-AU"/>
        </w:rPr>
      </w:pPr>
    </w:p>
    <w:p w:rsidR="00472F30" w:rsidRDefault="00472F30"/>
    <w:sectPr w:rsidR="00472F30" w:rsidSect="003E7B22">
      <w:footerReference w:type="even" r:id="rId11"/>
      <w:footerReference w:type="default" r:id="rId12"/>
      <w:pgSz w:w="11900" w:h="16840"/>
      <w:pgMar w:top="90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418" w:rsidRDefault="00BD0418" w:rsidP="00077BEB">
      <w:r>
        <w:separator/>
      </w:r>
    </w:p>
  </w:endnote>
  <w:endnote w:type="continuationSeparator" w:id="0">
    <w:p w:rsidR="00BD0418" w:rsidRDefault="00BD0418" w:rsidP="0007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253576"/>
      <w:docPartObj>
        <w:docPartGallery w:val="Page Numbers (Bottom of Page)"/>
        <w:docPartUnique/>
      </w:docPartObj>
    </w:sdtPr>
    <w:sdtContent>
      <w:p w:rsidR="00CF51E0" w:rsidRDefault="00000000" w:rsidP="00F37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51E0" w:rsidRDefault="00000000" w:rsidP="00CF51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3805032"/>
      <w:docPartObj>
        <w:docPartGallery w:val="Page Numbers (Bottom of Page)"/>
        <w:docPartUnique/>
      </w:docPartObj>
    </w:sdtPr>
    <w:sdtContent>
      <w:p w:rsidR="00CF51E0" w:rsidRDefault="00000000" w:rsidP="00F375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F51E0" w:rsidRDefault="00000000" w:rsidP="00CF51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418" w:rsidRDefault="00BD0418" w:rsidP="00077BEB">
      <w:r>
        <w:separator/>
      </w:r>
    </w:p>
  </w:footnote>
  <w:footnote w:type="continuationSeparator" w:id="0">
    <w:p w:rsidR="00BD0418" w:rsidRDefault="00BD0418" w:rsidP="00077BEB">
      <w:r>
        <w:continuationSeparator/>
      </w:r>
    </w:p>
  </w:footnote>
  <w:footnote w:id="1">
    <w:p w:rsidR="00B4124F" w:rsidRPr="00B4124F" w:rsidRDefault="00B4124F" w:rsidP="00B4124F">
      <w:pPr>
        <w:rPr>
          <w:rFonts w:ascii="Cambria" w:hAnsi="Cambria"/>
          <w:sz w:val="20"/>
          <w:szCs w:val="20"/>
        </w:rPr>
      </w:pPr>
      <w:r w:rsidRPr="00B4124F">
        <w:rPr>
          <w:rStyle w:val="FootnoteReference"/>
          <w:rFonts w:ascii="Cambria" w:hAnsi="Cambria"/>
          <w:sz w:val="20"/>
          <w:szCs w:val="20"/>
        </w:rPr>
        <w:footnoteRef/>
      </w:r>
      <w:r w:rsidRPr="00B4124F">
        <w:rPr>
          <w:rFonts w:ascii="Cambria" w:hAnsi="Cambria"/>
          <w:sz w:val="20"/>
          <w:szCs w:val="20"/>
        </w:rPr>
        <w:t xml:space="preserve"> </w:t>
      </w:r>
      <w:r w:rsidRPr="00B4124F">
        <w:rPr>
          <w:rFonts w:ascii="Cambria" w:hAnsi="Cambria"/>
          <w:sz w:val="20"/>
          <w:szCs w:val="20"/>
          <w:shd w:val="clear" w:color="auto" w:fill="FFFFFF"/>
        </w:rPr>
        <w:t>Custodial Inspector of Tasmania,</w:t>
      </w:r>
      <w:r w:rsidR="003C5B1C">
        <w:rPr>
          <w:rFonts w:ascii="Cambria" w:hAnsi="Cambria"/>
          <w:sz w:val="20"/>
          <w:szCs w:val="20"/>
          <w:shd w:val="clear" w:color="auto" w:fill="FFFFFF"/>
        </w:rPr>
        <w:t xml:space="preserve"> </w:t>
      </w:r>
      <w:r w:rsidR="003C5B1C" w:rsidRPr="003C5B1C">
        <w:rPr>
          <w:rFonts w:ascii="Cambria" w:hAnsi="Cambria"/>
          <w:i/>
          <w:iCs/>
          <w:sz w:val="20"/>
          <w:szCs w:val="20"/>
          <w:shd w:val="clear" w:color="auto" w:fill="FFFFFF"/>
        </w:rPr>
        <w:t>Lockdowns Review 2021</w:t>
      </w:r>
      <w:r w:rsidRPr="00B4124F">
        <w:rPr>
          <w:rFonts w:ascii="Cambria" w:hAnsi="Cambria"/>
          <w:sz w:val="20"/>
          <w:szCs w:val="20"/>
          <w:shd w:val="clear" w:color="auto" w:fill="FFFFFF"/>
        </w:rPr>
        <w:t> (</w:t>
      </w:r>
      <w:r w:rsidR="003C5B1C">
        <w:rPr>
          <w:rFonts w:ascii="Cambria" w:hAnsi="Cambria"/>
          <w:sz w:val="20"/>
          <w:szCs w:val="20"/>
          <w:shd w:val="clear" w:color="auto" w:fill="FFFFFF"/>
        </w:rPr>
        <w:t>June</w:t>
      </w:r>
      <w:r w:rsidRPr="00B4124F">
        <w:rPr>
          <w:rFonts w:ascii="Cambria" w:hAnsi="Cambria"/>
          <w:sz w:val="20"/>
          <w:szCs w:val="20"/>
          <w:shd w:val="clear" w:color="auto" w:fill="FFFFFF"/>
        </w:rPr>
        <w:t xml:space="preserve"> 20</w:t>
      </w:r>
      <w:r w:rsidR="003C5B1C">
        <w:rPr>
          <w:rFonts w:ascii="Cambria" w:hAnsi="Cambria"/>
          <w:sz w:val="20"/>
          <w:szCs w:val="20"/>
          <w:shd w:val="clear" w:color="auto" w:fill="FFFFFF"/>
        </w:rPr>
        <w:t>21</w:t>
      </w:r>
      <w:r w:rsidRPr="00B4124F">
        <w:rPr>
          <w:rFonts w:ascii="Cambria" w:hAnsi="Cambria"/>
          <w:sz w:val="20"/>
          <w:szCs w:val="20"/>
          <w:shd w:val="clear" w:color="auto" w:fill="FFFFFF"/>
        </w:rPr>
        <w:t xml:space="preserve">) at </w:t>
      </w:r>
      <w:r w:rsidR="003C5B1C">
        <w:rPr>
          <w:rFonts w:ascii="Cambria" w:hAnsi="Cambria"/>
          <w:sz w:val="20"/>
          <w:szCs w:val="20"/>
          <w:shd w:val="clear" w:color="auto" w:fill="FFFFFF"/>
        </w:rPr>
        <w:t>7</w:t>
      </w:r>
      <w:r w:rsidRPr="00B4124F">
        <w:rPr>
          <w:rFonts w:ascii="Cambria" w:hAnsi="Cambria"/>
          <w:sz w:val="20"/>
          <w:szCs w:val="20"/>
          <w:shd w:val="clear" w:color="auto" w:fill="FFFFFF"/>
        </w:rPr>
        <w:t>. </w:t>
      </w:r>
    </w:p>
  </w:footnote>
  <w:footnote w:id="2">
    <w:p w:rsidR="00430520" w:rsidRPr="00B4124F" w:rsidRDefault="00430520" w:rsidP="00430520">
      <w:pPr>
        <w:rPr>
          <w:rFonts w:ascii="Cambria" w:hAnsi="Cambria"/>
          <w:sz w:val="20"/>
          <w:szCs w:val="20"/>
        </w:rPr>
      </w:pPr>
      <w:r w:rsidRPr="00B4124F">
        <w:rPr>
          <w:rStyle w:val="FootnoteReference"/>
          <w:rFonts w:ascii="Cambria" w:hAnsi="Cambria"/>
          <w:sz w:val="20"/>
          <w:szCs w:val="20"/>
        </w:rPr>
        <w:footnoteRef/>
      </w:r>
      <w:r w:rsidRPr="00B4124F">
        <w:rPr>
          <w:rFonts w:ascii="Cambria" w:hAnsi="Cambria"/>
          <w:sz w:val="20"/>
          <w:szCs w:val="20"/>
        </w:rPr>
        <w:t xml:space="preserve"> </w:t>
      </w:r>
      <w:r w:rsidRPr="00B4124F">
        <w:rPr>
          <w:rFonts w:ascii="Cambria" w:hAnsi="Cambria"/>
          <w:sz w:val="20"/>
          <w:szCs w:val="20"/>
          <w:shd w:val="clear" w:color="auto" w:fill="FFFFFF"/>
        </w:rPr>
        <w:t>Custodial Inspector of Tasmania, </w:t>
      </w:r>
      <w:r w:rsidRPr="00B4124F">
        <w:rPr>
          <w:rFonts w:ascii="Cambria" w:hAnsi="Cambria"/>
          <w:i/>
          <w:iCs/>
          <w:sz w:val="20"/>
          <w:szCs w:val="20"/>
          <w:shd w:val="clear" w:color="auto" w:fill="FFFFFF"/>
        </w:rPr>
        <w:t>Custody Inspection Report – Inspection of Adult Custodial Services in Tasmania, 2018</w:t>
      </w:r>
      <w:r w:rsidRPr="00B4124F">
        <w:rPr>
          <w:rFonts w:ascii="Cambria" w:hAnsi="Cambria"/>
          <w:sz w:val="20"/>
          <w:szCs w:val="20"/>
          <w:shd w:val="clear" w:color="auto" w:fill="FFFFFF"/>
        </w:rPr>
        <w:t xml:space="preserve"> (August 2019) at </w:t>
      </w:r>
      <w:r w:rsidR="00D03179">
        <w:rPr>
          <w:rFonts w:ascii="Cambria" w:hAnsi="Cambria"/>
          <w:sz w:val="20"/>
          <w:szCs w:val="20"/>
          <w:shd w:val="clear" w:color="auto" w:fill="FFFFFF"/>
        </w:rPr>
        <w:t>13</w:t>
      </w:r>
      <w:r w:rsidRPr="00B4124F">
        <w:rPr>
          <w:rFonts w:ascii="Cambria" w:hAnsi="Cambria"/>
          <w:sz w:val="20"/>
          <w:szCs w:val="20"/>
          <w:shd w:val="clear" w:color="auto" w:fill="FFFFFF"/>
        </w:rPr>
        <w:t>. </w:t>
      </w:r>
    </w:p>
  </w:footnote>
  <w:footnote w:id="3">
    <w:p w:rsidR="00B4124F" w:rsidRDefault="00B4124F" w:rsidP="00B4124F">
      <w:r w:rsidRPr="00B4124F">
        <w:rPr>
          <w:rStyle w:val="FootnoteReference"/>
          <w:rFonts w:ascii="Cambria" w:hAnsi="Cambria"/>
          <w:sz w:val="20"/>
          <w:szCs w:val="20"/>
        </w:rPr>
        <w:footnoteRef/>
      </w:r>
      <w:r w:rsidRPr="00B4124F">
        <w:rPr>
          <w:rFonts w:ascii="Cambria" w:hAnsi="Cambria"/>
          <w:sz w:val="20"/>
          <w:szCs w:val="20"/>
        </w:rPr>
        <w:t xml:space="preserve"> </w:t>
      </w:r>
      <w:r w:rsidRPr="00B4124F">
        <w:rPr>
          <w:rFonts w:ascii="Cambria" w:hAnsi="Cambria"/>
          <w:sz w:val="20"/>
          <w:szCs w:val="20"/>
          <w:shd w:val="clear" w:color="auto" w:fill="FFFFFF"/>
        </w:rPr>
        <w:t>These figures exclude prisoners accommodated at external facilities not under the control of the Tasmanian Prison Service such as the Wilfred Lopes Centre and public hospitals.</w:t>
      </w:r>
    </w:p>
  </w:footnote>
  <w:footnote w:id="4">
    <w:p w:rsidR="00BA2514" w:rsidRPr="00A569C3" w:rsidRDefault="00BA2514" w:rsidP="00A569C3">
      <w:pPr>
        <w:rPr>
          <w:rFonts w:ascii="Cambria" w:hAnsi="Cambria"/>
          <w:sz w:val="20"/>
          <w:szCs w:val="20"/>
        </w:rPr>
      </w:pPr>
      <w:r w:rsidRPr="00A569C3">
        <w:rPr>
          <w:rStyle w:val="FootnoteReference"/>
          <w:rFonts w:ascii="Cambria" w:hAnsi="Cambria"/>
          <w:sz w:val="20"/>
          <w:szCs w:val="20"/>
        </w:rPr>
        <w:footnoteRef/>
      </w:r>
      <w:r w:rsidRPr="00A569C3">
        <w:rPr>
          <w:rFonts w:ascii="Cambria" w:hAnsi="Cambria"/>
          <w:sz w:val="20"/>
          <w:szCs w:val="20"/>
        </w:rPr>
        <w:t xml:space="preserve"> </w:t>
      </w:r>
      <w:r w:rsidRPr="00A569C3">
        <w:rPr>
          <w:rFonts w:ascii="Cambria" w:hAnsi="Cambria"/>
          <w:sz w:val="20"/>
          <w:szCs w:val="20"/>
          <w:shd w:val="clear" w:color="auto" w:fill="FFFFFF"/>
        </w:rPr>
        <w:t>Custodial Inspector of Tasmania, </w:t>
      </w:r>
      <w:r w:rsidRPr="00A569C3">
        <w:rPr>
          <w:rFonts w:ascii="Cambria" w:hAnsi="Cambria"/>
          <w:i/>
          <w:iCs/>
          <w:sz w:val="20"/>
          <w:szCs w:val="20"/>
          <w:shd w:val="clear" w:color="auto" w:fill="FFFFFF"/>
        </w:rPr>
        <w:t>Custody Inspection Report – Inspection of Adult Custodial Services in Tasmania, 2018</w:t>
      </w:r>
      <w:r w:rsidRPr="00A569C3">
        <w:rPr>
          <w:rFonts w:ascii="Cambria" w:hAnsi="Cambria"/>
          <w:sz w:val="20"/>
          <w:szCs w:val="20"/>
          <w:shd w:val="clear" w:color="auto" w:fill="FFFFFF"/>
        </w:rPr>
        <w:t> (August 2019) at 5. </w:t>
      </w:r>
    </w:p>
  </w:footnote>
  <w:footnote w:id="5">
    <w:p w:rsidR="00A569C3" w:rsidRDefault="00A569C3" w:rsidP="00A569C3">
      <w:r w:rsidRPr="00A569C3">
        <w:rPr>
          <w:rStyle w:val="FootnoteReference"/>
          <w:rFonts w:ascii="Cambria" w:hAnsi="Cambria"/>
          <w:sz w:val="20"/>
          <w:szCs w:val="20"/>
        </w:rPr>
        <w:footnoteRef/>
      </w:r>
      <w:r w:rsidRPr="00A569C3">
        <w:rPr>
          <w:rFonts w:ascii="Cambria" w:hAnsi="Cambria"/>
          <w:sz w:val="20"/>
          <w:szCs w:val="20"/>
        </w:rPr>
        <w:t xml:space="preserve"> </w:t>
      </w:r>
      <w:r w:rsidRPr="00A569C3">
        <w:rPr>
          <w:rFonts w:ascii="Cambria" w:hAnsi="Cambria"/>
          <w:sz w:val="20"/>
          <w:szCs w:val="20"/>
          <w:shd w:val="clear" w:color="auto" w:fill="FFFFFF"/>
        </w:rPr>
        <w:t xml:space="preserve">Custodial Inspector of Tasmania, </w:t>
      </w:r>
      <w:r w:rsidRPr="00A569C3">
        <w:rPr>
          <w:rFonts w:ascii="Cambria" w:hAnsi="Cambria"/>
          <w:i/>
          <w:iCs/>
          <w:sz w:val="20"/>
          <w:szCs w:val="20"/>
          <w:shd w:val="clear" w:color="auto" w:fill="FFFFFF"/>
        </w:rPr>
        <w:t>Lockdowns Review 2021</w:t>
      </w:r>
      <w:r w:rsidRPr="00A569C3">
        <w:rPr>
          <w:rFonts w:ascii="Cambria" w:hAnsi="Cambria"/>
          <w:sz w:val="20"/>
          <w:szCs w:val="20"/>
          <w:shd w:val="clear" w:color="auto" w:fill="FFFFFF"/>
        </w:rPr>
        <w:t> (June 2021) at 7.</w:t>
      </w:r>
      <w:r w:rsidRPr="00B4124F">
        <w:rPr>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C67"/>
    <w:multiLevelType w:val="hybridMultilevel"/>
    <w:tmpl w:val="3316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D785F"/>
    <w:multiLevelType w:val="hybridMultilevel"/>
    <w:tmpl w:val="36FE194E"/>
    <w:lvl w:ilvl="0" w:tplc="C7988BC2">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F1E27C4"/>
    <w:multiLevelType w:val="hybridMultilevel"/>
    <w:tmpl w:val="9D14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6C9D"/>
    <w:multiLevelType w:val="multilevel"/>
    <w:tmpl w:val="FF8069A4"/>
    <w:numStyleLink w:val="Bullets"/>
  </w:abstractNum>
  <w:abstractNum w:abstractNumId="4" w15:restartNumberingAfterBreak="0">
    <w:nsid w:val="156B6CAB"/>
    <w:multiLevelType w:val="hybridMultilevel"/>
    <w:tmpl w:val="3B9E78A4"/>
    <w:lvl w:ilvl="0" w:tplc="96420140">
      <w:start w:val="1"/>
      <w:numFmt w:val="bullet"/>
      <w:lvlText w:val="•"/>
      <w:lvlJc w:val="left"/>
      <w:pPr>
        <w:tabs>
          <w:tab w:val="num" w:pos="720"/>
        </w:tabs>
        <w:ind w:left="720" w:hanging="360"/>
      </w:pPr>
      <w:rPr>
        <w:rFonts w:ascii="Arial" w:hAnsi="Arial" w:hint="default"/>
      </w:rPr>
    </w:lvl>
    <w:lvl w:ilvl="1" w:tplc="37A8A820">
      <w:numFmt w:val="bullet"/>
      <w:lvlText w:val="Ø"/>
      <w:lvlJc w:val="left"/>
      <w:pPr>
        <w:tabs>
          <w:tab w:val="num" w:pos="1440"/>
        </w:tabs>
        <w:ind w:left="1440" w:hanging="360"/>
      </w:pPr>
      <w:rPr>
        <w:rFonts w:ascii="Wingdings" w:hAnsi="Wingdings" w:hint="default"/>
      </w:rPr>
    </w:lvl>
    <w:lvl w:ilvl="2" w:tplc="660AE4AE" w:tentative="1">
      <w:start w:val="1"/>
      <w:numFmt w:val="bullet"/>
      <w:lvlText w:val="•"/>
      <w:lvlJc w:val="left"/>
      <w:pPr>
        <w:tabs>
          <w:tab w:val="num" w:pos="2160"/>
        </w:tabs>
        <w:ind w:left="2160" w:hanging="360"/>
      </w:pPr>
      <w:rPr>
        <w:rFonts w:ascii="Arial" w:hAnsi="Arial" w:hint="default"/>
      </w:rPr>
    </w:lvl>
    <w:lvl w:ilvl="3" w:tplc="793ECDA8" w:tentative="1">
      <w:start w:val="1"/>
      <w:numFmt w:val="bullet"/>
      <w:lvlText w:val="•"/>
      <w:lvlJc w:val="left"/>
      <w:pPr>
        <w:tabs>
          <w:tab w:val="num" w:pos="2880"/>
        </w:tabs>
        <w:ind w:left="2880" w:hanging="360"/>
      </w:pPr>
      <w:rPr>
        <w:rFonts w:ascii="Arial" w:hAnsi="Arial" w:hint="default"/>
      </w:rPr>
    </w:lvl>
    <w:lvl w:ilvl="4" w:tplc="3034BA5C" w:tentative="1">
      <w:start w:val="1"/>
      <w:numFmt w:val="bullet"/>
      <w:lvlText w:val="•"/>
      <w:lvlJc w:val="left"/>
      <w:pPr>
        <w:tabs>
          <w:tab w:val="num" w:pos="3600"/>
        </w:tabs>
        <w:ind w:left="3600" w:hanging="360"/>
      </w:pPr>
      <w:rPr>
        <w:rFonts w:ascii="Arial" w:hAnsi="Arial" w:hint="default"/>
      </w:rPr>
    </w:lvl>
    <w:lvl w:ilvl="5" w:tplc="D6B225D8" w:tentative="1">
      <w:start w:val="1"/>
      <w:numFmt w:val="bullet"/>
      <w:lvlText w:val="•"/>
      <w:lvlJc w:val="left"/>
      <w:pPr>
        <w:tabs>
          <w:tab w:val="num" w:pos="4320"/>
        </w:tabs>
        <w:ind w:left="4320" w:hanging="360"/>
      </w:pPr>
      <w:rPr>
        <w:rFonts w:ascii="Arial" w:hAnsi="Arial" w:hint="default"/>
      </w:rPr>
    </w:lvl>
    <w:lvl w:ilvl="6" w:tplc="41887A52" w:tentative="1">
      <w:start w:val="1"/>
      <w:numFmt w:val="bullet"/>
      <w:lvlText w:val="•"/>
      <w:lvlJc w:val="left"/>
      <w:pPr>
        <w:tabs>
          <w:tab w:val="num" w:pos="5040"/>
        </w:tabs>
        <w:ind w:left="5040" w:hanging="360"/>
      </w:pPr>
      <w:rPr>
        <w:rFonts w:ascii="Arial" w:hAnsi="Arial" w:hint="default"/>
      </w:rPr>
    </w:lvl>
    <w:lvl w:ilvl="7" w:tplc="0D9A0E98" w:tentative="1">
      <w:start w:val="1"/>
      <w:numFmt w:val="bullet"/>
      <w:lvlText w:val="•"/>
      <w:lvlJc w:val="left"/>
      <w:pPr>
        <w:tabs>
          <w:tab w:val="num" w:pos="5760"/>
        </w:tabs>
        <w:ind w:left="5760" w:hanging="360"/>
      </w:pPr>
      <w:rPr>
        <w:rFonts w:ascii="Arial" w:hAnsi="Arial" w:hint="default"/>
      </w:rPr>
    </w:lvl>
    <w:lvl w:ilvl="8" w:tplc="18C22E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803"/>
    <w:multiLevelType w:val="multilevel"/>
    <w:tmpl w:val="2D8C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D5283"/>
    <w:multiLevelType w:val="hybridMultilevel"/>
    <w:tmpl w:val="AF8ABE32"/>
    <w:lvl w:ilvl="0" w:tplc="87EA9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A0419"/>
    <w:multiLevelType w:val="hybridMultilevel"/>
    <w:tmpl w:val="D0E69330"/>
    <w:lvl w:ilvl="0" w:tplc="30FCB2A4">
      <w:start w:val="1"/>
      <w:numFmt w:val="bullet"/>
      <w:lvlText w:val="•"/>
      <w:lvlJc w:val="left"/>
      <w:pPr>
        <w:tabs>
          <w:tab w:val="num" w:pos="720"/>
        </w:tabs>
        <w:ind w:left="720" w:hanging="360"/>
      </w:pPr>
      <w:rPr>
        <w:rFonts w:ascii="Arial" w:hAnsi="Arial" w:hint="default"/>
      </w:rPr>
    </w:lvl>
    <w:lvl w:ilvl="1" w:tplc="C6704EBE" w:tentative="1">
      <w:start w:val="1"/>
      <w:numFmt w:val="bullet"/>
      <w:lvlText w:val="•"/>
      <w:lvlJc w:val="left"/>
      <w:pPr>
        <w:tabs>
          <w:tab w:val="num" w:pos="1440"/>
        </w:tabs>
        <w:ind w:left="1440" w:hanging="360"/>
      </w:pPr>
      <w:rPr>
        <w:rFonts w:ascii="Arial" w:hAnsi="Arial" w:hint="default"/>
      </w:rPr>
    </w:lvl>
    <w:lvl w:ilvl="2" w:tplc="56E6118E" w:tentative="1">
      <w:start w:val="1"/>
      <w:numFmt w:val="bullet"/>
      <w:lvlText w:val="•"/>
      <w:lvlJc w:val="left"/>
      <w:pPr>
        <w:tabs>
          <w:tab w:val="num" w:pos="2160"/>
        </w:tabs>
        <w:ind w:left="2160" w:hanging="360"/>
      </w:pPr>
      <w:rPr>
        <w:rFonts w:ascii="Arial" w:hAnsi="Arial" w:hint="default"/>
      </w:rPr>
    </w:lvl>
    <w:lvl w:ilvl="3" w:tplc="DBF4D840" w:tentative="1">
      <w:start w:val="1"/>
      <w:numFmt w:val="bullet"/>
      <w:lvlText w:val="•"/>
      <w:lvlJc w:val="left"/>
      <w:pPr>
        <w:tabs>
          <w:tab w:val="num" w:pos="2880"/>
        </w:tabs>
        <w:ind w:left="2880" w:hanging="360"/>
      </w:pPr>
      <w:rPr>
        <w:rFonts w:ascii="Arial" w:hAnsi="Arial" w:hint="default"/>
      </w:rPr>
    </w:lvl>
    <w:lvl w:ilvl="4" w:tplc="9F868736" w:tentative="1">
      <w:start w:val="1"/>
      <w:numFmt w:val="bullet"/>
      <w:lvlText w:val="•"/>
      <w:lvlJc w:val="left"/>
      <w:pPr>
        <w:tabs>
          <w:tab w:val="num" w:pos="3600"/>
        </w:tabs>
        <w:ind w:left="3600" w:hanging="360"/>
      </w:pPr>
      <w:rPr>
        <w:rFonts w:ascii="Arial" w:hAnsi="Arial" w:hint="default"/>
      </w:rPr>
    </w:lvl>
    <w:lvl w:ilvl="5" w:tplc="8DEC1B26" w:tentative="1">
      <w:start w:val="1"/>
      <w:numFmt w:val="bullet"/>
      <w:lvlText w:val="•"/>
      <w:lvlJc w:val="left"/>
      <w:pPr>
        <w:tabs>
          <w:tab w:val="num" w:pos="4320"/>
        </w:tabs>
        <w:ind w:left="4320" w:hanging="360"/>
      </w:pPr>
      <w:rPr>
        <w:rFonts w:ascii="Arial" w:hAnsi="Arial" w:hint="default"/>
      </w:rPr>
    </w:lvl>
    <w:lvl w:ilvl="6" w:tplc="C61827C4" w:tentative="1">
      <w:start w:val="1"/>
      <w:numFmt w:val="bullet"/>
      <w:lvlText w:val="•"/>
      <w:lvlJc w:val="left"/>
      <w:pPr>
        <w:tabs>
          <w:tab w:val="num" w:pos="5040"/>
        </w:tabs>
        <w:ind w:left="5040" w:hanging="360"/>
      </w:pPr>
      <w:rPr>
        <w:rFonts w:ascii="Arial" w:hAnsi="Arial" w:hint="default"/>
      </w:rPr>
    </w:lvl>
    <w:lvl w:ilvl="7" w:tplc="0CCC7054" w:tentative="1">
      <w:start w:val="1"/>
      <w:numFmt w:val="bullet"/>
      <w:lvlText w:val="•"/>
      <w:lvlJc w:val="left"/>
      <w:pPr>
        <w:tabs>
          <w:tab w:val="num" w:pos="5760"/>
        </w:tabs>
        <w:ind w:left="5760" w:hanging="360"/>
      </w:pPr>
      <w:rPr>
        <w:rFonts w:ascii="Arial" w:hAnsi="Arial" w:hint="default"/>
      </w:rPr>
    </w:lvl>
    <w:lvl w:ilvl="8" w:tplc="A738A7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1B1CBD"/>
    <w:multiLevelType w:val="multilevel"/>
    <w:tmpl w:val="5F7C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D2A72"/>
    <w:multiLevelType w:val="hybridMultilevel"/>
    <w:tmpl w:val="018476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4977EA"/>
    <w:multiLevelType w:val="hybridMultilevel"/>
    <w:tmpl w:val="C21AECA2"/>
    <w:lvl w:ilvl="0" w:tplc="BF140B96">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2052A"/>
    <w:multiLevelType w:val="hybridMultilevel"/>
    <w:tmpl w:val="773A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5641B"/>
    <w:multiLevelType w:val="multilevel"/>
    <w:tmpl w:val="413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4" w15:restartNumberingAfterBreak="0">
    <w:nsid w:val="65E55E4C"/>
    <w:multiLevelType w:val="hybridMultilevel"/>
    <w:tmpl w:val="ACE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934F32"/>
    <w:multiLevelType w:val="hybridMultilevel"/>
    <w:tmpl w:val="1D9EBF9C"/>
    <w:lvl w:ilvl="0" w:tplc="6D524FAE">
      <w:start w:val="201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F1FF0"/>
    <w:multiLevelType w:val="hybridMultilevel"/>
    <w:tmpl w:val="D2D2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406731">
    <w:abstractNumId w:val="13"/>
  </w:num>
  <w:num w:numId="2" w16cid:durableId="1133449729">
    <w:abstractNumId w:val="3"/>
  </w:num>
  <w:num w:numId="3" w16cid:durableId="1631863749">
    <w:abstractNumId w:val="6"/>
  </w:num>
  <w:num w:numId="4" w16cid:durableId="657198696">
    <w:abstractNumId w:val="9"/>
  </w:num>
  <w:num w:numId="5" w16cid:durableId="1458403953">
    <w:abstractNumId w:val="12"/>
  </w:num>
  <w:num w:numId="6" w16cid:durableId="166217809">
    <w:abstractNumId w:val="8"/>
  </w:num>
  <w:num w:numId="7" w16cid:durableId="2060545696">
    <w:abstractNumId w:val="5"/>
    <w:lvlOverride w:ilvl="0">
      <w:startOverride w:val="2"/>
    </w:lvlOverride>
  </w:num>
  <w:num w:numId="8" w16cid:durableId="255552336">
    <w:abstractNumId w:val="7"/>
  </w:num>
  <w:num w:numId="9" w16cid:durableId="735474915">
    <w:abstractNumId w:val="4"/>
  </w:num>
  <w:num w:numId="10" w16cid:durableId="2061202533">
    <w:abstractNumId w:val="15"/>
  </w:num>
  <w:num w:numId="11" w16cid:durableId="388381260">
    <w:abstractNumId w:val="1"/>
  </w:num>
  <w:num w:numId="12" w16cid:durableId="907229318">
    <w:abstractNumId w:val="0"/>
  </w:num>
  <w:num w:numId="13" w16cid:durableId="1043094764">
    <w:abstractNumId w:val="2"/>
  </w:num>
  <w:num w:numId="14" w16cid:durableId="622273738">
    <w:abstractNumId w:val="11"/>
  </w:num>
  <w:num w:numId="15" w16cid:durableId="562759558">
    <w:abstractNumId w:val="14"/>
  </w:num>
  <w:num w:numId="16" w16cid:durableId="1616063571">
    <w:abstractNumId w:val="17"/>
  </w:num>
  <w:num w:numId="17" w16cid:durableId="654408289">
    <w:abstractNumId w:val="10"/>
  </w:num>
  <w:num w:numId="18" w16cid:durableId="8227707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EB"/>
    <w:rsid w:val="00077BEB"/>
    <w:rsid w:val="00085547"/>
    <w:rsid w:val="00334F17"/>
    <w:rsid w:val="003456F2"/>
    <w:rsid w:val="003C5B1C"/>
    <w:rsid w:val="00430520"/>
    <w:rsid w:val="00472F30"/>
    <w:rsid w:val="005A1B51"/>
    <w:rsid w:val="00605F89"/>
    <w:rsid w:val="00781C59"/>
    <w:rsid w:val="007F1B55"/>
    <w:rsid w:val="008269E2"/>
    <w:rsid w:val="00A569C3"/>
    <w:rsid w:val="00A81D50"/>
    <w:rsid w:val="00B4124F"/>
    <w:rsid w:val="00BA2514"/>
    <w:rsid w:val="00BD0418"/>
    <w:rsid w:val="00BD082D"/>
    <w:rsid w:val="00C10F81"/>
    <w:rsid w:val="00D03179"/>
    <w:rsid w:val="00EA3DBA"/>
    <w:rsid w:val="00EE56C1"/>
    <w:rsid w:val="00EF2D25"/>
    <w:rsid w:val="00F81A33"/>
    <w:rsid w:val="00FE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A3DAA7"/>
  <w15:chartTrackingRefBased/>
  <w15:docId w15:val="{3FD1EA46-FB29-4745-BDBC-D7025BCD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E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77B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7B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qFormat/>
    <w:rsid w:val="00077BEB"/>
    <w:pPr>
      <w:keepNext/>
      <w:keepLines/>
      <w:spacing w:before="240" w:after="120" w:line="300" w:lineRule="atLeast"/>
      <w:outlineLvl w:val="2"/>
    </w:pPr>
    <w:rPr>
      <w:rFonts w:asciiTheme="majorHAnsi" w:eastAsiaTheme="majorEastAsia" w:hAnsiTheme="majorHAnsi" w:cstheme="majorBidi"/>
      <w:color w:val="323E4F" w:themeColor="text2" w:themeShade="BF"/>
      <w:sz w:val="26"/>
      <w:szCs w:val="37"/>
    </w:rPr>
  </w:style>
  <w:style w:type="paragraph" w:styleId="Heading4">
    <w:name w:val="heading 4"/>
    <w:basedOn w:val="Normal"/>
    <w:next w:val="Normal"/>
    <w:link w:val="Heading4Char"/>
    <w:uiPriority w:val="9"/>
    <w:unhideWhenUsed/>
    <w:qFormat/>
    <w:rsid w:val="00077B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BEB"/>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077BEB"/>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rsid w:val="00077BEB"/>
    <w:rPr>
      <w:rFonts w:asciiTheme="majorHAnsi" w:eastAsiaTheme="majorEastAsia" w:hAnsiTheme="majorHAnsi" w:cstheme="majorBidi"/>
      <w:color w:val="323E4F" w:themeColor="text2" w:themeShade="BF"/>
      <w:sz w:val="26"/>
      <w:szCs w:val="37"/>
      <w:lang w:eastAsia="en-GB"/>
    </w:rPr>
  </w:style>
  <w:style w:type="character" w:customStyle="1" w:styleId="Heading4Char">
    <w:name w:val="Heading 4 Char"/>
    <w:basedOn w:val="DefaultParagraphFont"/>
    <w:link w:val="Heading4"/>
    <w:uiPriority w:val="9"/>
    <w:rsid w:val="00077BEB"/>
    <w:rPr>
      <w:rFonts w:asciiTheme="majorHAnsi" w:eastAsiaTheme="majorEastAsia" w:hAnsiTheme="majorHAnsi" w:cstheme="majorBidi"/>
      <w:i/>
      <w:iCs/>
      <w:color w:val="2F5496" w:themeColor="accent1" w:themeShade="BF"/>
      <w:lang w:eastAsia="en-GB"/>
    </w:rPr>
  </w:style>
  <w:style w:type="paragraph" w:styleId="BodyText">
    <w:name w:val="Body Text"/>
    <w:basedOn w:val="Normal"/>
    <w:link w:val="BodyTextChar"/>
    <w:qFormat/>
    <w:rsid w:val="00077BEB"/>
    <w:pPr>
      <w:spacing w:before="120" w:after="120" w:line="280" w:lineRule="atLeast"/>
    </w:pPr>
    <w:rPr>
      <w:sz w:val="20"/>
      <w:szCs w:val="20"/>
    </w:rPr>
  </w:style>
  <w:style w:type="character" w:customStyle="1" w:styleId="BodyTextChar">
    <w:name w:val="Body Text Char"/>
    <w:basedOn w:val="DefaultParagraphFont"/>
    <w:link w:val="BodyText"/>
    <w:rsid w:val="00077BEB"/>
    <w:rPr>
      <w:rFonts w:ascii="Times New Roman" w:eastAsia="Times New Roman" w:hAnsi="Times New Roman" w:cs="Times New Roman"/>
      <w:sz w:val="20"/>
      <w:szCs w:val="20"/>
      <w:lang w:eastAsia="en-GB"/>
    </w:rPr>
  </w:style>
  <w:style w:type="paragraph" w:customStyle="1" w:styleId="Heading2-nonumber">
    <w:name w:val="Heading 2-no number"/>
    <w:basedOn w:val="Heading2"/>
    <w:uiPriority w:val="9"/>
    <w:qFormat/>
    <w:rsid w:val="00077BEB"/>
    <w:pPr>
      <w:spacing w:before="480" w:after="120" w:line="340" w:lineRule="atLeast"/>
    </w:pPr>
    <w:rPr>
      <w:color w:val="auto"/>
      <w:sz w:val="30"/>
      <w:szCs w:val="60"/>
    </w:rPr>
  </w:style>
  <w:style w:type="character" w:styleId="PlaceholderText">
    <w:name w:val="Placeholder Text"/>
    <w:basedOn w:val="DefaultParagraphFont"/>
    <w:uiPriority w:val="99"/>
    <w:semiHidden/>
    <w:rsid w:val="00077BEB"/>
    <w:rPr>
      <w:color w:val="808080"/>
    </w:rPr>
  </w:style>
  <w:style w:type="paragraph" w:styleId="FootnoteText">
    <w:name w:val="footnote text"/>
    <w:aliases w:val="Footnote,Text"/>
    <w:basedOn w:val="Normal"/>
    <w:link w:val="FootnoteTextChar"/>
    <w:uiPriority w:val="99"/>
    <w:unhideWhenUsed/>
    <w:qFormat/>
    <w:rsid w:val="00077BEB"/>
    <w:pPr>
      <w:spacing w:before="120" w:after="120" w:line="293" w:lineRule="auto"/>
    </w:pPr>
    <w:rPr>
      <w:sz w:val="18"/>
      <w:szCs w:val="20"/>
    </w:rPr>
  </w:style>
  <w:style w:type="character" w:customStyle="1" w:styleId="FootnoteTextChar">
    <w:name w:val="Footnote Text Char"/>
    <w:aliases w:val="Footnote Char,Text Char"/>
    <w:basedOn w:val="DefaultParagraphFont"/>
    <w:link w:val="FootnoteText"/>
    <w:uiPriority w:val="99"/>
    <w:rsid w:val="00077BEB"/>
    <w:rPr>
      <w:rFonts w:ascii="Times New Roman" w:eastAsia="Times New Roman" w:hAnsi="Times New Roman" w:cs="Times New Roman"/>
      <w:sz w:val="18"/>
      <w:szCs w:val="20"/>
      <w:lang w:eastAsia="en-GB"/>
    </w:rPr>
  </w:style>
  <w:style w:type="character" w:styleId="FootnoteReference">
    <w:name w:val="footnote reference"/>
    <w:aliases w:val="Ref,de nota al pie"/>
    <w:basedOn w:val="DefaultParagraphFont"/>
    <w:unhideWhenUsed/>
    <w:qFormat/>
    <w:rsid w:val="00077BEB"/>
    <w:rPr>
      <w:vertAlign w:val="superscript"/>
    </w:rPr>
  </w:style>
  <w:style w:type="paragraph" w:styleId="ListBullet">
    <w:name w:val="List Bullet"/>
    <w:basedOn w:val="Normal"/>
    <w:uiPriority w:val="1"/>
    <w:qFormat/>
    <w:rsid w:val="00077BEB"/>
    <w:pPr>
      <w:numPr>
        <w:numId w:val="2"/>
      </w:numPr>
      <w:spacing w:before="120" w:after="120" w:line="280" w:lineRule="atLeast"/>
      <w:contextualSpacing/>
    </w:pPr>
    <w:rPr>
      <w:sz w:val="20"/>
      <w:szCs w:val="20"/>
    </w:rPr>
  </w:style>
  <w:style w:type="paragraph" w:styleId="ListBullet2">
    <w:name w:val="List Bullet 2"/>
    <w:basedOn w:val="Normal"/>
    <w:uiPriority w:val="1"/>
    <w:qFormat/>
    <w:rsid w:val="00077BEB"/>
    <w:pPr>
      <w:numPr>
        <w:ilvl w:val="1"/>
        <w:numId w:val="2"/>
      </w:numPr>
      <w:spacing w:before="120" w:after="120" w:line="280" w:lineRule="atLeast"/>
      <w:contextualSpacing/>
    </w:pPr>
    <w:rPr>
      <w:sz w:val="20"/>
      <w:szCs w:val="20"/>
    </w:rPr>
  </w:style>
  <w:style w:type="numbering" w:customStyle="1" w:styleId="Bullets">
    <w:name w:val="Bullets"/>
    <w:uiPriority w:val="99"/>
    <w:rsid w:val="00077BEB"/>
    <w:pPr>
      <w:numPr>
        <w:numId w:val="1"/>
      </w:numPr>
    </w:pPr>
  </w:style>
  <w:style w:type="paragraph" w:styleId="ListBullet3">
    <w:name w:val="List Bullet 3"/>
    <w:basedOn w:val="Normal"/>
    <w:uiPriority w:val="1"/>
    <w:qFormat/>
    <w:rsid w:val="00077BEB"/>
    <w:pPr>
      <w:numPr>
        <w:ilvl w:val="2"/>
        <w:numId w:val="2"/>
      </w:numPr>
      <w:spacing w:before="120" w:after="120" w:line="280" w:lineRule="atLeast"/>
      <w:contextualSpacing/>
    </w:pPr>
    <w:rPr>
      <w:sz w:val="20"/>
      <w:szCs w:val="20"/>
    </w:rPr>
  </w:style>
  <w:style w:type="paragraph" w:styleId="Quote">
    <w:name w:val="Quote"/>
    <w:basedOn w:val="BodyText"/>
    <w:next w:val="BodyText"/>
    <w:link w:val="QuoteChar"/>
    <w:qFormat/>
    <w:rsid w:val="00077BEB"/>
    <w:pPr>
      <w:spacing w:before="60"/>
      <w:ind w:left="113" w:right="1134"/>
    </w:pPr>
    <w:rPr>
      <w:color w:val="58585B"/>
    </w:rPr>
  </w:style>
  <w:style w:type="character" w:customStyle="1" w:styleId="QuoteChar">
    <w:name w:val="Quote Char"/>
    <w:basedOn w:val="DefaultParagraphFont"/>
    <w:link w:val="Quote"/>
    <w:rsid w:val="00077BEB"/>
    <w:rPr>
      <w:rFonts w:ascii="Times New Roman" w:eastAsia="Times New Roman" w:hAnsi="Times New Roman" w:cs="Times New Roman"/>
      <w:color w:val="58585B"/>
      <w:sz w:val="20"/>
      <w:szCs w:val="20"/>
      <w:lang w:eastAsia="en-GB"/>
    </w:rPr>
  </w:style>
  <w:style w:type="character" w:customStyle="1" w:styleId="normaltextrun">
    <w:name w:val="normaltextrun"/>
    <w:basedOn w:val="DefaultParagraphFont"/>
    <w:rsid w:val="00077BEB"/>
  </w:style>
  <w:style w:type="character" w:styleId="Hyperlink">
    <w:name w:val="Hyperlink"/>
    <w:basedOn w:val="DefaultParagraphFont"/>
    <w:uiPriority w:val="99"/>
    <w:unhideWhenUsed/>
    <w:rsid w:val="00077BEB"/>
    <w:rPr>
      <w:color w:val="0563C1" w:themeColor="hyperlink"/>
      <w:u w:val="single"/>
    </w:rPr>
  </w:style>
  <w:style w:type="character" w:styleId="UnresolvedMention">
    <w:name w:val="Unresolved Mention"/>
    <w:basedOn w:val="DefaultParagraphFont"/>
    <w:uiPriority w:val="99"/>
    <w:semiHidden/>
    <w:unhideWhenUsed/>
    <w:rsid w:val="00077BEB"/>
    <w:rPr>
      <w:color w:val="605E5C"/>
      <w:shd w:val="clear" w:color="auto" w:fill="E1DFDD"/>
    </w:rPr>
  </w:style>
  <w:style w:type="paragraph" w:customStyle="1" w:styleId="headingparagraph">
    <w:name w:val="headingparagraph"/>
    <w:basedOn w:val="Normal"/>
    <w:rsid w:val="00077BEB"/>
    <w:pPr>
      <w:spacing w:before="100" w:beforeAutospacing="1" w:after="100" w:afterAutospacing="1"/>
    </w:pPr>
  </w:style>
  <w:style w:type="paragraph" w:styleId="ListParagraph">
    <w:name w:val="List Paragraph"/>
    <w:basedOn w:val="Normal"/>
    <w:uiPriority w:val="34"/>
    <w:qFormat/>
    <w:rsid w:val="00077BEB"/>
    <w:pPr>
      <w:ind w:left="720"/>
      <w:contextualSpacing/>
    </w:pPr>
  </w:style>
  <w:style w:type="paragraph" w:customStyle="1" w:styleId="Source">
    <w:name w:val="Source"/>
    <w:basedOn w:val="Normal"/>
    <w:qFormat/>
    <w:rsid w:val="00077BEB"/>
    <w:pPr>
      <w:spacing w:before="80" w:after="240" w:line="216" w:lineRule="atLeast"/>
    </w:pPr>
    <w:rPr>
      <w:sz w:val="18"/>
      <w:szCs w:val="20"/>
    </w:rPr>
  </w:style>
  <w:style w:type="paragraph" w:customStyle="1" w:styleId="dcr-h26idz">
    <w:name w:val="dcr-h26idz"/>
    <w:basedOn w:val="Normal"/>
    <w:rsid w:val="00077BEB"/>
    <w:pPr>
      <w:spacing w:before="100" w:beforeAutospacing="1" w:after="100" w:afterAutospacing="1"/>
    </w:pPr>
  </w:style>
  <w:style w:type="paragraph" w:styleId="NormalWeb">
    <w:name w:val="Normal (Web)"/>
    <w:basedOn w:val="Normal"/>
    <w:uiPriority w:val="99"/>
    <w:unhideWhenUsed/>
    <w:rsid w:val="00077BEB"/>
    <w:pPr>
      <w:spacing w:before="100" w:beforeAutospacing="1" w:after="100" w:afterAutospacing="1"/>
    </w:pPr>
  </w:style>
  <w:style w:type="character" w:styleId="FollowedHyperlink">
    <w:name w:val="FollowedHyperlink"/>
    <w:basedOn w:val="DefaultParagraphFont"/>
    <w:uiPriority w:val="99"/>
    <w:semiHidden/>
    <w:unhideWhenUsed/>
    <w:rsid w:val="00077BEB"/>
    <w:rPr>
      <w:color w:val="954F72" w:themeColor="followedHyperlink"/>
      <w:u w:val="single"/>
    </w:rPr>
  </w:style>
  <w:style w:type="paragraph" w:styleId="NoSpacing">
    <w:name w:val="No Spacing"/>
    <w:uiPriority w:val="1"/>
    <w:qFormat/>
    <w:rsid w:val="00077BEB"/>
    <w:rPr>
      <w:rFonts w:eastAsiaTheme="minorEastAsia"/>
      <w:lang w:val="en-US"/>
    </w:rPr>
  </w:style>
  <w:style w:type="table" w:styleId="TableGrid">
    <w:name w:val="Table Grid"/>
    <w:basedOn w:val="TableNormal"/>
    <w:uiPriority w:val="39"/>
    <w:rsid w:val="00077BE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7BEB"/>
    <w:rPr>
      <w:b/>
      <w:bCs/>
    </w:rPr>
  </w:style>
  <w:style w:type="character" w:customStyle="1" w:styleId="cite-author">
    <w:name w:val="cite-author"/>
    <w:basedOn w:val="DefaultParagraphFont"/>
    <w:rsid w:val="00077BEB"/>
  </w:style>
  <w:style w:type="character" w:styleId="Emphasis">
    <w:name w:val="Emphasis"/>
    <w:basedOn w:val="DefaultParagraphFont"/>
    <w:uiPriority w:val="20"/>
    <w:qFormat/>
    <w:rsid w:val="00077BEB"/>
    <w:rPr>
      <w:i/>
      <w:iCs/>
    </w:rPr>
  </w:style>
  <w:style w:type="paragraph" w:styleId="Footer">
    <w:name w:val="footer"/>
    <w:basedOn w:val="Normal"/>
    <w:link w:val="FooterChar"/>
    <w:uiPriority w:val="99"/>
    <w:unhideWhenUsed/>
    <w:rsid w:val="00077BEB"/>
    <w:pPr>
      <w:tabs>
        <w:tab w:val="center" w:pos="4513"/>
        <w:tab w:val="right" w:pos="9026"/>
      </w:tabs>
    </w:pPr>
  </w:style>
  <w:style w:type="character" w:customStyle="1" w:styleId="FooterChar">
    <w:name w:val="Footer Char"/>
    <w:basedOn w:val="DefaultParagraphFont"/>
    <w:link w:val="Footer"/>
    <w:uiPriority w:val="99"/>
    <w:rsid w:val="00077BE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77BEB"/>
  </w:style>
  <w:style w:type="paragraph" w:customStyle="1" w:styleId="xmsonormal">
    <w:name w:val="x_msonormal"/>
    <w:basedOn w:val="Normal"/>
    <w:rsid w:val="00B4124F"/>
    <w:pPr>
      <w:spacing w:before="100" w:beforeAutospacing="1" w:after="100" w:afterAutospacing="1"/>
    </w:pPr>
  </w:style>
  <w:style w:type="character" w:customStyle="1" w:styleId="xcontentpasted0">
    <w:name w:val="x_contentpasted0"/>
    <w:basedOn w:val="DefaultParagraphFont"/>
    <w:rsid w:val="00B4124F"/>
  </w:style>
  <w:style w:type="character" w:customStyle="1" w:styleId="xmsofootnotereference">
    <w:name w:val="x_msofootnotereference"/>
    <w:basedOn w:val="DefaultParagraphFont"/>
    <w:rsid w:val="00B4124F"/>
  </w:style>
  <w:style w:type="character" w:customStyle="1" w:styleId="xcontentpasted4">
    <w:name w:val="x_contentpasted4"/>
    <w:basedOn w:val="DefaultParagraphFont"/>
    <w:rsid w:val="00B4124F"/>
  </w:style>
  <w:style w:type="character" w:customStyle="1" w:styleId="xcontentpasted1">
    <w:name w:val="x_contentpasted1"/>
    <w:basedOn w:val="DefaultParagraphFont"/>
    <w:rsid w:val="00B4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csjs@parliament.tas.gov.a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Time out-of-cells (average hours per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NSW</c:v>
                </c:pt>
              </c:strCache>
            </c:strRef>
          </c:tx>
          <c:spPr>
            <a:ln w="28575" cap="rnd">
              <a:solidFill>
                <a:schemeClr val="accent1"/>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Sheet1!$B$2:$B$6</c:f>
              <c:numCache>
                <c:formatCode>General</c:formatCode>
                <c:ptCount val="5"/>
                <c:pt idx="0">
                  <c:v>8</c:v>
                </c:pt>
                <c:pt idx="1">
                  <c:v>8.4</c:v>
                </c:pt>
                <c:pt idx="2">
                  <c:v>8.1999999999999993</c:v>
                </c:pt>
                <c:pt idx="3">
                  <c:v>8.6</c:v>
                </c:pt>
                <c:pt idx="4">
                  <c:v>8.6</c:v>
                </c:pt>
              </c:numCache>
            </c:numRef>
          </c:val>
          <c:smooth val="0"/>
          <c:extLst>
            <c:ext xmlns:c16="http://schemas.microsoft.com/office/drawing/2014/chart" uri="{C3380CC4-5D6E-409C-BE32-E72D297353CC}">
              <c16:uniqueId val="{00000000-F4E4-E74C-9EEB-BFF1A21498BC}"/>
            </c:ext>
          </c:extLst>
        </c:ser>
        <c:ser>
          <c:idx val="1"/>
          <c:order val="1"/>
          <c:tx>
            <c:strRef>
              <c:f>Sheet1!$C$1</c:f>
              <c:strCache>
                <c:ptCount val="1"/>
                <c:pt idx="0">
                  <c:v>Victoria</c:v>
                </c:pt>
              </c:strCache>
            </c:strRef>
          </c:tx>
          <c:spPr>
            <a:ln w="28575" cap="rnd">
              <a:solidFill>
                <a:schemeClr val="accent2"/>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Sheet1!$C$2:$C$6</c:f>
              <c:numCache>
                <c:formatCode>General</c:formatCode>
                <c:ptCount val="5"/>
                <c:pt idx="0">
                  <c:v>11.4</c:v>
                </c:pt>
                <c:pt idx="1">
                  <c:v>11.1</c:v>
                </c:pt>
                <c:pt idx="2">
                  <c:v>11</c:v>
                </c:pt>
                <c:pt idx="3">
                  <c:v>10.199999999999999</c:v>
                </c:pt>
                <c:pt idx="4">
                  <c:v>10.1</c:v>
                </c:pt>
              </c:numCache>
            </c:numRef>
          </c:val>
          <c:smooth val="0"/>
          <c:extLst>
            <c:ext xmlns:c16="http://schemas.microsoft.com/office/drawing/2014/chart" uri="{C3380CC4-5D6E-409C-BE32-E72D297353CC}">
              <c16:uniqueId val="{00000001-F4E4-E74C-9EEB-BFF1A21498BC}"/>
            </c:ext>
          </c:extLst>
        </c:ser>
        <c:ser>
          <c:idx val="2"/>
          <c:order val="2"/>
          <c:tx>
            <c:strRef>
              <c:f>Sheet1!$D$1</c:f>
              <c:strCache>
                <c:ptCount val="1"/>
                <c:pt idx="0">
                  <c:v>Qld</c:v>
                </c:pt>
              </c:strCache>
            </c:strRef>
          </c:tx>
          <c:spPr>
            <a:ln w="28575" cap="rnd">
              <a:solidFill>
                <a:schemeClr val="accent3"/>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Sheet1!$D$2:$D$6</c:f>
              <c:numCache>
                <c:formatCode>General</c:formatCode>
                <c:ptCount val="5"/>
                <c:pt idx="0">
                  <c:v>10.3</c:v>
                </c:pt>
                <c:pt idx="1">
                  <c:v>9.1</c:v>
                </c:pt>
                <c:pt idx="2">
                  <c:v>9.5</c:v>
                </c:pt>
                <c:pt idx="3">
                  <c:v>9</c:v>
                </c:pt>
                <c:pt idx="4">
                  <c:v>9</c:v>
                </c:pt>
              </c:numCache>
            </c:numRef>
          </c:val>
          <c:smooth val="0"/>
          <c:extLst>
            <c:ext xmlns:c16="http://schemas.microsoft.com/office/drawing/2014/chart" uri="{C3380CC4-5D6E-409C-BE32-E72D297353CC}">
              <c16:uniqueId val="{00000002-F4E4-E74C-9EEB-BFF1A21498BC}"/>
            </c:ext>
          </c:extLst>
        </c:ser>
        <c:ser>
          <c:idx val="3"/>
          <c:order val="3"/>
          <c:tx>
            <c:strRef>
              <c:f>Sheet1!$E$1</c:f>
              <c:strCache>
                <c:ptCount val="1"/>
                <c:pt idx="0">
                  <c:v>WA</c:v>
                </c:pt>
              </c:strCache>
            </c:strRef>
          </c:tx>
          <c:spPr>
            <a:ln w="28575" cap="rnd">
              <a:solidFill>
                <a:schemeClr val="accent4"/>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Sheet1!$E$2:$E$6</c:f>
              <c:numCache>
                <c:formatCode>General</c:formatCode>
                <c:ptCount val="5"/>
                <c:pt idx="0">
                  <c:v>12.3</c:v>
                </c:pt>
                <c:pt idx="1">
                  <c:v>12</c:v>
                </c:pt>
                <c:pt idx="2">
                  <c:v>11.4</c:v>
                </c:pt>
                <c:pt idx="3">
                  <c:v>11.3</c:v>
                </c:pt>
                <c:pt idx="4">
                  <c:v>10.6</c:v>
                </c:pt>
              </c:numCache>
            </c:numRef>
          </c:val>
          <c:smooth val="0"/>
          <c:extLst>
            <c:ext xmlns:c16="http://schemas.microsoft.com/office/drawing/2014/chart" uri="{C3380CC4-5D6E-409C-BE32-E72D297353CC}">
              <c16:uniqueId val="{00000003-F4E4-E74C-9EEB-BFF1A21498BC}"/>
            </c:ext>
          </c:extLst>
        </c:ser>
        <c:ser>
          <c:idx val="4"/>
          <c:order val="4"/>
          <c:tx>
            <c:strRef>
              <c:f>Sheet1!$F$1</c:f>
              <c:strCache>
                <c:ptCount val="1"/>
                <c:pt idx="0">
                  <c:v>SA</c:v>
                </c:pt>
              </c:strCache>
            </c:strRef>
          </c:tx>
          <c:spPr>
            <a:ln w="28575" cap="rnd">
              <a:solidFill>
                <a:schemeClr val="accent5"/>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Sheet1!$F$2:$F$6</c:f>
              <c:numCache>
                <c:formatCode>General</c:formatCode>
                <c:ptCount val="5"/>
                <c:pt idx="0">
                  <c:v>9.5</c:v>
                </c:pt>
                <c:pt idx="1">
                  <c:v>10.1</c:v>
                </c:pt>
                <c:pt idx="2">
                  <c:v>8.6</c:v>
                </c:pt>
                <c:pt idx="3">
                  <c:v>9.3000000000000007</c:v>
                </c:pt>
                <c:pt idx="4">
                  <c:v>8.8000000000000007</c:v>
                </c:pt>
              </c:numCache>
            </c:numRef>
          </c:val>
          <c:smooth val="0"/>
          <c:extLst>
            <c:ext xmlns:c16="http://schemas.microsoft.com/office/drawing/2014/chart" uri="{C3380CC4-5D6E-409C-BE32-E72D297353CC}">
              <c16:uniqueId val="{00000004-F4E4-E74C-9EEB-BFF1A21498BC}"/>
            </c:ext>
          </c:extLst>
        </c:ser>
        <c:ser>
          <c:idx val="5"/>
          <c:order val="5"/>
          <c:tx>
            <c:strRef>
              <c:f>Sheet1!$G$1</c:f>
              <c:strCache>
                <c:ptCount val="1"/>
                <c:pt idx="0">
                  <c:v>Tasmania</c:v>
                </c:pt>
              </c:strCache>
            </c:strRef>
          </c:tx>
          <c:spPr>
            <a:ln w="28575" cap="rnd">
              <a:solidFill>
                <a:schemeClr val="accent6"/>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Sheet1!$G$2:$G$6</c:f>
              <c:numCache>
                <c:formatCode>General</c:formatCode>
                <c:ptCount val="5"/>
                <c:pt idx="0">
                  <c:v>8.8000000000000007</c:v>
                </c:pt>
                <c:pt idx="1">
                  <c:v>8.6</c:v>
                </c:pt>
                <c:pt idx="2">
                  <c:v>7.9</c:v>
                </c:pt>
                <c:pt idx="3">
                  <c:v>7.1</c:v>
                </c:pt>
                <c:pt idx="4">
                  <c:v>8</c:v>
                </c:pt>
              </c:numCache>
            </c:numRef>
          </c:val>
          <c:smooth val="0"/>
          <c:extLst>
            <c:ext xmlns:c16="http://schemas.microsoft.com/office/drawing/2014/chart" uri="{C3380CC4-5D6E-409C-BE32-E72D297353CC}">
              <c16:uniqueId val="{00000009-F4E4-E74C-9EEB-BFF1A21498BC}"/>
            </c:ext>
          </c:extLst>
        </c:ser>
        <c:ser>
          <c:idx val="6"/>
          <c:order val="6"/>
          <c:tx>
            <c:strRef>
              <c:f>Sheet1!$H$1</c:f>
              <c:strCache>
                <c:ptCount val="1"/>
                <c:pt idx="0">
                  <c:v>ACT</c:v>
                </c:pt>
              </c:strCache>
            </c:strRef>
          </c:tx>
          <c:spPr>
            <a:ln w="28575" cap="rnd">
              <a:solidFill>
                <a:schemeClr val="accent1">
                  <a:lumMod val="60000"/>
                </a:schemeClr>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Sheet1!$H$2:$H$6</c:f>
              <c:numCache>
                <c:formatCode>General</c:formatCode>
                <c:ptCount val="5"/>
                <c:pt idx="0">
                  <c:v>8.9</c:v>
                </c:pt>
                <c:pt idx="1">
                  <c:v>8.4</c:v>
                </c:pt>
                <c:pt idx="2">
                  <c:v>9.4</c:v>
                </c:pt>
                <c:pt idx="3">
                  <c:v>9.1</c:v>
                </c:pt>
                <c:pt idx="4">
                  <c:v>8.9</c:v>
                </c:pt>
              </c:numCache>
            </c:numRef>
          </c:val>
          <c:smooth val="0"/>
          <c:extLst>
            <c:ext xmlns:c16="http://schemas.microsoft.com/office/drawing/2014/chart" uri="{C3380CC4-5D6E-409C-BE32-E72D297353CC}">
              <c16:uniqueId val="{0000000A-F4E4-E74C-9EEB-BFF1A21498BC}"/>
            </c:ext>
          </c:extLst>
        </c:ser>
        <c:ser>
          <c:idx val="7"/>
          <c:order val="7"/>
          <c:tx>
            <c:strRef>
              <c:f>Sheet1!$I$1</c:f>
              <c:strCache>
                <c:ptCount val="1"/>
                <c:pt idx="0">
                  <c:v>NT</c:v>
                </c:pt>
              </c:strCache>
            </c:strRef>
          </c:tx>
          <c:spPr>
            <a:ln w="28575" cap="rnd">
              <a:solidFill>
                <a:schemeClr val="accent2">
                  <a:lumMod val="60000"/>
                </a:schemeClr>
              </a:solidFill>
              <a:round/>
            </a:ln>
            <a:effectLst/>
          </c:spPr>
          <c:marker>
            <c:symbol val="none"/>
          </c:marker>
          <c:cat>
            <c:strRef>
              <c:f>Sheet1!$A$2:$A$6</c:f>
              <c:strCache>
                <c:ptCount val="5"/>
                <c:pt idx="0">
                  <c:v>2016-17</c:v>
                </c:pt>
                <c:pt idx="1">
                  <c:v>2017-18</c:v>
                </c:pt>
                <c:pt idx="2">
                  <c:v>2018-19</c:v>
                </c:pt>
                <c:pt idx="3">
                  <c:v>2019-20</c:v>
                </c:pt>
                <c:pt idx="4">
                  <c:v>2020-21</c:v>
                </c:pt>
              </c:strCache>
            </c:strRef>
          </c:cat>
          <c:val>
            <c:numRef>
              <c:f>Sheet1!$I$2:$I$6</c:f>
              <c:numCache>
                <c:formatCode>General</c:formatCode>
                <c:ptCount val="5"/>
                <c:pt idx="0">
                  <c:v>12.5</c:v>
                </c:pt>
                <c:pt idx="1">
                  <c:v>12.4</c:v>
                </c:pt>
                <c:pt idx="2">
                  <c:v>12.2</c:v>
                </c:pt>
                <c:pt idx="3">
                  <c:v>11.8</c:v>
                </c:pt>
                <c:pt idx="4">
                  <c:v>11.8</c:v>
                </c:pt>
              </c:numCache>
            </c:numRef>
          </c:val>
          <c:smooth val="0"/>
          <c:extLst>
            <c:ext xmlns:c16="http://schemas.microsoft.com/office/drawing/2014/chart" uri="{C3380CC4-5D6E-409C-BE32-E72D297353CC}">
              <c16:uniqueId val="{0000000B-F4E4-E74C-9EEB-BFF1A21498BC}"/>
            </c:ext>
          </c:extLst>
        </c:ser>
        <c:dLbls>
          <c:showLegendKey val="0"/>
          <c:showVal val="0"/>
          <c:showCatName val="0"/>
          <c:showSerName val="0"/>
          <c:showPercent val="0"/>
          <c:showBubbleSize val="0"/>
        </c:dLbls>
        <c:smooth val="0"/>
        <c:axId val="1206532048"/>
        <c:axId val="1206533776"/>
      </c:lineChart>
      <c:catAx>
        <c:axId val="120653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533776"/>
        <c:crosses val="autoZero"/>
        <c:auto val="1"/>
        <c:lblAlgn val="ctr"/>
        <c:lblOffset val="100"/>
        <c:noMultiLvlLbl val="0"/>
      </c:catAx>
      <c:valAx>
        <c:axId val="1206533776"/>
        <c:scaling>
          <c:orientation val="minMax"/>
          <c:max val="14"/>
          <c:min val="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5320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2023-06-20T04:09:00Z</cp:lastPrinted>
  <dcterms:created xsi:type="dcterms:W3CDTF">2023-06-14T23:26:00Z</dcterms:created>
  <dcterms:modified xsi:type="dcterms:W3CDTF">2023-06-20T07:02:00Z</dcterms:modified>
</cp:coreProperties>
</file>