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93BA1" w14:textId="77777777" w:rsidR="00EC003C" w:rsidRDefault="00EC003C" w:rsidP="00EC003C">
      <w:pPr>
        <w:ind w:right="-347"/>
        <w:jc w:val="center"/>
      </w:pPr>
      <w:r>
        <w:rPr>
          <w:noProof/>
          <w:sz w:val="20"/>
          <w:szCs w:val="20"/>
        </w:rPr>
        <w:drawing>
          <wp:inline distT="0" distB="0" distL="0" distR="0" wp14:anchorId="4B5A9EEB" wp14:editId="6E8F75A2">
            <wp:extent cx="3235960" cy="1099476"/>
            <wp:effectExtent l="0" t="0" r="0" b="0"/>
            <wp:docPr id="5" name="Picture 1" descr="Shared Docs:Public:Sister Organisations:CLC Tas:CLCLogos:CLCTas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ed Docs:Public:Sister Organisations:CLC Tas:CLCLogos:CLCTascolou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37972" cy="1100160"/>
                    </a:xfrm>
                    <a:prstGeom prst="rect">
                      <a:avLst/>
                    </a:prstGeom>
                    <a:noFill/>
                    <a:ln>
                      <a:noFill/>
                    </a:ln>
                  </pic:spPr>
                </pic:pic>
              </a:graphicData>
            </a:graphic>
          </wp:inline>
        </w:drawing>
      </w:r>
    </w:p>
    <w:p w14:paraId="14118128" w14:textId="77777777" w:rsidR="00EC003C" w:rsidRPr="00EC003C" w:rsidRDefault="00EC003C" w:rsidP="00EC003C">
      <w:pPr>
        <w:ind w:right="-347"/>
        <w:rPr>
          <w:rFonts w:ascii="Cambria" w:hAnsi="Cambria"/>
        </w:rPr>
      </w:pPr>
    </w:p>
    <w:p w14:paraId="7E94A40F" w14:textId="77777777" w:rsidR="00EC003C" w:rsidRPr="009D25D3" w:rsidRDefault="00EC003C" w:rsidP="00EC003C">
      <w:pPr>
        <w:ind w:right="-347"/>
        <w:rPr>
          <w:rFonts w:ascii="Cambria" w:hAnsi="Cambria"/>
        </w:rPr>
      </w:pPr>
    </w:p>
    <w:p w14:paraId="2766CD0F" w14:textId="77777777" w:rsidR="00EC003C" w:rsidRPr="009D25D3" w:rsidRDefault="00EC003C" w:rsidP="00EC003C">
      <w:pPr>
        <w:ind w:right="-347"/>
        <w:rPr>
          <w:rFonts w:ascii="Cambria" w:hAnsi="Cambria"/>
        </w:rPr>
      </w:pPr>
    </w:p>
    <w:p w14:paraId="2DD58ACC" w14:textId="370A6A14" w:rsidR="00EC003C" w:rsidRPr="009D25D3" w:rsidRDefault="003965F7" w:rsidP="00EC003C">
      <w:pPr>
        <w:ind w:right="-347"/>
        <w:rPr>
          <w:rFonts w:ascii="Cambria" w:hAnsi="Cambria"/>
        </w:rPr>
      </w:pPr>
      <w:r>
        <w:rPr>
          <w:rFonts w:ascii="Cambria" w:hAnsi="Cambria"/>
        </w:rPr>
        <w:t>16</w:t>
      </w:r>
      <w:r w:rsidR="00EC003C" w:rsidRPr="009D25D3">
        <w:rPr>
          <w:rFonts w:ascii="Cambria" w:hAnsi="Cambria"/>
        </w:rPr>
        <w:t xml:space="preserve"> January 2023</w:t>
      </w:r>
    </w:p>
    <w:p w14:paraId="743A7F7C" w14:textId="77777777" w:rsidR="00EC003C" w:rsidRPr="009D25D3" w:rsidRDefault="00EC003C" w:rsidP="00EC003C">
      <w:pPr>
        <w:ind w:right="-347"/>
        <w:rPr>
          <w:rFonts w:ascii="Cambria" w:hAnsi="Cambria"/>
        </w:rPr>
      </w:pPr>
    </w:p>
    <w:p w14:paraId="022319C4" w14:textId="4D46A2F1" w:rsidR="00EC003C" w:rsidRPr="009D25D3" w:rsidRDefault="00EC003C" w:rsidP="00EC003C">
      <w:pPr>
        <w:rPr>
          <w:rFonts w:ascii="Cambria" w:hAnsi="Cambria"/>
        </w:rPr>
      </w:pPr>
      <w:r w:rsidRPr="009D25D3">
        <w:rPr>
          <w:rFonts w:ascii="Cambria" w:hAnsi="Cambria"/>
        </w:rPr>
        <w:t>Committee Secretary</w:t>
      </w:r>
    </w:p>
    <w:p w14:paraId="29E5C5C7" w14:textId="43A7F436" w:rsidR="00EC003C" w:rsidRPr="009D25D3" w:rsidRDefault="00EC003C" w:rsidP="00EC003C">
      <w:pPr>
        <w:rPr>
          <w:rFonts w:ascii="Cambria" w:hAnsi="Cambria"/>
        </w:rPr>
      </w:pPr>
      <w:r w:rsidRPr="009D25D3">
        <w:rPr>
          <w:rFonts w:ascii="Cambria" w:hAnsi="Cambria"/>
        </w:rPr>
        <w:t>Parliamentary Joint Committee on Law Enforcement</w:t>
      </w:r>
    </w:p>
    <w:p w14:paraId="1D508EF1" w14:textId="54E4F5A9" w:rsidR="00EC003C" w:rsidRPr="009D25D3" w:rsidRDefault="00EC003C" w:rsidP="00EC003C">
      <w:pPr>
        <w:rPr>
          <w:rFonts w:ascii="Cambria" w:hAnsi="Cambria"/>
        </w:rPr>
      </w:pPr>
      <w:r w:rsidRPr="009D25D3">
        <w:rPr>
          <w:rFonts w:ascii="Cambria" w:hAnsi="Cambria"/>
        </w:rPr>
        <w:t xml:space="preserve">PO Box 6100 </w:t>
      </w:r>
    </w:p>
    <w:p w14:paraId="6EB13DD1" w14:textId="6867BC46" w:rsidR="00EC003C" w:rsidRPr="009D25D3" w:rsidRDefault="00EC003C" w:rsidP="00EC003C">
      <w:pPr>
        <w:rPr>
          <w:rFonts w:ascii="Cambria" w:hAnsi="Cambria"/>
        </w:rPr>
      </w:pPr>
      <w:r w:rsidRPr="009D25D3">
        <w:rPr>
          <w:rFonts w:ascii="Cambria" w:hAnsi="Cambria"/>
        </w:rPr>
        <w:t>Parliament House</w:t>
      </w:r>
    </w:p>
    <w:p w14:paraId="6EAEAAC2" w14:textId="08BA56E3" w:rsidR="00EC003C" w:rsidRPr="009D25D3" w:rsidRDefault="00EC003C" w:rsidP="00EC003C">
      <w:pPr>
        <w:rPr>
          <w:rFonts w:ascii="Cambria" w:hAnsi="Cambria"/>
        </w:rPr>
      </w:pPr>
      <w:r w:rsidRPr="009D25D3">
        <w:rPr>
          <w:rFonts w:ascii="Cambria" w:hAnsi="Cambria"/>
        </w:rPr>
        <w:t>Canberra ACT 2600</w:t>
      </w:r>
    </w:p>
    <w:p w14:paraId="17A02A87" w14:textId="77777777" w:rsidR="00EC003C" w:rsidRPr="009D25D3" w:rsidRDefault="00EC003C" w:rsidP="00EC003C">
      <w:pPr>
        <w:rPr>
          <w:rFonts w:ascii="Cambria" w:hAnsi="Cambria"/>
        </w:rPr>
      </w:pPr>
    </w:p>
    <w:p w14:paraId="768C4AF8" w14:textId="6EF8E11F" w:rsidR="00EC003C" w:rsidRPr="009D25D3" w:rsidRDefault="00EC003C" w:rsidP="00EC003C">
      <w:pPr>
        <w:ind w:firstLine="720"/>
        <w:rPr>
          <w:rFonts w:ascii="Cambria" w:hAnsi="Cambria"/>
          <w:i/>
        </w:rPr>
      </w:pPr>
      <w:r w:rsidRPr="009D25D3">
        <w:rPr>
          <w:rFonts w:ascii="Cambria" w:hAnsi="Cambria"/>
          <w:i/>
        </w:rPr>
        <w:t xml:space="preserve">via email: </w:t>
      </w:r>
      <w:hyperlink r:id="rId8" w:history="1">
        <w:r w:rsidRPr="009D25D3">
          <w:rPr>
            <w:rStyle w:val="Hyperlink"/>
            <w:rFonts w:ascii="Cambria" w:hAnsi="Cambria"/>
            <w:i/>
          </w:rPr>
          <w:t xml:space="preserve">le.committee@aph.gov.au  </w:t>
        </w:r>
      </w:hyperlink>
    </w:p>
    <w:p w14:paraId="7F24F956" w14:textId="77777777" w:rsidR="00EC003C" w:rsidRPr="009D25D3" w:rsidRDefault="00EC003C" w:rsidP="00EC003C">
      <w:pPr>
        <w:rPr>
          <w:rFonts w:ascii="Cambria" w:hAnsi="Cambria"/>
        </w:rPr>
      </w:pPr>
      <w:r w:rsidRPr="009D25D3">
        <w:rPr>
          <w:rFonts w:ascii="Cambria" w:hAnsi="Cambria"/>
        </w:rPr>
        <w:t> </w:t>
      </w:r>
    </w:p>
    <w:p w14:paraId="487E5226" w14:textId="4A45EF32" w:rsidR="00EC003C" w:rsidRPr="009D25D3" w:rsidRDefault="00EC003C" w:rsidP="00EC003C">
      <w:pPr>
        <w:rPr>
          <w:rFonts w:ascii="Cambria" w:hAnsi="Cambria"/>
        </w:rPr>
      </w:pPr>
      <w:r w:rsidRPr="009D25D3">
        <w:rPr>
          <w:rFonts w:ascii="Cambria" w:hAnsi="Cambria"/>
        </w:rPr>
        <w:t xml:space="preserve">To the Committee Secretariat, </w:t>
      </w:r>
    </w:p>
    <w:p w14:paraId="31226A07" w14:textId="323215A8" w:rsidR="00EC003C" w:rsidRPr="009D25D3" w:rsidRDefault="00EC003C" w:rsidP="00EC003C">
      <w:pPr>
        <w:pBdr>
          <w:bottom w:val="single" w:sz="6" w:space="1" w:color="auto"/>
        </w:pBdr>
        <w:rPr>
          <w:rFonts w:ascii="Cambria" w:hAnsi="Cambria"/>
          <w:b/>
          <w:bCs/>
        </w:rPr>
      </w:pPr>
      <w:r w:rsidRPr="009D25D3">
        <w:rPr>
          <w:rFonts w:ascii="Cambria" w:hAnsi="Cambria"/>
          <w:b/>
          <w:bCs/>
        </w:rPr>
        <w:t xml:space="preserve">Re: </w:t>
      </w:r>
      <w:r w:rsidRPr="009D25D3">
        <w:rPr>
          <w:rFonts w:ascii="Cambria" w:hAnsi="Cambria"/>
          <w:b/>
          <w:bCs/>
          <w:i/>
        </w:rPr>
        <w:t>Inquiry into Australia’s illicit drug problem: challenges and opportunities for law enforcement</w:t>
      </w:r>
      <w:r w:rsidRPr="009D25D3">
        <w:rPr>
          <w:rFonts w:ascii="Cambria" w:hAnsi="Cambria"/>
          <w:b/>
          <w:bCs/>
        </w:rPr>
        <w:t xml:space="preserve"> </w:t>
      </w:r>
    </w:p>
    <w:p w14:paraId="104A4971" w14:textId="77777777" w:rsidR="00EC003C" w:rsidRPr="009D25D3" w:rsidRDefault="00EC003C" w:rsidP="00EC003C">
      <w:pPr>
        <w:rPr>
          <w:rFonts w:ascii="Cambria" w:hAnsi="Cambria"/>
        </w:rPr>
      </w:pPr>
    </w:p>
    <w:p w14:paraId="0CF01EB0" w14:textId="61F61AC6" w:rsidR="00EC003C" w:rsidRPr="009D25D3" w:rsidRDefault="00EC003C" w:rsidP="00EC003C">
      <w:pPr>
        <w:ind w:right="-347"/>
        <w:jc w:val="both"/>
        <w:rPr>
          <w:rFonts w:ascii="Cambria" w:hAnsi="Cambria"/>
        </w:rPr>
      </w:pPr>
      <w:r w:rsidRPr="009D25D3">
        <w:rPr>
          <w:rFonts w:ascii="Cambria" w:hAnsi="Cambria" w:cs="Calibri"/>
        </w:rPr>
        <w:t>Community Legal Centres Tasmania (CLC Tas)</w:t>
      </w:r>
      <w:r w:rsidRPr="009D25D3">
        <w:rPr>
          <w:rFonts w:ascii="Cambria" w:hAnsi="Cambria"/>
        </w:rPr>
        <w:t xml:space="preserve"> welcomes the opportunity to provide a response to the </w:t>
      </w:r>
      <w:r w:rsidRPr="009D25D3">
        <w:rPr>
          <w:rFonts w:ascii="Cambria" w:hAnsi="Cambria"/>
          <w:i/>
        </w:rPr>
        <w:t>Inquiry into Australia’s illicit drug problem: challenges and opportunities for law enforcement.</w:t>
      </w:r>
      <w:r w:rsidRPr="009D25D3">
        <w:rPr>
          <w:rFonts w:ascii="Cambria" w:hAnsi="Cambria"/>
        </w:rPr>
        <w:t xml:space="preserve"> </w:t>
      </w:r>
    </w:p>
    <w:p w14:paraId="72D606F9" w14:textId="77777777" w:rsidR="00EC003C" w:rsidRPr="009D25D3" w:rsidRDefault="00EC003C" w:rsidP="00EC003C">
      <w:pPr>
        <w:ind w:right="-347"/>
        <w:jc w:val="both"/>
        <w:rPr>
          <w:rFonts w:ascii="Cambria" w:hAnsi="Cambria"/>
        </w:rPr>
      </w:pPr>
    </w:p>
    <w:p w14:paraId="17D671C6" w14:textId="77777777" w:rsidR="00EC003C" w:rsidRPr="009D25D3" w:rsidRDefault="00EC003C" w:rsidP="00EC003C">
      <w:pPr>
        <w:ind w:right="-347"/>
        <w:jc w:val="both"/>
        <w:rPr>
          <w:rFonts w:ascii="Cambria" w:hAnsi="Cambria" w:cs="Arial"/>
          <w:color w:val="000000"/>
        </w:rPr>
      </w:pPr>
      <w:r w:rsidRPr="009D25D3">
        <w:rPr>
          <w:rFonts w:ascii="Cambria" w:eastAsia="Times New Roman" w:hAnsi="Cambria" w:cs="Arial"/>
          <w:lang w:eastAsia="en-AU"/>
        </w:rPr>
        <w:t xml:space="preserve">CLC Tas </w:t>
      </w:r>
      <w:r w:rsidRPr="009D25D3">
        <w:rPr>
          <w:rFonts w:ascii="Cambria" w:hAnsi="Cambria" w:cs="Arial"/>
        </w:rPr>
        <w:t>is the peak body representing the interests of nine community legal centres (CLCs) located throughout Tasmania. We are a member-based, independent, not-for-profit and incorporated organisation that</w:t>
      </w:r>
      <w:r w:rsidRPr="009D25D3">
        <w:rPr>
          <w:rFonts w:ascii="Cambria" w:hAnsi="Cambria" w:cs="Arial"/>
          <w:color w:val="000000"/>
        </w:rPr>
        <w:t xml:space="preserve"> advocates for law reform on a range of public interest matters aimed at improving access to justice, reducing discrimination and protecting and promoting human rights. </w:t>
      </w:r>
    </w:p>
    <w:p w14:paraId="18D78163" w14:textId="77777777" w:rsidR="00EC003C" w:rsidRPr="009D25D3" w:rsidRDefault="00EC003C" w:rsidP="00EC003C">
      <w:pPr>
        <w:ind w:right="-347"/>
        <w:jc w:val="both"/>
        <w:rPr>
          <w:rFonts w:ascii="Cambria" w:hAnsi="Cambria" w:cs="Arial"/>
          <w:color w:val="000000"/>
        </w:rPr>
      </w:pPr>
    </w:p>
    <w:p w14:paraId="4A331A82" w14:textId="77777777" w:rsidR="00D85334" w:rsidRDefault="00EC003C" w:rsidP="00EC003C">
      <w:pPr>
        <w:ind w:right="-347"/>
        <w:jc w:val="both"/>
        <w:rPr>
          <w:rFonts w:ascii="Cambria" w:hAnsi="Cambria" w:cs="Open Sans"/>
          <w:color w:val="000000" w:themeColor="text1"/>
          <w:shd w:val="clear" w:color="auto" w:fill="FFFFFF"/>
        </w:rPr>
      </w:pPr>
      <w:r w:rsidRPr="00D85334">
        <w:rPr>
          <w:rFonts w:ascii="Cambria" w:hAnsi="Cambria" w:cs="Arial"/>
          <w:color w:val="000000" w:themeColor="text1"/>
        </w:rPr>
        <w:t xml:space="preserve">Five years </w:t>
      </w:r>
      <w:r w:rsidR="00B00E63" w:rsidRPr="00D85334">
        <w:rPr>
          <w:rFonts w:ascii="Cambria" w:hAnsi="Cambria" w:cs="Arial"/>
          <w:color w:val="000000" w:themeColor="text1"/>
        </w:rPr>
        <w:t>ago,</w:t>
      </w:r>
      <w:r w:rsidRPr="00D85334">
        <w:rPr>
          <w:rFonts w:ascii="Cambria" w:hAnsi="Cambria" w:cs="Arial"/>
          <w:color w:val="000000" w:themeColor="text1"/>
        </w:rPr>
        <w:t xml:space="preserve"> we launched a major report on drug law reform. </w:t>
      </w:r>
      <w:r w:rsidRPr="00D85334">
        <w:rPr>
          <w:rFonts w:ascii="Cambria" w:hAnsi="Cambria" w:cs="Open Sans"/>
          <w:color w:val="000000" w:themeColor="text1"/>
          <w:shd w:val="clear" w:color="auto" w:fill="FFFFFF"/>
        </w:rPr>
        <w:t>The report entitled </w:t>
      </w:r>
      <w:r w:rsidRPr="00D85334">
        <w:rPr>
          <w:rStyle w:val="Emphasis"/>
          <w:rFonts w:ascii="Cambria" w:hAnsi="Cambria" w:cs="Open Sans"/>
          <w:color w:val="000000" w:themeColor="text1"/>
          <w:shd w:val="clear" w:color="auto" w:fill="FFFFFF"/>
        </w:rPr>
        <w:t>The Case for a Health Focused Response to Drug Use in Tasmania’s Legal System</w:t>
      </w:r>
      <w:r w:rsidRPr="00D85334">
        <w:rPr>
          <w:rFonts w:ascii="Cambria" w:hAnsi="Cambria" w:cs="Open Sans"/>
          <w:color w:val="000000" w:themeColor="text1"/>
          <w:shd w:val="clear" w:color="auto" w:fill="FFFFFF"/>
        </w:rPr>
        <w:t> called for all drug use to be treated as a health rather than a criminal justice issue.</w:t>
      </w:r>
      <w:r w:rsidR="00ED3FFC" w:rsidRPr="00D85334">
        <w:rPr>
          <w:rStyle w:val="FootnoteReference"/>
          <w:rFonts w:ascii="Cambria" w:hAnsi="Cambria" w:cs="Open Sans"/>
          <w:color w:val="000000" w:themeColor="text1"/>
          <w:shd w:val="clear" w:color="auto" w:fill="FFFFFF"/>
        </w:rPr>
        <w:footnoteReference w:id="1"/>
      </w:r>
      <w:r w:rsidRPr="00D85334">
        <w:rPr>
          <w:rFonts w:ascii="Cambria" w:hAnsi="Cambria" w:cs="Open Sans"/>
          <w:color w:val="000000" w:themeColor="text1"/>
          <w:shd w:val="clear" w:color="auto" w:fill="FFFFFF"/>
        </w:rPr>
        <w:t xml:space="preserve"> The report found that the war on drugs had failed and that despite the </w:t>
      </w:r>
      <w:r w:rsidRPr="00D85334">
        <w:rPr>
          <w:rFonts w:ascii="Cambria" w:hAnsi="Cambria"/>
          <w:color w:val="000000" w:themeColor="text1"/>
        </w:rPr>
        <w:t>considerable resources directed towards the criminalisation of drug use, there has been no curtailment of either the supply or the consumption of illicit drugs.</w:t>
      </w:r>
      <w:r w:rsidR="00DB35F9" w:rsidRPr="00D85334">
        <w:rPr>
          <w:rFonts w:ascii="Cambria" w:hAnsi="Cambria" w:cs="Open Sans"/>
          <w:color w:val="000000" w:themeColor="text1"/>
          <w:shd w:val="clear" w:color="auto" w:fill="FFFFFF"/>
        </w:rPr>
        <w:t xml:space="preserve"> The report</w:t>
      </w:r>
      <w:r w:rsidR="00D85334" w:rsidRPr="00D85334">
        <w:rPr>
          <w:rFonts w:ascii="Cambria" w:hAnsi="Cambria" w:cs="Open Sans"/>
          <w:color w:val="000000" w:themeColor="text1"/>
          <w:shd w:val="clear" w:color="auto" w:fill="FFFFFF"/>
        </w:rPr>
        <w:t xml:space="preserve"> reviewed</w:t>
      </w:r>
      <w:r w:rsidR="008E4730" w:rsidRPr="00D85334">
        <w:rPr>
          <w:rFonts w:ascii="Cambria" w:hAnsi="Cambria" w:cs="Open Sans"/>
          <w:color w:val="000000" w:themeColor="text1"/>
          <w:shd w:val="clear" w:color="auto" w:fill="FFFFFF"/>
        </w:rPr>
        <w:t xml:space="preserve"> alternatives including Portugal’s decriminalisation</w:t>
      </w:r>
      <w:r w:rsidR="00FF15F1" w:rsidRPr="00D85334">
        <w:rPr>
          <w:rFonts w:ascii="Cambria" w:hAnsi="Cambria" w:cs="Open Sans"/>
          <w:color w:val="000000" w:themeColor="text1"/>
          <w:shd w:val="clear" w:color="auto" w:fill="FFFFFF"/>
        </w:rPr>
        <w:t xml:space="preserve"> </w:t>
      </w:r>
      <w:r w:rsidR="008E4730" w:rsidRPr="00D85334">
        <w:rPr>
          <w:rFonts w:ascii="Cambria" w:hAnsi="Cambria" w:cs="Open Sans"/>
          <w:color w:val="000000" w:themeColor="text1"/>
          <w:shd w:val="clear" w:color="auto" w:fill="FFFFFF"/>
        </w:rPr>
        <w:t xml:space="preserve">model which </w:t>
      </w:r>
      <w:r w:rsidR="00FF15F1" w:rsidRPr="00D85334">
        <w:rPr>
          <w:rFonts w:ascii="Cambria" w:hAnsi="Cambria" w:cs="Open Sans"/>
          <w:color w:val="000000" w:themeColor="text1"/>
          <w:shd w:val="clear" w:color="auto" w:fill="FFFFFF"/>
        </w:rPr>
        <w:t xml:space="preserve">has </w:t>
      </w:r>
      <w:r w:rsidR="00DB35F9" w:rsidRPr="00D85334">
        <w:rPr>
          <w:rFonts w:ascii="Cambria" w:hAnsi="Cambria"/>
          <w:color w:val="000000" w:themeColor="text1"/>
        </w:rPr>
        <w:t>see</w:t>
      </w:r>
      <w:r w:rsidR="00FF15F1" w:rsidRPr="00D85334">
        <w:rPr>
          <w:rFonts w:ascii="Cambria" w:hAnsi="Cambria"/>
          <w:color w:val="000000" w:themeColor="text1"/>
        </w:rPr>
        <w:t xml:space="preserve">n </w:t>
      </w:r>
      <w:r w:rsidR="00DB35F9" w:rsidRPr="00D85334">
        <w:rPr>
          <w:rFonts w:ascii="Cambria" w:hAnsi="Cambria"/>
          <w:color w:val="000000" w:themeColor="text1"/>
        </w:rPr>
        <w:t>a reduction in crimes involving the use or threat of violence, a reduction in drug-related death and disease and a reduction in drug-related ambulance call-outs, emergency admissions and hospitalisations.</w:t>
      </w:r>
      <w:r w:rsidR="00D85334" w:rsidRPr="00D85334">
        <w:rPr>
          <w:rFonts w:ascii="Cambria" w:hAnsi="Cambria" w:cs="Open Sans"/>
          <w:color w:val="000000" w:themeColor="text1"/>
          <w:shd w:val="clear" w:color="auto" w:fill="FFFFFF"/>
        </w:rPr>
        <w:t xml:space="preserve"> </w:t>
      </w:r>
    </w:p>
    <w:p w14:paraId="27F6A3BC" w14:textId="77777777" w:rsidR="00D85334" w:rsidRDefault="00D85334" w:rsidP="00EC003C">
      <w:pPr>
        <w:ind w:right="-347"/>
        <w:jc w:val="both"/>
        <w:rPr>
          <w:rFonts w:ascii="Cambria" w:hAnsi="Cambria" w:cs="Open Sans"/>
          <w:color w:val="000000" w:themeColor="text1"/>
          <w:shd w:val="clear" w:color="auto" w:fill="FFFFFF"/>
        </w:rPr>
      </w:pPr>
    </w:p>
    <w:p w14:paraId="229E8613" w14:textId="258CDC92" w:rsidR="00ED3FFC" w:rsidRPr="00FF15F1" w:rsidRDefault="00D85334" w:rsidP="00EC003C">
      <w:pPr>
        <w:ind w:right="-347"/>
        <w:jc w:val="both"/>
        <w:rPr>
          <w:rFonts w:ascii="Cambria" w:hAnsi="Cambria" w:cs="Open Sans"/>
          <w:color w:val="FF0000"/>
          <w:shd w:val="clear" w:color="auto" w:fill="FFFFFF"/>
        </w:rPr>
      </w:pPr>
      <w:r w:rsidRPr="00D85334">
        <w:rPr>
          <w:rFonts w:ascii="Cambria" w:hAnsi="Cambria" w:cs="Open Sans"/>
          <w:color w:val="000000" w:themeColor="text1"/>
          <w:shd w:val="clear" w:color="auto" w:fill="FFFFFF"/>
        </w:rPr>
        <w:lastRenderedPageBreak/>
        <w:t>T</w:t>
      </w:r>
      <w:r w:rsidR="00EC003C" w:rsidRPr="00D85334">
        <w:rPr>
          <w:rFonts w:ascii="Cambria" w:hAnsi="Cambria" w:cs="Open Sans"/>
          <w:color w:val="000000" w:themeColor="text1"/>
          <w:shd w:val="clear" w:color="auto" w:fill="FFFFFF"/>
        </w:rPr>
        <w:t xml:space="preserve">he report </w:t>
      </w:r>
      <w:r w:rsidRPr="00D85334">
        <w:rPr>
          <w:rFonts w:ascii="Cambria" w:hAnsi="Cambria" w:cs="Open Sans"/>
          <w:color w:val="000000" w:themeColor="text1"/>
          <w:shd w:val="clear" w:color="auto" w:fill="FFFFFF"/>
        </w:rPr>
        <w:t xml:space="preserve">also </w:t>
      </w:r>
      <w:r w:rsidR="00EC003C" w:rsidRPr="00D85334">
        <w:rPr>
          <w:rFonts w:ascii="Cambria" w:hAnsi="Cambria" w:cs="Open Sans"/>
          <w:color w:val="000000" w:themeColor="text1"/>
          <w:shd w:val="clear" w:color="auto" w:fill="FFFFFF"/>
        </w:rPr>
        <w:t>included a cost benefit analysis from Dr Paul Blacklow, an economist at the University of Tasmania who found that if the Portuguese decriminali</w:t>
      </w:r>
      <w:r w:rsidR="003E2878" w:rsidRPr="00D85334">
        <w:rPr>
          <w:rFonts w:ascii="Cambria" w:hAnsi="Cambria" w:cs="Open Sans"/>
          <w:color w:val="000000" w:themeColor="text1"/>
          <w:shd w:val="clear" w:color="auto" w:fill="FFFFFF"/>
        </w:rPr>
        <w:t>s</w:t>
      </w:r>
      <w:r w:rsidR="00EC003C" w:rsidRPr="00D85334">
        <w:rPr>
          <w:rFonts w:ascii="Cambria" w:hAnsi="Cambria" w:cs="Open Sans"/>
          <w:color w:val="000000" w:themeColor="text1"/>
          <w:shd w:val="clear" w:color="auto" w:fill="FFFFFF"/>
        </w:rPr>
        <w:t xml:space="preserve">ation model was any guide, a health focused </w:t>
      </w:r>
      <w:r w:rsidR="00EC003C" w:rsidRPr="009D25D3">
        <w:rPr>
          <w:rFonts w:ascii="Cambria" w:hAnsi="Cambria" w:cs="Open Sans"/>
          <w:color w:val="000000" w:themeColor="text1"/>
          <w:shd w:val="clear" w:color="auto" w:fill="FFFFFF"/>
        </w:rPr>
        <w:t xml:space="preserve">approach to illicit drug use </w:t>
      </w:r>
      <w:r w:rsidR="005E593D" w:rsidRPr="009D25D3">
        <w:rPr>
          <w:rFonts w:ascii="Cambria" w:hAnsi="Cambria" w:cs="Open Sans"/>
          <w:color w:val="000000" w:themeColor="text1"/>
          <w:shd w:val="clear" w:color="auto" w:fill="FFFFFF"/>
        </w:rPr>
        <w:t xml:space="preserve">would </w:t>
      </w:r>
      <w:r w:rsidR="00EC003C" w:rsidRPr="009D25D3">
        <w:rPr>
          <w:rFonts w:ascii="Cambria" w:hAnsi="Cambria" w:cs="Open Sans"/>
          <w:color w:val="000000" w:themeColor="text1"/>
          <w:shd w:val="clear" w:color="auto" w:fill="FFFFFF"/>
        </w:rPr>
        <w:t>likely save tens of millions of dollars annually in Tasmania alone.</w:t>
      </w:r>
      <w:r w:rsidR="00EC003C" w:rsidRPr="009D25D3">
        <w:rPr>
          <w:rFonts w:ascii="Cambria" w:hAnsi="Cambria" w:cs="Arial"/>
          <w:color w:val="000000" w:themeColor="text1"/>
        </w:rPr>
        <w:t xml:space="preserve"> </w:t>
      </w:r>
    </w:p>
    <w:p w14:paraId="33F642D9" w14:textId="77777777" w:rsidR="00FF15F1" w:rsidRDefault="00FF15F1" w:rsidP="00EC003C">
      <w:pPr>
        <w:ind w:right="-347"/>
        <w:jc w:val="both"/>
        <w:rPr>
          <w:rFonts w:ascii="Cambria" w:hAnsi="Cambria" w:cs="Arial"/>
          <w:color w:val="000000" w:themeColor="text1"/>
        </w:rPr>
      </w:pPr>
    </w:p>
    <w:p w14:paraId="097BF160" w14:textId="4246DF6D" w:rsidR="003E2878" w:rsidRPr="009D25D3" w:rsidRDefault="00EC003C" w:rsidP="00EC003C">
      <w:pPr>
        <w:ind w:right="-347"/>
        <w:jc w:val="both"/>
        <w:rPr>
          <w:rFonts w:ascii="Cambria" w:hAnsi="Cambria" w:cs="Arial"/>
          <w:color w:val="000000" w:themeColor="text1"/>
        </w:rPr>
      </w:pPr>
      <w:r w:rsidRPr="009D25D3">
        <w:rPr>
          <w:rFonts w:ascii="Cambria" w:hAnsi="Cambria" w:cs="Arial"/>
          <w:color w:val="000000" w:themeColor="text1"/>
        </w:rPr>
        <w:t>Since</w:t>
      </w:r>
      <w:r w:rsidR="00E56AD4" w:rsidRPr="009D25D3">
        <w:rPr>
          <w:rFonts w:ascii="Cambria" w:hAnsi="Cambria" w:cs="Arial"/>
          <w:color w:val="000000" w:themeColor="text1"/>
        </w:rPr>
        <w:t xml:space="preserve"> our</w:t>
      </w:r>
      <w:r w:rsidRPr="009D25D3">
        <w:rPr>
          <w:rFonts w:ascii="Cambria" w:hAnsi="Cambria" w:cs="Arial"/>
          <w:color w:val="000000" w:themeColor="text1"/>
        </w:rPr>
        <w:t xml:space="preserve"> report was release</w:t>
      </w:r>
      <w:r w:rsidR="003E2878" w:rsidRPr="009D25D3">
        <w:rPr>
          <w:rFonts w:ascii="Cambria" w:hAnsi="Cambria" w:cs="Arial"/>
          <w:color w:val="000000" w:themeColor="text1"/>
        </w:rPr>
        <w:t xml:space="preserve">d in 2017, </w:t>
      </w:r>
      <w:r w:rsidR="003E2878" w:rsidRPr="009D25D3">
        <w:rPr>
          <w:rFonts w:ascii="Cambria" w:hAnsi="Cambria"/>
          <w:color w:val="000000" w:themeColor="text1"/>
        </w:rPr>
        <w:t>the Australian Criminal Intelligence Commission has continued to report increasing seizures, weight of drugs confiscated and arrests. Indeed, in its most recent annual report the ACIC reported:</w:t>
      </w:r>
      <w:r w:rsidR="003E2878" w:rsidRPr="009D25D3">
        <w:rPr>
          <w:rStyle w:val="FootnoteReference"/>
          <w:rFonts w:ascii="Cambria" w:hAnsi="Cambria"/>
          <w:color w:val="000000" w:themeColor="text1"/>
        </w:rPr>
        <w:footnoteReference w:id="2"/>
      </w:r>
    </w:p>
    <w:p w14:paraId="22B45299" w14:textId="7AD179AA" w:rsidR="003E2878" w:rsidRPr="009D25D3" w:rsidRDefault="003E2878" w:rsidP="00EC003C">
      <w:pPr>
        <w:ind w:right="-347"/>
        <w:jc w:val="both"/>
        <w:rPr>
          <w:rFonts w:ascii="Cambria" w:hAnsi="Cambria"/>
          <w:color w:val="000000" w:themeColor="text1"/>
        </w:rPr>
      </w:pPr>
    </w:p>
    <w:p w14:paraId="2B7CE25A" w14:textId="2B4E20F8" w:rsidR="003E2878" w:rsidRPr="009D25D3" w:rsidRDefault="003E2878" w:rsidP="003E2878">
      <w:pPr>
        <w:ind w:left="720" w:right="-347"/>
        <w:jc w:val="both"/>
        <w:rPr>
          <w:rFonts w:ascii="Cambria" w:hAnsi="Cambria"/>
          <w:i/>
          <w:iCs/>
          <w:color w:val="000000" w:themeColor="text1"/>
        </w:rPr>
      </w:pPr>
      <w:r w:rsidRPr="009D25D3">
        <w:rPr>
          <w:rFonts w:ascii="Cambria" w:hAnsi="Cambria"/>
          <w:i/>
          <w:iCs/>
          <w:color w:val="000000" w:themeColor="text1"/>
        </w:rPr>
        <w:t xml:space="preserve">over the last decade, during which time the Australian population increased around 14 per cent: the number of national illicit drug seizures increased 74 per cent; the weight of illicit drugs seized nationally increased 314 per cent; [and] the number of national illicit drug arrests increased 96 per cent. </w:t>
      </w:r>
    </w:p>
    <w:p w14:paraId="4DAF5F5F" w14:textId="77777777" w:rsidR="003E2878" w:rsidRPr="009D25D3" w:rsidRDefault="003E2878" w:rsidP="00EC003C">
      <w:pPr>
        <w:ind w:right="-347"/>
        <w:jc w:val="both"/>
        <w:rPr>
          <w:rFonts w:ascii="Cambria" w:hAnsi="Cambria"/>
          <w:color w:val="000000" w:themeColor="text1"/>
        </w:rPr>
      </w:pPr>
    </w:p>
    <w:p w14:paraId="29216DD1" w14:textId="77777777" w:rsidR="00B23D2D" w:rsidRPr="009D25D3" w:rsidRDefault="003E2878" w:rsidP="00B23D2D">
      <w:pPr>
        <w:ind w:right="-347"/>
        <w:jc w:val="both"/>
        <w:rPr>
          <w:rFonts w:ascii="Cambria" w:hAnsi="Cambria"/>
          <w:color w:val="000000" w:themeColor="text1"/>
        </w:rPr>
      </w:pPr>
      <w:r w:rsidRPr="009D25D3">
        <w:rPr>
          <w:rFonts w:ascii="Cambria" w:hAnsi="Cambria"/>
          <w:color w:val="000000" w:themeColor="text1"/>
        </w:rPr>
        <w:t>In the</w:t>
      </w:r>
      <w:r w:rsidRPr="009D25D3">
        <w:rPr>
          <w:rFonts w:ascii="Cambria" w:eastAsia="Times New Roman" w:hAnsi="Cambria" w:cs="Times New Roman"/>
          <w:color w:val="000000" w:themeColor="text1"/>
        </w:rPr>
        <w:t xml:space="preserve"> ACIC’s own words this equates to 1 illicit drug seizure every 4.5 minutes, 1 kilogram of illicit drugs seized every 14 minutes and 1 illicit drug arrest every 3.5 minutes</w:t>
      </w:r>
      <w:r w:rsidRPr="009D25D3">
        <w:rPr>
          <w:rFonts w:ascii="Cambria" w:hAnsi="Cambria"/>
          <w:color w:val="000000" w:themeColor="text1"/>
        </w:rPr>
        <w:t>.</w:t>
      </w:r>
      <w:r w:rsidRPr="009D25D3">
        <w:rPr>
          <w:rStyle w:val="Bfnref"/>
          <w:rFonts w:ascii="Cambria" w:hAnsi="Cambria"/>
          <w:color w:val="000000" w:themeColor="text1"/>
          <w:sz w:val="24"/>
        </w:rPr>
        <w:footnoteReference w:id="3"/>
      </w:r>
    </w:p>
    <w:p w14:paraId="527DB9D3" w14:textId="77777777" w:rsidR="00B23D2D" w:rsidRPr="009D25D3" w:rsidRDefault="00B23D2D" w:rsidP="00B23D2D">
      <w:pPr>
        <w:ind w:right="-347"/>
        <w:jc w:val="both"/>
        <w:rPr>
          <w:rFonts w:ascii="Cambria" w:hAnsi="Cambria"/>
          <w:color w:val="000000" w:themeColor="text1"/>
        </w:rPr>
      </w:pPr>
    </w:p>
    <w:p w14:paraId="33A18996" w14:textId="342AB40D" w:rsidR="00B23D2D" w:rsidRPr="003965F7" w:rsidRDefault="00B23D2D" w:rsidP="00B23D2D">
      <w:pPr>
        <w:ind w:right="-347"/>
        <w:jc w:val="both"/>
        <w:rPr>
          <w:rFonts w:ascii="Cambria" w:hAnsi="Cambria"/>
          <w:b/>
          <w:bCs/>
          <w:color w:val="000000" w:themeColor="text1"/>
        </w:rPr>
      </w:pPr>
      <w:r w:rsidRPr="003965F7">
        <w:rPr>
          <w:rFonts w:ascii="Cambria" w:hAnsi="Cambria"/>
          <w:b/>
          <w:bCs/>
          <w:color w:val="000000" w:themeColor="text1"/>
        </w:rPr>
        <w:t>Australia’s National Drug Strategy</w:t>
      </w:r>
    </w:p>
    <w:p w14:paraId="0A581D9D" w14:textId="32D14F61" w:rsidR="005E593D" w:rsidRPr="00D85334" w:rsidRDefault="00B23D2D" w:rsidP="005E593D">
      <w:pPr>
        <w:ind w:right="-347"/>
        <w:jc w:val="both"/>
        <w:rPr>
          <w:rFonts w:ascii="Cambria" w:hAnsi="Cambria"/>
          <w:color w:val="000000" w:themeColor="text1"/>
          <w:bdr w:val="none" w:sz="0" w:space="0" w:color="auto" w:frame="1"/>
          <w:shd w:val="clear" w:color="auto" w:fill="FFFFFF"/>
        </w:rPr>
      </w:pPr>
      <w:r w:rsidRPr="00D85334">
        <w:rPr>
          <w:rFonts w:ascii="Cambria" w:hAnsi="Cambria"/>
          <w:color w:val="000000" w:themeColor="text1"/>
          <w:bdr w:val="none" w:sz="0" w:space="0" w:color="auto" w:frame="1"/>
          <w:shd w:val="clear" w:color="auto" w:fill="FFFFFF"/>
        </w:rPr>
        <w:t xml:space="preserve">Harm minimisation is the </w:t>
      </w:r>
      <w:r w:rsidR="00FF15F1" w:rsidRPr="00D85334">
        <w:rPr>
          <w:rFonts w:ascii="Cambria" w:hAnsi="Cambria"/>
          <w:color w:val="000000" w:themeColor="text1"/>
          <w:bdr w:val="none" w:sz="0" w:space="0" w:color="auto" w:frame="1"/>
          <w:shd w:val="clear" w:color="auto" w:fill="FFFFFF"/>
        </w:rPr>
        <w:t>foundation</w:t>
      </w:r>
      <w:r w:rsidRPr="00D85334">
        <w:rPr>
          <w:rFonts w:ascii="Cambria" w:hAnsi="Cambria"/>
          <w:color w:val="000000" w:themeColor="text1"/>
          <w:bdr w:val="none" w:sz="0" w:space="0" w:color="auto" w:frame="1"/>
          <w:shd w:val="clear" w:color="auto" w:fill="FFFFFF"/>
        </w:rPr>
        <w:t xml:space="preserve"> of Australia’s </w:t>
      </w:r>
      <w:r w:rsidRPr="00D85334">
        <w:rPr>
          <w:rFonts w:ascii="Cambria" w:hAnsi="Cambria"/>
          <w:i/>
          <w:iCs/>
          <w:color w:val="000000" w:themeColor="text1"/>
          <w:bdr w:val="none" w:sz="0" w:space="0" w:color="auto" w:frame="1"/>
          <w:shd w:val="clear" w:color="auto" w:fill="FFFFFF"/>
        </w:rPr>
        <w:t>National Drug Strategy 2017-2026</w:t>
      </w:r>
      <w:r w:rsidR="00FF15F1" w:rsidRPr="00D85334">
        <w:rPr>
          <w:rFonts w:ascii="Cambria" w:hAnsi="Cambria"/>
          <w:color w:val="000000" w:themeColor="text1"/>
          <w:bdr w:val="none" w:sz="0" w:space="0" w:color="auto" w:frame="1"/>
          <w:shd w:val="clear" w:color="auto" w:fill="FFFFFF"/>
        </w:rPr>
        <w:t xml:space="preserve"> and </w:t>
      </w:r>
      <w:r w:rsidRPr="00D85334">
        <w:rPr>
          <w:rFonts w:ascii="Cambria" w:hAnsi="Cambria"/>
          <w:color w:val="000000" w:themeColor="text1"/>
          <w:bdr w:val="none" w:sz="0" w:space="0" w:color="auto" w:frame="1"/>
          <w:shd w:val="clear" w:color="auto" w:fill="FFFFFF"/>
        </w:rPr>
        <w:t>is sought to be achieved “th</w:t>
      </w:r>
      <w:r w:rsidR="005525B1" w:rsidRPr="00D85334">
        <w:rPr>
          <w:rFonts w:ascii="Cambria" w:hAnsi="Cambria"/>
          <w:color w:val="000000" w:themeColor="text1"/>
          <w:bdr w:val="none" w:sz="0" w:space="0" w:color="auto" w:frame="1"/>
          <w:shd w:val="clear" w:color="auto" w:fill="FFFFFF"/>
        </w:rPr>
        <w:t>r</w:t>
      </w:r>
      <w:r w:rsidRPr="00D85334">
        <w:rPr>
          <w:rFonts w:ascii="Cambria" w:hAnsi="Cambria"/>
          <w:color w:val="000000" w:themeColor="text1"/>
          <w:bdr w:val="none" w:sz="0" w:space="0" w:color="auto" w:frame="1"/>
          <w:shd w:val="clear" w:color="auto" w:fill="FFFFFF"/>
        </w:rPr>
        <w:t>ough balanced adopt</w:t>
      </w:r>
      <w:r w:rsidR="005D217C" w:rsidRPr="00D85334">
        <w:rPr>
          <w:rFonts w:ascii="Cambria" w:hAnsi="Cambria"/>
          <w:color w:val="000000" w:themeColor="text1"/>
          <w:bdr w:val="none" w:sz="0" w:space="0" w:color="auto" w:frame="1"/>
          <w:shd w:val="clear" w:color="auto" w:fill="FFFFFF"/>
        </w:rPr>
        <w:t>ion of effective demand, supply and harm reduction strategies”.</w:t>
      </w:r>
      <w:r w:rsidRPr="00D85334">
        <w:rPr>
          <w:rStyle w:val="FootnoteReference"/>
          <w:rFonts w:ascii="Cambria" w:hAnsi="Cambria"/>
          <w:color w:val="000000" w:themeColor="text1"/>
          <w:bdr w:val="none" w:sz="0" w:space="0" w:color="auto" w:frame="1"/>
          <w:shd w:val="clear" w:color="auto" w:fill="FFFFFF"/>
        </w:rPr>
        <w:footnoteReference w:id="4"/>
      </w:r>
      <w:r w:rsidR="00B82864" w:rsidRPr="00D85334">
        <w:rPr>
          <w:rFonts w:ascii="Cambria" w:hAnsi="Cambria"/>
          <w:color w:val="000000" w:themeColor="text1"/>
          <w:bdr w:val="none" w:sz="0" w:space="0" w:color="auto" w:frame="1"/>
          <w:shd w:val="clear" w:color="auto" w:fill="FFFFFF"/>
        </w:rPr>
        <w:t xml:space="preserve"> </w:t>
      </w:r>
      <w:r w:rsidR="00FF15F1" w:rsidRPr="00D85334">
        <w:rPr>
          <w:rFonts w:ascii="Cambria" w:hAnsi="Cambria"/>
          <w:color w:val="000000" w:themeColor="text1"/>
          <w:bdr w:val="none" w:sz="0" w:space="0" w:color="auto" w:frame="1"/>
          <w:shd w:val="clear" w:color="auto" w:fill="FFFFFF"/>
        </w:rPr>
        <w:t xml:space="preserve">This includes investment in around </w:t>
      </w:r>
      <w:r w:rsidR="00DA1C88" w:rsidRPr="00D85334">
        <w:rPr>
          <w:rFonts w:ascii="Cambria" w:hAnsi="Cambria"/>
          <w:color w:val="000000" w:themeColor="text1"/>
        </w:rPr>
        <w:t>50 diversion programs offered across Australia including Police Drug Diversion and Court Mandated Diversion in Tasmania.</w:t>
      </w:r>
      <w:r w:rsidR="00DA1C88" w:rsidRPr="00D85334">
        <w:rPr>
          <w:rStyle w:val="Bfnref"/>
          <w:rFonts w:ascii="Cambria" w:hAnsi="Cambria"/>
          <w:color w:val="000000" w:themeColor="text1"/>
          <w:sz w:val="24"/>
        </w:rPr>
        <w:footnoteReference w:id="5"/>
      </w:r>
      <w:r w:rsidR="00DA1C88" w:rsidRPr="00D85334">
        <w:rPr>
          <w:rFonts w:ascii="Cambria" w:hAnsi="Cambria"/>
          <w:color w:val="000000" w:themeColor="text1"/>
        </w:rPr>
        <w:t xml:space="preserve"> </w:t>
      </w:r>
    </w:p>
    <w:p w14:paraId="2532E4A5" w14:textId="77777777" w:rsidR="005E593D" w:rsidRPr="009D25D3" w:rsidRDefault="005E593D" w:rsidP="005E593D">
      <w:pPr>
        <w:ind w:right="-347"/>
        <w:jc w:val="both"/>
        <w:rPr>
          <w:rFonts w:ascii="Cambria" w:hAnsi="Cambria"/>
        </w:rPr>
      </w:pPr>
    </w:p>
    <w:p w14:paraId="7DDDF743" w14:textId="7174B439" w:rsidR="005E593D" w:rsidRPr="009D25D3" w:rsidRDefault="00DA1C88" w:rsidP="005E593D">
      <w:pPr>
        <w:ind w:right="-347"/>
        <w:jc w:val="both"/>
        <w:rPr>
          <w:rFonts w:ascii="Cambria" w:hAnsi="Cambria"/>
        </w:rPr>
      </w:pPr>
      <w:r w:rsidRPr="009D25D3">
        <w:rPr>
          <w:rFonts w:ascii="Cambria" w:hAnsi="Cambria"/>
        </w:rPr>
        <w:t xml:space="preserve">A comprehensive evaluation of police drug diversion undertaken by the </w:t>
      </w:r>
      <w:r w:rsidRPr="009D25D3">
        <w:rPr>
          <w:rFonts w:ascii="Cambria" w:hAnsi="Cambria"/>
          <w:i/>
        </w:rPr>
        <w:t>Australian Institute of Criminology</w:t>
      </w:r>
      <w:r w:rsidRPr="009D25D3">
        <w:rPr>
          <w:rFonts w:ascii="Cambria" w:hAnsi="Cambria"/>
        </w:rPr>
        <w:t xml:space="preserve"> in 2008 found that there was a high rate of compliance with the required education or treatment programs and the majority of participants who were referred to diversion not re-offending in the 12–18 months after being cautioned.</w:t>
      </w:r>
      <w:r w:rsidRPr="009D25D3">
        <w:rPr>
          <w:rStyle w:val="Bfnref"/>
          <w:rFonts w:ascii="Cambria" w:hAnsi="Cambria"/>
          <w:sz w:val="24"/>
        </w:rPr>
        <w:footnoteReference w:id="6"/>
      </w:r>
    </w:p>
    <w:p w14:paraId="57007573" w14:textId="77777777" w:rsidR="005E593D" w:rsidRPr="009D25D3" w:rsidRDefault="005E593D" w:rsidP="005E593D">
      <w:pPr>
        <w:ind w:right="-347"/>
        <w:jc w:val="both"/>
        <w:rPr>
          <w:rFonts w:ascii="Cambria" w:hAnsi="Cambria"/>
        </w:rPr>
      </w:pPr>
    </w:p>
    <w:p w14:paraId="600EAD89" w14:textId="77777777" w:rsidR="00B23D2D" w:rsidRPr="009D25D3" w:rsidRDefault="005E593D" w:rsidP="00B23D2D">
      <w:pPr>
        <w:ind w:right="-347"/>
        <w:jc w:val="both"/>
        <w:rPr>
          <w:rFonts w:ascii="Cambria" w:hAnsi="Cambria"/>
        </w:rPr>
      </w:pPr>
      <w:r w:rsidRPr="009D25D3">
        <w:rPr>
          <w:rFonts w:ascii="Cambria" w:hAnsi="Cambria"/>
        </w:rPr>
        <w:t xml:space="preserve">In relation to court mandated diversion, studies </w:t>
      </w:r>
      <w:r w:rsidR="00C070A8" w:rsidRPr="009D25D3">
        <w:rPr>
          <w:rFonts w:ascii="Cambria" w:hAnsi="Cambria"/>
        </w:rPr>
        <w:t xml:space="preserve">carried out comparing persons sentenced to court mandated diversion with persons who have not undertaken the program. An evaluation of the NSW Drug Court for example, found that when participants in the Drug Court were matched with offenders sentenced to more conventional sentences, Drug Court participants regardless of whether they remained in treatment or were removed from the program, were 17 per cent less likely to be reconvicted for any offence, 30 per cent less likely to be reconvicted for a violent offence and 38 per cent less likely to be reconvicted for a drug offence at any point </w:t>
      </w:r>
      <w:r w:rsidR="00C070A8" w:rsidRPr="009D25D3">
        <w:rPr>
          <w:rFonts w:ascii="Cambria" w:hAnsi="Cambria"/>
        </w:rPr>
        <w:lastRenderedPageBreak/>
        <w:t>during the follow-up period (which averaged 35 months).</w:t>
      </w:r>
      <w:r w:rsidR="00C070A8" w:rsidRPr="009D25D3">
        <w:rPr>
          <w:rStyle w:val="FootnoteReference"/>
          <w:rFonts w:ascii="Cambria" w:hAnsi="Cambria"/>
        </w:rPr>
        <w:footnoteReference w:id="7"/>
      </w:r>
      <w:r w:rsidR="00C070A8" w:rsidRPr="009D25D3">
        <w:rPr>
          <w:rFonts w:ascii="Cambria" w:hAnsi="Cambria"/>
        </w:rPr>
        <w:t xml:space="preserve"> And, when only those Drug Court participants who had completed the program were compared, they were found to be 37 per cent less likely to be reconvicted of any offence, 65 per cent less likely to be reconvicted of an offence against the person, 35 per cent less likely to be reconvicted of a property offence and 58 per cent less likely to be reconvicted of a drug offence.</w:t>
      </w:r>
      <w:r w:rsidR="00C070A8" w:rsidRPr="009D25D3">
        <w:rPr>
          <w:rStyle w:val="FootnoteReference"/>
          <w:rFonts w:ascii="Cambria" w:hAnsi="Cambria"/>
        </w:rPr>
        <w:footnoteReference w:id="8"/>
      </w:r>
    </w:p>
    <w:p w14:paraId="412DEA38" w14:textId="77777777" w:rsidR="00B23D2D" w:rsidRPr="009D25D3" w:rsidRDefault="00B23D2D" w:rsidP="00B23D2D">
      <w:pPr>
        <w:ind w:right="-347"/>
        <w:jc w:val="both"/>
        <w:rPr>
          <w:rFonts w:ascii="Cambria" w:hAnsi="Cambria"/>
        </w:rPr>
      </w:pPr>
    </w:p>
    <w:p w14:paraId="4F4C1007" w14:textId="70F2DC6B" w:rsidR="00E56AD4" w:rsidRPr="00D85334" w:rsidRDefault="00ED3FFC" w:rsidP="00B82864">
      <w:pPr>
        <w:ind w:right="-347"/>
        <w:jc w:val="both"/>
        <w:rPr>
          <w:rFonts w:ascii="Cambria" w:hAnsi="Cambria"/>
          <w:color w:val="000000" w:themeColor="text1"/>
          <w:bdr w:val="none" w:sz="0" w:space="0" w:color="auto" w:frame="1"/>
          <w:shd w:val="clear" w:color="auto" w:fill="FFFFFF"/>
        </w:rPr>
      </w:pPr>
      <w:r w:rsidRPr="00D85334">
        <w:rPr>
          <w:rFonts w:ascii="Cambria" w:hAnsi="Cambria"/>
          <w:color w:val="000000" w:themeColor="text1"/>
        </w:rPr>
        <w:t>Despite the</w:t>
      </w:r>
      <w:r w:rsidR="00D90878" w:rsidRPr="00D85334">
        <w:rPr>
          <w:rFonts w:ascii="Cambria" w:hAnsi="Cambria"/>
          <w:color w:val="000000" w:themeColor="text1"/>
        </w:rPr>
        <w:t xml:space="preserve"> proven </w:t>
      </w:r>
      <w:r w:rsidRPr="00D85334">
        <w:rPr>
          <w:rFonts w:ascii="Cambria" w:hAnsi="Cambria"/>
          <w:color w:val="000000" w:themeColor="text1"/>
        </w:rPr>
        <w:t xml:space="preserve">success of </w:t>
      </w:r>
      <w:r w:rsidR="00D90878" w:rsidRPr="00D85334">
        <w:rPr>
          <w:rFonts w:ascii="Cambria" w:hAnsi="Cambria"/>
          <w:color w:val="000000" w:themeColor="text1"/>
        </w:rPr>
        <w:t>diverting persons who use drugs away from the criminal justice system and into education</w:t>
      </w:r>
      <w:r w:rsidR="008E4730" w:rsidRPr="00D85334">
        <w:rPr>
          <w:rFonts w:ascii="Cambria" w:hAnsi="Cambria"/>
          <w:color w:val="000000" w:themeColor="text1"/>
        </w:rPr>
        <w:t xml:space="preserve">, </w:t>
      </w:r>
      <w:r w:rsidR="00D90878" w:rsidRPr="00D85334">
        <w:rPr>
          <w:rFonts w:ascii="Cambria" w:hAnsi="Cambria"/>
          <w:color w:val="000000" w:themeColor="text1"/>
        </w:rPr>
        <w:t xml:space="preserve">treatment </w:t>
      </w:r>
      <w:r w:rsidR="008E4730" w:rsidRPr="00D85334">
        <w:rPr>
          <w:rFonts w:ascii="Cambria" w:hAnsi="Cambria"/>
          <w:color w:val="000000" w:themeColor="text1"/>
        </w:rPr>
        <w:t xml:space="preserve">and other </w:t>
      </w:r>
      <w:r w:rsidR="00D90878" w:rsidRPr="00D85334">
        <w:rPr>
          <w:rFonts w:ascii="Cambria" w:hAnsi="Cambria"/>
          <w:color w:val="000000" w:themeColor="text1"/>
        </w:rPr>
        <w:t xml:space="preserve">services, the </w:t>
      </w:r>
      <w:r w:rsidR="00D85334">
        <w:rPr>
          <w:rFonts w:ascii="Cambria" w:hAnsi="Cambria"/>
          <w:color w:val="000000" w:themeColor="text1"/>
        </w:rPr>
        <w:t xml:space="preserve">primary </w:t>
      </w:r>
      <w:r w:rsidR="00D90878" w:rsidRPr="00D85334">
        <w:rPr>
          <w:rFonts w:ascii="Cambria" w:hAnsi="Cambria"/>
          <w:color w:val="000000" w:themeColor="text1"/>
        </w:rPr>
        <w:t>focus of Australia</w:t>
      </w:r>
      <w:r w:rsidR="00FF15F1" w:rsidRPr="00D85334">
        <w:rPr>
          <w:rFonts w:ascii="Cambria" w:hAnsi="Cambria"/>
          <w:color w:val="000000" w:themeColor="text1"/>
        </w:rPr>
        <w:t>’s response to</w:t>
      </w:r>
      <w:r w:rsidR="00B82864" w:rsidRPr="00D85334">
        <w:rPr>
          <w:rFonts w:ascii="Cambria" w:hAnsi="Cambria"/>
          <w:color w:val="000000" w:themeColor="text1"/>
        </w:rPr>
        <w:t xml:space="preserve"> illicit drugs continues to be law enforcement with analysis carried out by the National Drug and Alcohol Research Centre finding </w:t>
      </w:r>
      <w:r w:rsidR="00B82864" w:rsidRPr="00D85334">
        <w:rPr>
          <w:rFonts w:ascii="Cambria" w:hAnsi="Cambria"/>
          <w:color w:val="000000" w:themeColor="text1"/>
          <w:bdr w:val="none" w:sz="0" w:space="0" w:color="auto" w:frame="1"/>
          <w:shd w:val="clear" w:color="auto" w:fill="FFFFFF"/>
        </w:rPr>
        <w:t>that nearly two-thirds (64 per cent) of all illicit drug expenditure was directed to law enforcement, with 23 per cent spent on treatment, 10 per cent on prevention, and just 2 per cent on harm reduction.</w:t>
      </w:r>
      <w:r w:rsidR="00B82864" w:rsidRPr="00D85334">
        <w:rPr>
          <w:rStyle w:val="FootnoteReference"/>
          <w:rFonts w:ascii="Cambria" w:hAnsi="Cambria"/>
          <w:color w:val="000000" w:themeColor="text1"/>
          <w:bdr w:val="none" w:sz="0" w:space="0" w:color="auto" w:frame="1"/>
          <w:shd w:val="clear" w:color="auto" w:fill="FFFFFF"/>
        </w:rPr>
        <w:footnoteReference w:id="9"/>
      </w:r>
      <w:r w:rsidR="00B82864" w:rsidRPr="00D85334">
        <w:rPr>
          <w:rFonts w:ascii="Cambria" w:hAnsi="Cambria"/>
          <w:color w:val="000000" w:themeColor="text1"/>
          <w:bdr w:val="none" w:sz="0" w:space="0" w:color="auto" w:frame="1"/>
          <w:shd w:val="clear" w:color="auto" w:fill="FFFFFF"/>
        </w:rPr>
        <w:t xml:space="preserve"> </w:t>
      </w:r>
    </w:p>
    <w:p w14:paraId="6BC2E7C0" w14:textId="2F41AE8E" w:rsidR="00E56AD4" w:rsidRPr="009D25D3" w:rsidRDefault="00E56AD4" w:rsidP="00B82864">
      <w:pPr>
        <w:ind w:right="-347"/>
        <w:jc w:val="both"/>
        <w:rPr>
          <w:rFonts w:ascii="Cambria" w:hAnsi="Cambria"/>
          <w:color w:val="000000" w:themeColor="text1"/>
          <w:bdr w:val="none" w:sz="0" w:space="0" w:color="auto" w:frame="1"/>
          <w:shd w:val="clear" w:color="auto" w:fill="FFFFFF"/>
        </w:rPr>
      </w:pPr>
    </w:p>
    <w:p w14:paraId="56592219" w14:textId="14562000" w:rsidR="00B84AEA" w:rsidRPr="009D25D3" w:rsidRDefault="00B84AEA" w:rsidP="00B84AEA">
      <w:pPr>
        <w:ind w:right="-347" w:firstLine="720"/>
        <w:jc w:val="both"/>
        <w:rPr>
          <w:rFonts w:ascii="Cambria" w:hAnsi="Cambria"/>
          <w:color w:val="000000" w:themeColor="text1"/>
          <w:bdr w:val="none" w:sz="0" w:space="0" w:color="auto" w:frame="1"/>
          <w:shd w:val="clear" w:color="auto" w:fill="FFFFFF"/>
        </w:rPr>
      </w:pPr>
      <w:r w:rsidRPr="009D25D3">
        <w:rPr>
          <w:rFonts w:ascii="Cambria" w:hAnsi="Cambria"/>
          <w:color w:val="000000" w:themeColor="text1"/>
          <w:bdr w:val="none" w:sz="0" w:space="0" w:color="auto" w:frame="1"/>
          <w:shd w:val="clear" w:color="auto" w:fill="FFFFFF"/>
        </w:rPr>
        <w:t xml:space="preserve">- </w:t>
      </w:r>
      <w:r w:rsidRPr="009D25D3">
        <w:rPr>
          <w:rFonts w:ascii="Cambria" w:hAnsi="Cambria"/>
          <w:b/>
          <w:bCs/>
          <w:i/>
          <w:iCs/>
          <w:color w:val="000000" w:themeColor="text1"/>
          <w:bdr w:val="none" w:sz="0" w:space="0" w:color="auto" w:frame="1"/>
          <w:shd w:val="clear" w:color="auto" w:fill="FFFFFF"/>
        </w:rPr>
        <w:t>Focus on Law Enforcement</w:t>
      </w:r>
      <w:r w:rsidRPr="009D25D3">
        <w:rPr>
          <w:rFonts w:ascii="Cambria" w:hAnsi="Cambria"/>
          <w:color w:val="000000" w:themeColor="text1"/>
          <w:bdr w:val="none" w:sz="0" w:space="0" w:color="auto" w:frame="1"/>
          <w:shd w:val="clear" w:color="auto" w:fill="FFFFFF"/>
        </w:rPr>
        <w:t xml:space="preserve"> </w:t>
      </w:r>
    </w:p>
    <w:p w14:paraId="23BE12A6" w14:textId="2AF54343" w:rsidR="00B84AEA" w:rsidRPr="009D25D3" w:rsidRDefault="003E1DD9" w:rsidP="00B84AEA">
      <w:pPr>
        <w:ind w:right="-347"/>
        <w:jc w:val="both"/>
        <w:rPr>
          <w:rFonts w:ascii="Cambria" w:hAnsi="Cambria"/>
          <w:color w:val="000000" w:themeColor="text1"/>
          <w:bdr w:val="none" w:sz="0" w:space="0" w:color="auto" w:frame="1"/>
          <w:shd w:val="clear" w:color="auto" w:fill="FFFFFF"/>
        </w:rPr>
      </w:pPr>
      <w:r w:rsidRPr="009D25D3">
        <w:rPr>
          <w:rFonts w:ascii="Cambria" w:hAnsi="Cambria"/>
          <w:color w:val="000000" w:themeColor="text1"/>
          <w:bdr w:val="none" w:sz="0" w:space="0" w:color="auto" w:frame="1"/>
          <w:shd w:val="clear" w:color="auto" w:fill="FFFFFF"/>
        </w:rPr>
        <w:t xml:space="preserve">The focus on law enforcement </w:t>
      </w:r>
      <w:r w:rsidR="00D85334" w:rsidRPr="009D25D3">
        <w:rPr>
          <w:rFonts w:ascii="Cambria" w:hAnsi="Cambria"/>
          <w:color w:val="000000" w:themeColor="text1"/>
          <w:bdr w:val="none" w:sz="0" w:space="0" w:color="auto" w:frame="1"/>
          <w:shd w:val="clear" w:color="auto" w:fill="FFFFFF"/>
        </w:rPr>
        <w:t xml:space="preserve">to address illicit drug use </w:t>
      </w:r>
      <w:r w:rsidRPr="009D25D3">
        <w:rPr>
          <w:rFonts w:ascii="Cambria" w:hAnsi="Cambria"/>
          <w:color w:val="000000" w:themeColor="text1"/>
          <w:bdr w:val="none" w:sz="0" w:space="0" w:color="auto" w:frame="1"/>
          <w:shd w:val="clear" w:color="auto" w:fill="FFFFFF"/>
        </w:rPr>
        <w:t xml:space="preserve">rather than more effective harm minimisation measures such as education and treatment is best exemplified in the </w:t>
      </w:r>
      <w:r w:rsidR="00B84AEA" w:rsidRPr="009D25D3">
        <w:rPr>
          <w:rFonts w:ascii="Cambria" w:hAnsi="Cambria"/>
          <w:color w:val="000000" w:themeColor="text1"/>
          <w:shd w:val="clear" w:color="auto" w:fill="FFFFFF"/>
        </w:rPr>
        <w:t xml:space="preserve">significant under-investment in alcohol and other drug (AOD) treatment. A review of AOD treatment services in Australia commissioned by the Australian Government </w:t>
      </w:r>
      <w:r w:rsidRPr="009D25D3">
        <w:rPr>
          <w:rFonts w:ascii="Cambria" w:hAnsi="Cambria"/>
          <w:color w:val="000000" w:themeColor="text1"/>
          <w:shd w:val="clear" w:color="auto" w:fill="FFFFFF"/>
        </w:rPr>
        <w:t xml:space="preserve">in 2014 </w:t>
      </w:r>
      <w:r w:rsidR="00B84AEA" w:rsidRPr="009D25D3">
        <w:rPr>
          <w:rFonts w:ascii="Cambria" w:hAnsi="Cambria"/>
          <w:color w:val="000000" w:themeColor="text1"/>
          <w:shd w:val="clear" w:color="auto" w:fill="FFFFFF"/>
        </w:rPr>
        <w:t>found that nationally, treatment places would need to double to meet demand.</w:t>
      </w:r>
      <w:r w:rsidR="00B84AEA" w:rsidRPr="009D25D3">
        <w:rPr>
          <w:rStyle w:val="FootnoteReference"/>
          <w:rFonts w:ascii="Cambria" w:hAnsi="Cambria"/>
          <w:color w:val="000000" w:themeColor="text1"/>
          <w:shd w:val="clear" w:color="auto" w:fill="FFFFFF"/>
        </w:rPr>
        <w:footnoteReference w:id="10"/>
      </w:r>
      <w:r w:rsidR="00B84AEA" w:rsidRPr="009D25D3">
        <w:rPr>
          <w:rFonts w:ascii="Cambria" w:hAnsi="Cambria"/>
          <w:color w:val="000000" w:themeColor="text1"/>
          <w:shd w:val="clear" w:color="auto" w:fill="FFFFFF"/>
        </w:rPr>
        <w:t xml:space="preserve"> </w:t>
      </w:r>
      <w:r w:rsidR="00B84AEA" w:rsidRPr="009D25D3">
        <w:rPr>
          <w:rFonts w:ascii="Cambria" w:hAnsi="Cambria"/>
          <w:color w:val="000000" w:themeColor="text1"/>
          <w:bdr w:val="none" w:sz="0" w:space="0" w:color="auto" w:frame="1"/>
          <w:shd w:val="clear" w:color="auto" w:fill="FFFFFF"/>
        </w:rPr>
        <w:t>The review estimated that approximately 200,000 people receive AOD treatment in any one year in Australia, but that the unmet demand for AOD treatment was conservatively estimated to be up to 500,000 people over and above those in treatment in any one year.</w:t>
      </w:r>
      <w:r w:rsidR="00B84AEA" w:rsidRPr="009D25D3">
        <w:rPr>
          <w:rStyle w:val="FootnoteReference"/>
          <w:rFonts w:ascii="Cambria" w:hAnsi="Cambria"/>
          <w:color w:val="000000" w:themeColor="text1"/>
          <w:bdr w:val="none" w:sz="0" w:space="0" w:color="auto" w:frame="1"/>
          <w:shd w:val="clear" w:color="auto" w:fill="FFFFFF"/>
        </w:rPr>
        <w:footnoteReference w:id="11"/>
      </w:r>
      <w:r w:rsidR="00B84AEA" w:rsidRPr="009D25D3">
        <w:rPr>
          <w:rFonts w:ascii="Cambria" w:hAnsi="Cambria"/>
          <w:color w:val="000000" w:themeColor="text1"/>
          <w:bdr w:val="none" w:sz="0" w:space="0" w:color="auto" w:frame="1"/>
          <w:shd w:val="clear" w:color="auto" w:fill="FFFFFF"/>
        </w:rPr>
        <w:t xml:space="preserve"> In Tasmania, a review </w:t>
      </w:r>
      <w:r w:rsidRPr="009D25D3">
        <w:rPr>
          <w:rFonts w:ascii="Cambria" w:hAnsi="Cambria"/>
          <w:color w:val="000000" w:themeColor="text1"/>
          <w:bdr w:val="none" w:sz="0" w:space="0" w:color="auto" w:frame="1"/>
          <w:shd w:val="clear" w:color="auto" w:fill="FFFFFF"/>
        </w:rPr>
        <w:t xml:space="preserve">carried out in 2017 </w:t>
      </w:r>
      <w:r w:rsidR="00B84AEA" w:rsidRPr="009D25D3">
        <w:rPr>
          <w:rFonts w:ascii="Cambria" w:hAnsi="Cambria"/>
          <w:color w:val="000000" w:themeColor="text1"/>
          <w:bdr w:val="none" w:sz="0" w:space="0" w:color="auto" w:frame="1"/>
          <w:shd w:val="clear" w:color="auto" w:fill="FFFFFF"/>
        </w:rPr>
        <w:t>found that 2,791 Tasmanians received treatment in 2018-19 but that an estimated 12,767 required treatment, leading the authors to conclude that “there is a significant number of Tasmanians who may need some form of AOD treatment who for a variety of reasons are not currently receiving treatment”.</w:t>
      </w:r>
      <w:r w:rsidR="00B84AEA" w:rsidRPr="009D25D3">
        <w:rPr>
          <w:rStyle w:val="FootnoteReference"/>
          <w:rFonts w:ascii="Cambria" w:hAnsi="Cambria"/>
          <w:color w:val="000000" w:themeColor="text1"/>
          <w:bdr w:val="none" w:sz="0" w:space="0" w:color="auto" w:frame="1"/>
          <w:shd w:val="clear" w:color="auto" w:fill="FFFFFF"/>
        </w:rPr>
        <w:footnoteReference w:id="12"/>
      </w:r>
      <w:r w:rsidR="00B84AEA" w:rsidRPr="009D25D3">
        <w:rPr>
          <w:rFonts w:ascii="Cambria" w:hAnsi="Cambria"/>
          <w:color w:val="000000" w:themeColor="text1"/>
          <w:bdr w:val="none" w:sz="0" w:space="0" w:color="auto" w:frame="1"/>
          <w:shd w:val="clear" w:color="auto" w:fill="FFFFFF"/>
        </w:rPr>
        <w:t xml:space="preserve">  </w:t>
      </w:r>
    </w:p>
    <w:p w14:paraId="222DB905" w14:textId="4F3D8FFE" w:rsidR="00B84AEA" w:rsidRPr="009D25D3" w:rsidRDefault="00B84AEA" w:rsidP="00B82864">
      <w:pPr>
        <w:ind w:right="-347"/>
        <w:jc w:val="both"/>
        <w:rPr>
          <w:rFonts w:ascii="Cambria" w:hAnsi="Cambria"/>
          <w:color w:val="000000" w:themeColor="text1"/>
          <w:bdr w:val="none" w:sz="0" w:space="0" w:color="auto" w:frame="1"/>
          <w:shd w:val="clear" w:color="auto" w:fill="FFFFFF"/>
        </w:rPr>
      </w:pPr>
    </w:p>
    <w:p w14:paraId="07C9D8EC" w14:textId="6210214B" w:rsidR="003E1DD9" w:rsidRPr="003965F7" w:rsidRDefault="003E1DD9" w:rsidP="00B82864">
      <w:pPr>
        <w:ind w:right="-347"/>
        <w:jc w:val="both"/>
        <w:rPr>
          <w:rFonts w:ascii="Cambria" w:hAnsi="Cambria"/>
          <w:b/>
          <w:bCs/>
          <w:color w:val="000000" w:themeColor="text1"/>
          <w:bdr w:val="none" w:sz="0" w:space="0" w:color="auto" w:frame="1"/>
          <w:shd w:val="clear" w:color="auto" w:fill="FFFFFF"/>
        </w:rPr>
      </w:pPr>
      <w:r w:rsidRPr="003965F7">
        <w:rPr>
          <w:rFonts w:ascii="Cambria" w:hAnsi="Cambria"/>
          <w:b/>
          <w:bCs/>
          <w:color w:val="000000" w:themeColor="text1"/>
          <w:bdr w:val="none" w:sz="0" w:space="0" w:color="auto" w:frame="1"/>
          <w:shd w:val="clear" w:color="auto" w:fill="FFFFFF"/>
        </w:rPr>
        <w:t xml:space="preserve">Decriminalisation </w:t>
      </w:r>
    </w:p>
    <w:p w14:paraId="73061995" w14:textId="77777777" w:rsidR="004D2863" w:rsidRPr="009D25D3" w:rsidRDefault="00B82864" w:rsidP="004D2863">
      <w:pPr>
        <w:ind w:right="-347"/>
        <w:jc w:val="both"/>
        <w:rPr>
          <w:rFonts w:ascii="Cambria" w:hAnsi="Cambria" w:cs="Open Sans"/>
          <w:color w:val="000000" w:themeColor="text1"/>
          <w:shd w:val="clear" w:color="auto" w:fill="FFFFFF"/>
        </w:rPr>
      </w:pPr>
      <w:r w:rsidRPr="009D25D3">
        <w:rPr>
          <w:rFonts w:ascii="Cambria" w:hAnsi="Cambria"/>
          <w:color w:val="000000" w:themeColor="text1"/>
          <w:bdr w:val="none" w:sz="0" w:space="0" w:color="auto" w:frame="1"/>
          <w:shd w:val="clear" w:color="auto" w:fill="FFFFFF"/>
        </w:rPr>
        <w:t xml:space="preserve">The failure of our current law enforcement approach to illicit drug use has seen </w:t>
      </w:r>
      <w:r w:rsidR="004631AF" w:rsidRPr="009D25D3">
        <w:rPr>
          <w:rFonts w:ascii="Cambria" w:hAnsi="Cambria"/>
          <w:color w:val="000000" w:themeColor="text1"/>
          <w:bdr w:val="none" w:sz="0" w:space="0" w:color="auto" w:frame="1"/>
          <w:shd w:val="clear" w:color="auto" w:fill="FFFFFF"/>
        </w:rPr>
        <w:t>jurisdictions</w:t>
      </w:r>
      <w:r w:rsidRPr="009D25D3">
        <w:rPr>
          <w:rFonts w:ascii="Cambria" w:hAnsi="Cambria"/>
          <w:color w:val="000000" w:themeColor="text1"/>
          <w:bdr w:val="none" w:sz="0" w:space="0" w:color="auto" w:frame="1"/>
          <w:shd w:val="clear" w:color="auto" w:fill="FFFFFF"/>
        </w:rPr>
        <w:t xml:space="preserve"> across Australia and the world consider</w:t>
      </w:r>
      <w:r w:rsidR="009F3546" w:rsidRPr="009D25D3">
        <w:rPr>
          <w:rFonts w:ascii="Cambria" w:hAnsi="Cambria"/>
          <w:color w:val="000000" w:themeColor="text1"/>
          <w:bdr w:val="none" w:sz="0" w:space="0" w:color="auto" w:frame="1"/>
          <w:shd w:val="clear" w:color="auto" w:fill="FFFFFF"/>
        </w:rPr>
        <w:t xml:space="preserve"> </w:t>
      </w:r>
      <w:r w:rsidRPr="009D25D3">
        <w:rPr>
          <w:rFonts w:ascii="Cambria" w:hAnsi="Cambria"/>
          <w:color w:val="000000" w:themeColor="text1"/>
          <w:bdr w:val="none" w:sz="0" w:space="0" w:color="auto" w:frame="1"/>
          <w:shd w:val="clear" w:color="auto" w:fill="FFFFFF"/>
        </w:rPr>
        <w:t>alternatives</w:t>
      </w:r>
      <w:r w:rsidR="004D2863" w:rsidRPr="009D25D3">
        <w:rPr>
          <w:rFonts w:ascii="Cambria" w:hAnsi="Cambria"/>
          <w:color w:val="000000" w:themeColor="text1"/>
          <w:bdr w:val="none" w:sz="0" w:space="0" w:color="auto" w:frame="1"/>
          <w:shd w:val="clear" w:color="auto" w:fill="FFFFFF"/>
        </w:rPr>
        <w:t xml:space="preserve"> including</w:t>
      </w:r>
      <w:r w:rsidRPr="009D25D3">
        <w:rPr>
          <w:rFonts w:ascii="Cambria" w:hAnsi="Cambria"/>
        </w:rPr>
        <w:t xml:space="preserve"> the adoption of </w:t>
      </w:r>
      <w:r w:rsidR="005E593D" w:rsidRPr="009D25D3">
        <w:rPr>
          <w:rFonts w:ascii="Cambria" w:hAnsi="Cambria"/>
        </w:rPr>
        <w:t xml:space="preserve">a model in which </w:t>
      </w:r>
      <w:r w:rsidR="005E593D" w:rsidRPr="009D25D3">
        <w:rPr>
          <w:rFonts w:ascii="Cambria" w:hAnsi="Cambria" w:cs="Open Sans"/>
          <w:color w:val="000000" w:themeColor="text1"/>
          <w:shd w:val="clear" w:color="auto" w:fill="FFFFFF"/>
        </w:rPr>
        <w:t xml:space="preserve">all drug use </w:t>
      </w:r>
      <w:r w:rsidR="005E593D" w:rsidRPr="009D25D3">
        <w:rPr>
          <w:rFonts w:ascii="Cambria" w:hAnsi="Cambria" w:cs="Open Sans"/>
          <w:shd w:val="clear" w:color="auto" w:fill="FFFFFF"/>
        </w:rPr>
        <w:t>is</w:t>
      </w:r>
      <w:r w:rsidR="005E593D" w:rsidRPr="009D25D3">
        <w:rPr>
          <w:rFonts w:ascii="Cambria" w:hAnsi="Cambria" w:cs="Open Sans"/>
          <w:color w:val="000000" w:themeColor="text1"/>
          <w:shd w:val="clear" w:color="auto" w:fill="FFFFFF"/>
        </w:rPr>
        <w:t xml:space="preserve"> treated as a health rather than a criminal justice issue.</w:t>
      </w:r>
    </w:p>
    <w:p w14:paraId="12F01756" w14:textId="6BD48A84" w:rsidR="004D2863" w:rsidRDefault="004D2863" w:rsidP="004D2863">
      <w:pPr>
        <w:ind w:right="-347"/>
        <w:jc w:val="both"/>
        <w:rPr>
          <w:rFonts w:ascii="Cambria" w:hAnsi="Cambria" w:cs="Open Sans"/>
          <w:color w:val="000000" w:themeColor="text1"/>
          <w:shd w:val="clear" w:color="auto" w:fill="FFFFFF"/>
        </w:rPr>
      </w:pPr>
    </w:p>
    <w:p w14:paraId="53D2E62F" w14:textId="5CD57935" w:rsidR="00FF15F1" w:rsidRDefault="00FF15F1" w:rsidP="004D2863">
      <w:pPr>
        <w:ind w:right="-347"/>
        <w:jc w:val="both"/>
        <w:rPr>
          <w:rFonts w:ascii="Cambria" w:hAnsi="Cambria" w:cs="Open Sans"/>
          <w:color w:val="000000" w:themeColor="text1"/>
          <w:shd w:val="clear" w:color="auto" w:fill="FFFFFF"/>
        </w:rPr>
      </w:pPr>
    </w:p>
    <w:p w14:paraId="09C75F6A" w14:textId="4F789CCA" w:rsidR="004D2863" w:rsidRPr="009D25D3" w:rsidRDefault="00D85334" w:rsidP="00D85334">
      <w:pPr>
        <w:ind w:firstLine="720"/>
        <w:rPr>
          <w:rFonts w:ascii="Cambria" w:hAnsi="Cambria"/>
          <w:b/>
          <w:bCs/>
          <w:i/>
          <w:iCs/>
        </w:rPr>
      </w:pPr>
      <w:r>
        <w:rPr>
          <w:rFonts w:ascii="Cambria" w:hAnsi="Cambria"/>
          <w:b/>
          <w:bCs/>
          <w:i/>
          <w:iCs/>
        </w:rPr>
        <w:lastRenderedPageBreak/>
        <w:t xml:space="preserve">- </w:t>
      </w:r>
      <w:r w:rsidR="004D2863" w:rsidRPr="009D25D3">
        <w:rPr>
          <w:rFonts w:ascii="Cambria" w:hAnsi="Cambria"/>
          <w:b/>
          <w:bCs/>
          <w:i/>
          <w:iCs/>
        </w:rPr>
        <w:t>Australian Parliamentary Joint Committee on Law Enforcement</w:t>
      </w:r>
    </w:p>
    <w:p w14:paraId="7B2C70F5" w14:textId="63165322" w:rsidR="004D2863" w:rsidRPr="009D25D3" w:rsidRDefault="00AF7B65" w:rsidP="004D2863">
      <w:pPr>
        <w:ind w:right="-347"/>
        <w:jc w:val="both"/>
        <w:rPr>
          <w:rFonts w:ascii="Cambria" w:hAnsi="Cambria"/>
        </w:rPr>
      </w:pPr>
      <w:r w:rsidRPr="009D25D3">
        <w:rPr>
          <w:rFonts w:ascii="Cambria" w:hAnsi="Cambria"/>
        </w:rPr>
        <w:t xml:space="preserve">In March 2018 </w:t>
      </w:r>
      <w:r w:rsidR="00B27566" w:rsidRPr="009D25D3">
        <w:rPr>
          <w:rFonts w:ascii="Cambria" w:hAnsi="Cambria"/>
        </w:rPr>
        <w:t xml:space="preserve">as part of its </w:t>
      </w:r>
      <w:r w:rsidRPr="009D25D3">
        <w:rPr>
          <w:rFonts w:ascii="Cambria" w:hAnsi="Cambria"/>
          <w:i/>
          <w:iCs/>
        </w:rPr>
        <w:t>Inquiry into crystal methamphetamine</w:t>
      </w:r>
      <w:r w:rsidR="00B27566" w:rsidRPr="009D25D3">
        <w:rPr>
          <w:rFonts w:ascii="Cambria" w:hAnsi="Cambria"/>
          <w:i/>
          <w:iCs/>
        </w:rPr>
        <w:t xml:space="preserve"> (ice)</w:t>
      </w:r>
      <w:r w:rsidRPr="009D25D3">
        <w:rPr>
          <w:rStyle w:val="FootnoteReference"/>
          <w:rFonts w:ascii="Cambria" w:hAnsi="Cambria"/>
        </w:rPr>
        <w:footnoteReference w:id="13"/>
      </w:r>
      <w:r w:rsidR="00B27566" w:rsidRPr="009D25D3">
        <w:rPr>
          <w:rFonts w:ascii="Cambria" w:hAnsi="Cambria"/>
        </w:rPr>
        <w:t xml:space="preserve"> the</w:t>
      </w:r>
      <w:r w:rsidR="005E593D" w:rsidRPr="009D25D3">
        <w:rPr>
          <w:rFonts w:ascii="Cambria" w:hAnsi="Cambria"/>
        </w:rPr>
        <w:t xml:space="preserve"> </w:t>
      </w:r>
      <w:r w:rsidR="00B27566" w:rsidRPr="009D25D3">
        <w:rPr>
          <w:rFonts w:ascii="Cambria" w:hAnsi="Cambria"/>
        </w:rPr>
        <w:t>Parliamentary Joint Committee on Law Enforcement visited Portugal to inquire into their decriminalis</w:t>
      </w:r>
      <w:r w:rsidR="00D85334">
        <w:rPr>
          <w:rFonts w:ascii="Cambria" w:hAnsi="Cambria"/>
        </w:rPr>
        <w:t>ation</w:t>
      </w:r>
      <w:r w:rsidR="00B27566" w:rsidRPr="009D25D3">
        <w:rPr>
          <w:rFonts w:ascii="Cambria" w:hAnsi="Cambria"/>
        </w:rPr>
        <w:t xml:space="preserve"> model. After meeting with a range of experts the committee made the following observations: </w:t>
      </w:r>
    </w:p>
    <w:p w14:paraId="5FF34CD4" w14:textId="77777777" w:rsidR="004D2863" w:rsidRPr="009D25D3" w:rsidRDefault="004D2863" w:rsidP="004D2863">
      <w:pPr>
        <w:pStyle w:val="NormalWeb"/>
        <w:ind w:left="720"/>
        <w:jc w:val="both"/>
        <w:rPr>
          <w:rFonts w:ascii="Cambria" w:hAnsi="Cambria"/>
          <w:i/>
          <w:iCs/>
        </w:rPr>
      </w:pPr>
      <w:r w:rsidRPr="009D25D3">
        <w:rPr>
          <w:rFonts w:ascii="Cambria" w:hAnsi="Cambria"/>
          <w:i/>
          <w:iCs/>
        </w:rPr>
        <w:t xml:space="preserve">6.91 The committee's visit to Portugal provided it with valuable insight into that country's decriminalised drug framework. The Portuguese model offers an alternative to criminalisation and the "war on drugs". Whilst maintaining criminal sanctions against individuals and organised crime groups responsible for the trafficking of drugs, Portugal's drug users are treated with compassion. They are supported by police and the CDTs to receive education about the harms of drug use and attend voluntary treatment. Portugal has created an environment the purpose of which is to improve drug users' health, irrespective of whether or not they continue to use drugs, and that enables drug users to pursue treatment for their drug use without fear of criminal sanctions. The Portuguese drug framework has reduced the spread of HIV/AIDS and improved mortality rates, and appears to have the support of law enforcement agencies. </w:t>
      </w:r>
    </w:p>
    <w:p w14:paraId="13D75B27" w14:textId="77777777" w:rsidR="004D2863" w:rsidRPr="009D25D3" w:rsidRDefault="004D2863" w:rsidP="004D2863">
      <w:pPr>
        <w:pStyle w:val="NormalWeb"/>
        <w:ind w:left="720"/>
        <w:jc w:val="both"/>
        <w:rPr>
          <w:rFonts w:ascii="Cambria" w:hAnsi="Cambria"/>
          <w:i/>
          <w:iCs/>
        </w:rPr>
      </w:pPr>
      <w:r w:rsidRPr="009D25D3">
        <w:rPr>
          <w:rFonts w:ascii="Cambria" w:hAnsi="Cambria"/>
          <w:i/>
          <w:iCs/>
        </w:rPr>
        <w:t xml:space="preserve">6.92 While decriminalised drug policies are demonstrated to have a positive impact on health outcomes for drug users, decriminalisation is not a "silver bullet". Reform to decriminalise drug use must occur in conjunction with investment in treatment services to ensure drug users are able to transition into treatment services without delay. The committee agrees with analyses that attribute the success of Portugal's approach to this combination of drug law reform and investment in treatment services. </w:t>
      </w:r>
    </w:p>
    <w:p w14:paraId="4ADAEA6D" w14:textId="77777777" w:rsidR="004D2863" w:rsidRPr="009D25D3" w:rsidRDefault="00B27566" w:rsidP="004D2863">
      <w:pPr>
        <w:ind w:right="-347"/>
        <w:jc w:val="both"/>
        <w:rPr>
          <w:rFonts w:ascii="Cambria" w:hAnsi="Cambria"/>
          <w:color w:val="000000" w:themeColor="text1"/>
          <w:bdr w:val="none" w:sz="0" w:space="0" w:color="auto" w:frame="1"/>
          <w:shd w:val="clear" w:color="auto" w:fill="FFFFFF"/>
        </w:rPr>
      </w:pPr>
      <w:r w:rsidRPr="009D25D3">
        <w:rPr>
          <w:rFonts w:ascii="Cambria" w:hAnsi="Cambria"/>
        </w:rPr>
        <w:t>Whilst the Committee was unable to reach a concluded view on the appropriateness of decriminalisation it conceded that “the current approach in Australia is not working” and recommended the adoption of a model which would shift “the focus on methamphetamine from a law enforcement problem to a health issue within an environment where treatment and support are readily available and without stigmatisation”.</w:t>
      </w:r>
      <w:r w:rsidRPr="009D25D3">
        <w:rPr>
          <w:rStyle w:val="FootnoteReference"/>
          <w:rFonts w:ascii="Cambria" w:hAnsi="Cambria"/>
        </w:rPr>
        <w:footnoteReference w:id="14"/>
      </w:r>
      <w:r w:rsidRPr="009D25D3">
        <w:rPr>
          <w:rFonts w:ascii="Cambria" w:hAnsi="Cambria"/>
        </w:rPr>
        <w:t xml:space="preserve"> </w:t>
      </w:r>
    </w:p>
    <w:p w14:paraId="45A5B83A" w14:textId="77777777" w:rsidR="004D2863" w:rsidRPr="009D25D3" w:rsidRDefault="004D2863" w:rsidP="004D2863">
      <w:pPr>
        <w:ind w:right="-347"/>
        <w:jc w:val="both"/>
        <w:rPr>
          <w:rFonts w:ascii="Cambria" w:hAnsi="Cambria"/>
          <w:color w:val="000000" w:themeColor="text1"/>
          <w:bdr w:val="none" w:sz="0" w:space="0" w:color="auto" w:frame="1"/>
          <w:shd w:val="clear" w:color="auto" w:fill="FFFFFF"/>
        </w:rPr>
      </w:pPr>
    </w:p>
    <w:p w14:paraId="76DE5A82" w14:textId="6A949948" w:rsidR="004D2863" w:rsidRPr="009D25D3" w:rsidRDefault="004D2863" w:rsidP="004D2863">
      <w:pPr>
        <w:ind w:firstLine="720"/>
        <w:jc w:val="both"/>
        <w:rPr>
          <w:rFonts w:ascii="Cambria" w:hAnsi="Cambria"/>
          <w:b/>
          <w:bCs/>
          <w:i/>
          <w:iCs/>
        </w:rPr>
      </w:pPr>
      <w:r w:rsidRPr="009D25D3">
        <w:rPr>
          <w:rFonts w:ascii="Cambria" w:hAnsi="Cambria"/>
          <w:b/>
          <w:bCs/>
          <w:i/>
          <w:iCs/>
        </w:rPr>
        <w:t>- Victorian Law Reform, Road and Community Safety Committee</w:t>
      </w:r>
    </w:p>
    <w:p w14:paraId="7880CF15" w14:textId="77777777" w:rsidR="004D2863" w:rsidRPr="009D25D3" w:rsidRDefault="00B27566" w:rsidP="004D2863">
      <w:pPr>
        <w:ind w:right="-347"/>
        <w:jc w:val="both"/>
        <w:rPr>
          <w:rFonts w:ascii="Cambria" w:hAnsi="Cambria"/>
          <w:color w:val="000000" w:themeColor="text1"/>
          <w:bdr w:val="none" w:sz="0" w:space="0" w:color="auto" w:frame="1"/>
          <w:shd w:val="clear" w:color="auto" w:fill="FFFFFF"/>
        </w:rPr>
      </w:pPr>
      <w:r w:rsidRPr="009D25D3">
        <w:rPr>
          <w:rFonts w:ascii="Cambria" w:hAnsi="Cambria"/>
        </w:rPr>
        <w:t xml:space="preserve">In Victoria during 2018 the Law Reform, Road and Community Safety Committee handed down a major report into drug law reform entitled </w:t>
      </w:r>
      <w:r w:rsidRPr="009D25D3">
        <w:rPr>
          <w:rFonts w:ascii="Cambria" w:hAnsi="Cambria"/>
          <w:i/>
          <w:iCs/>
        </w:rPr>
        <w:t>Inquiry into drug law reform</w:t>
      </w:r>
      <w:r w:rsidRPr="009D25D3">
        <w:rPr>
          <w:rFonts w:ascii="Cambria" w:hAnsi="Cambria"/>
        </w:rPr>
        <w:t>.</w:t>
      </w:r>
      <w:r w:rsidRPr="009D25D3">
        <w:rPr>
          <w:rStyle w:val="FootnoteReference"/>
          <w:rFonts w:ascii="Cambria" w:hAnsi="Cambria"/>
        </w:rPr>
        <w:footnoteReference w:id="15"/>
      </w:r>
      <w:r w:rsidRPr="009D25D3">
        <w:rPr>
          <w:rFonts w:ascii="Cambria" w:hAnsi="Cambria"/>
        </w:rPr>
        <w:t xml:space="preserve"> </w:t>
      </w:r>
      <w:r w:rsidR="00E24936" w:rsidRPr="009D25D3">
        <w:rPr>
          <w:rFonts w:ascii="Cambria" w:hAnsi="Cambria"/>
        </w:rPr>
        <w:t xml:space="preserve">Relevantly, </w:t>
      </w:r>
      <w:r w:rsidR="002D3E28" w:rsidRPr="009D25D3">
        <w:rPr>
          <w:rFonts w:ascii="Cambria" w:hAnsi="Cambria"/>
        </w:rPr>
        <w:t>the committee recommend</w:t>
      </w:r>
      <w:r w:rsidR="00E24936" w:rsidRPr="009D25D3">
        <w:rPr>
          <w:rFonts w:ascii="Cambria" w:hAnsi="Cambria"/>
        </w:rPr>
        <w:t>ed</w:t>
      </w:r>
      <w:r w:rsidR="002D3E28" w:rsidRPr="009D25D3">
        <w:rPr>
          <w:rFonts w:ascii="Cambria" w:hAnsi="Cambria"/>
        </w:rPr>
        <w:t xml:space="preserve"> that the Victorian Governmen</w:t>
      </w:r>
      <w:r w:rsidR="0010577A" w:rsidRPr="009D25D3">
        <w:rPr>
          <w:rFonts w:ascii="Cambria" w:hAnsi="Cambria"/>
        </w:rPr>
        <w:t>t</w:t>
      </w:r>
      <w:r w:rsidR="002D3E28" w:rsidRPr="009D25D3">
        <w:rPr>
          <w:rFonts w:ascii="Cambria" w:hAnsi="Cambria"/>
        </w:rPr>
        <w:t xml:space="preserve"> “treat the offences of personal use and possession for all illicit substances as a health issue rather than a criminal justice issue</w:t>
      </w:r>
      <w:r w:rsidR="0010577A" w:rsidRPr="009D25D3">
        <w:rPr>
          <w:rFonts w:ascii="Cambria" w:hAnsi="Cambria"/>
        </w:rPr>
        <w:t>”.</w:t>
      </w:r>
      <w:r w:rsidR="0010577A" w:rsidRPr="009D25D3">
        <w:rPr>
          <w:rStyle w:val="FootnoteReference"/>
          <w:rFonts w:ascii="Cambria" w:hAnsi="Cambria"/>
        </w:rPr>
        <w:footnoteReference w:id="16"/>
      </w:r>
      <w:r w:rsidR="002D3E28" w:rsidRPr="009D25D3">
        <w:rPr>
          <w:rFonts w:ascii="Cambria" w:hAnsi="Cambria"/>
        </w:rPr>
        <w:t xml:space="preserve">  </w:t>
      </w:r>
    </w:p>
    <w:p w14:paraId="3A84FD08" w14:textId="77777777" w:rsidR="004D2863" w:rsidRPr="009D25D3" w:rsidRDefault="004D2863" w:rsidP="004D2863">
      <w:pPr>
        <w:jc w:val="both"/>
        <w:rPr>
          <w:rFonts w:ascii="Cambria" w:hAnsi="Cambria"/>
        </w:rPr>
      </w:pPr>
    </w:p>
    <w:p w14:paraId="2F17AE43" w14:textId="69FD2985" w:rsidR="004D2863" w:rsidRPr="009D25D3" w:rsidRDefault="004D2863" w:rsidP="004D2863">
      <w:pPr>
        <w:ind w:firstLine="720"/>
        <w:jc w:val="both"/>
        <w:rPr>
          <w:rFonts w:ascii="Cambria" w:hAnsi="Cambria"/>
          <w:b/>
          <w:bCs/>
          <w:i/>
          <w:iCs/>
        </w:rPr>
      </w:pPr>
      <w:r w:rsidRPr="009D25D3">
        <w:rPr>
          <w:rFonts w:ascii="Cambria" w:hAnsi="Cambria"/>
          <w:b/>
          <w:bCs/>
          <w:i/>
          <w:iCs/>
        </w:rPr>
        <w:lastRenderedPageBreak/>
        <w:t>- United Nations Chief Executives Board</w:t>
      </w:r>
    </w:p>
    <w:p w14:paraId="4375FAA7" w14:textId="77777777" w:rsidR="004D2863" w:rsidRPr="009D25D3" w:rsidRDefault="0010577A" w:rsidP="004D2863">
      <w:pPr>
        <w:ind w:right="-347"/>
        <w:jc w:val="both"/>
        <w:rPr>
          <w:rFonts w:ascii="Cambria" w:hAnsi="Cambria"/>
          <w:color w:val="000000" w:themeColor="text1"/>
          <w:bdr w:val="none" w:sz="0" w:space="0" w:color="auto" w:frame="1"/>
          <w:shd w:val="clear" w:color="auto" w:fill="FFFFFF"/>
        </w:rPr>
      </w:pPr>
      <w:r w:rsidRPr="009D25D3">
        <w:rPr>
          <w:rFonts w:ascii="Cambria" w:hAnsi="Cambria"/>
        </w:rPr>
        <w:t>In November 2018 the United Nations Chief Executives Board for Coordination committed to promoting alternatives to conviction and punishment in appropriate illicit drug cases, including the decriminalisation of drug possession for personal use.</w:t>
      </w:r>
      <w:r w:rsidRPr="009D25D3">
        <w:rPr>
          <w:rStyle w:val="FootnoteReference"/>
          <w:rFonts w:ascii="Cambria" w:hAnsi="Cambria"/>
        </w:rPr>
        <w:footnoteReference w:id="17"/>
      </w:r>
      <w:r w:rsidR="0030028B" w:rsidRPr="009D25D3">
        <w:rPr>
          <w:rFonts w:ascii="Cambria" w:hAnsi="Cambria"/>
        </w:rPr>
        <w:t xml:space="preserve"> </w:t>
      </w:r>
    </w:p>
    <w:p w14:paraId="30ABDC00" w14:textId="77777777" w:rsidR="004D2863" w:rsidRPr="009D25D3" w:rsidRDefault="004D2863" w:rsidP="004D2863">
      <w:pPr>
        <w:ind w:right="-347"/>
        <w:jc w:val="both"/>
        <w:rPr>
          <w:rFonts w:ascii="Cambria" w:hAnsi="Cambria"/>
          <w:color w:val="000000" w:themeColor="text1"/>
          <w:bdr w:val="none" w:sz="0" w:space="0" w:color="auto" w:frame="1"/>
          <w:shd w:val="clear" w:color="auto" w:fill="FFFFFF"/>
        </w:rPr>
      </w:pPr>
    </w:p>
    <w:p w14:paraId="115E7251" w14:textId="11640BE6" w:rsidR="004D2863" w:rsidRPr="009D25D3" w:rsidRDefault="004D2863" w:rsidP="004D2863">
      <w:pPr>
        <w:ind w:firstLine="720"/>
        <w:jc w:val="both"/>
        <w:rPr>
          <w:rFonts w:ascii="Cambria" w:hAnsi="Cambria"/>
          <w:b/>
          <w:bCs/>
          <w:i/>
          <w:iCs/>
        </w:rPr>
      </w:pPr>
      <w:r w:rsidRPr="009D25D3">
        <w:rPr>
          <w:rFonts w:ascii="Cambria" w:hAnsi="Cambria"/>
          <w:b/>
          <w:bCs/>
          <w:i/>
          <w:iCs/>
        </w:rPr>
        <w:t>- Western Australian Select Committee</w:t>
      </w:r>
    </w:p>
    <w:p w14:paraId="26E07172" w14:textId="77777777" w:rsidR="004D2863" w:rsidRPr="009D25D3" w:rsidRDefault="001A3416" w:rsidP="004D2863">
      <w:pPr>
        <w:ind w:right="-347"/>
        <w:jc w:val="both"/>
        <w:rPr>
          <w:rFonts w:ascii="Cambria" w:hAnsi="Cambria"/>
        </w:rPr>
      </w:pPr>
      <w:r w:rsidRPr="009D25D3">
        <w:rPr>
          <w:rFonts w:ascii="Cambria" w:hAnsi="Cambria"/>
        </w:rPr>
        <w:t xml:space="preserve">In November 2019 a Western Australian </w:t>
      </w:r>
      <w:r w:rsidRPr="009D25D3">
        <w:rPr>
          <w:rFonts w:ascii="Cambria" w:hAnsi="Cambria"/>
          <w:i/>
          <w:iCs/>
        </w:rPr>
        <w:t xml:space="preserve">Select Committee </w:t>
      </w:r>
      <w:r w:rsidR="00FF1BB5" w:rsidRPr="009D25D3">
        <w:rPr>
          <w:rFonts w:ascii="Cambria" w:hAnsi="Cambria"/>
          <w:i/>
          <w:iCs/>
        </w:rPr>
        <w:t>on Alternative Approaches to Reducing Illicit Drug Use and its Effects on the Community</w:t>
      </w:r>
      <w:r w:rsidR="00FF1BB5" w:rsidRPr="009D25D3">
        <w:rPr>
          <w:rFonts w:ascii="Cambria" w:hAnsi="Cambria"/>
        </w:rPr>
        <w:t xml:space="preserve"> </w:t>
      </w:r>
      <w:r w:rsidRPr="009D25D3">
        <w:rPr>
          <w:rFonts w:ascii="Cambria" w:hAnsi="Cambria"/>
        </w:rPr>
        <w:t>handed down its final report.</w:t>
      </w:r>
      <w:r w:rsidR="004D2863" w:rsidRPr="009D25D3">
        <w:rPr>
          <w:rStyle w:val="FootnoteReference"/>
          <w:rFonts w:ascii="Cambria" w:hAnsi="Cambria"/>
        </w:rPr>
        <w:footnoteReference w:id="18"/>
      </w:r>
      <w:r w:rsidR="00FF1BB5" w:rsidRPr="009D25D3">
        <w:rPr>
          <w:rFonts w:ascii="Cambria" w:hAnsi="Cambria"/>
        </w:rPr>
        <w:t xml:space="preserve"> The report found that “a number of approaches used within Australia and internationally have successfully reduced drug-related harms by shifting policy priorities from prohibition towards health, prevention and harm reduction”.</w:t>
      </w:r>
      <w:r w:rsidR="00FF1BB5" w:rsidRPr="009D25D3">
        <w:rPr>
          <w:rStyle w:val="FootnoteReference"/>
          <w:rFonts w:ascii="Cambria" w:hAnsi="Cambria"/>
        </w:rPr>
        <w:footnoteReference w:id="19"/>
      </w:r>
      <w:r w:rsidRPr="009D25D3">
        <w:rPr>
          <w:rFonts w:ascii="Cambria" w:hAnsi="Cambria"/>
        </w:rPr>
        <w:t xml:space="preserve">  </w:t>
      </w:r>
      <w:r w:rsidR="00FF1BB5" w:rsidRPr="009D25D3">
        <w:rPr>
          <w:rFonts w:ascii="Cambria" w:hAnsi="Cambria"/>
        </w:rPr>
        <w:t>The Committee recommended that drug use be treated primarily as a health issue and that “criminal penalties for the use and possession of drugs for personal use are replaced with administrative penalties”.</w:t>
      </w:r>
      <w:r w:rsidR="00FF1BB5" w:rsidRPr="009D25D3">
        <w:rPr>
          <w:rStyle w:val="FootnoteReference"/>
          <w:rFonts w:ascii="Cambria" w:hAnsi="Cambria"/>
        </w:rPr>
        <w:footnoteReference w:id="20"/>
      </w:r>
      <w:r w:rsidR="00FF1BB5" w:rsidRPr="009D25D3">
        <w:rPr>
          <w:rFonts w:ascii="Cambria" w:hAnsi="Cambria"/>
        </w:rPr>
        <w:t xml:space="preserve"> </w:t>
      </w:r>
    </w:p>
    <w:p w14:paraId="6C13BDF1" w14:textId="77777777" w:rsidR="004D2863" w:rsidRPr="009D25D3" w:rsidRDefault="004D2863" w:rsidP="004D2863">
      <w:pPr>
        <w:ind w:right="-347"/>
        <w:jc w:val="both"/>
        <w:rPr>
          <w:rFonts w:ascii="Cambria" w:hAnsi="Cambria"/>
        </w:rPr>
      </w:pPr>
    </w:p>
    <w:p w14:paraId="360FFA9B" w14:textId="12E79826" w:rsidR="004D2863" w:rsidRPr="009D25D3" w:rsidRDefault="004D2863" w:rsidP="004D2863">
      <w:pPr>
        <w:ind w:firstLine="720"/>
        <w:jc w:val="both"/>
        <w:rPr>
          <w:rFonts w:ascii="Cambria" w:hAnsi="Cambria"/>
          <w:b/>
          <w:bCs/>
          <w:i/>
          <w:iCs/>
        </w:rPr>
      </w:pPr>
      <w:r w:rsidRPr="009D25D3">
        <w:rPr>
          <w:rFonts w:ascii="Cambria" w:hAnsi="Cambria"/>
          <w:b/>
          <w:bCs/>
          <w:i/>
          <w:iCs/>
        </w:rPr>
        <w:t>- Australian Capital Territory</w:t>
      </w:r>
    </w:p>
    <w:p w14:paraId="6D64E1A3" w14:textId="4C6ABE36" w:rsidR="006918A2" w:rsidRPr="009D25D3" w:rsidRDefault="0010577A" w:rsidP="004D2863">
      <w:pPr>
        <w:ind w:right="-347"/>
        <w:jc w:val="both"/>
        <w:rPr>
          <w:rFonts w:ascii="Cambria" w:hAnsi="Cambria"/>
          <w:color w:val="000000" w:themeColor="text1"/>
          <w:bdr w:val="none" w:sz="0" w:space="0" w:color="auto" w:frame="1"/>
          <w:shd w:val="clear" w:color="auto" w:fill="FFFFFF"/>
        </w:rPr>
      </w:pPr>
      <w:r w:rsidRPr="009D25D3">
        <w:rPr>
          <w:rFonts w:ascii="Cambria" w:hAnsi="Cambria"/>
          <w:color w:val="000000" w:themeColor="text1"/>
        </w:rPr>
        <w:t>Most recently, the Australian Capital Territory</w:t>
      </w:r>
      <w:r w:rsidR="00F209F1" w:rsidRPr="009D25D3">
        <w:rPr>
          <w:rFonts w:ascii="Cambria" w:hAnsi="Cambria"/>
          <w:color w:val="000000" w:themeColor="text1"/>
        </w:rPr>
        <w:t xml:space="preserve"> passed the </w:t>
      </w:r>
      <w:r w:rsidR="00F209F1" w:rsidRPr="009D25D3">
        <w:rPr>
          <w:rFonts w:ascii="Cambria" w:hAnsi="Cambria"/>
          <w:i/>
          <w:iCs/>
          <w:color w:val="000000" w:themeColor="text1"/>
        </w:rPr>
        <w:t>Drugs of Dependence (Personal Possession) Amendment Bill 2022</w:t>
      </w:r>
      <w:r w:rsidR="00F209F1" w:rsidRPr="009D25D3">
        <w:rPr>
          <w:rFonts w:ascii="Cambria" w:hAnsi="Cambria"/>
          <w:color w:val="000000" w:themeColor="text1"/>
        </w:rPr>
        <w:t xml:space="preserve"> which decriminalised drug use. According the Minister for Health Rachel Stephen-Smith “this sensible reform is based on the expert advice that a health focused, harm reduction approach delivers the best outcome for people using drugs”.</w:t>
      </w:r>
      <w:r w:rsidR="00F209F1" w:rsidRPr="009D25D3">
        <w:rPr>
          <w:rStyle w:val="FootnoteReference"/>
          <w:rFonts w:ascii="Cambria" w:hAnsi="Cambria"/>
        </w:rPr>
        <w:footnoteReference w:id="21"/>
      </w:r>
      <w:r w:rsidR="00F209F1" w:rsidRPr="009D25D3">
        <w:rPr>
          <w:rFonts w:ascii="Cambria" w:hAnsi="Cambria"/>
          <w:color w:val="000000" w:themeColor="text1"/>
        </w:rPr>
        <w:t xml:space="preserve"> </w:t>
      </w:r>
    </w:p>
    <w:p w14:paraId="0614DBD3" w14:textId="77777777" w:rsidR="00FF15F1" w:rsidRPr="009D25D3" w:rsidRDefault="00FF15F1" w:rsidP="00EC003C">
      <w:pPr>
        <w:ind w:right="-347"/>
        <w:jc w:val="both"/>
        <w:rPr>
          <w:rFonts w:ascii="Cambria" w:hAnsi="Cambria" w:cs="Arial"/>
          <w:color w:val="000000" w:themeColor="text1"/>
        </w:rPr>
      </w:pPr>
    </w:p>
    <w:p w14:paraId="0D4E4B01" w14:textId="3D4AA1EA" w:rsidR="00F75826" w:rsidRPr="003965F7" w:rsidRDefault="00F75826" w:rsidP="00CD65C8">
      <w:pPr>
        <w:ind w:right="-347"/>
        <w:jc w:val="both"/>
        <w:rPr>
          <w:rFonts w:ascii="Cambria" w:hAnsi="Cambria"/>
          <w:b/>
          <w:bCs/>
        </w:rPr>
      </w:pPr>
      <w:r w:rsidRPr="003965F7">
        <w:rPr>
          <w:rFonts w:ascii="Cambria" w:hAnsi="Cambria"/>
          <w:b/>
          <w:bCs/>
        </w:rPr>
        <w:t>Reorientat</w:t>
      </w:r>
      <w:r w:rsidR="003965F7" w:rsidRPr="003965F7">
        <w:rPr>
          <w:rFonts w:ascii="Cambria" w:hAnsi="Cambria"/>
          <w:b/>
          <w:bCs/>
        </w:rPr>
        <w:t>e</w:t>
      </w:r>
      <w:r w:rsidRPr="003965F7">
        <w:rPr>
          <w:rFonts w:ascii="Cambria" w:hAnsi="Cambria"/>
          <w:b/>
          <w:bCs/>
        </w:rPr>
        <w:t xml:space="preserve"> personal drug use as a public health issue </w:t>
      </w:r>
    </w:p>
    <w:p w14:paraId="4825DF30" w14:textId="1C97F993" w:rsidR="00CD65C8" w:rsidRPr="009D25D3" w:rsidRDefault="00053026" w:rsidP="00CD65C8">
      <w:pPr>
        <w:ind w:right="-347"/>
        <w:jc w:val="both"/>
        <w:rPr>
          <w:rFonts w:ascii="Cambria" w:hAnsi="Cambria"/>
          <w:color w:val="000000" w:themeColor="text1"/>
        </w:rPr>
      </w:pPr>
      <w:r w:rsidRPr="009D25D3">
        <w:rPr>
          <w:rFonts w:ascii="Cambria" w:hAnsi="Cambria"/>
        </w:rPr>
        <w:t xml:space="preserve">We strongly believe that all Australian jurisdictions should </w:t>
      </w:r>
      <w:r w:rsidR="00663CDD" w:rsidRPr="009D25D3">
        <w:rPr>
          <w:rFonts w:ascii="Cambria" w:hAnsi="Cambria"/>
        </w:rPr>
        <w:t xml:space="preserve">support </w:t>
      </w:r>
      <w:r w:rsidRPr="009D25D3">
        <w:rPr>
          <w:rFonts w:ascii="Cambria" w:hAnsi="Cambria"/>
        </w:rPr>
        <w:t>drug use</w:t>
      </w:r>
      <w:r w:rsidR="00663CDD" w:rsidRPr="009D25D3">
        <w:rPr>
          <w:rFonts w:ascii="Cambria" w:hAnsi="Cambria"/>
        </w:rPr>
        <w:t xml:space="preserve"> being</w:t>
      </w:r>
      <w:r w:rsidRPr="009D25D3">
        <w:rPr>
          <w:rFonts w:ascii="Cambria" w:hAnsi="Cambria"/>
        </w:rPr>
        <w:t xml:space="preserve"> treated as a health and not a criminal justice issue.</w:t>
      </w:r>
      <w:r w:rsidR="00CD65C8" w:rsidRPr="009D25D3">
        <w:rPr>
          <w:rFonts w:ascii="Cambria" w:hAnsi="Cambria"/>
        </w:rPr>
        <w:t xml:space="preserve"> </w:t>
      </w:r>
      <w:r w:rsidR="008D3D97" w:rsidRPr="009D25D3">
        <w:rPr>
          <w:rFonts w:ascii="Cambria" w:hAnsi="Cambria"/>
        </w:rPr>
        <w:t xml:space="preserve">Over the last five years </w:t>
      </w:r>
      <w:r w:rsidR="00E56AD4" w:rsidRPr="009D25D3">
        <w:rPr>
          <w:rFonts w:ascii="Cambria" w:hAnsi="Cambria"/>
        </w:rPr>
        <w:t xml:space="preserve">this </w:t>
      </w:r>
      <w:r w:rsidR="00CD65C8" w:rsidRPr="009D25D3">
        <w:rPr>
          <w:rFonts w:ascii="Cambria" w:hAnsi="Cambria"/>
        </w:rPr>
        <w:t xml:space="preserve">has been </w:t>
      </w:r>
      <w:r w:rsidR="00E56AD4" w:rsidRPr="009D25D3">
        <w:rPr>
          <w:rFonts w:ascii="Cambria" w:hAnsi="Cambria"/>
        </w:rPr>
        <w:t xml:space="preserve">the </w:t>
      </w:r>
      <w:r w:rsidR="00EF0A4D" w:rsidRPr="009D25D3">
        <w:rPr>
          <w:rFonts w:ascii="Cambria" w:hAnsi="Cambria"/>
        </w:rPr>
        <w:t>recommend</w:t>
      </w:r>
      <w:r w:rsidR="00E56AD4" w:rsidRPr="009D25D3">
        <w:rPr>
          <w:rFonts w:ascii="Cambria" w:hAnsi="Cambria"/>
        </w:rPr>
        <w:t>ation of</w:t>
      </w:r>
      <w:r w:rsidR="00CD65C8" w:rsidRPr="009D25D3">
        <w:rPr>
          <w:rFonts w:ascii="Cambria" w:hAnsi="Cambria"/>
        </w:rPr>
        <w:t xml:space="preserve"> Inquiries carried out</w:t>
      </w:r>
      <w:r w:rsidR="00E56AD4" w:rsidRPr="009D25D3">
        <w:rPr>
          <w:rFonts w:ascii="Cambria" w:hAnsi="Cambria"/>
        </w:rPr>
        <w:t xml:space="preserve"> </w:t>
      </w:r>
      <w:r w:rsidR="00CD65C8" w:rsidRPr="009D25D3">
        <w:rPr>
          <w:rFonts w:ascii="Cambria" w:hAnsi="Cambria"/>
        </w:rPr>
        <w:t xml:space="preserve">by the Commonwealth Parliamentary Joint Committee on Law Enforcement, Victoria’s Law Reform, Road and Community Safety Committee and a Western Australian Select Committee. Most significantly, the Australian Capital Territory has </w:t>
      </w:r>
      <w:r w:rsidR="007D6985" w:rsidRPr="009D25D3">
        <w:rPr>
          <w:rFonts w:ascii="Cambria" w:hAnsi="Cambria"/>
        </w:rPr>
        <w:t xml:space="preserve">recently </w:t>
      </w:r>
      <w:r w:rsidR="00CD65C8" w:rsidRPr="009D25D3">
        <w:rPr>
          <w:rFonts w:ascii="Cambria" w:hAnsi="Cambria"/>
        </w:rPr>
        <w:t xml:space="preserve">passed legislation </w:t>
      </w:r>
      <w:r w:rsidR="007D6985" w:rsidRPr="009D25D3">
        <w:rPr>
          <w:rFonts w:ascii="Cambria" w:hAnsi="Cambria"/>
        </w:rPr>
        <w:t>making it</w:t>
      </w:r>
      <w:r w:rsidR="00CD65C8" w:rsidRPr="009D25D3">
        <w:rPr>
          <w:rFonts w:ascii="Cambria" w:hAnsi="Cambria"/>
        </w:rPr>
        <w:t xml:space="preserve"> Australia’s first jurisdiction to </w:t>
      </w:r>
      <w:r w:rsidR="00CD65C8" w:rsidRPr="009D25D3">
        <w:rPr>
          <w:rFonts w:ascii="Cambria" w:hAnsi="Cambria"/>
          <w:color w:val="000000" w:themeColor="text1"/>
        </w:rPr>
        <w:t xml:space="preserve">decriminalise </w:t>
      </w:r>
      <w:r w:rsidR="00E56AD4" w:rsidRPr="009D25D3">
        <w:rPr>
          <w:rFonts w:ascii="Cambria" w:hAnsi="Cambria"/>
          <w:color w:val="000000" w:themeColor="text1"/>
        </w:rPr>
        <w:t xml:space="preserve">all personal </w:t>
      </w:r>
      <w:r w:rsidR="00CD65C8" w:rsidRPr="009D25D3">
        <w:rPr>
          <w:rFonts w:ascii="Cambria" w:hAnsi="Cambria"/>
          <w:color w:val="000000" w:themeColor="text1"/>
        </w:rPr>
        <w:t xml:space="preserve">drug use. </w:t>
      </w:r>
    </w:p>
    <w:p w14:paraId="0D105511" w14:textId="469C1556" w:rsidR="007D6985" w:rsidRPr="009D25D3" w:rsidRDefault="007D6985" w:rsidP="00CD65C8">
      <w:pPr>
        <w:ind w:right="-347"/>
        <w:jc w:val="both"/>
        <w:rPr>
          <w:rFonts w:ascii="Cambria" w:hAnsi="Cambria"/>
          <w:color w:val="000000" w:themeColor="text1"/>
        </w:rPr>
      </w:pPr>
    </w:p>
    <w:p w14:paraId="26EC26E8" w14:textId="52FC8626" w:rsidR="00BB0757" w:rsidRPr="003965F7" w:rsidRDefault="003965F7" w:rsidP="00EC003C">
      <w:pPr>
        <w:ind w:right="-347"/>
        <w:jc w:val="both"/>
        <w:rPr>
          <w:rFonts w:ascii="Cambria" w:hAnsi="Cambria"/>
          <w:color w:val="000000" w:themeColor="text1"/>
        </w:rPr>
      </w:pPr>
      <w:r w:rsidRPr="00D85334">
        <w:rPr>
          <w:rFonts w:ascii="Cambria" w:hAnsi="Cambria" w:cs="Arial"/>
          <w:color w:val="000000" w:themeColor="text1"/>
        </w:rPr>
        <w:t>Five years</w:t>
      </w:r>
      <w:r>
        <w:rPr>
          <w:rFonts w:ascii="Cambria" w:hAnsi="Cambria" w:cs="Arial"/>
          <w:color w:val="000000" w:themeColor="text1"/>
        </w:rPr>
        <w:t xml:space="preserve"> after</w:t>
      </w:r>
      <w:r w:rsidRPr="00D85334">
        <w:rPr>
          <w:rFonts w:ascii="Cambria" w:hAnsi="Cambria" w:cs="Open Sans"/>
          <w:color w:val="000000" w:themeColor="text1"/>
          <w:shd w:val="clear" w:color="auto" w:fill="FFFFFF"/>
        </w:rPr>
        <w:t> </w:t>
      </w:r>
      <w:r w:rsidRPr="00D85334">
        <w:rPr>
          <w:rStyle w:val="Emphasis"/>
          <w:rFonts w:ascii="Cambria" w:hAnsi="Cambria" w:cs="Open Sans"/>
          <w:color w:val="000000" w:themeColor="text1"/>
          <w:shd w:val="clear" w:color="auto" w:fill="FFFFFF"/>
        </w:rPr>
        <w:t>The Case for a Health Focused Response to Drug Use in Tasmania’s Legal System</w:t>
      </w:r>
      <w:r w:rsidRPr="00D85334">
        <w:rPr>
          <w:rFonts w:ascii="Cambria" w:hAnsi="Cambria" w:cs="Open Sans"/>
          <w:color w:val="000000" w:themeColor="text1"/>
          <w:shd w:val="clear" w:color="auto" w:fill="FFFFFF"/>
        </w:rPr>
        <w:t> </w:t>
      </w:r>
      <w:r>
        <w:rPr>
          <w:rFonts w:ascii="Cambria" w:hAnsi="Cambria" w:cs="Open Sans"/>
          <w:color w:val="000000" w:themeColor="text1"/>
          <w:shd w:val="clear" w:color="auto" w:fill="FFFFFF"/>
        </w:rPr>
        <w:t xml:space="preserve">was published, we have updated the report (see attached). </w:t>
      </w:r>
      <w:r w:rsidR="00E56AD4" w:rsidRPr="003965F7">
        <w:rPr>
          <w:rFonts w:ascii="Cambria" w:hAnsi="Cambria"/>
          <w:color w:val="000000" w:themeColor="text1"/>
        </w:rPr>
        <w:t>Dr Paul Blacklow</w:t>
      </w:r>
      <w:r>
        <w:rPr>
          <w:rFonts w:ascii="Cambria" w:hAnsi="Cambria"/>
          <w:color w:val="000000" w:themeColor="text1"/>
        </w:rPr>
        <w:t xml:space="preserve"> has again provided a cost benefit analysis, </w:t>
      </w:r>
      <w:r w:rsidR="00E56AD4" w:rsidRPr="003965F7">
        <w:rPr>
          <w:rFonts w:ascii="Cambria" w:hAnsi="Cambria"/>
          <w:color w:val="000000" w:themeColor="text1"/>
        </w:rPr>
        <w:t>estimat</w:t>
      </w:r>
      <w:r>
        <w:rPr>
          <w:rFonts w:ascii="Cambria" w:hAnsi="Cambria"/>
          <w:color w:val="000000" w:themeColor="text1"/>
        </w:rPr>
        <w:t>ing</w:t>
      </w:r>
      <w:r w:rsidR="00E56AD4" w:rsidRPr="003965F7">
        <w:rPr>
          <w:rFonts w:ascii="Cambria" w:hAnsi="Cambria"/>
          <w:color w:val="000000" w:themeColor="text1"/>
        </w:rPr>
        <w:t xml:space="preserve"> that the total cost of illicit drug use in Tasmania in 2021-22 was $</w:t>
      </w:r>
      <w:r w:rsidR="009D25D3" w:rsidRPr="003965F7">
        <w:rPr>
          <w:rFonts w:ascii="Cambria" w:hAnsi="Cambria"/>
          <w:color w:val="000000" w:themeColor="text1"/>
        </w:rPr>
        <w:t xml:space="preserve">592 </w:t>
      </w:r>
      <w:r w:rsidR="00E56AD4" w:rsidRPr="003965F7">
        <w:rPr>
          <w:rFonts w:ascii="Cambria" w:hAnsi="Cambria"/>
          <w:color w:val="000000" w:themeColor="text1"/>
        </w:rPr>
        <w:t>million</w:t>
      </w:r>
      <w:r>
        <w:rPr>
          <w:rFonts w:ascii="Cambria" w:hAnsi="Cambria"/>
          <w:color w:val="000000" w:themeColor="text1"/>
        </w:rPr>
        <w:t xml:space="preserve"> but that if </w:t>
      </w:r>
      <w:r w:rsidR="009D25D3" w:rsidRPr="003965F7">
        <w:rPr>
          <w:rFonts w:ascii="Cambria" w:hAnsi="Cambria" w:cs="Open Sans"/>
          <w:color w:val="000000" w:themeColor="text1"/>
          <w:shd w:val="clear" w:color="auto" w:fill="FFFFFF"/>
        </w:rPr>
        <w:t xml:space="preserve">the Portuguese decriminalisation example is used as a guide, </w:t>
      </w:r>
      <w:r w:rsidR="00E56AD4" w:rsidRPr="003965F7">
        <w:rPr>
          <w:rFonts w:ascii="Cambria" w:hAnsi="Cambria"/>
          <w:color w:val="000000" w:themeColor="text1"/>
        </w:rPr>
        <w:t>the total cost of illicit drug use in Tasmania under decriminalisation would be $5</w:t>
      </w:r>
      <w:r w:rsidR="009D25D3" w:rsidRPr="003965F7">
        <w:rPr>
          <w:rFonts w:ascii="Cambria" w:hAnsi="Cambria"/>
          <w:color w:val="000000" w:themeColor="text1"/>
        </w:rPr>
        <w:t>30</w:t>
      </w:r>
      <w:r w:rsidR="00E56AD4" w:rsidRPr="003965F7">
        <w:rPr>
          <w:rFonts w:ascii="Cambria" w:hAnsi="Cambria"/>
          <w:color w:val="000000" w:themeColor="text1"/>
        </w:rPr>
        <w:t xml:space="preserve"> million, a financial saving of $6</w:t>
      </w:r>
      <w:r w:rsidR="003E5F3D" w:rsidRPr="003965F7">
        <w:rPr>
          <w:rFonts w:ascii="Cambria" w:hAnsi="Cambria"/>
          <w:color w:val="000000" w:themeColor="text1"/>
        </w:rPr>
        <w:t>2</w:t>
      </w:r>
      <w:r w:rsidR="00E56AD4" w:rsidRPr="003965F7">
        <w:rPr>
          <w:rFonts w:ascii="Cambria" w:hAnsi="Cambria"/>
          <w:color w:val="000000" w:themeColor="text1"/>
        </w:rPr>
        <w:t xml:space="preserve"> million</w:t>
      </w:r>
      <w:r w:rsidR="009D25D3" w:rsidRPr="003965F7">
        <w:rPr>
          <w:rFonts w:ascii="Cambria" w:hAnsi="Cambria"/>
          <w:color w:val="000000" w:themeColor="text1"/>
        </w:rPr>
        <w:t xml:space="preserve"> per annum</w:t>
      </w:r>
      <w:r w:rsidR="00E56AD4" w:rsidRPr="003965F7">
        <w:rPr>
          <w:rFonts w:ascii="Cambria" w:hAnsi="Cambria"/>
          <w:color w:val="000000" w:themeColor="text1"/>
        </w:rPr>
        <w:t>.</w:t>
      </w:r>
    </w:p>
    <w:p w14:paraId="4AD45AC4" w14:textId="77777777" w:rsidR="00BB0757" w:rsidRDefault="00BB0757" w:rsidP="00EC003C">
      <w:pPr>
        <w:ind w:right="-347"/>
        <w:jc w:val="both"/>
        <w:rPr>
          <w:rFonts w:ascii="Cambria" w:hAnsi="Cambria"/>
        </w:rPr>
      </w:pPr>
    </w:p>
    <w:p w14:paraId="2361F135" w14:textId="561F20BE" w:rsidR="003965F7" w:rsidRPr="003965F7" w:rsidRDefault="00E56AD4" w:rsidP="00EC003C">
      <w:pPr>
        <w:ind w:right="-347"/>
        <w:jc w:val="both"/>
        <w:rPr>
          <w:rFonts w:ascii="Cambria" w:hAnsi="Cambria" w:cs="Arial"/>
        </w:rPr>
      </w:pPr>
      <w:r w:rsidRPr="009D25D3">
        <w:rPr>
          <w:rFonts w:ascii="Cambria" w:hAnsi="Cambria"/>
        </w:rPr>
        <w:lastRenderedPageBreak/>
        <w:t>More importantly, t</w:t>
      </w:r>
      <w:r w:rsidR="00053026" w:rsidRPr="009D25D3">
        <w:rPr>
          <w:rFonts w:ascii="Cambria" w:hAnsi="Cambria"/>
        </w:rPr>
        <w:t xml:space="preserve">he reorientation of personal drug use as a public health issue </w:t>
      </w:r>
      <w:r w:rsidR="00603113" w:rsidRPr="009D25D3">
        <w:rPr>
          <w:rFonts w:ascii="Cambria" w:hAnsi="Cambria"/>
        </w:rPr>
        <w:t>is likely to</w:t>
      </w:r>
      <w:r w:rsidR="00053026" w:rsidRPr="009D25D3">
        <w:rPr>
          <w:rFonts w:ascii="Cambria" w:hAnsi="Cambria"/>
        </w:rPr>
        <w:t xml:space="preserve"> see a reduction in crimes involving the use or threat of violence, a reduction in drug-related death and disease and a reduction in drug-related ambulance call-outs, emergency admissions and hospitalisations.</w:t>
      </w:r>
      <w:r w:rsidR="00EC003C" w:rsidRPr="009D25D3">
        <w:rPr>
          <w:rFonts w:ascii="Cambria" w:hAnsi="Cambria" w:cs="Arial"/>
        </w:rPr>
        <w:t xml:space="preserve"> </w:t>
      </w:r>
    </w:p>
    <w:p w14:paraId="309DE0BF" w14:textId="77777777" w:rsidR="00EC003C" w:rsidRPr="009D25D3" w:rsidRDefault="00EC003C" w:rsidP="00EC003C">
      <w:pPr>
        <w:ind w:right="-347"/>
        <w:jc w:val="both"/>
        <w:rPr>
          <w:rFonts w:ascii="Cambria" w:hAnsi="Cambria" w:cs="Arial"/>
        </w:rPr>
      </w:pPr>
    </w:p>
    <w:p w14:paraId="33C3D33C" w14:textId="77777777" w:rsidR="00EC003C" w:rsidRPr="009D25D3" w:rsidRDefault="00EC003C" w:rsidP="00EC003C">
      <w:pPr>
        <w:ind w:right="-347"/>
        <w:jc w:val="both"/>
        <w:rPr>
          <w:rFonts w:ascii="Cambria" w:hAnsi="Cambria" w:cs="Arial"/>
        </w:rPr>
      </w:pPr>
      <w:r w:rsidRPr="009D25D3">
        <w:rPr>
          <w:rFonts w:ascii="Cambria" w:eastAsia="Times New Roman" w:hAnsi="Cambria" w:cs="Times New Roman"/>
          <w:bCs/>
          <w:color w:val="000000" w:themeColor="text1"/>
          <w:lang w:eastAsia="en-AU"/>
        </w:rPr>
        <w:t>If we can be of any further assistance, please do not hesitate to contact us.</w:t>
      </w:r>
    </w:p>
    <w:p w14:paraId="7A8B6216" w14:textId="77777777" w:rsidR="00EC003C" w:rsidRPr="009D25D3" w:rsidRDefault="00EC003C" w:rsidP="00EC003C">
      <w:pPr>
        <w:shd w:val="clear" w:color="auto" w:fill="FFFFFF"/>
        <w:ind w:right="-347"/>
        <w:jc w:val="both"/>
        <w:rPr>
          <w:rFonts w:ascii="Cambria" w:eastAsia="Times New Roman" w:hAnsi="Cambria" w:cs="Times New Roman"/>
          <w:bCs/>
          <w:color w:val="000000" w:themeColor="text1"/>
          <w:lang w:eastAsia="en-AU"/>
        </w:rPr>
      </w:pPr>
    </w:p>
    <w:p w14:paraId="503ED629" w14:textId="77777777" w:rsidR="00EC003C" w:rsidRPr="009D25D3" w:rsidRDefault="00EC003C" w:rsidP="00EC003C">
      <w:pPr>
        <w:shd w:val="clear" w:color="auto" w:fill="FFFFFF"/>
        <w:ind w:right="-347"/>
        <w:jc w:val="both"/>
        <w:rPr>
          <w:rFonts w:ascii="Cambria" w:eastAsia="Times New Roman" w:hAnsi="Cambria" w:cs="Times New Roman"/>
          <w:bCs/>
          <w:color w:val="000000" w:themeColor="text1"/>
          <w:lang w:eastAsia="en-AU"/>
        </w:rPr>
      </w:pPr>
    </w:p>
    <w:p w14:paraId="15AAB997" w14:textId="77777777" w:rsidR="00EC003C" w:rsidRPr="009D25D3" w:rsidRDefault="00EC003C" w:rsidP="00EC003C">
      <w:pPr>
        <w:shd w:val="clear" w:color="auto" w:fill="FFFFFF"/>
        <w:ind w:right="-347"/>
        <w:jc w:val="both"/>
        <w:rPr>
          <w:rFonts w:ascii="Cambria" w:eastAsia="Times New Roman" w:hAnsi="Cambria" w:cs="Times New Roman"/>
          <w:bCs/>
          <w:color w:val="000000" w:themeColor="text1"/>
          <w:lang w:eastAsia="en-AU"/>
        </w:rPr>
      </w:pPr>
      <w:r w:rsidRPr="009D25D3">
        <w:rPr>
          <w:rFonts w:ascii="Cambria" w:eastAsia="Times New Roman" w:hAnsi="Cambria" w:cs="Times New Roman"/>
          <w:bCs/>
          <w:color w:val="000000" w:themeColor="text1"/>
          <w:lang w:eastAsia="en-AU"/>
        </w:rPr>
        <w:t>Yours faithfully,</w:t>
      </w:r>
    </w:p>
    <w:p w14:paraId="519E8F66" w14:textId="77777777" w:rsidR="00EC003C" w:rsidRPr="00B00E63" w:rsidRDefault="00EC003C" w:rsidP="00EC003C">
      <w:pPr>
        <w:shd w:val="clear" w:color="auto" w:fill="FFFFFF"/>
        <w:ind w:right="-347"/>
        <w:jc w:val="both"/>
        <w:rPr>
          <w:rFonts w:ascii="Cambria" w:eastAsia="Times New Roman" w:hAnsi="Cambria" w:cs="Times New Roman"/>
          <w:bCs/>
          <w:color w:val="000000" w:themeColor="text1"/>
          <w:lang w:val="en-AU" w:eastAsia="en-AU"/>
        </w:rPr>
      </w:pPr>
    </w:p>
    <w:p w14:paraId="4AF02913" w14:textId="77777777" w:rsidR="00EC003C" w:rsidRPr="009D25D3" w:rsidRDefault="00EC003C" w:rsidP="00EC003C">
      <w:pPr>
        <w:shd w:val="clear" w:color="auto" w:fill="FFFFFF"/>
        <w:ind w:right="-347"/>
        <w:jc w:val="both"/>
        <w:rPr>
          <w:rFonts w:ascii="Cambria" w:eastAsia="Times New Roman" w:hAnsi="Cambria" w:cs="Times New Roman"/>
          <w:bCs/>
          <w:color w:val="000000" w:themeColor="text1"/>
          <w:lang w:eastAsia="en-AU"/>
        </w:rPr>
      </w:pPr>
    </w:p>
    <w:p w14:paraId="7A64A2C1" w14:textId="77777777" w:rsidR="00EC003C" w:rsidRPr="009D25D3" w:rsidRDefault="00EC003C" w:rsidP="00EC003C">
      <w:pPr>
        <w:shd w:val="clear" w:color="auto" w:fill="FFFFFF"/>
        <w:ind w:right="-347"/>
        <w:jc w:val="both"/>
        <w:rPr>
          <w:rFonts w:ascii="Cambria" w:eastAsia="Times New Roman" w:hAnsi="Cambria" w:cs="Times New Roman"/>
          <w:bCs/>
          <w:color w:val="000000" w:themeColor="text1"/>
          <w:lang w:eastAsia="en-AU"/>
        </w:rPr>
      </w:pPr>
    </w:p>
    <w:p w14:paraId="01C4B2B0" w14:textId="77777777" w:rsidR="00EC003C" w:rsidRPr="009D25D3" w:rsidRDefault="00EC003C" w:rsidP="00EC003C">
      <w:pPr>
        <w:shd w:val="clear" w:color="auto" w:fill="FFFFFF"/>
        <w:ind w:right="-347"/>
        <w:jc w:val="both"/>
        <w:rPr>
          <w:rFonts w:ascii="Cambria" w:eastAsia="Times New Roman" w:hAnsi="Cambria" w:cs="Times New Roman"/>
          <w:bCs/>
          <w:color w:val="000000" w:themeColor="text1"/>
          <w:lang w:eastAsia="en-AU"/>
        </w:rPr>
      </w:pPr>
      <w:r w:rsidRPr="009D25D3">
        <w:rPr>
          <w:rFonts w:ascii="Cambria" w:eastAsia="Times New Roman" w:hAnsi="Cambria" w:cs="Times New Roman"/>
          <w:bCs/>
          <w:color w:val="000000" w:themeColor="text1"/>
          <w:lang w:eastAsia="en-AU"/>
        </w:rPr>
        <w:t>Benedict Bartl</w:t>
      </w:r>
    </w:p>
    <w:p w14:paraId="7207C50E" w14:textId="77777777" w:rsidR="00EC003C" w:rsidRPr="009D25D3" w:rsidRDefault="00EC003C" w:rsidP="00EC003C">
      <w:pPr>
        <w:shd w:val="clear" w:color="auto" w:fill="FFFFFF"/>
        <w:ind w:right="-347"/>
        <w:jc w:val="both"/>
        <w:rPr>
          <w:rFonts w:ascii="Cambria" w:eastAsia="Times New Roman" w:hAnsi="Cambria" w:cs="Times New Roman"/>
          <w:bCs/>
          <w:color w:val="000000" w:themeColor="text1"/>
          <w:lang w:eastAsia="en-AU"/>
        </w:rPr>
      </w:pPr>
      <w:r w:rsidRPr="009D25D3">
        <w:rPr>
          <w:rFonts w:ascii="Cambria" w:eastAsia="Times New Roman" w:hAnsi="Cambria" w:cs="Times New Roman"/>
          <w:bCs/>
          <w:color w:val="000000" w:themeColor="text1"/>
          <w:lang w:eastAsia="en-AU"/>
        </w:rPr>
        <w:t>Policy Officer</w:t>
      </w:r>
    </w:p>
    <w:p w14:paraId="2F1F8FFE" w14:textId="77777777" w:rsidR="00EC003C" w:rsidRPr="009D25D3" w:rsidRDefault="00EC003C" w:rsidP="00EC003C">
      <w:pPr>
        <w:pBdr>
          <w:bottom w:val="single" w:sz="6" w:space="1" w:color="auto"/>
        </w:pBdr>
        <w:shd w:val="clear" w:color="auto" w:fill="FFFFFF"/>
        <w:ind w:right="-347"/>
        <w:jc w:val="both"/>
        <w:rPr>
          <w:rFonts w:ascii="Cambria" w:eastAsia="Times New Roman" w:hAnsi="Cambria" w:cs="Times New Roman"/>
          <w:b/>
          <w:bCs/>
          <w:color w:val="000000" w:themeColor="text1"/>
          <w:lang w:eastAsia="en-AU"/>
        </w:rPr>
      </w:pPr>
      <w:r w:rsidRPr="009D25D3">
        <w:rPr>
          <w:rFonts w:ascii="Cambria" w:eastAsia="Times New Roman" w:hAnsi="Cambria" w:cs="Times New Roman"/>
          <w:b/>
          <w:bCs/>
          <w:color w:val="000000" w:themeColor="text1"/>
          <w:lang w:eastAsia="en-AU"/>
        </w:rPr>
        <w:t>Community Legal Centres Tasmania</w:t>
      </w:r>
    </w:p>
    <w:p w14:paraId="68E3CF06" w14:textId="77777777" w:rsidR="00EC003C" w:rsidRPr="002F3610" w:rsidRDefault="00EC003C" w:rsidP="00EC003C">
      <w:pPr>
        <w:shd w:val="clear" w:color="auto" w:fill="FFFFFF"/>
        <w:ind w:right="-347"/>
        <w:jc w:val="both"/>
        <w:rPr>
          <w:rFonts w:ascii="Cambria" w:eastAsia="Times New Roman" w:hAnsi="Cambria" w:cs="Times New Roman"/>
          <w:bCs/>
          <w:color w:val="000000" w:themeColor="text1"/>
          <w:lang w:eastAsia="en-AU"/>
        </w:rPr>
      </w:pPr>
    </w:p>
    <w:p w14:paraId="068A0B86" w14:textId="12EBBB43" w:rsidR="00087BF3" w:rsidRPr="002F3610" w:rsidRDefault="002F3610" w:rsidP="002F3610">
      <w:pPr>
        <w:ind w:left="720" w:hanging="720"/>
        <w:rPr>
          <w:rFonts w:ascii="Cambria" w:hAnsi="Cambria"/>
        </w:rPr>
      </w:pPr>
      <w:r>
        <w:rPr>
          <w:rFonts w:ascii="Cambria" w:hAnsi="Cambria"/>
        </w:rPr>
        <w:t>e</w:t>
      </w:r>
      <w:r w:rsidRPr="002F3610">
        <w:rPr>
          <w:rFonts w:ascii="Cambria" w:hAnsi="Cambria"/>
        </w:rPr>
        <w:t>nc:</w:t>
      </w:r>
      <w:r>
        <w:rPr>
          <w:rFonts w:ascii="Cambria" w:hAnsi="Cambria"/>
        </w:rPr>
        <w:t xml:space="preserve"> </w:t>
      </w:r>
      <w:r>
        <w:rPr>
          <w:rFonts w:ascii="Cambria" w:hAnsi="Cambria"/>
        </w:rPr>
        <w:tab/>
      </w:r>
      <w:r w:rsidRPr="009D25D3">
        <w:rPr>
          <w:rStyle w:val="Emphasis"/>
          <w:rFonts w:ascii="Cambria" w:hAnsi="Cambria" w:cs="Open Sans"/>
          <w:color w:val="000000" w:themeColor="text1"/>
          <w:shd w:val="clear" w:color="auto" w:fill="FFFFFF"/>
        </w:rPr>
        <w:t>The Case for a Health Focused Response to Drug Use in Tasmania’s Legal System</w:t>
      </w:r>
      <w:r>
        <w:rPr>
          <w:rFonts w:ascii="Cambria" w:hAnsi="Cambria"/>
        </w:rPr>
        <w:t xml:space="preserve"> </w:t>
      </w:r>
      <w:r w:rsidRPr="002F3610">
        <w:rPr>
          <w:rFonts w:ascii="Cambria" w:hAnsi="Cambria"/>
        </w:rPr>
        <w:t xml:space="preserve"> </w:t>
      </w:r>
      <w:r>
        <w:rPr>
          <w:rFonts w:ascii="Cambria" w:hAnsi="Cambria"/>
        </w:rPr>
        <w:t>(Update 2023)</w:t>
      </w:r>
    </w:p>
    <w:sectPr w:rsidR="00087BF3" w:rsidRPr="002F3610" w:rsidSect="00666B96">
      <w:footerReference w:type="even" r:id="rId9"/>
      <w:foot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F4416" w14:textId="77777777" w:rsidR="002F5923" w:rsidRDefault="002F5923" w:rsidP="00EC003C">
      <w:r>
        <w:separator/>
      </w:r>
    </w:p>
  </w:endnote>
  <w:endnote w:type="continuationSeparator" w:id="0">
    <w:p w14:paraId="79A7486C" w14:textId="77777777" w:rsidR="002F5923" w:rsidRDefault="002F5923" w:rsidP="00EC0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74680517"/>
      <w:docPartObj>
        <w:docPartGallery w:val="Page Numbers (Bottom of Page)"/>
        <w:docPartUnique/>
      </w:docPartObj>
    </w:sdtPr>
    <w:sdtContent>
      <w:p w14:paraId="2080FE7B" w14:textId="5AC255F5" w:rsidR="002F3610" w:rsidRDefault="002F3610" w:rsidP="00E175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2DF0EF" w14:textId="77777777" w:rsidR="002F3610" w:rsidRDefault="002F3610" w:rsidP="002F36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39255069"/>
      <w:docPartObj>
        <w:docPartGallery w:val="Page Numbers (Bottom of Page)"/>
        <w:docPartUnique/>
      </w:docPartObj>
    </w:sdtPr>
    <w:sdtContent>
      <w:p w14:paraId="730C2219" w14:textId="17062C3A" w:rsidR="002F3610" w:rsidRDefault="002F3610" w:rsidP="00E175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15488AD" w14:textId="77777777" w:rsidR="002F3610" w:rsidRDefault="002F3610" w:rsidP="002F361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E3DF7" w14:textId="77777777" w:rsidR="002F5923" w:rsidRDefault="002F5923" w:rsidP="00EC003C">
      <w:r>
        <w:separator/>
      </w:r>
    </w:p>
  </w:footnote>
  <w:footnote w:type="continuationSeparator" w:id="0">
    <w:p w14:paraId="74D87D46" w14:textId="77777777" w:rsidR="002F5923" w:rsidRDefault="002F5923" w:rsidP="00EC003C">
      <w:r>
        <w:continuationSeparator/>
      </w:r>
    </w:p>
  </w:footnote>
  <w:footnote w:id="1">
    <w:p w14:paraId="164837CB" w14:textId="4EE601D2" w:rsidR="00ED3FFC" w:rsidRPr="009D25D3" w:rsidRDefault="00ED3FFC" w:rsidP="00787E71">
      <w:pPr>
        <w:pStyle w:val="FootnoteText"/>
        <w:rPr>
          <w:rFonts w:ascii="Cambria" w:hAnsi="Cambria"/>
          <w:sz w:val="20"/>
          <w:szCs w:val="20"/>
          <w:lang w:val="en-AU"/>
        </w:rPr>
      </w:pPr>
      <w:r w:rsidRPr="009D25D3">
        <w:rPr>
          <w:rStyle w:val="FootnoteReference"/>
          <w:rFonts w:ascii="Cambria" w:hAnsi="Cambria"/>
          <w:sz w:val="20"/>
          <w:szCs w:val="20"/>
        </w:rPr>
        <w:footnoteRef/>
      </w:r>
      <w:r w:rsidRPr="009D25D3">
        <w:rPr>
          <w:rFonts w:ascii="Cambria" w:hAnsi="Cambria"/>
          <w:sz w:val="20"/>
          <w:szCs w:val="20"/>
        </w:rPr>
        <w:t xml:space="preserve"> </w:t>
      </w:r>
      <w:r w:rsidRPr="009D25D3">
        <w:rPr>
          <w:rFonts w:ascii="Cambria" w:hAnsi="Cambria"/>
          <w:sz w:val="20"/>
          <w:szCs w:val="20"/>
          <w:lang w:val="en-AU"/>
        </w:rPr>
        <w:t xml:space="preserve">Community Legal Centres Tasmania, </w:t>
      </w:r>
      <w:r w:rsidRPr="009D25D3">
        <w:rPr>
          <w:rStyle w:val="Emphasis"/>
          <w:rFonts w:ascii="Cambria" w:hAnsi="Cambria" w:cs="Open Sans"/>
          <w:color w:val="000000" w:themeColor="text1"/>
          <w:sz w:val="20"/>
          <w:szCs w:val="20"/>
          <w:shd w:val="clear" w:color="auto" w:fill="FFFFFF"/>
        </w:rPr>
        <w:t xml:space="preserve">The Case for a Health Focused Response to Drug Use in Tasmania’s Legal System </w:t>
      </w:r>
      <w:r w:rsidRPr="003965F7">
        <w:rPr>
          <w:rStyle w:val="Emphasis"/>
          <w:rFonts w:ascii="Cambria" w:hAnsi="Cambria" w:cs="Open Sans"/>
          <w:i w:val="0"/>
          <w:iCs w:val="0"/>
          <w:color w:val="000000" w:themeColor="text1"/>
          <w:sz w:val="20"/>
          <w:szCs w:val="20"/>
          <w:shd w:val="clear" w:color="auto" w:fill="FFFFFF"/>
        </w:rPr>
        <w:t>(July 2017).</w:t>
      </w:r>
      <w:r w:rsidRPr="009D25D3">
        <w:rPr>
          <w:rStyle w:val="Emphasis"/>
          <w:rFonts w:ascii="Cambria" w:hAnsi="Cambria" w:cs="Open Sans"/>
          <w:color w:val="000000" w:themeColor="text1"/>
          <w:sz w:val="20"/>
          <w:szCs w:val="20"/>
          <w:shd w:val="clear" w:color="auto" w:fill="FFFFFF"/>
        </w:rPr>
        <w:t xml:space="preserve"> </w:t>
      </w:r>
      <w:r w:rsidRPr="009D25D3">
        <w:rPr>
          <w:rStyle w:val="Emphasis"/>
          <w:rFonts w:ascii="Cambria" w:hAnsi="Cambria" w:cs="Open Sans"/>
          <w:i w:val="0"/>
          <w:iCs w:val="0"/>
          <w:color w:val="000000" w:themeColor="text1"/>
          <w:sz w:val="20"/>
          <w:szCs w:val="20"/>
          <w:shd w:val="clear" w:color="auto" w:fill="FFFFFF"/>
        </w:rPr>
        <w:t xml:space="preserve">As found at </w:t>
      </w:r>
      <w:hyperlink r:id="rId1" w:history="1">
        <w:r w:rsidRPr="009D25D3">
          <w:rPr>
            <w:rStyle w:val="Hyperlink"/>
            <w:rFonts w:ascii="Cambria" w:hAnsi="Cambria" w:cs="Open Sans"/>
            <w:sz w:val="20"/>
            <w:szCs w:val="20"/>
            <w:shd w:val="clear" w:color="auto" w:fill="FFFFFF"/>
          </w:rPr>
          <w:t>http://www.clctas.org.au/wp-content/uploads/2013/06/DrugReformPaperFinal.pdf</w:t>
        </w:r>
      </w:hyperlink>
      <w:r w:rsidRPr="009D25D3">
        <w:rPr>
          <w:rStyle w:val="Emphasis"/>
          <w:rFonts w:ascii="Cambria" w:hAnsi="Cambria" w:cs="Open Sans"/>
          <w:i w:val="0"/>
          <w:iCs w:val="0"/>
          <w:color w:val="000000" w:themeColor="text1"/>
          <w:sz w:val="20"/>
          <w:szCs w:val="20"/>
          <w:shd w:val="clear" w:color="auto" w:fill="FFFFFF"/>
        </w:rPr>
        <w:t xml:space="preserve"> (accessed 12 January 2023).</w:t>
      </w:r>
      <w:r w:rsidRPr="009D25D3">
        <w:rPr>
          <w:rStyle w:val="Emphasis"/>
          <w:rFonts w:ascii="Cambria" w:hAnsi="Cambria" w:cs="Open Sans"/>
          <w:color w:val="000000" w:themeColor="text1"/>
          <w:sz w:val="20"/>
          <w:szCs w:val="20"/>
          <w:shd w:val="clear" w:color="auto" w:fill="FFFFFF"/>
        </w:rPr>
        <w:t xml:space="preserve"> </w:t>
      </w:r>
      <w:r w:rsidRPr="009D25D3">
        <w:rPr>
          <w:rFonts w:ascii="Cambria" w:hAnsi="Cambria"/>
          <w:sz w:val="20"/>
          <w:szCs w:val="20"/>
          <w:lang w:val="en-AU"/>
        </w:rPr>
        <w:t xml:space="preserve"> </w:t>
      </w:r>
    </w:p>
  </w:footnote>
  <w:footnote w:id="2">
    <w:p w14:paraId="60C22D80" w14:textId="47F4D5D1" w:rsidR="003E2878" w:rsidRPr="009D25D3" w:rsidRDefault="003E2878" w:rsidP="00787E71">
      <w:pPr>
        <w:pStyle w:val="FootnoteText"/>
        <w:rPr>
          <w:rFonts w:ascii="Cambria" w:hAnsi="Cambria"/>
          <w:color w:val="FF0000"/>
          <w:sz w:val="20"/>
          <w:szCs w:val="20"/>
        </w:rPr>
      </w:pPr>
      <w:r w:rsidRPr="009D25D3">
        <w:rPr>
          <w:rStyle w:val="FootnoteReference"/>
          <w:rFonts w:ascii="Cambria" w:hAnsi="Cambria" w:cstheme="minorHAnsi"/>
          <w:sz w:val="20"/>
          <w:szCs w:val="20"/>
        </w:rPr>
        <w:footnoteRef/>
      </w:r>
      <w:r w:rsidR="00787E71" w:rsidRPr="009D25D3">
        <w:rPr>
          <w:rFonts w:ascii="Cambria" w:hAnsi="Cambria"/>
          <w:sz w:val="20"/>
          <w:szCs w:val="20"/>
        </w:rPr>
        <w:t xml:space="preserve"> </w:t>
      </w:r>
      <w:r w:rsidRPr="009D25D3">
        <w:rPr>
          <w:rFonts w:ascii="Cambria" w:hAnsi="Cambria"/>
          <w:sz w:val="20"/>
          <w:szCs w:val="20"/>
        </w:rPr>
        <w:t xml:space="preserve">Australian Criminal Intelligence Commission, </w:t>
      </w:r>
      <w:r w:rsidRPr="00B00E63">
        <w:rPr>
          <w:rFonts w:ascii="Cambria" w:hAnsi="Cambria"/>
          <w:i/>
          <w:iCs/>
          <w:sz w:val="20"/>
          <w:szCs w:val="20"/>
        </w:rPr>
        <w:t>2019-20 Illicit Drug Data Report</w:t>
      </w:r>
      <w:r w:rsidRPr="009D25D3">
        <w:rPr>
          <w:rFonts w:ascii="Cambria" w:hAnsi="Cambria"/>
          <w:sz w:val="20"/>
          <w:szCs w:val="20"/>
        </w:rPr>
        <w:t xml:space="preserve"> at 1-2. As found at </w:t>
      </w:r>
      <w:hyperlink r:id="rId2" w:history="1">
        <w:r w:rsidRPr="009D25D3">
          <w:rPr>
            <w:rStyle w:val="Hyperlink"/>
            <w:rFonts w:ascii="Cambria" w:hAnsi="Cambria"/>
            <w:sz w:val="20"/>
            <w:szCs w:val="20"/>
          </w:rPr>
          <w:t>https://www.acic.gov.au/sites/default/files/2021-10/IDDR%202019-20_271021_Full_0.pdf</w:t>
        </w:r>
      </w:hyperlink>
      <w:r w:rsidRPr="009D25D3">
        <w:rPr>
          <w:rFonts w:ascii="Cambria" w:hAnsi="Cambria"/>
          <w:color w:val="FF0000"/>
          <w:sz w:val="20"/>
          <w:szCs w:val="20"/>
        </w:rPr>
        <w:t xml:space="preserve"> </w:t>
      </w:r>
      <w:r w:rsidR="009D25D3" w:rsidRPr="009D25D3">
        <w:rPr>
          <w:rStyle w:val="Emphasis"/>
          <w:rFonts w:ascii="Cambria" w:hAnsi="Cambria" w:cs="Open Sans"/>
          <w:i w:val="0"/>
          <w:iCs w:val="0"/>
          <w:color w:val="000000" w:themeColor="text1"/>
          <w:sz w:val="20"/>
          <w:szCs w:val="20"/>
          <w:shd w:val="clear" w:color="auto" w:fill="FFFFFF"/>
        </w:rPr>
        <w:t>(accessed 12 January 2023).</w:t>
      </w:r>
      <w:r w:rsidR="009D25D3" w:rsidRPr="009D25D3">
        <w:rPr>
          <w:rStyle w:val="Emphasis"/>
          <w:rFonts w:ascii="Cambria" w:hAnsi="Cambria" w:cs="Open Sans"/>
          <w:color w:val="000000" w:themeColor="text1"/>
          <w:sz w:val="20"/>
          <w:szCs w:val="20"/>
          <w:shd w:val="clear" w:color="auto" w:fill="FFFFFF"/>
        </w:rPr>
        <w:t xml:space="preserve"> </w:t>
      </w:r>
      <w:r w:rsidR="009D25D3" w:rsidRPr="009D25D3">
        <w:rPr>
          <w:rFonts w:ascii="Cambria" w:hAnsi="Cambria"/>
          <w:sz w:val="20"/>
          <w:szCs w:val="20"/>
          <w:lang w:val="en-AU"/>
        </w:rPr>
        <w:t xml:space="preserve"> </w:t>
      </w:r>
    </w:p>
  </w:footnote>
  <w:footnote w:id="3">
    <w:p w14:paraId="738A35C9" w14:textId="50E95E7F" w:rsidR="003E2878" w:rsidRPr="009D25D3" w:rsidRDefault="003E2878" w:rsidP="00787E71">
      <w:pPr>
        <w:pStyle w:val="FootnoteText"/>
        <w:rPr>
          <w:rFonts w:ascii="Cambria" w:hAnsi="Cambria"/>
          <w:sz w:val="20"/>
          <w:szCs w:val="20"/>
        </w:rPr>
      </w:pPr>
      <w:r w:rsidRPr="009D25D3">
        <w:rPr>
          <w:rStyle w:val="Bfnref"/>
          <w:rFonts w:ascii="Cambria" w:hAnsi="Cambria"/>
          <w:color w:val="000000" w:themeColor="text1"/>
          <w:sz w:val="20"/>
          <w:szCs w:val="20"/>
        </w:rPr>
        <w:footnoteRef/>
      </w:r>
      <w:r w:rsidRPr="009D25D3">
        <w:rPr>
          <w:rFonts w:ascii="Cambria" w:hAnsi="Cambria"/>
          <w:sz w:val="20"/>
          <w:szCs w:val="20"/>
        </w:rPr>
        <w:t xml:space="preserve"> </w:t>
      </w:r>
      <w:r w:rsidR="00787E71" w:rsidRPr="009D25D3">
        <w:rPr>
          <w:rFonts w:ascii="Cambria" w:hAnsi="Cambria"/>
          <w:sz w:val="20"/>
          <w:szCs w:val="20"/>
        </w:rPr>
        <w:t xml:space="preserve"> </w:t>
      </w:r>
      <w:r w:rsidRPr="009D25D3">
        <w:rPr>
          <w:rFonts w:ascii="Cambria" w:hAnsi="Cambria"/>
          <w:sz w:val="20"/>
          <w:szCs w:val="20"/>
        </w:rPr>
        <w:t>Ibid 4.</w:t>
      </w:r>
    </w:p>
  </w:footnote>
  <w:footnote w:id="4">
    <w:p w14:paraId="68E44383" w14:textId="2D148CF0" w:rsidR="00B23D2D" w:rsidRPr="009D25D3" w:rsidRDefault="00B23D2D" w:rsidP="00787E71">
      <w:pPr>
        <w:pStyle w:val="FootnoteText"/>
        <w:rPr>
          <w:rFonts w:ascii="Cambria" w:hAnsi="Cambria"/>
          <w:sz w:val="20"/>
          <w:szCs w:val="20"/>
          <w:lang w:val="en-AU"/>
        </w:rPr>
      </w:pPr>
      <w:r w:rsidRPr="009D25D3">
        <w:rPr>
          <w:rStyle w:val="FootnoteReference"/>
          <w:rFonts w:ascii="Cambria" w:hAnsi="Cambria"/>
          <w:sz w:val="20"/>
          <w:szCs w:val="20"/>
        </w:rPr>
        <w:footnoteRef/>
      </w:r>
      <w:r w:rsidR="00787E71" w:rsidRPr="009D25D3">
        <w:rPr>
          <w:rFonts w:ascii="Cambria" w:hAnsi="Cambria"/>
          <w:sz w:val="20"/>
          <w:szCs w:val="20"/>
        </w:rPr>
        <w:t xml:space="preserve"> </w:t>
      </w:r>
      <w:r w:rsidRPr="009D25D3">
        <w:rPr>
          <w:rFonts w:ascii="Cambria" w:hAnsi="Cambria"/>
          <w:sz w:val="20"/>
          <w:szCs w:val="20"/>
        </w:rPr>
        <w:t xml:space="preserve">Commonwealth of Australia, </w:t>
      </w:r>
      <w:r w:rsidRPr="00B00E63">
        <w:rPr>
          <w:rFonts w:ascii="Cambria" w:hAnsi="Cambria"/>
          <w:i/>
          <w:iCs/>
          <w:sz w:val="20"/>
          <w:szCs w:val="20"/>
          <w:bdr w:val="none" w:sz="0" w:space="0" w:color="auto" w:frame="1"/>
          <w:shd w:val="clear" w:color="auto" w:fill="FFFFFF"/>
        </w:rPr>
        <w:t>National Drug Strategy 2017-2026</w:t>
      </w:r>
      <w:r w:rsidRPr="009D25D3">
        <w:rPr>
          <w:rFonts w:ascii="Cambria" w:hAnsi="Cambria"/>
          <w:sz w:val="20"/>
          <w:szCs w:val="20"/>
          <w:bdr w:val="none" w:sz="0" w:space="0" w:color="auto" w:frame="1"/>
          <w:shd w:val="clear" w:color="auto" w:fill="FFFFFF"/>
        </w:rPr>
        <w:t xml:space="preserve"> (Canberra: 2017)</w:t>
      </w:r>
      <w:r w:rsidR="005D217C" w:rsidRPr="009D25D3">
        <w:rPr>
          <w:rFonts w:ascii="Cambria" w:hAnsi="Cambria"/>
          <w:sz w:val="20"/>
          <w:szCs w:val="20"/>
          <w:bdr w:val="none" w:sz="0" w:space="0" w:color="auto" w:frame="1"/>
          <w:shd w:val="clear" w:color="auto" w:fill="FFFFFF"/>
        </w:rPr>
        <w:t xml:space="preserve"> at 1</w:t>
      </w:r>
      <w:r w:rsidRPr="009D25D3">
        <w:rPr>
          <w:rFonts w:ascii="Cambria" w:hAnsi="Cambria"/>
          <w:sz w:val="20"/>
          <w:szCs w:val="20"/>
          <w:bdr w:val="none" w:sz="0" w:space="0" w:color="auto" w:frame="1"/>
          <w:shd w:val="clear" w:color="auto" w:fill="FFFFFF"/>
        </w:rPr>
        <w:t>.</w:t>
      </w:r>
    </w:p>
  </w:footnote>
  <w:footnote w:id="5">
    <w:p w14:paraId="3F2BBD95" w14:textId="3B4005E7" w:rsidR="00DA1C88" w:rsidRPr="009D25D3" w:rsidRDefault="00DA1C88" w:rsidP="00787E71">
      <w:pPr>
        <w:pStyle w:val="FootnoteText"/>
        <w:rPr>
          <w:rFonts w:ascii="Cambria" w:hAnsi="Cambria"/>
          <w:sz w:val="20"/>
          <w:szCs w:val="20"/>
        </w:rPr>
      </w:pPr>
      <w:r w:rsidRPr="009D25D3">
        <w:rPr>
          <w:rStyle w:val="FootnoteReference"/>
          <w:rFonts w:ascii="Cambria" w:hAnsi="Cambria"/>
          <w:sz w:val="20"/>
          <w:szCs w:val="20"/>
        </w:rPr>
        <w:footnoteRef/>
      </w:r>
      <w:r w:rsidR="00787E71" w:rsidRPr="009D25D3">
        <w:rPr>
          <w:rFonts w:ascii="Cambria" w:hAnsi="Cambria"/>
          <w:sz w:val="20"/>
          <w:szCs w:val="20"/>
        </w:rPr>
        <w:t xml:space="preserve"> </w:t>
      </w:r>
      <w:r w:rsidRPr="009D25D3">
        <w:rPr>
          <w:rFonts w:ascii="Cambria" w:hAnsi="Cambria"/>
          <w:sz w:val="20"/>
          <w:szCs w:val="20"/>
        </w:rPr>
        <w:t xml:space="preserve">Ibid 4. </w:t>
      </w:r>
    </w:p>
  </w:footnote>
  <w:footnote w:id="6">
    <w:p w14:paraId="7F5C68D8" w14:textId="23B0A62C" w:rsidR="00DA1C88" w:rsidRPr="009D25D3" w:rsidRDefault="00DA1C88" w:rsidP="00787E71">
      <w:pPr>
        <w:pStyle w:val="FootnoteText"/>
        <w:rPr>
          <w:rFonts w:ascii="Cambria" w:hAnsi="Cambria" w:cs="Helvetica"/>
          <w:sz w:val="20"/>
          <w:szCs w:val="20"/>
        </w:rPr>
      </w:pPr>
      <w:r w:rsidRPr="009D25D3">
        <w:rPr>
          <w:rStyle w:val="Bfnref"/>
          <w:rFonts w:ascii="Cambria" w:hAnsi="Cambria"/>
          <w:color w:val="000000" w:themeColor="text1"/>
          <w:sz w:val="20"/>
          <w:szCs w:val="20"/>
        </w:rPr>
        <w:footnoteRef/>
      </w:r>
      <w:r w:rsidR="00787E71" w:rsidRPr="009D25D3">
        <w:rPr>
          <w:rFonts w:ascii="Cambria" w:hAnsi="Cambria"/>
          <w:sz w:val="20"/>
          <w:szCs w:val="20"/>
        </w:rPr>
        <w:t xml:space="preserve"> </w:t>
      </w:r>
      <w:r w:rsidRPr="009D25D3">
        <w:rPr>
          <w:rFonts w:ascii="Cambria" w:hAnsi="Cambria"/>
          <w:sz w:val="20"/>
          <w:szCs w:val="20"/>
        </w:rPr>
        <w:t xml:space="preserve">J Payne, M Kwiatkowski &amp; J Wundersitz, </w:t>
      </w:r>
      <w:r w:rsidRPr="00B00E63">
        <w:rPr>
          <w:rFonts w:ascii="Cambria" w:hAnsi="Cambria"/>
          <w:i/>
          <w:iCs/>
          <w:sz w:val="20"/>
          <w:szCs w:val="20"/>
        </w:rPr>
        <w:t>Police drug diversion: a study of criminal offending outcomes</w:t>
      </w:r>
      <w:r w:rsidRPr="009D25D3">
        <w:rPr>
          <w:rFonts w:ascii="Cambria" w:hAnsi="Cambria"/>
          <w:sz w:val="20"/>
          <w:szCs w:val="20"/>
        </w:rPr>
        <w:t xml:space="preserve"> (2008)</w:t>
      </w:r>
      <w:r w:rsidR="00CD65C8" w:rsidRPr="009D25D3">
        <w:rPr>
          <w:rFonts w:ascii="Cambria" w:hAnsi="Cambria"/>
          <w:sz w:val="20"/>
          <w:szCs w:val="20"/>
        </w:rPr>
        <w:t xml:space="preserve"> </w:t>
      </w:r>
      <w:r w:rsidRPr="009D25D3">
        <w:rPr>
          <w:rFonts w:ascii="Cambria" w:hAnsi="Cambria"/>
          <w:sz w:val="20"/>
          <w:szCs w:val="20"/>
        </w:rPr>
        <w:t>Research and Public Policy Series Report 97. Canberra: Australian Institute of Criminology.</w:t>
      </w:r>
    </w:p>
  </w:footnote>
  <w:footnote w:id="7">
    <w:p w14:paraId="1D5601E9" w14:textId="1BB370D0" w:rsidR="00C070A8" w:rsidRPr="009D25D3" w:rsidRDefault="00C070A8" w:rsidP="00787E71">
      <w:pPr>
        <w:pStyle w:val="FootnoteText"/>
        <w:rPr>
          <w:rFonts w:ascii="Cambria" w:hAnsi="Cambria"/>
          <w:sz w:val="20"/>
          <w:szCs w:val="20"/>
        </w:rPr>
      </w:pPr>
      <w:r w:rsidRPr="009D25D3">
        <w:rPr>
          <w:rStyle w:val="FootnoteReference"/>
          <w:rFonts w:ascii="Cambria" w:hAnsi="Cambria"/>
          <w:sz w:val="20"/>
          <w:szCs w:val="20"/>
        </w:rPr>
        <w:footnoteRef/>
      </w:r>
      <w:r w:rsidR="00787E71" w:rsidRPr="009D25D3">
        <w:rPr>
          <w:rFonts w:ascii="Cambria" w:hAnsi="Cambria"/>
          <w:sz w:val="20"/>
          <w:szCs w:val="20"/>
        </w:rPr>
        <w:t xml:space="preserve"> </w:t>
      </w:r>
      <w:r w:rsidRPr="009D25D3">
        <w:rPr>
          <w:rFonts w:ascii="Cambria" w:hAnsi="Cambria"/>
          <w:sz w:val="20"/>
          <w:szCs w:val="20"/>
        </w:rPr>
        <w:t xml:space="preserve">D Weatherburn, C Jones, L Snowball &amp; J Hua, The NSW Drug Court: A re-evaluation of its effectiveness (2008) 121 </w:t>
      </w:r>
      <w:r w:rsidRPr="00B00E63">
        <w:rPr>
          <w:rFonts w:ascii="Cambria" w:hAnsi="Cambria"/>
          <w:i/>
          <w:iCs/>
          <w:sz w:val="20"/>
          <w:szCs w:val="20"/>
        </w:rPr>
        <w:t>NSW Bureau of Crime and Statistics and Research</w:t>
      </w:r>
      <w:r w:rsidRPr="009D25D3">
        <w:rPr>
          <w:rFonts w:ascii="Cambria" w:hAnsi="Cambria"/>
          <w:sz w:val="20"/>
          <w:szCs w:val="20"/>
        </w:rPr>
        <w:t xml:space="preserve"> at 9.</w:t>
      </w:r>
    </w:p>
  </w:footnote>
  <w:footnote w:id="8">
    <w:p w14:paraId="0794077D" w14:textId="0F782EE4" w:rsidR="00C070A8" w:rsidRPr="009D25D3" w:rsidRDefault="00C070A8" w:rsidP="00787E71">
      <w:pPr>
        <w:pStyle w:val="FootnoteText"/>
        <w:rPr>
          <w:rFonts w:ascii="Cambria" w:hAnsi="Cambria"/>
          <w:sz w:val="20"/>
          <w:szCs w:val="20"/>
        </w:rPr>
      </w:pPr>
      <w:r w:rsidRPr="009D25D3">
        <w:rPr>
          <w:rStyle w:val="FootnoteReference"/>
          <w:rFonts w:ascii="Cambria" w:hAnsi="Cambria"/>
          <w:sz w:val="20"/>
          <w:szCs w:val="20"/>
        </w:rPr>
        <w:footnoteRef/>
      </w:r>
      <w:r w:rsidR="00CD65C8" w:rsidRPr="009D25D3">
        <w:rPr>
          <w:rFonts w:ascii="Cambria" w:hAnsi="Cambria"/>
          <w:sz w:val="20"/>
          <w:szCs w:val="20"/>
        </w:rPr>
        <w:t xml:space="preserve"> </w:t>
      </w:r>
      <w:r w:rsidRPr="009D25D3">
        <w:rPr>
          <w:rStyle w:val="FootnoteTextChar"/>
          <w:rFonts w:ascii="Cambria" w:hAnsi="Cambria"/>
          <w:sz w:val="20"/>
          <w:szCs w:val="20"/>
        </w:rPr>
        <w:t xml:space="preserve">Ibid 11. </w:t>
      </w:r>
    </w:p>
  </w:footnote>
  <w:footnote w:id="9">
    <w:p w14:paraId="06B77641" w14:textId="4262BAE5" w:rsidR="00B82864" w:rsidRPr="009D25D3" w:rsidRDefault="00B82864" w:rsidP="00787E71">
      <w:pPr>
        <w:pStyle w:val="FootnoteText"/>
        <w:rPr>
          <w:rFonts w:ascii="Cambria" w:hAnsi="Cambria"/>
          <w:sz w:val="20"/>
          <w:szCs w:val="20"/>
          <w:lang w:val="en-AU"/>
        </w:rPr>
      </w:pPr>
      <w:r w:rsidRPr="009D25D3">
        <w:rPr>
          <w:rStyle w:val="FootnoteReference"/>
          <w:rFonts w:ascii="Cambria" w:hAnsi="Cambria"/>
          <w:sz w:val="20"/>
          <w:szCs w:val="20"/>
        </w:rPr>
        <w:footnoteRef/>
      </w:r>
      <w:r w:rsidR="00787E71" w:rsidRPr="009D25D3">
        <w:rPr>
          <w:rFonts w:ascii="Cambria" w:hAnsi="Cambria"/>
          <w:sz w:val="20"/>
          <w:szCs w:val="20"/>
        </w:rPr>
        <w:t xml:space="preserve"> </w:t>
      </w:r>
      <w:r w:rsidRPr="009D25D3">
        <w:rPr>
          <w:rFonts w:ascii="Cambria" w:hAnsi="Cambria"/>
          <w:sz w:val="20"/>
          <w:szCs w:val="20"/>
        </w:rPr>
        <w:t xml:space="preserve">Alison </w:t>
      </w:r>
      <w:r w:rsidRPr="009D25D3">
        <w:rPr>
          <w:rFonts w:ascii="Cambria" w:hAnsi="Cambria"/>
          <w:color w:val="000000"/>
          <w:sz w:val="20"/>
          <w:szCs w:val="20"/>
          <w:bdr w:val="none" w:sz="0" w:space="0" w:color="auto" w:frame="1"/>
          <w:shd w:val="clear" w:color="auto" w:fill="FFFFFF"/>
        </w:rPr>
        <w:t>Ritter, Ross McLeod and Marian Shanahan</w:t>
      </w:r>
      <w:r w:rsidR="00B00E63">
        <w:rPr>
          <w:rFonts w:ascii="Cambria" w:hAnsi="Cambria"/>
          <w:color w:val="000000"/>
          <w:sz w:val="20"/>
          <w:szCs w:val="20"/>
          <w:bdr w:val="none" w:sz="0" w:space="0" w:color="auto" w:frame="1"/>
          <w:shd w:val="clear" w:color="auto" w:fill="FFFFFF"/>
        </w:rPr>
        <w:t xml:space="preserve">, </w:t>
      </w:r>
      <w:r w:rsidRPr="00B00E63">
        <w:rPr>
          <w:rFonts w:ascii="Cambria" w:hAnsi="Cambria"/>
          <w:i/>
          <w:iCs/>
          <w:color w:val="000000"/>
          <w:sz w:val="20"/>
          <w:szCs w:val="20"/>
          <w:bdr w:val="none" w:sz="0" w:space="0" w:color="auto" w:frame="1"/>
          <w:shd w:val="clear" w:color="auto" w:fill="FFFFFF"/>
        </w:rPr>
        <w:t>Government drug policy</w:t>
      </w:r>
      <w:r w:rsidR="00B00E63">
        <w:rPr>
          <w:rFonts w:ascii="Cambria" w:hAnsi="Cambria"/>
          <w:i/>
          <w:iCs/>
          <w:color w:val="000000"/>
          <w:sz w:val="20"/>
          <w:szCs w:val="20"/>
          <w:bdr w:val="none" w:sz="0" w:space="0" w:color="auto" w:frame="1"/>
          <w:shd w:val="clear" w:color="auto" w:fill="FFFFFF"/>
        </w:rPr>
        <w:t xml:space="preserve"> </w:t>
      </w:r>
      <w:r w:rsidRPr="00B00E63">
        <w:rPr>
          <w:rFonts w:ascii="Cambria" w:hAnsi="Cambria"/>
          <w:i/>
          <w:iCs/>
          <w:color w:val="000000"/>
          <w:sz w:val="20"/>
          <w:szCs w:val="20"/>
          <w:bdr w:val="none" w:sz="0" w:space="0" w:color="auto" w:frame="1"/>
          <w:shd w:val="clear" w:color="auto" w:fill="FFFFFF"/>
        </w:rPr>
        <w:t>expenditure in Australia – 2009/10</w:t>
      </w:r>
      <w:r w:rsidRPr="009D25D3">
        <w:rPr>
          <w:rFonts w:ascii="Cambria" w:hAnsi="Cambria"/>
          <w:color w:val="000000"/>
          <w:sz w:val="20"/>
          <w:szCs w:val="20"/>
          <w:bdr w:val="none" w:sz="0" w:space="0" w:color="auto" w:frame="1"/>
          <w:shd w:val="clear" w:color="auto" w:fill="FFFFFF"/>
        </w:rPr>
        <w:t xml:space="preserve"> (National Drug and Alcohol Research Centre: </w:t>
      </w:r>
      <w:r w:rsidR="00B00E63" w:rsidRPr="009D25D3">
        <w:rPr>
          <w:rFonts w:ascii="Cambria" w:hAnsi="Cambria"/>
          <w:color w:val="000000"/>
          <w:sz w:val="20"/>
          <w:szCs w:val="20"/>
          <w:bdr w:val="none" w:sz="0" w:space="0" w:color="auto" w:frame="1"/>
          <w:shd w:val="clear" w:color="auto" w:fill="FFFFFF"/>
        </w:rPr>
        <w:t>Monograph No. 24</w:t>
      </w:r>
      <w:r w:rsidR="00B00E63">
        <w:rPr>
          <w:rFonts w:ascii="Cambria" w:hAnsi="Cambria"/>
          <w:color w:val="000000"/>
          <w:sz w:val="20"/>
          <w:szCs w:val="20"/>
          <w:bdr w:val="none" w:sz="0" w:space="0" w:color="auto" w:frame="1"/>
          <w:shd w:val="clear" w:color="auto" w:fill="FFFFFF"/>
        </w:rPr>
        <w:t xml:space="preserve">, </w:t>
      </w:r>
      <w:r w:rsidRPr="009D25D3">
        <w:rPr>
          <w:rFonts w:ascii="Cambria" w:hAnsi="Cambria"/>
          <w:color w:val="000000"/>
          <w:sz w:val="20"/>
          <w:szCs w:val="20"/>
          <w:bdr w:val="none" w:sz="0" w:space="0" w:color="auto" w:frame="1"/>
          <w:shd w:val="clear" w:color="auto" w:fill="FFFFFF"/>
        </w:rPr>
        <w:t>Sydney June 2013).</w:t>
      </w:r>
    </w:p>
  </w:footnote>
  <w:footnote w:id="10">
    <w:p w14:paraId="7A985633" w14:textId="1493FBC1" w:rsidR="00B84AEA" w:rsidRPr="009D25D3" w:rsidRDefault="00B84AEA" w:rsidP="00B84AEA">
      <w:pPr>
        <w:pStyle w:val="FootnoteText"/>
        <w:rPr>
          <w:rFonts w:ascii="Cambria" w:hAnsi="Cambria"/>
          <w:sz w:val="20"/>
          <w:szCs w:val="20"/>
          <w:lang w:val="en-AU"/>
        </w:rPr>
      </w:pPr>
      <w:r w:rsidRPr="009D25D3">
        <w:rPr>
          <w:rStyle w:val="FootnoteReference"/>
          <w:rFonts w:ascii="Cambria" w:hAnsi="Cambria"/>
          <w:sz w:val="20"/>
          <w:szCs w:val="20"/>
        </w:rPr>
        <w:footnoteRef/>
      </w:r>
      <w:r w:rsidRPr="009D25D3">
        <w:rPr>
          <w:rFonts w:ascii="Cambria" w:hAnsi="Cambria"/>
          <w:sz w:val="20"/>
          <w:szCs w:val="20"/>
        </w:rPr>
        <w:t xml:space="preserve"> </w:t>
      </w:r>
      <w:r w:rsidRPr="009D25D3">
        <w:rPr>
          <w:rFonts w:ascii="Cambria" w:hAnsi="Cambria"/>
          <w:sz w:val="20"/>
          <w:szCs w:val="20"/>
          <w:lang w:val="en-AU"/>
        </w:rPr>
        <w:t xml:space="preserve">Alison Ritter, Lynda Berends, Jenny Chalmers, Phil Hull, Kari Lancaster, Maria Gomez, </w:t>
      </w:r>
      <w:r w:rsidRPr="009D25D3">
        <w:rPr>
          <w:rFonts w:ascii="Cambria" w:hAnsi="Cambria"/>
          <w:i/>
          <w:iCs/>
          <w:sz w:val="20"/>
          <w:szCs w:val="20"/>
          <w:lang w:val="en-AU"/>
        </w:rPr>
        <w:t xml:space="preserve">New Horizons: The review of alcohol and other drug treatment services in Australia </w:t>
      </w:r>
      <w:r w:rsidRPr="009D25D3">
        <w:rPr>
          <w:rFonts w:ascii="Cambria" w:hAnsi="Cambria"/>
          <w:sz w:val="20"/>
          <w:szCs w:val="20"/>
          <w:lang w:val="en-AU"/>
        </w:rPr>
        <w:t xml:space="preserve">(Final Report: July 2014) at 13. </w:t>
      </w:r>
    </w:p>
  </w:footnote>
  <w:footnote w:id="11">
    <w:p w14:paraId="412FCAAE" w14:textId="42BE2A8A" w:rsidR="00B84AEA" w:rsidRPr="009D25D3" w:rsidRDefault="00B84AEA" w:rsidP="00B84AEA">
      <w:pPr>
        <w:pStyle w:val="FootnoteText"/>
        <w:rPr>
          <w:rFonts w:ascii="Cambria" w:hAnsi="Cambria"/>
          <w:sz w:val="20"/>
          <w:szCs w:val="20"/>
          <w:lang w:val="en-AU"/>
        </w:rPr>
      </w:pPr>
      <w:r w:rsidRPr="009D25D3">
        <w:rPr>
          <w:rStyle w:val="FootnoteReference"/>
          <w:rFonts w:ascii="Cambria" w:hAnsi="Cambria"/>
          <w:sz w:val="20"/>
          <w:szCs w:val="20"/>
        </w:rPr>
        <w:footnoteRef/>
      </w:r>
      <w:r w:rsidRPr="009D25D3">
        <w:rPr>
          <w:rFonts w:ascii="Cambria" w:hAnsi="Cambria"/>
          <w:sz w:val="20"/>
          <w:szCs w:val="20"/>
        </w:rPr>
        <w:t xml:space="preserve"> </w:t>
      </w:r>
      <w:r w:rsidR="00B00E63">
        <w:rPr>
          <w:rFonts w:ascii="Cambria" w:hAnsi="Cambria"/>
          <w:sz w:val="20"/>
          <w:szCs w:val="20"/>
          <w:lang w:val="en-AU"/>
        </w:rPr>
        <w:t>Ibid</w:t>
      </w:r>
      <w:r w:rsidRPr="009D25D3">
        <w:rPr>
          <w:rFonts w:ascii="Cambria" w:hAnsi="Cambria"/>
          <w:sz w:val="20"/>
          <w:szCs w:val="20"/>
          <w:lang w:val="en-AU"/>
        </w:rPr>
        <w:t xml:space="preserve">. </w:t>
      </w:r>
    </w:p>
  </w:footnote>
  <w:footnote w:id="12">
    <w:p w14:paraId="617F3B44" w14:textId="77777777" w:rsidR="00B84AEA" w:rsidRPr="009D25D3" w:rsidRDefault="00B84AEA" w:rsidP="00B84AEA">
      <w:pPr>
        <w:pStyle w:val="FootnoteText"/>
        <w:rPr>
          <w:rFonts w:ascii="Cambria" w:hAnsi="Cambria"/>
          <w:sz w:val="20"/>
          <w:szCs w:val="20"/>
          <w:lang w:val="en-AU"/>
        </w:rPr>
      </w:pPr>
      <w:r w:rsidRPr="009D25D3">
        <w:rPr>
          <w:rStyle w:val="FootnoteReference"/>
          <w:rFonts w:ascii="Cambria" w:hAnsi="Cambria"/>
          <w:sz w:val="20"/>
          <w:szCs w:val="20"/>
        </w:rPr>
        <w:footnoteRef/>
      </w:r>
      <w:r w:rsidRPr="009D25D3">
        <w:rPr>
          <w:rFonts w:ascii="Cambria" w:hAnsi="Cambria"/>
          <w:sz w:val="20"/>
          <w:szCs w:val="20"/>
        </w:rPr>
        <w:t xml:space="preserve"> Department of Health, </w:t>
      </w:r>
      <w:r w:rsidRPr="009D25D3">
        <w:rPr>
          <w:rFonts w:ascii="Cambria" w:hAnsi="Cambria"/>
          <w:i/>
          <w:iCs/>
          <w:color w:val="000000"/>
          <w:sz w:val="20"/>
          <w:szCs w:val="20"/>
          <w:bdr w:val="none" w:sz="0" w:space="0" w:color="auto" w:frame="1"/>
          <w:shd w:val="clear" w:color="auto" w:fill="FFFFFF"/>
        </w:rPr>
        <w:t xml:space="preserve">Reform Agenda for the Alcohol and Other Drugs Sector in Tasmania </w:t>
      </w:r>
      <w:r w:rsidRPr="009D25D3">
        <w:rPr>
          <w:rFonts w:ascii="Cambria" w:hAnsi="Cambria"/>
          <w:color w:val="000000"/>
          <w:sz w:val="20"/>
          <w:szCs w:val="20"/>
          <w:bdr w:val="none" w:sz="0" w:space="0" w:color="auto" w:frame="1"/>
          <w:shd w:val="clear" w:color="auto" w:fill="FFFFFF"/>
        </w:rPr>
        <w:t xml:space="preserve">(November 2020) at 11-12. Also see Siggins Miller, ‘A single Tasmanian alcohol and other drugs (AD) service system framework’ (Final Report: August 2017) at 5.   </w:t>
      </w:r>
      <w:r w:rsidRPr="009D25D3">
        <w:rPr>
          <w:rFonts w:ascii="Cambria" w:hAnsi="Cambria"/>
          <w:i/>
          <w:iCs/>
          <w:color w:val="000000"/>
          <w:sz w:val="20"/>
          <w:szCs w:val="20"/>
          <w:bdr w:val="none" w:sz="0" w:space="0" w:color="auto" w:frame="1"/>
          <w:shd w:val="clear" w:color="auto" w:fill="FFFFFF"/>
        </w:rPr>
        <w:t xml:space="preserve"> </w:t>
      </w:r>
    </w:p>
  </w:footnote>
  <w:footnote w:id="13">
    <w:p w14:paraId="6FB7DAF2" w14:textId="5B6D4430" w:rsidR="00AF7B65" w:rsidRPr="009D25D3" w:rsidRDefault="00AF7B65" w:rsidP="00787E71">
      <w:pPr>
        <w:pStyle w:val="FootnoteText"/>
        <w:rPr>
          <w:rFonts w:ascii="Cambria" w:hAnsi="Cambria"/>
          <w:sz w:val="20"/>
          <w:szCs w:val="20"/>
          <w:lang w:val="en-AU"/>
        </w:rPr>
      </w:pPr>
      <w:r w:rsidRPr="009D25D3">
        <w:rPr>
          <w:rStyle w:val="FootnoteReference"/>
          <w:rFonts w:ascii="Cambria" w:hAnsi="Cambria"/>
          <w:sz w:val="20"/>
          <w:szCs w:val="20"/>
        </w:rPr>
        <w:footnoteRef/>
      </w:r>
      <w:r w:rsidR="00CD65C8" w:rsidRPr="009D25D3">
        <w:rPr>
          <w:rFonts w:ascii="Cambria" w:hAnsi="Cambria"/>
          <w:sz w:val="20"/>
          <w:szCs w:val="20"/>
        </w:rPr>
        <w:t xml:space="preserve"> </w:t>
      </w:r>
      <w:r w:rsidRPr="009D25D3">
        <w:rPr>
          <w:rFonts w:ascii="Cambria" w:hAnsi="Cambria"/>
          <w:sz w:val="20"/>
          <w:szCs w:val="20"/>
        </w:rPr>
        <w:t>Commonwealth of Australia, Parliamentary Joint Committee on Law Enforcement</w:t>
      </w:r>
      <w:r w:rsidR="00B00E63">
        <w:rPr>
          <w:rFonts w:ascii="Cambria" w:hAnsi="Cambria"/>
          <w:sz w:val="20"/>
          <w:szCs w:val="20"/>
        </w:rPr>
        <w:t xml:space="preserve">, </w:t>
      </w:r>
      <w:r w:rsidRPr="00B00E63">
        <w:rPr>
          <w:rFonts w:ascii="Cambria" w:hAnsi="Cambria"/>
          <w:i/>
          <w:iCs/>
          <w:sz w:val="20"/>
          <w:szCs w:val="20"/>
        </w:rPr>
        <w:t xml:space="preserve">Inquiry into crystal methamphetamine (ice) </w:t>
      </w:r>
      <w:r w:rsidR="00B00E63">
        <w:rPr>
          <w:rFonts w:ascii="Cambria" w:hAnsi="Cambria"/>
          <w:sz w:val="20"/>
          <w:szCs w:val="20"/>
        </w:rPr>
        <w:t>(</w:t>
      </w:r>
      <w:r w:rsidRPr="009D25D3">
        <w:rPr>
          <w:rFonts w:ascii="Cambria" w:hAnsi="Cambria"/>
          <w:sz w:val="20"/>
          <w:szCs w:val="20"/>
        </w:rPr>
        <w:t>Final Report</w:t>
      </w:r>
      <w:r w:rsidR="00B00E63">
        <w:rPr>
          <w:rFonts w:ascii="Cambria" w:hAnsi="Cambria"/>
          <w:sz w:val="20"/>
          <w:szCs w:val="20"/>
        </w:rPr>
        <w:t xml:space="preserve">: </w:t>
      </w:r>
      <w:r w:rsidRPr="009D25D3">
        <w:rPr>
          <w:rFonts w:ascii="Cambria" w:hAnsi="Cambria"/>
          <w:sz w:val="20"/>
          <w:szCs w:val="20"/>
        </w:rPr>
        <w:t xml:space="preserve">March 2018). </w:t>
      </w:r>
    </w:p>
  </w:footnote>
  <w:footnote w:id="14">
    <w:p w14:paraId="589C52F4" w14:textId="242C0B03" w:rsidR="00B27566" w:rsidRPr="009D25D3" w:rsidRDefault="00B27566" w:rsidP="00787E71">
      <w:pPr>
        <w:pStyle w:val="FootnoteText"/>
        <w:rPr>
          <w:rFonts w:ascii="Cambria" w:hAnsi="Cambria"/>
          <w:sz w:val="20"/>
          <w:szCs w:val="20"/>
          <w:lang w:val="en-AU"/>
        </w:rPr>
      </w:pPr>
      <w:r w:rsidRPr="009D25D3">
        <w:rPr>
          <w:rStyle w:val="FootnoteReference"/>
          <w:rFonts w:ascii="Cambria" w:hAnsi="Cambria"/>
          <w:sz w:val="20"/>
          <w:szCs w:val="20"/>
        </w:rPr>
        <w:footnoteRef/>
      </w:r>
      <w:r w:rsidRPr="009D25D3">
        <w:rPr>
          <w:rFonts w:ascii="Cambria" w:hAnsi="Cambria"/>
          <w:sz w:val="20"/>
          <w:szCs w:val="20"/>
        </w:rPr>
        <w:t xml:space="preserve"> </w:t>
      </w:r>
      <w:r w:rsidR="00B00E63">
        <w:rPr>
          <w:rFonts w:ascii="Cambria" w:hAnsi="Cambria"/>
          <w:sz w:val="20"/>
          <w:szCs w:val="20"/>
        </w:rPr>
        <w:t>Ibid</w:t>
      </w:r>
      <w:r w:rsidRPr="009D25D3">
        <w:rPr>
          <w:rFonts w:ascii="Cambria" w:hAnsi="Cambria"/>
          <w:sz w:val="20"/>
          <w:szCs w:val="20"/>
        </w:rPr>
        <w:t xml:space="preserve"> para. 6.98</w:t>
      </w:r>
      <w:r w:rsidR="0010577A" w:rsidRPr="009D25D3">
        <w:rPr>
          <w:rFonts w:ascii="Cambria" w:hAnsi="Cambria"/>
          <w:sz w:val="20"/>
          <w:szCs w:val="20"/>
        </w:rPr>
        <w:t xml:space="preserve">. </w:t>
      </w:r>
      <w:r w:rsidRPr="009D25D3">
        <w:rPr>
          <w:rFonts w:ascii="Cambria" w:hAnsi="Cambria"/>
          <w:sz w:val="20"/>
          <w:szCs w:val="20"/>
        </w:rPr>
        <w:t xml:space="preserve"> </w:t>
      </w:r>
    </w:p>
  </w:footnote>
  <w:footnote w:id="15">
    <w:p w14:paraId="16B648BB" w14:textId="031B7386" w:rsidR="00B27566" w:rsidRPr="009D25D3" w:rsidRDefault="00B27566" w:rsidP="00787E71">
      <w:pPr>
        <w:pStyle w:val="FootnoteText"/>
        <w:rPr>
          <w:rFonts w:ascii="Cambria" w:hAnsi="Cambria"/>
          <w:sz w:val="20"/>
          <w:szCs w:val="20"/>
          <w:lang w:val="en-AU"/>
        </w:rPr>
      </w:pPr>
      <w:r w:rsidRPr="009D25D3">
        <w:rPr>
          <w:rStyle w:val="FootnoteReference"/>
          <w:rFonts w:ascii="Cambria" w:hAnsi="Cambria"/>
          <w:sz w:val="20"/>
          <w:szCs w:val="20"/>
        </w:rPr>
        <w:footnoteRef/>
      </w:r>
      <w:r w:rsidRPr="009D25D3">
        <w:rPr>
          <w:rFonts w:ascii="Cambria" w:hAnsi="Cambria"/>
          <w:sz w:val="20"/>
          <w:szCs w:val="20"/>
        </w:rPr>
        <w:t xml:space="preserve"> </w:t>
      </w:r>
      <w:r w:rsidRPr="009D25D3">
        <w:rPr>
          <w:rFonts w:ascii="Cambria" w:hAnsi="Cambria"/>
          <w:sz w:val="20"/>
          <w:szCs w:val="20"/>
          <w:lang w:val="en-AU"/>
        </w:rPr>
        <w:t xml:space="preserve">Parliament of Victoria, Law Reform, Road and Community Safety Committee, Inquiry into drug law reform (March 2018) </w:t>
      </w:r>
      <w:r w:rsidR="002D3E28" w:rsidRPr="009D25D3">
        <w:rPr>
          <w:rFonts w:ascii="Cambria" w:hAnsi="Cambria"/>
          <w:sz w:val="20"/>
          <w:szCs w:val="20"/>
          <w:lang w:val="en-AU"/>
        </w:rPr>
        <w:t>para. 7.8</w:t>
      </w:r>
      <w:r w:rsidR="0010577A" w:rsidRPr="009D25D3">
        <w:rPr>
          <w:rFonts w:ascii="Cambria" w:hAnsi="Cambria"/>
          <w:sz w:val="20"/>
          <w:szCs w:val="20"/>
          <w:lang w:val="en-AU"/>
        </w:rPr>
        <w:t xml:space="preserve">. </w:t>
      </w:r>
      <w:r w:rsidRPr="009D25D3">
        <w:rPr>
          <w:rFonts w:ascii="Cambria" w:hAnsi="Cambria"/>
          <w:sz w:val="20"/>
          <w:szCs w:val="20"/>
          <w:lang w:val="en-AU"/>
        </w:rPr>
        <w:t xml:space="preserve">  </w:t>
      </w:r>
    </w:p>
  </w:footnote>
  <w:footnote w:id="16">
    <w:p w14:paraId="1C0CCE8A" w14:textId="5A13CBA7" w:rsidR="0010577A" w:rsidRPr="009D25D3" w:rsidRDefault="0010577A" w:rsidP="00787E71">
      <w:pPr>
        <w:pStyle w:val="FootnoteText"/>
        <w:rPr>
          <w:rFonts w:ascii="Cambria" w:hAnsi="Cambria"/>
          <w:sz w:val="20"/>
          <w:szCs w:val="20"/>
          <w:lang w:val="en-AU"/>
        </w:rPr>
      </w:pPr>
      <w:r w:rsidRPr="009D25D3">
        <w:rPr>
          <w:rStyle w:val="FootnoteReference"/>
          <w:rFonts w:ascii="Cambria" w:hAnsi="Cambria"/>
          <w:sz w:val="20"/>
          <w:szCs w:val="20"/>
        </w:rPr>
        <w:footnoteRef/>
      </w:r>
      <w:r w:rsidRPr="009D25D3">
        <w:rPr>
          <w:rFonts w:ascii="Cambria" w:hAnsi="Cambria"/>
          <w:sz w:val="20"/>
          <w:szCs w:val="20"/>
        </w:rPr>
        <w:t xml:space="preserve"> </w:t>
      </w:r>
      <w:r w:rsidRPr="009D25D3">
        <w:rPr>
          <w:rFonts w:ascii="Cambria" w:hAnsi="Cambria"/>
          <w:sz w:val="20"/>
          <w:szCs w:val="20"/>
          <w:lang w:val="en-AU"/>
        </w:rPr>
        <w:t xml:space="preserve">Parliament of Victoria, Law Reform, Road and Community Safety Committee, Inquiry into drug law reform (March 2018) recommendation 13.  </w:t>
      </w:r>
    </w:p>
  </w:footnote>
  <w:footnote w:id="17">
    <w:p w14:paraId="489EA366" w14:textId="25FC0991" w:rsidR="0010577A" w:rsidRPr="009D25D3" w:rsidRDefault="0010577A" w:rsidP="00787E71">
      <w:pPr>
        <w:pStyle w:val="FootnoteText"/>
        <w:rPr>
          <w:rFonts w:ascii="Cambria" w:hAnsi="Cambria"/>
          <w:sz w:val="20"/>
          <w:szCs w:val="20"/>
          <w:lang w:val="en-AU"/>
        </w:rPr>
      </w:pPr>
      <w:r w:rsidRPr="009D25D3">
        <w:rPr>
          <w:rStyle w:val="FootnoteReference"/>
          <w:rFonts w:ascii="Cambria" w:hAnsi="Cambria"/>
          <w:sz w:val="20"/>
          <w:szCs w:val="20"/>
        </w:rPr>
        <w:footnoteRef/>
      </w:r>
      <w:r w:rsidRPr="009D25D3">
        <w:rPr>
          <w:rFonts w:ascii="Cambria" w:hAnsi="Cambria"/>
          <w:sz w:val="20"/>
          <w:szCs w:val="20"/>
        </w:rPr>
        <w:t xml:space="preserve"> United Nations Chief Executives Board, </w:t>
      </w:r>
      <w:r w:rsidRPr="00B00E63">
        <w:rPr>
          <w:rFonts w:ascii="Cambria" w:hAnsi="Cambria"/>
          <w:i/>
          <w:iCs/>
          <w:sz w:val="20"/>
          <w:szCs w:val="20"/>
        </w:rPr>
        <w:t>Summary of deliberations</w:t>
      </w:r>
      <w:r w:rsidRPr="009D25D3">
        <w:rPr>
          <w:rFonts w:ascii="Cambria" w:hAnsi="Cambria"/>
          <w:sz w:val="20"/>
          <w:szCs w:val="20"/>
        </w:rPr>
        <w:t>, New York, 18 January 2019</w:t>
      </w:r>
      <w:r w:rsidR="00B00E63">
        <w:rPr>
          <w:rFonts w:ascii="Cambria" w:hAnsi="Cambria"/>
          <w:sz w:val="20"/>
          <w:szCs w:val="20"/>
        </w:rPr>
        <w:t xml:space="preserve"> at </w:t>
      </w:r>
      <w:r w:rsidRPr="009D25D3">
        <w:rPr>
          <w:rFonts w:ascii="Cambria" w:hAnsi="Cambria"/>
          <w:sz w:val="20"/>
          <w:szCs w:val="20"/>
        </w:rPr>
        <w:t xml:space="preserve">14. </w:t>
      </w:r>
    </w:p>
  </w:footnote>
  <w:footnote w:id="18">
    <w:p w14:paraId="39CA43E4" w14:textId="309303C7" w:rsidR="004D2863" w:rsidRPr="009D25D3" w:rsidRDefault="004D2863">
      <w:pPr>
        <w:pStyle w:val="FootnoteText"/>
        <w:rPr>
          <w:rFonts w:ascii="Cambria" w:hAnsi="Cambria"/>
          <w:sz w:val="20"/>
          <w:szCs w:val="20"/>
          <w:lang w:val="en-AU"/>
        </w:rPr>
      </w:pPr>
      <w:r w:rsidRPr="009D25D3">
        <w:rPr>
          <w:rStyle w:val="FootnoteReference"/>
          <w:rFonts w:ascii="Cambria" w:hAnsi="Cambria"/>
          <w:sz w:val="20"/>
          <w:szCs w:val="20"/>
        </w:rPr>
        <w:footnoteRef/>
      </w:r>
      <w:r w:rsidRPr="009D25D3">
        <w:rPr>
          <w:rFonts w:ascii="Cambria" w:hAnsi="Cambria"/>
          <w:sz w:val="20"/>
          <w:szCs w:val="20"/>
        </w:rPr>
        <w:t xml:space="preserve"> Western Australian Select Committee on Alternative Approaches to Reducing Illicit Drug Use and its Effects on the Community, </w:t>
      </w:r>
      <w:r w:rsidRPr="00B00E63">
        <w:rPr>
          <w:rFonts w:ascii="Cambria" w:hAnsi="Cambria"/>
          <w:i/>
          <w:iCs/>
          <w:sz w:val="20"/>
          <w:szCs w:val="20"/>
        </w:rPr>
        <w:t>Help, not Handcuffs: Evidence-based approaches to reducing harm from illicit drug use</w:t>
      </w:r>
      <w:r w:rsidRPr="009D25D3">
        <w:rPr>
          <w:rFonts w:ascii="Cambria" w:hAnsi="Cambria"/>
          <w:sz w:val="20"/>
          <w:szCs w:val="20"/>
        </w:rPr>
        <w:t xml:space="preserve"> (November 2019).</w:t>
      </w:r>
    </w:p>
  </w:footnote>
  <w:footnote w:id="19">
    <w:p w14:paraId="4367B95C" w14:textId="64C829E5" w:rsidR="00FF1BB5" w:rsidRPr="009D25D3" w:rsidRDefault="00FF1BB5" w:rsidP="00787E71">
      <w:pPr>
        <w:pStyle w:val="FootnoteText"/>
        <w:rPr>
          <w:rFonts w:ascii="Cambria" w:hAnsi="Cambria"/>
          <w:sz w:val="20"/>
          <w:szCs w:val="20"/>
          <w:lang w:val="en-AU"/>
        </w:rPr>
      </w:pPr>
      <w:r w:rsidRPr="009D25D3">
        <w:rPr>
          <w:rStyle w:val="FootnoteReference"/>
          <w:rFonts w:ascii="Cambria" w:hAnsi="Cambria"/>
          <w:sz w:val="20"/>
          <w:szCs w:val="20"/>
        </w:rPr>
        <w:footnoteRef/>
      </w:r>
      <w:r w:rsidRPr="009D25D3">
        <w:rPr>
          <w:rFonts w:ascii="Cambria" w:hAnsi="Cambria"/>
          <w:sz w:val="20"/>
          <w:szCs w:val="20"/>
        </w:rPr>
        <w:t xml:space="preserve"> </w:t>
      </w:r>
      <w:r w:rsidR="004D2863" w:rsidRPr="009D25D3">
        <w:rPr>
          <w:rFonts w:ascii="Cambria" w:hAnsi="Cambria"/>
          <w:sz w:val="20"/>
          <w:szCs w:val="20"/>
        </w:rPr>
        <w:t xml:space="preserve">Ibid, </w:t>
      </w:r>
      <w:r w:rsidRPr="009D25D3">
        <w:rPr>
          <w:rFonts w:ascii="Cambria" w:hAnsi="Cambria"/>
          <w:sz w:val="20"/>
          <w:szCs w:val="20"/>
        </w:rPr>
        <w:t>iv.</w:t>
      </w:r>
    </w:p>
  </w:footnote>
  <w:footnote w:id="20">
    <w:p w14:paraId="40A6DF25" w14:textId="66A030F7" w:rsidR="00FF1BB5" w:rsidRPr="009D25D3" w:rsidRDefault="00FF1BB5" w:rsidP="00787E71">
      <w:pPr>
        <w:pStyle w:val="FootnoteText"/>
        <w:rPr>
          <w:rFonts w:ascii="Cambria" w:hAnsi="Cambria"/>
          <w:sz w:val="20"/>
          <w:szCs w:val="20"/>
          <w:lang w:val="en-AU"/>
        </w:rPr>
      </w:pPr>
      <w:r w:rsidRPr="009D25D3">
        <w:rPr>
          <w:rStyle w:val="FootnoteReference"/>
          <w:rFonts w:ascii="Cambria" w:hAnsi="Cambria"/>
          <w:sz w:val="20"/>
          <w:szCs w:val="20"/>
        </w:rPr>
        <w:footnoteRef/>
      </w:r>
      <w:r w:rsidRPr="009D25D3">
        <w:rPr>
          <w:rFonts w:ascii="Cambria" w:hAnsi="Cambria"/>
          <w:sz w:val="20"/>
          <w:szCs w:val="20"/>
        </w:rPr>
        <w:t xml:space="preserve"> </w:t>
      </w:r>
      <w:r w:rsidR="004D2863" w:rsidRPr="009D25D3">
        <w:rPr>
          <w:rFonts w:ascii="Cambria" w:hAnsi="Cambria"/>
          <w:sz w:val="20"/>
          <w:szCs w:val="20"/>
        </w:rPr>
        <w:t>Ibid</w:t>
      </w:r>
      <w:r w:rsidRPr="009D25D3">
        <w:rPr>
          <w:rFonts w:ascii="Cambria" w:hAnsi="Cambria"/>
          <w:sz w:val="20"/>
          <w:szCs w:val="20"/>
        </w:rPr>
        <w:t xml:space="preserve">. </w:t>
      </w:r>
    </w:p>
  </w:footnote>
  <w:footnote w:id="21">
    <w:p w14:paraId="3F5BFCE6" w14:textId="245F2F60" w:rsidR="00F209F1" w:rsidRPr="009D25D3" w:rsidRDefault="00F209F1" w:rsidP="00787E71">
      <w:pPr>
        <w:pStyle w:val="FootnoteText"/>
        <w:rPr>
          <w:rFonts w:ascii="Cambria" w:hAnsi="Cambria"/>
          <w:sz w:val="20"/>
          <w:szCs w:val="20"/>
          <w:lang w:val="en-AU"/>
        </w:rPr>
      </w:pPr>
      <w:r w:rsidRPr="009D25D3">
        <w:rPr>
          <w:rStyle w:val="FootnoteReference"/>
          <w:rFonts w:ascii="Cambria" w:hAnsi="Cambria"/>
          <w:sz w:val="20"/>
          <w:szCs w:val="20"/>
        </w:rPr>
        <w:footnoteRef/>
      </w:r>
      <w:r w:rsidRPr="009D25D3">
        <w:rPr>
          <w:rFonts w:ascii="Cambria" w:hAnsi="Cambria"/>
          <w:sz w:val="20"/>
          <w:szCs w:val="20"/>
        </w:rPr>
        <w:t xml:space="preserve"> </w:t>
      </w:r>
      <w:r w:rsidRPr="009D25D3">
        <w:rPr>
          <w:rFonts w:ascii="Cambria" w:hAnsi="Cambria"/>
          <w:sz w:val="20"/>
          <w:szCs w:val="20"/>
          <w:lang w:val="en-AU"/>
        </w:rPr>
        <w:t>ACT Government, Minister for Health</w:t>
      </w:r>
      <w:r w:rsidR="00B00E63">
        <w:rPr>
          <w:rFonts w:ascii="Cambria" w:hAnsi="Cambria"/>
          <w:sz w:val="20"/>
          <w:szCs w:val="20"/>
          <w:lang w:val="en-AU"/>
        </w:rPr>
        <w:t xml:space="preserve"> Media Release</w:t>
      </w:r>
      <w:r w:rsidRPr="009D25D3">
        <w:rPr>
          <w:rFonts w:ascii="Cambria" w:hAnsi="Cambria"/>
          <w:sz w:val="20"/>
          <w:szCs w:val="20"/>
          <w:lang w:val="en-AU"/>
        </w:rPr>
        <w:t xml:space="preserve">, ‘Nation leading drug reform for the ACT’ 20 October 2022.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275B"/>
    <w:multiLevelType w:val="hybridMultilevel"/>
    <w:tmpl w:val="2ECCA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A5452"/>
    <w:multiLevelType w:val="hybridMultilevel"/>
    <w:tmpl w:val="2820DC02"/>
    <w:lvl w:ilvl="0" w:tplc="22E063AC">
      <w:start w:val="34"/>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128189">
    <w:abstractNumId w:val="0"/>
  </w:num>
  <w:num w:numId="2" w16cid:durableId="1746993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03C"/>
    <w:rsid w:val="00053026"/>
    <w:rsid w:val="00087BF3"/>
    <w:rsid w:val="000B728D"/>
    <w:rsid w:val="0010577A"/>
    <w:rsid w:val="001A3416"/>
    <w:rsid w:val="00285247"/>
    <w:rsid w:val="002D3E28"/>
    <w:rsid w:val="002F3610"/>
    <w:rsid w:val="002F5923"/>
    <w:rsid w:val="0030028B"/>
    <w:rsid w:val="003965F7"/>
    <w:rsid w:val="003E1DD9"/>
    <w:rsid w:val="003E2878"/>
    <w:rsid w:val="003E5F3D"/>
    <w:rsid w:val="004631AF"/>
    <w:rsid w:val="004D2863"/>
    <w:rsid w:val="005525B1"/>
    <w:rsid w:val="005D217C"/>
    <w:rsid w:val="005E593D"/>
    <w:rsid w:val="00603113"/>
    <w:rsid w:val="00620B0B"/>
    <w:rsid w:val="00663CDD"/>
    <w:rsid w:val="006918A2"/>
    <w:rsid w:val="00787E71"/>
    <w:rsid w:val="007D6985"/>
    <w:rsid w:val="0088410B"/>
    <w:rsid w:val="008D3D97"/>
    <w:rsid w:val="008E4730"/>
    <w:rsid w:val="009D25D3"/>
    <w:rsid w:val="009F3546"/>
    <w:rsid w:val="00A0111D"/>
    <w:rsid w:val="00AF7B65"/>
    <w:rsid w:val="00B00E63"/>
    <w:rsid w:val="00B23D2D"/>
    <w:rsid w:val="00B27566"/>
    <w:rsid w:val="00B82864"/>
    <w:rsid w:val="00B84AEA"/>
    <w:rsid w:val="00BB0757"/>
    <w:rsid w:val="00C070A8"/>
    <w:rsid w:val="00C1382E"/>
    <w:rsid w:val="00CD65C8"/>
    <w:rsid w:val="00D85334"/>
    <w:rsid w:val="00D90878"/>
    <w:rsid w:val="00DA1C88"/>
    <w:rsid w:val="00DB35F9"/>
    <w:rsid w:val="00E02449"/>
    <w:rsid w:val="00E24936"/>
    <w:rsid w:val="00E56AD4"/>
    <w:rsid w:val="00E80312"/>
    <w:rsid w:val="00EC003C"/>
    <w:rsid w:val="00ED3FFC"/>
    <w:rsid w:val="00EF0A4D"/>
    <w:rsid w:val="00F209F1"/>
    <w:rsid w:val="00F42A8C"/>
    <w:rsid w:val="00F75826"/>
    <w:rsid w:val="00FE7D54"/>
    <w:rsid w:val="00FF15F1"/>
    <w:rsid w:val="00FF1B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7E01E"/>
  <w15:chartTrackingRefBased/>
  <w15:docId w15:val="{A6188C63-54CD-5547-BE75-D19B12BA9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03C"/>
    <w:rPr>
      <w:rFonts w:eastAsiaTheme="minorEastAsia"/>
      <w:lang w:val="en-US"/>
    </w:rPr>
  </w:style>
  <w:style w:type="paragraph" w:styleId="Heading1">
    <w:name w:val="heading 1"/>
    <w:basedOn w:val="Normal"/>
    <w:next w:val="Normal"/>
    <w:link w:val="Heading1Char"/>
    <w:uiPriority w:val="9"/>
    <w:qFormat/>
    <w:rsid w:val="003E2878"/>
    <w:pPr>
      <w:keepNext/>
      <w:spacing w:before="120" w:after="240"/>
      <w:ind w:left="432" w:hanging="432"/>
      <w:jc w:val="both"/>
      <w:outlineLvl w:val="0"/>
    </w:pPr>
    <w:rPr>
      <w:rFonts w:eastAsia="Times New Roman" w:cs="Times New Roman"/>
      <w:b/>
      <w:bCs/>
      <w:smallCaps/>
      <w:sz w:val="32"/>
      <w:szCs w:val="3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Text"/>
    <w:basedOn w:val="Normal"/>
    <w:link w:val="FootnoteTextChar"/>
    <w:unhideWhenUsed/>
    <w:qFormat/>
    <w:rsid w:val="00EC003C"/>
  </w:style>
  <w:style w:type="character" w:customStyle="1" w:styleId="FootnoteTextChar">
    <w:name w:val="Footnote Text Char"/>
    <w:aliases w:val="Footnote Char,Text Char"/>
    <w:basedOn w:val="DefaultParagraphFont"/>
    <w:link w:val="FootnoteText"/>
    <w:rsid w:val="00EC003C"/>
    <w:rPr>
      <w:rFonts w:eastAsiaTheme="minorEastAsia"/>
      <w:lang w:val="en-US"/>
    </w:rPr>
  </w:style>
  <w:style w:type="character" w:styleId="FootnoteReference">
    <w:name w:val="footnote reference"/>
    <w:aliases w:val="Ref,de nota al pie"/>
    <w:basedOn w:val="DefaultParagraphFont"/>
    <w:unhideWhenUsed/>
    <w:qFormat/>
    <w:rsid w:val="00EC003C"/>
    <w:rPr>
      <w:vertAlign w:val="superscript"/>
    </w:rPr>
  </w:style>
  <w:style w:type="character" w:styleId="Hyperlink">
    <w:name w:val="Hyperlink"/>
    <w:basedOn w:val="DefaultParagraphFont"/>
    <w:uiPriority w:val="99"/>
    <w:unhideWhenUsed/>
    <w:rsid w:val="00EC003C"/>
    <w:rPr>
      <w:color w:val="0563C1" w:themeColor="hyperlink"/>
      <w:u w:val="single"/>
    </w:rPr>
  </w:style>
  <w:style w:type="table" w:styleId="TableGrid">
    <w:name w:val="Table Grid"/>
    <w:basedOn w:val="TableNormal"/>
    <w:uiPriority w:val="39"/>
    <w:rsid w:val="00EC003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C003C"/>
    <w:rPr>
      <w:color w:val="605E5C"/>
      <w:shd w:val="clear" w:color="auto" w:fill="E1DFDD"/>
    </w:rPr>
  </w:style>
  <w:style w:type="character" w:styleId="Emphasis">
    <w:name w:val="Emphasis"/>
    <w:basedOn w:val="DefaultParagraphFont"/>
    <w:uiPriority w:val="20"/>
    <w:qFormat/>
    <w:rsid w:val="00EC003C"/>
    <w:rPr>
      <w:i/>
      <w:iCs/>
    </w:rPr>
  </w:style>
  <w:style w:type="character" w:customStyle="1" w:styleId="Bfnref">
    <w:name w:val="B_fn_ref"/>
    <w:basedOn w:val="FootnoteReference"/>
    <w:uiPriority w:val="1"/>
    <w:qFormat/>
    <w:rsid w:val="003E2878"/>
    <w:rPr>
      <w:position w:val="4"/>
      <w:sz w:val="18"/>
      <w:vertAlign w:val="superscript"/>
    </w:rPr>
  </w:style>
  <w:style w:type="paragraph" w:customStyle="1" w:styleId="Bfntext">
    <w:name w:val="B_fn_text"/>
    <w:basedOn w:val="Normal"/>
    <w:qFormat/>
    <w:rsid w:val="003E2878"/>
    <w:pPr>
      <w:spacing w:after="40"/>
      <w:ind w:left="284" w:right="11" w:hanging="284"/>
      <w:jc w:val="both"/>
    </w:pPr>
    <w:rPr>
      <w:rFonts w:eastAsia="Times New Roman" w:cs="Times New Roman"/>
      <w:sz w:val="18"/>
      <w:szCs w:val="18"/>
      <w:lang w:val="en-AU"/>
    </w:rPr>
  </w:style>
  <w:style w:type="character" w:customStyle="1" w:styleId="Heading1Char">
    <w:name w:val="Heading 1 Char"/>
    <w:basedOn w:val="DefaultParagraphFont"/>
    <w:link w:val="Heading1"/>
    <w:uiPriority w:val="9"/>
    <w:rsid w:val="003E2878"/>
    <w:rPr>
      <w:rFonts w:eastAsia="Times New Roman" w:cs="Times New Roman"/>
      <w:b/>
      <w:bCs/>
      <w:smallCaps/>
      <w:sz w:val="32"/>
      <w:szCs w:val="32"/>
    </w:rPr>
  </w:style>
  <w:style w:type="paragraph" w:customStyle="1" w:styleId="Bpara">
    <w:name w:val="B_para"/>
    <w:basedOn w:val="Normal"/>
    <w:qFormat/>
    <w:rsid w:val="00DA1C88"/>
    <w:pPr>
      <w:spacing w:after="120" w:line="280" w:lineRule="atLeast"/>
      <w:jc w:val="both"/>
    </w:pPr>
    <w:rPr>
      <w:color w:val="000000" w:themeColor="text1"/>
      <w:sz w:val="22"/>
      <w:lang w:val="en-AU"/>
    </w:rPr>
  </w:style>
  <w:style w:type="paragraph" w:styleId="NormalWeb">
    <w:name w:val="Normal (Web)"/>
    <w:basedOn w:val="Normal"/>
    <w:uiPriority w:val="99"/>
    <w:semiHidden/>
    <w:unhideWhenUsed/>
    <w:rsid w:val="00B27566"/>
    <w:pPr>
      <w:spacing w:before="100" w:beforeAutospacing="1" w:after="100" w:afterAutospacing="1"/>
    </w:pPr>
    <w:rPr>
      <w:rFonts w:ascii="Times New Roman" w:eastAsia="Times New Roman" w:hAnsi="Times New Roman" w:cs="Times New Roman"/>
      <w:lang w:val="en-AU" w:eastAsia="en-GB"/>
    </w:rPr>
  </w:style>
  <w:style w:type="paragraph" w:styleId="NoSpacing">
    <w:name w:val="No Spacing"/>
    <w:uiPriority w:val="1"/>
    <w:qFormat/>
    <w:rsid w:val="00B84AEA"/>
    <w:rPr>
      <w:rFonts w:ascii="Times New Roman" w:eastAsia="Times New Roman" w:hAnsi="Times New Roman" w:cs="Times New Roman"/>
      <w:lang w:eastAsia="en-GB"/>
    </w:rPr>
  </w:style>
  <w:style w:type="paragraph" w:styleId="Footer">
    <w:name w:val="footer"/>
    <w:basedOn w:val="Normal"/>
    <w:link w:val="FooterChar"/>
    <w:uiPriority w:val="99"/>
    <w:unhideWhenUsed/>
    <w:rsid w:val="002F3610"/>
    <w:pPr>
      <w:tabs>
        <w:tab w:val="center" w:pos="4513"/>
        <w:tab w:val="right" w:pos="9026"/>
      </w:tabs>
    </w:pPr>
  </w:style>
  <w:style w:type="character" w:customStyle="1" w:styleId="FooterChar">
    <w:name w:val="Footer Char"/>
    <w:basedOn w:val="DefaultParagraphFont"/>
    <w:link w:val="Footer"/>
    <w:uiPriority w:val="99"/>
    <w:rsid w:val="002F3610"/>
    <w:rPr>
      <w:rFonts w:eastAsiaTheme="minorEastAsia"/>
      <w:lang w:val="en-US"/>
    </w:rPr>
  </w:style>
  <w:style w:type="character" w:styleId="PageNumber">
    <w:name w:val="page number"/>
    <w:basedOn w:val="DefaultParagraphFont"/>
    <w:uiPriority w:val="99"/>
    <w:semiHidden/>
    <w:unhideWhenUsed/>
    <w:rsid w:val="002F3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115619">
      <w:bodyDiv w:val="1"/>
      <w:marLeft w:val="0"/>
      <w:marRight w:val="0"/>
      <w:marTop w:val="0"/>
      <w:marBottom w:val="0"/>
      <w:divBdr>
        <w:top w:val="none" w:sz="0" w:space="0" w:color="auto"/>
        <w:left w:val="none" w:sz="0" w:space="0" w:color="auto"/>
        <w:bottom w:val="none" w:sz="0" w:space="0" w:color="auto"/>
        <w:right w:val="none" w:sz="0" w:space="0" w:color="auto"/>
      </w:divBdr>
      <w:divsChild>
        <w:div w:id="2075619084">
          <w:marLeft w:val="0"/>
          <w:marRight w:val="0"/>
          <w:marTop w:val="0"/>
          <w:marBottom w:val="0"/>
          <w:divBdr>
            <w:top w:val="none" w:sz="0" w:space="0" w:color="auto"/>
            <w:left w:val="none" w:sz="0" w:space="0" w:color="auto"/>
            <w:bottom w:val="none" w:sz="0" w:space="0" w:color="auto"/>
            <w:right w:val="none" w:sz="0" w:space="0" w:color="auto"/>
          </w:divBdr>
          <w:divsChild>
            <w:div w:id="2018992668">
              <w:marLeft w:val="0"/>
              <w:marRight w:val="0"/>
              <w:marTop w:val="0"/>
              <w:marBottom w:val="0"/>
              <w:divBdr>
                <w:top w:val="none" w:sz="0" w:space="0" w:color="auto"/>
                <w:left w:val="none" w:sz="0" w:space="0" w:color="auto"/>
                <w:bottom w:val="none" w:sz="0" w:space="0" w:color="auto"/>
                <w:right w:val="none" w:sz="0" w:space="0" w:color="auto"/>
              </w:divBdr>
              <w:divsChild>
                <w:div w:id="58807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195827">
      <w:bodyDiv w:val="1"/>
      <w:marLeft w:val="0"/>
      <w:marRight w:val="0"/>
      <w:marTop w:val="0"/>
      <w:marBottom w:val="0"/>
      <w:divBdr>
        <w:top w:val="none" w:sz="0" w:space="0" w:color="auto"/>
        <w:left w:val="none" w:sz="0" w:space="0" w:color="auto"/>
        <w:bottom w:val="none" w:sz="0" w:space="0" w:color="auto"/>
        <w:right w:val="none" w:sz="0" w:space="0" w:color="auto"/>
      </w:divBdr>
      <w:divsChild>
        <w:div w:id="616642726">
          <w:marLeft w:val="0"/>
          <w:marRight w:val="0"/>
          <w:marTop w:val="0"/>
          <w:marBottom w:val="0"/>
          <w:divBdr>
            <w:top w:val="none" w:sz="0" w:space="0" w:color="auto"/>
            <w:left w:val="none" w:sz="0" w:space="0" w:color="auto"/>
            <w:bottom w:val="none" w:sz="0" w:space="0" w:color="auto"/>
            <w:right w:val="none" w:sz="0" w:space="0" w:color="auto"/>
          </w:divBdr>
          <w:divsChild>
            <w:div w:id="1900093613">
              <w:marLeft w:val="0"/>
              <w:marRight w:val="0"/>
              <w:marTop w:val="0"/>
              <w:marBottom w:val="0"/>
              <w:divBdr>
                <w:top w:val="none" w:sz="0" w:space="0" w:color="auto"/>
                <w:left w:val="none" w:sz="0" w:space="0" w:color="auto"/>
                <w:bottom w:val="none" w:sz="0" w:space="0" w:color="auto"/>
                <w:right w:val="none" w:sz="0" w:space="0" w:color="auto"/>
              </w:divBdr>
              <w:divsChild>
                <w:div w:id="163690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committee@aph.gov.au%20%2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acic.gov.au/sites/default/files/2021-10/IDDR%202019-20_271021_Full_0.pdf" TargetMode="External"/><Relationship Id="rId1" Type="http://schemas.openxmlformats.org/officeDocument/2006/relationships/hyperlink" Target="http://www.clctas.org.au/wp-content/uploads/2013/06/DrugReformPaper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1801</Words>
  <Characters>10271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2023-01-15T22:42:00Z</cp:lastPrinted>
  <dcterms:created xsi:type="dcterms:W3CDTF">2023-01-15T22:43:00Z</dcterms:created>
  <dcterms:modified xsi:type="dcterms:W3CDTF">2023-01-15T22:43:00Z</dcterms:modified>
</cp:coreProperties>
</file>