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F27B" w14:textId="77777777" w:rsidR="00151505" w:rsidRPr="00187347" w:rsidRDefault="00151505" w:rsidP="00151505">
      <w:pPr>
        <w:jc w:val="center"/>
      </w:pPr>
      <w:r w:rsidRPr="00187347">
        <w:rPr>
          <w:rFonts w:asciiTheme="minorHAnsi" w:hAnsiTheme="minorHAnsi"/>
          <w:noProof/>
          <w:sz w:val="20"/>
          <w:szCs w:val="20"/>
        </w:rPr>
        <w:drawing>
          <wp:inline distT="0" distB="0" distL="0" distR="0" wp14:anchorId="42D90973" wp14:editId="1B4C6196">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43DC3AD7" w14:textId="77777777" w:rsidR="00151505" w:rsidRPr="00BC6B80" w:rsidRDefault="00151505" w:rsidP="00151505">
      <w:pPr>
        <w:rPr>
          <w:rFonts w:ascii="Cambria" w:hAnsi="Cambria"/>
        </w:rPr>
      </w:pPr>
    </w:p>
    <w:p w14:paraId="72CA21FE" w14:textId="77777777" w:rsidR="00151505" w:rsidRPr="00BC6B80" w:rsidRDefault="00151505" w:rsidP="00151505">
      <w:pPr>
        <w:rPr>
          <w:rFonts w:ascii="Cambria" w:hAnsi="Cambria"/>
          <w:color w:val="000000" w:themeColor="text1"/>
        </w:rPr>
      </w:pPr>
    </w:p>
    <w:p w14:paraId="4F870FF3" w14:textId="5CBAFEDF" w:rsidR="00151505" w:rsidRPr="00BC6B80" w:rsidRDefault="00761204" w:rsidP="00151505">
      <w:pPr>
        <w:rPr>
          <w:rFonts w:ascii="Cambria" w:hAnsi="Cambria"/>
          <w:color w:val="000000" w:themeColor="text1"/>
        </w:rPr>
      </w:pPr>
      <w:r w:rsidRPr="00BC6B80">
        <w:rPr>
          <w:rFonts w:ascii="Cambria" w:hAnsi="Cambria"/>
          <w:color w:val="000000" w:themeColor="text1"/>
        </w:rPr>
        <w:t>1</w:t>
      </w:r>
      <w:r w:rsidR="00151505" w:rsidRPr="00BC6B80">
        <w:rPr>
          <w:rFonts w:ascii="Cambria" w:hAnsi="Cambria"/>
          <w:color w:val="000000" w:themeColor="text1"/>
        </w:rPr>
        <w:t xml:space="preserve">8 </w:t>
      </w:r>
      <w:r w:rsidRPr="00BC6B80">
        <w:rPr>
          <w:rFonts w:ascii="Cambria" w:hAnsi="Cambria"/>
          <w:color w:val="000000" w:themeColor="text1"/>
        </w:rPr>
        <w:t>Novem</w:t>
      </w:r>
      <w:r w:rsidR="00151505" w:rsidRPr="00BC6B80">
        <w:rPr>
          <w:rFonts w:ascii="Cambria" w:hAnsi="Cambria"/>
          <w:color w:val="000000" w:themeColor="text1"/>
        </w:rPr>
        <w:t>ber 2022</w:t>
      </w:r>
    </w:p>
    <w:p w14:paraId="0B7BAEBA" w14:textId="77777777" w:rsidR="00151505" w:rsidRPr="00BC6B80" w:rsidRDefault="00151505" w:rsidP="00151505">
      <w:pPr>
        <w:rPr>
          <w:rFonts w:ascii="Cambria" w:hAnsi="Cambria"/>
        </w:rPr>
      </w:pPr>
    </w:p>
    <w:p w14:paraId="22EADA0F" w14:textId="77777777" w:rsidR="00151505" w:rsidRPr="00BC6B80" w:rsidRDefault="00151505" w:rsidP="00151505">
      <w:pPr>
        <w:rPr>
          <w:rFonts w:ascii="Cambria" w:hAnsi="Cambria"/>
        </w:rPr>
      </w:pPr>
      <w:r w:rsidRPr="00BC6B80">
        <w:rPr>
          <w:rFonts w:ascii="Cambria" w:hAnsi="Cambria"/>
        </w:rPr>
        <w:t>Department of Justice</w:t>
      </w:r>
    </w:p>
    <w:p w14:paraId="26BC25AD" w14:textId="77777777" w:rsidR="00151505" w:rsidRPr="00BC6B80" w:rsidRDefault="00151505" w:rsidP="00151505">
      <w:pPr>
        <w:rPr>
          <w:rFonts w:ascii="Cambria" w:hAnsi="Cambria"/>
        </w:rPr>
      </w:pPr>
      <w:r w:rsidRPr="00BC6B80">
        <w:rPr>
          <w:rFonts w:ascii="Cambria" w:hAnsi="Cambria"/>
        </w:rPr>
        <w:t>Office of the Secretary</w:t>
      </w:r>
    </w:p>
    <w:p w14:paraId="1AFE287B" w14:textId="77777777" w:rsidR="00151505" w:rsidRPr="00BC6B80" w:rsidRDefault="00151505" w:rsidP="00151505">
      <w:pPr>
        <w:rPr>
          <w:rFonts w:ascii="Cambria" w:hAnsi="Cambria"/>
        </w:rPr>
      </w:pPr>
      <w:r w:rsidRPr="00BC6B80">
        <w:rPr>
          <w:rFonts w:ascii="Cambria" w:hAnsi="Cambria"/>
        </w:rPr>
        <w:t>GPO Box 825</w:t>
      </w:r>
    </w:p>
    <w:p w14:paraId="2363A6DD" w14:textId="77777777" w:rsidR="00151505" w:rsidRPr="00BC6B80" w:rsidRDefault="00151505" w:rsidP="00151505">
      <w:pPr>
        <w:rPr>
          <w:rFonts w:ascii="Cambria" w:hAnsi="Cambria"/>
        </w:rPr>
      </w:pPr>
      <w:r w:rsidRPr="00BC6B80">
        <w:rPr>
          <w:rFonts w:ascii="Cambria" w:hAnsi="Cambria"/>
        </w:rPr>
        <w:t>Hobart TAS 7001</w:t>
      </w:r>
      <w:r w:rsidRPr="00BC6B80">
        <w:rPr>
          <w:rFonts w:ascii="Cambria" w:hAnsi="Cambria"/>
        </w:rPr>
        <w:tab/>
      </w:r>
      <w:r w:rsidRPr="00BC6B80">
        <w:rPr>
          <w:rFonts w:ascii="Cambria" w:hAnsi="Cambria"/>
        </w:rPr>
        <w:tab/>
      </w:r>
    </w:p>
    <w:p w14:paraId="41053E42" w14:textId="77777777" w:rsidR="00151505" w:rsidRPr="00BC6B80" w:rsidRDefault="00151505" w:rsidP="00151505">
      <w:pPr>
        <w:ind w:left="2880" w:firstLine="720"/>
        <w:rPr>
          <w:rFonts w:ascii="Cambria" w:hAnsi="Cambria"/>
          <w:b/>
          <w:bCs/>
          <w:i/>
          <w:iCs/>
        </w:rPr>
      </w:pPr>
    </w:p>
    <w:p w14:paraId="013238E1" w14:textId="1138A485" w:rsidR="00151505" w:rsidRPr="00BC6B80" w:rsidRDefault="00151505" w:rsidP="00151505">
      <w:pPr>
        <w:ind w:left="2880" w:firstLine="720"/>
        <w:rPr>
          <w:rFonts w:ascii="Cambria" w:hAnsi="Cambria"/>
        </w:rPr>
      </w:pPr>
      <w:r w:rsidRPr="00BC6B80">
        <w:rPr>
          <w:rFonts w:ascii="Cambria" w:hAnsi="Cambria"/>
          <w:b/>
          <w:bCs/>
          <w:i/>
          <w:iCs/>
        </w:rPr>
        <w:t>via email:</w:t>
      </w:r>
      <w:r w:rsidRPr="00BC6B80">
        <w:rPr>
          <w:rFonts w:ascii="Cambria" w:hAnsi="Cambria"/>
          <w:i/>
          <w:iCs/>
        </w:rPr>
        <w:t xml:space="preserve"> </w:t>
      </w:r>
      <w:hyperlink r:id="rId8" w:history="1">
        <w:r w:rsidRPr="00BC6B80">
          <w:rPr>
            <w:rStyle w:val="Hyperlink"/>
            <w:rFonts w:ascii="Cambria" w:hAnsi="Cambria"/>
            <w:i/>
            <w:iCs/>
          </w:rPr>
          <w:t>legislation.development@justice.tas.gov.au</w:t>
        </w:r>
      </w:hyperlink>
      <w:r w:rsidRPr="00BC6B80">
        <w:rPr>
          <w:rFonts w:ascii="Cambria" w:hAnsi="Cambria"/>
          <w:i/>
          <w:iCs/>
        </w:rPr>
        <w:t xml:space="preserve"> </w:t>
      </w:r>
      <w:r w:rsidRPr="00BC6B80">
        <w:rPr>
          <w:rFonts w:ascii="Cambria" w:hAnsi="Cambria"/>
        </w:rPr>
        <w:t xml:space="preserve"> </w:t>
      </w:r>
    </w:p>
    <w:p w14:paraId="7EBCCD7A" w14:textId="77777777" w:rsidR="00151505" w:rsidRPr="00BC6B80" w:rsidRDefault="00151505" w:rsidP="00151505">
      <w:pPr>
        <w:rPr>
          <w:rFonts w:ascii="Cambria" w:hAnsi="Cambria"/>
        </w:rPr>
      </w:pPr>
    </w:p>
    <w:p w14:paraId="2C23B4F0" w14:textId="77777777" w:rsidR="00151505" w:rsidRPr="00BC6B80" w:rsidRDefault="00151505" w:rsidP="00151505">
      <w:pPr>
        <w:jc w:val="both"/>
        <w:rPr>
          <w:rFonts w:ascii="Cambria" w:hAnsi="Cambria"/>
          <w:color w:val="000000" w:themeColor="text1"/>
        </w:rPr>
      </w:pPr>
      <w:r w:rsidRPr="00BC6B80">
        <w:rPr>
          <w:rFonts w:ascii="Cambria" w:hAnsi="Cambria"/>
          <w:color w:val="000000" w:themeColor="text1"/>
        </w:rPr>
        <w:t xml:space="preserve">To the Department of Justice, </w:t>
      </w:r>
    </w:p>
    <w:p w14:paraId="70E124B1" w14:textId="5DCDE582" w:rsidR="00151505" w:rsidRPr="00BC6B80" w:rsidRDefault="00151505" w:rsidP="00151505">
      <w:pPr>
        <w:pBdr>
          <w:bottom w:val="single" w:sz="6" w:space="1" w:color="auto"/>
        </w:pBdr>
        <w:jc w:val="both"/>
        <w:rPr>
          <w:rFonts w:ascii="Cambria" w:hAnsi="Cambria"/>
          <w:b/>
          <w:bCs/>
          <w:color w:val="000000" w:themeColor="text1"/>
        </w:rPr>
      </w:pPr>
      <w:r w:rsidRPr="00BC6B80">
        <w:rPr>
          <w:rFonts w:ascii="Cambria" w:hAnsi="Cambria"/>
          <w:b/>
          <w:bCs/>
          <w:color w:val="000000" w:themeColor="text1"/>
        </w:rPr>
        <w:t xml:space="preserve">Re: </w:t>
      </w:r>
      <w:r w:rsidRPr="00BC6B80">
        <w:rPr>
          <w:rFonts w:ascii="Cambria" w:hAnsi="Cambria"/>
          <w:b/>
          <w:bCs/>
          <w:i/>
          <w:iCs/>
          <w:color w:val="000000" w:themeColor="text1"/>
        </w:rPr>
        <w:t>Guardianship and Administration Amendment Bill 2022</w:t>
      </w:r>
    </w:p>
    <w:p w14:paraId="08497B69" w14:textId="77777777" w:rsidR="00151505" w:rsidRPr="00BC6B80" w:rsidRDefault="00151505" w:rsidP="00597B6B">
      <w:pPr>
        <w:jc w:val="both"/>
        <w:rPr>
          <w:rFonts w:ascii="Cambria" w:hAnsi="Cambria"/>
        </w:rPr>
      </w:pPr>
    </w:p>
    <w:p w14:paraId="06102E36" w14:textId="36703C9A" w:rsidR="00151505" w:rsidRPr="00BC6B80" w:rsidRDefault="00151505" w:rsidP="00597B6B">
      <w:pPr>
        <w:jc w:val="both"/>
        <w:rPr>
          <w:rFonts w:ascii="Cambria" w:hAnsi="Cambria"/>
          <w:shd w:val="clear" w:color="auto" w:fill="FFFFFF"/>
        </w:rPr>
      </w:pPr>
      <w:r w:rsidRPr="00BC6B80">
        <w:rPr>
          <w:rFonts w:ascii="Cambria" w:hAnsi="Cambria"/>
          <w:bdr w:val="none" w:sz="0" w:space="0" w:color="auto" w:frame="1"/>
        </w:rPr>
        <w:t>Community Legal Centres Tasmania (CLC Tas) welcomes the opportunity to respond to the </w:t>
      </w:r>
      <w:r w:rsidRPr="00BC6B80">
        <w:rPr>
          <w:rFonts w:ascii="Cambria" w:hAnsi="Cambria"/>
          <w:i/>
          <w:iCs/>
        </w:rPr>
        <w:t>Guardianship and Administration Amendment Bill 2022</w:t>
      </w:r>
      <w:r w:rsidRPr="00BC6B80">
        <w:rPr>
          <w:rFonts w:ascii="Cambria" w:hAnsi="Cambria"/>
          <w:bdr w:val="none" w:sz="0" w:space="0" w:color="auto" w:frame="1"/>
        </w:rPr>
        <w:t xml:space="preserve"> (‘the Bill’).</w:t>
      </w:r>
      <w:r w:rsidRPr="00BC6B80">
        <w:rPr>
          <w:rStyle w:val="FootnoteReference"/>
          <w:rFonts w:ascii="Cambria" w:hAnsi="Cambria"/>
          <w:color w:val="000000" w:themeColor="text1"/>
        </w:rPr>
        <w:footnoteReference w:id="1"/>
      </w:r>
      <w:r w:rsidRPr="00BC6B80">
        <w:rPr>
          <w:rFonts w:ascii="Cambria" w:hAnsi="Cambria"/>
          <w:bdr w:val="none" w:sz="0" w:space="0" w:color="auto" w:frame="1"/>
        </w:rPr>
        <w:t xml:space="preserve"> </w:t>
      </w:r>
    </w:p>
    <w:p w14:paraId="35C97089" w14:textId="77777777" w:rsidR="00151505" w:rsidRPr="00BC6B80" w:rsidRDefault="00151505" w:rsidP="00597B6B">
      <w:pPr>
        <w:jc w:val="both"/>
        <w:rPr>
          <w:rFonts w:ascii="Cambria" w:hAnsi="Cambria"/>
          <w:shd w:val="clear" w:color="auto" w:fill="FFFFFF"/>
        </w:rPr>
      </w:pPr>
    </w:p>
    <w:p w14:paraId="384E9833" w14:textId="77777777" w:rsidR="00597B6B" w:rsidRPr="00BC6B80" w:rsidRDefault="00151505" w:rsidP="00597B6B">
      <w:pPr>
        <w:jc w:val="both"/>
        <w:rPr>
          <w:rFonts w:ascii="Cambria" w:hAnsi="Cambria"/>
          <w:shd w:val="clear" w:color="auto" w:fill="FFFFFF"/>
        </w:rPr>
      </w:pPr>
      <w:r w:rsidRPr="00BC6B80">
        <w:rPr>
          <w:rFonts w:ascii="Cambria" w:hAnsi="Cambria" w:cs="Arial"/>
          <w:lang w:eastAsia="en-AU"/>
        </w:rPr>
        <w:t xml:space="preserve">CLC Tas </w:t>
      </w:r>
      <w:r w:rsidRPr="00BC6B80">
        <w:rPr>
          <w:rFonts w:ascii="Cambria" w:hAnsi="Cambria" w:cs="Arial"/>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2002E7C3" w14:textId="77777777" w:rsidR="00597B6B" w:rsidRPr="00BC6B80" w:rsidRDefault="00597B6B" w:rsidP="00597B6B">
      <w:pPr>
        <w:jc w:val="both"/>
        <w:rPr>
          <w:rFonts w:ascii="Cambria" w:hAnsi="Cambria"/>
          <w:shd w:val="clear" w:color="auto" w:fill="FFFFFF"/>
        </w:rPr>
      </w:pPr>
    </w:p>
    <w:p w14:paraId="3726AB31" w14:textId="055C92C3" w:rsidR="00AF5F64" w:rsidRPr="00BC6B80" w:rsidRDefault="0057349D" w:rsidP="00AF5F64">
      <w:pPr>
        <w:jc w:val="both"/>
        <w:rPr>
          <w:rFonts w:ascii="Cambria" w:hAnsi="Cambria"/>
          <w:color w:val="000000"/>
          <w:bdr w:val="none" w:sz="0" w:space="0" w:color="auto" w:frame="1"/>
        </w:rPr>
      </w:pPr>
      <w:r w:rsidRPr="00BC6B80">
        <w:rPr>
          <w:rFonts w:ascii="Cambria" w:hAnsi="Cambria" w:cs="Arial"/>
        </w:rPr>
        <w:t>Australia’s ratification</w:t>
      </w:r>
      <w:r w:rsidR="003747D4" w:rsidRPr="00BC6B80">
        <w:rPr>
          <w:rFonts w:ascii="Cambria" w:hAnsi="Cambria" w:cs="Arial"/>
        </w:rPr>
        <w:t xml:space="preserve"> </w:t>
      </w:r>
      <w:r w:rsidRPr="00BC6B80">
        <w:rPr>
          <w:rFonts w:ascii="Cambria" w:hAnsi="Cambria" w:cs="Arial"/>
        </w:rPr>
        <w:t>of the</w:t>
      </w:r>
      <w:r w:rsidR="007E2340" w:rsidRPr="00BC6B80">
        <w:rPr>
          <w:rFonts w:ascii="Cambria" w:hAnsi="Cambria" w:cs="Arial"/>
        </w:rPr>
        <w:t xml:space="preserve"> United Nations</w:t>
      </w:r>
      <w:r w:rsidRPr="00BC6B80">
        <w:rPr>
          <w:rFonts w:ascii="Cambria" w:hAnsi="Cambria" w:cs="Arial"/>
        </w:rPr>
        <w:t xml:space="preserve"> </w:t>
      </w:r>
      <w:r w:rsidRPr="00BC6B80">
        <w:rPr>
          <w:rFonts w:ascii="Cambria" w:hAnsi="Cambria" w:cs="Arial"/>
          <w:i/>
          <w:iCs/>
        </w:rPr>
        <w:t>Convention on the Rights of Persons with Disabilities</w:t>
      </w:r>
      <w:r w:rsidRPr="00BC6B80">
        <w:rPr>
          <w:rFonts w:ascii="Cambria" w:hAnsi="Cambria" w:cs="Arial"/>
        </w:rPr>
        <w:t xml:space="preserve"> (‘the Convention’) </w:t>
      </w:r>
      <w:r w:rsidR="003747D4" w:rsidRPr="00BC6B80">
        <w:rPr>
          <w:rFonts w:ascii="Cambria" w:hAnsi="Cambria" w:cs="Arial"/>
        </w:rPr>
        <w:t xml:space="preserve">in 2008 </w:t>
      </w:r>
      <w:r w:rsidRPr="00BC6B80">
        <w:rPr>
          <w:rFonts w:ascii="Cambria" w:hAnsi="Cambria" w:cs="Arial"/>
        </w:rPr>
        <w:t xml:space="preserve">has seen </w:t>
      </w:r>
      <w:r w:rsidR="003747D4" w:rsidRPr="00BC6B80">
        <w:rPr>
          <w:rFonts w:ascii="Cambria" w:hAnsi="Cambria" w:cs="Arial"/>
        </w:rPr>
        <w:t xml:space="preserve">greater community recognition </w:t>
      </w:r>
      <w:r w:rsidRPr="00BC6B80">
        <w:rPr>
          <w:rFonts w:ascii="Cambria" w:hAnsi="Cambria" w:cs="Arial"/>
        </w:rPr>
        <w:t>o</w:t>
      </w:r>
      <w:r w:rsidR="003747D4" w:rsidRPr="00BC6B80">
        <w:rPr>
          <w:rFonts w:ascii="Cambria" w:hAnsi="Cambria" w:cs="Arial"/>
        </w:rPr>
        <w:t>f</w:t>
      </w:r>
      <w:r w:rsidRPr="00BC6B80">
        <w:rPr>
          <w:rFonts w:ascii="Cambria" w:hAnsi="Cambria" w:cs="Arial"/>
        </w:rPr>
        <w:t xml:space="preserve"> the human rights of persons with disabilities. Relevantly, the Convention has been interpreted to mean that a person’s will and preferences must form the basis of a decision and</w:t>
      </w:r>
      <w:r w:rsidR="007F346E" w:rsidRPr="00BC6B80">
        <w:rPr>
          <w:rFonts w:ascii="Cambria" w:hAnsi="Cambria" w:cs="Arial"/>
        </w:rPr>
        <w:t xml:space="preserve"> must</w:t>
      </w:r>
      <w:r w:rsidRPr="00BC6B80">
        <w:rPr>
          <w:rFonts w:ascii="Cambria" w:hAnsi="Cambria" w:cs="Arial"/>
        </w:rPr>
        <w:t xml:space="preserve"> only be overridden to prevent harm.</w:t>
      </w:r>
      <w:r w:rsidRPr="00BC6B80">
        <w:rPr>
          <w:rStyle w:val="FootnoteReference"/>
          <w:rFonts w:ascii="Cambria" w:hAnsi="Cambria" w:cs="Arial"/>
        </w:rPr>
        <w:footnoteReference w:id="2"/>
      </w:r>
      <w:r w:rsidRPr="00BC6B80">
        <w:rPr>
          <w:rFonts w:ascii="Cambria" w:hAnsi="Cambria" w:cs="Arial"/>
        </w:rPr>
        <w:t xml:space="preserve"> The reforms set out in the Bill are welcomed because they broadly align with the Convention’s human rights focus</w:t>
      </w:r>
      <w:r w:rsidR="00CB50DB" w:rsidRPr="00BC6B80">
        <w:rPr>
          <w:rFonts w:ascii="Cambria" w:hAnsi="Cambria" w:cs="Segoe UI"/>
          <w:color w:val="212529"/>
        </w:rPr>
        <w:t>.</w:t>
      </w:r>
      <w:r w:rsidR="00AF5F64" w:rsidRPr="00BC6B80">
        <w:rPr>
          <w:rFonts w:ascii="Cambria" w:hAnsi="Cambria" w:cs="Segoe UI"/>
          <w:color w:val="212529"/>
        </w:rPr>
        <w:t xml:space="preserve"> </w:t>
      </w:r>
      <w:r w:rsidR="00AF5F64" w:rsidRPr="00BC6B80">
        <w:rPr>
          <w:rFonts w:ascii="Cambria" w:hAnsi="Cambria" w:cs="Arial"/>
          <w:color w:val="000000" w:themeColor="text1"/>
        </w:rPr>
        <w:t xml:space="preserve">However, we believe that the Bill can be strengthened by formally recognising a legislated supported decision-making scheme, </w:t>
      </w:r>
      <w:r w:rsidR="00AF5F64" w:rsidRPr="00BC6B80">
        <w:rPr>
          <w:rFonts w:ascii="Cambria" w:hAnsi="Cambria"/>
          <w:color w:val="000000" w:themeColor="text1"/>
          <w:bdr w:val="none" w:sz="0" w:space="0" w:color="auto" w:frame="1"/>
        </w:rPr>
        <w:t xml:space="preserve">incorporating a decision-making process and providing improved accountability mechanisms.  </w:t>
      </w:r>
    </w:p>
    <w:p w14:paraId="62F153B2" w14:textId="77777777" w:rsidR="004603C1" w:rsidRPr="00BC6B80" w:rsidRDefault="004603C1" w:rsidP="00597B6B">
      <w:pPr>
        <w:jc w:val="both"/>
        <w:rPr>
          <w:rFonts w:ascii="Cambria" w:hAnsi="Cambria" w:cs="Arial"/>
          <w:color w:val="FF0000"/>
        </w:rPr>
      </w:pPr>
    </w:p>
    <w:p w14:paraId="4CAD0ED6" w14:textId="6AD01644" w:rsidR="0068644C" w:rsidRPr="00BC6B80" w:rsidRDefault="0068644C" w:rsidP="0068644C">
      <w:pPr>
        <w:pStyle w:val="ListParagraph"/>
        <w:numPr>
          <w:ilvl w:val="0"/>
          <w:numId w:val="4"/>
        </w:numPr>
        <w:jc w:val="both"/>
        <w:rPr>
          <w:rFonts w:ascii="Cambria" w:hAnsi="Cambria"/>
          <w:b/>
          <w:bCs/>
          <w:i/>
          <w:iCs/>
          <w:color w:val="000000" w:themeColor="text1"/>
        </w:rPr>
      </w:pPr>
      <w:r w:rsidRPr="00BC6B80">
        <w:rPr>
          <w:rFonts w:ascii="Cambria" w:hAnsi="Cambria" w:cs="Arial"/>
          <w:b/>
          <w:bCs/>
          <w:i/>
          <w:iCs/>
          <w:color w:val="000000" w:themeColor="text1"/>
        </w:rPr>
        <w:t>Meaning of promote the personal and social wellbeing of a person</w:t>
      </w:r>
    </w:p>
    <w:p w14:paraId="1E7BB25C" w14:textId="23038D4D" w:rsidR="00C40102" w:rsidRPr="00BC6B80" w:rsidRDefault="004603C1" w:rsidP="00597B6B">
      <w:pPr>
        <w:jc w:val="both"/>
        <w:rPr>
          <w:rFonts w:ascii="Cambria" w:hAnsi="Cambria"/>
          <w:color w:val="000000"/>
          <w:bdr w:val="none" w:sz="0" w:space="0" w:color="auto" w:frame="1"/>
        </w:rPr>
      </w:pPr>
      <w:r w:rsidRPr="00BC6B80">
        <w:rPr>
          <w:rFonts w:ascii="Cambria" w:hAnsi="Cambria"/>
          <w:color w:val="000000"/>
          <w:bdr w:val="none" w:sz="0" w:space="0" w:color="auto" w:frame="1"/>
        </w:rPr>
        <w:t xml:space="preserve">The </w:t>
      </w:r>
      <w:r w:rsidR="0068644C" w:rsidRPr="00BC6B80">
        <w:rPr>
          <w:rFonts w:ascii="Cambria" w:hAnsi="Cambria"/>
          <w:color w:val="000000"/>
          <w:bdr w:val="none" w:sz="0" w:space="0" w:color="auto" w:frame="1"/>
        </w:rPr>
        <w:t>definition of “personal and social wellbeing of a person”</w:t>
      </w:r>
      <w:r w:rsidRPr="00BC6B80">
        <w:rPr>
          <w:rFonts w:ascii="Cambria" w:hAnsi="Cambria"/>
          <w:color w:val="000000"/>
          <w:bdr w:val="none" w:sz="0" w:space="0" w:color="auto" w:frame="1"/>
        </w:rPr>
        <w:t xml:space="preserve"> set out in clause 7 of the Bill </w:t>
      </w:r>
      <w:r w:rsidR="0068644C" w:rsidRPr="00BC6B80">
        <w:rPr>
          <w:rFonts w:ascii="Cambria" w:hAnsi="Cambria"/>
          <w:color w:val="000000"/>
          <w:bdr w:val="none" w:sz="0" w:space="0" w:color="auto" w:frame="1"/>
        </w:rPr>
        <w:t xml:space="preserve">is closely modelled on section 4 of the </w:t>
      </w:r>
      <w:r w:rsidR="0068644C" w:rsidRPr="00BC6B80">
        <w:rPr>
          <w:rFonts w:ascii="Cambria" w:hAnsi="Cambria"/>
          <w:i/>
          <w:iCs/>
          <w:color w:val="000000"/>
          <w:bdr w:val="none" w:sz="0" w:space="0" w:color="auto" w:frame="1"/>
        </w:rPr>
        <w:t>Victorian Guardianship and Administration Act 2019</w:t>
      </w:r>
      <w:r w:rsidR="0068644C" w:rsidRPr="00BC6B80">
        <w:rPr>
          <w:rFonts w:ascii="Cambria" w:hAnsi="Cambria"/>
          <w:color w:val="000000"/>
          <w:bdr w:val="none" w:sz="0" w:space="0" w:color="auto" w:frame="1"/>
        </w:rPr>
        <w:t xml:space="preserve"> (Vic).</w:t>
      </w:r>
      <w:r w:rsidR="00426181" w:rsidRPr="00BC6B80">
        <w:rPr>
          <w:rFonts w:ascii="Cambria" w:hAnsi="Cambria"/>
          <w:color w:val="000000"/>
          <w:bdr w:val="none" w:sz="0" w:space="0" w:color="auto" w:frame="1"/>
        </w:rPr>
        <w:t xml:space="preserve"> The one exception is</w:t>
      </w:r>
      <w:r w:rsidR="00A850B0" w:rsidRPr="00BC6B80">
        <w:rPr>
          <w:rFonts w:ascii="Cambria" w:hAnsi="Cambria"/>
          <w:color w:val="000000"/>
          <w:bdr w:val="none" w:sz="0" w:space="0" w:color="auto" w:frame="1"/>
        </w:rPr>
        <w:t xml:space="preserve"> </w:t>
      </w:r>
      <w:r w:rsidRPr="00BC6B80">
        <w:rPr>
          <w:rFonts w:ascii="Cambria" w:hAnsi="Cambria"/>
          <w:color w:val="000000"/>
          <w:bdr w:val="none" w:sz="0" w:space="0" w:color="auto" w:frame="1"/>
        </w:rPr>
        <w:t>the</w:t>
      </w:r>
      <w:r w:rsidR="00426181" w:rsidRPr="00BC6B80">
        <w:rPr>
          <w:rFonts w:ascii="Cambria" w:hAnsi="Cambria"/>
          <w:color w:val="000000"/>
          <w:bdr w:val="none" w:sz="0" w:space="0" w:color="auto" w:frame="1"/>
        </w:rPr>
        <w:t xml:space="preserve"> Bill</w:t>
      </w:r>
      <w:r w:rsidR="00A850B0" w:rsidRPr="00BC6B80">
        <w:rPr>
          <w:rFonts w:ascii="Cambria" w:hAnsi="Cambria"/>
          <w:color w:val="000000"/>
          <w:bdr w:val="none" w:sz="0" w:space="0" w:color="auto" w:frame="1"/>
        </w:rPr>
        <w:t>’s failure to</w:t>
      </w:r>
      <w:r w:rsidR="00426181" w:rsidRPr="00BC6B80">
        <w:rPr>
          <w:rFonts w:ascii="Cambria" w:hAnsi="Cambria"/>
          <w:color w:val="000000"/>
          <w:bdr w:val="none" w:sz="0" w:space="0" w:color="auto" w:frame="1"/>
        </w:rPr>
        <w:t xml:space="preserve"> </w:t>
      </w:r>
      <w:r w:rsidR="00A73453" w:rsidRPr="00BC6B80">
        <w:rPr>
          <w:rFonts w:ascii="Cambria" w:hAnsi="Cambria"/>
          <w:color w:val="000000"/>
          <w:bdr w:val="none" w:sz="0" w:space="0" w:color="auto" w:frame="1"/>
        </w:rPr>
        <w:t xml:space="preserve">explicitly </w:t>
      </w:r>
      <w:r w:rsidR="00426181" w:rsidRPr="00BC6B80">
        <w:rPr>
          <w:rFonts w:ascii="Cambria" w:hAnsi="Cambria"/>
          <w:color w:val="000000"/>
          <w:bdr w:val="none" w:sz="0" w:space="0" w:color="auto" w:frame="1"/>
        </w:rPr>
        <w:t>recognise companion animals.</w:t>
      </w:r>
      <w:r w:rsidR="00A850B0" w:rsidRPr="00BC6B80">
        <w:rPr>
          <w:rStyle w:val="FootnoteReference"/>
          <w:rFonts w:ascii="Cambria" w:hAnsi="Cambria"/>
          <w:color w:val="000000"/>
          <w:bdr w:val="none" w:sz="0" w:space="0" w:color="auto" w:frame="1"/>
        </w:rPr>
        <w:footnoteReference w:id="3"/>
      </w:r>
      <w:r w:rsidR="00A850B0" w:rsidRPr="00BC6B80">
        <w:rPr>
          <w:rFonts w:ascii="Cambria" w:hAnsi="Cambria"/>
          <w:color w:val="000000"/>
          <w:bdr w:val="none" w:sz="0" w:space="0" w:color="auto" w:frame="1"/>
        </w:rPr>
        <w:t xml:space="preserve"> </w:t>
      </w:r>
      <w:r w:rsidR="00426181" w:rsidRPr="00BC6B80">
        <w:rPr>
          <w:rFonts w:ascii="Cambria" w:hAnsi="Cambria"/>
          <w:color w:val="000000"/>
          <w:bdr w:val="none" w:sz="0" w:space="0" w:color="auto" w:frame="1"/>
        </w:rPr>
        <w:lastRenderedPageBreak/>
        <w:t>Whilst it is arguable that</w:t>
      </w:r>
      <w:r w:rsidR="00A850B0" w:rsidRPr="00BC6B80">
        <w:rPr>
          <w:rFonts w:ascii="Cambria" w:hAnsi="Cambria"/>
          <w:color w:val="000000"/>
          <w:bdr w:val="none" w:sz="0" w:space="0" w:color="auto" w:frame="1"/>
        </w:rPr>
        <w:t xml:space="preserve"> </w:t>
      </w:r>
      <w:r w:rsidR="00426181" w:rsidRPr="00BC6B80">
        <w:rPr>
          <w:rFonts w:ascii="Cambria" w:hAnsi="Cambria"/>
          <w:color w:val="000000"/>
          <w:bdr w:val="none" w:sz="0" w:space="0" w:color="auto" w:frame="1"/>
        </w:rPr>
        <w:t>“</w:t>
      </w:r>
      <w:r w:rsidR="00A73453" w:rsidRPr="00BC6B80">
        <w:rPr>
          <w:rFonts w:ascii="Cambria" w:hAnsi="Cambria"/>
          <w:color w:val="000000"/>
          <w:bdr w:val="none" w:sz="0" w:space="0" w:color="auto" w:frame="1"/>
        </w:rPr>
        <w:t>recognising the importance to the person of any supports that are required to exercise the person’s autonomy</w:t>
      </w:r>
      <w:r w:rsidR="00426181" w:rsidRPr="00BC6B80">
        <w:rPr>
          <w:rFonts w:ascii="Cambria" w:hAnsi="Cambria"/>
          <w:color w:val="000000"/>
          <w:bdr w:val="none" w:sz="0" w:space="0" w:color="auto" w:frame="1"/>
        </w:rPr>
        <w:t xml:space="preserve">” would </w:t>
      </w:r>
      <w:r w:rsidR="00A850B0" w:rsidRPr="00BC6B80">
        <w:rPr>
          <w:rFonts w:ascii="Cambria" w:hAnsi="Cambria"/>
          <w:color w:val="000000"/>
          <w:bdr w:val="none" w:sz="0" w:space="0" w:color="auto" w:frame="1"/>
        </w:rPr>
        <w:t>include</w:t>
      </w:r>
      <w:r w:rsidR="00426181" w:rsidRPr="00BC6B80">
        <w:rPr>
          <w:rFonts w:ascii="Cambria" w:hAnsi="Cambria"/>
          <w:color w:val="000000"/>
          <w:bdr w:val="none" w:sz="0" w:space="0" w:color="auto" w:frame="1"/>
        </w:rPr>
        <w:t xml:space="preserve"> a person’s companion animal, for clarity we recommend that clause </w:t>
      </w:r>
      <w:r w:rsidR="00A850B0" w:rsidRPr="00BC6B80">
        <w:rPr>
          <w:rFonts w:ascii="Cambria" w:hAnsi="Cambria"/>
          <w:color w:val="000000"/>
          <w:bdr w:val="none" w:sz="0" w:space="0" w:color="auto" w:frame="1"/>
        </w:rPr>
        <w:t>7</w:t>
      </w:r>
      <w:r w:rsidR="00426181" w:rsidRPr="00BC6B80">
        <w:rPr>
          <w:rFonts w:ascii="Cambria" w:hAnsi="Cambria"/>
          <w:color w:val="000000"/>
          <w:bdr w:val="none" w:sz="0" w:space="0" w:color="auto" w:frame="1"/>
        </w:rPr>
        <w:t xml:space="preserve"> of the Bill is amended to explicitly recognise companion animals.</w:t>
      </w:r>
      <w:r w:rsidR="00A73453" w:rsidRPr="00BC6B80">
        <w:rPr>
          <w:rStyle w:val="FootnoteReference"/>
          <w:rFonts w:ascii="Cambria" w:hAnsi="Cambria"/>
          <w:color w:val="000000" w:themeColor="text1"/>
          <w:bdr w:val="none" w:sz="0" w:space="0" w:color="auto" w:frame="1"/>
        </w:rPr>
        <w:footnoteReference w:id="4"/>
      </w:r>
      <w:r w:rsidR="00A73453" w:rsidRPr="00BC6B80">
        <w:rPr>
          <w:rFonts w:ascii="Cambria" w:hAnsi="Cambria"/>
          <w:color w:val="000000" w:themeColor="text1"/>
          <w:bdr w:val="none" w:sz="0" w:space="0" w:color="auto" w:frame="1"/>
        </w:rPr>
        <w:t xml:space="preserve"> </w:t>
      </w:r>
      <w:r w:rsidR="00426181" w:rsidRPr="00BC6B80">
        <w:rPr>
          <w:rFonts w:ascii="Cambria" w:hAnsi="Cambria"/>
          <w:color w:val="000000"/>
          <w:bdr w:val="none" w:sz="0" w:space="0" w:color="auto" w:frame="1"/>
        </w:rPr>
        <w:t>As the</w:t>
      </w:r>
      <w:r w:rsidR="006F2EC0" w:rsidRPr="00BC6B80">
        <w:rPr>
          <w:rFonts w:ascii="Cambria" w:hAnsi="Cambria"/>
          <w:color w:val="000000"/>
          <w:bdr w:val="none" w:sz="0" w:space="0" w:color="auto" w:frame="1"/>
        </w:rPr>
        <w:t xml:space="preserve"> Victorian provision </w:t>
      </w:r>
      <w:r w:rsidR="000B13D4" w:rsidRPr="00BC6B80">
        <w:rPr>
          <w:rFonts w:ascii="Cambria" w:hAnsi="Cambria"/>
          <w:color w:val="000000"/>
          <w:bdr w:val="none" w:sz="0" w:space="0" w:color="auto" w:frame="1"/>
        </w:rPr>
        <w:t>observes</w:t>
      </w:r>
      <w:r w:rsidR="00A73453" w:rsidRPr="00BC6B80">
        <w:rPr>
          <w:rFonts w:ascii="Cambria" w:hAnsi="Cambria"/>
          <w:color w:val="000000"/>
          <w:bdr w:val="none" w:sz="0" w:space="0" w:color="auto" w:frame="1"/>
        </w:rPr>
        <w:t>,</w:t>
      </w:r>
      <w:r w:rsidR="006F2EC0" w:rsidRPr="00BC6B80">
        <w:rPr>
          <w:rFonts w:ascii="Cambria" w:hAnsi="Cambria"/>
          <w:color w:val="000000" w:themeColor="text1"/>
          <w:shd w:val="clear" w:color="auto" w:fill="FFFFFF"/>
        </w:rPr>
        <w:t xml:space="preserve"> </w:t>
      </w:r>
      <w:r w:rsidR="00A73453" w:rsidRPr="00BC6B80">
        <w:rPr>
          <w:rFonts w:ascii="Cambria" w:hAnsi="Cambria"/>
          <w:color w:val="000000" w:themeColor="text1"/>
          <w:shd w:val="clear" w:color="auto" w:fill="FFFFFF"/>
        </w:rPr>
        <w:t xml:space="preserve">the personal and social wellbeing of a person may be promoted by </w:t>
      </w:r>
      <w:r w:rsidR="006F2EC0" w:rsidRPr="00BC6B80">
        <w:rPr>
          <w:rFonts w:ascii="Cambria" w:hAnsi="Cambria"/>
          <w:color w:val="000000" w:themeColor="text1"/>
          <w:shd w:val="clear" w:color="auto" w:fill="FFFFFF"/>
        </w:rPr>
        <w:t>“</w:t>
      </w:r>
      <w:r w:rsidR="00A73453" w:rsidRPr="00BC6B80">
        <w:rPr>
          <w:rFonts w:ascii="Cambria" w:hAnsi="Cambria"/>
          <w:color w:val="000000" w:themeColor="text1"/>
          <w:shd w:val="clear" w:color="auto" w:fill="FFFFFF"/>
        </w:rPr>
        <w:t xml:space="preserve">recognising </w:t>
      </w:r>
      <w:r w:rsidR="006F2EC0" w:rsidRPr="00BC6B80">
        <w:rPr>
          <w:rFonts w:ascii="Cambria" w:hAnsi="Cambria"/>
        </w:rPr>
        <w:t>the importance to the person of any companion animal the person has and having regard to the benefits that may be obtained from the person having any companion animal”.</w:t>
      </w:r>
      <w:r w:rsidR="006F2EC0" w:rsidRPr="00BC6B80">
        <w:rPr>
          <w:rStyle w:val="FootnoteReference"/>
          <w:rFonts w:ascii="Cambria" w:hAnsi="Cambria"/>
          <w:color w:val="000000" w:themeColor="text1"/>
          <w:shd w:val="clear" w:color="auto" w:fill="FFFFFF"/>
        </w:rPr>
        <w:footnoteReference w:id="5"/>
      </w:r>
      <w:r w:rsidR="006F2EC0" w:rsidRPr="00BC6B80">
        <w:rPr>
          <w:rFonts w:ascii="Cambria" w:hAnsi="Cambria"/>
          <w:color w:val="000000" w:themeColor="text1"/>
          <w:shd w:val="clear" w:color="auto" w:fill="FFFFFF"/>
        </w:rPr>
        <w:t xml:space="preserve"> </w:t>
      </w:r>
    </w:p>
    <w:p w14:paraId="4117F1A6" w14:textId="77777777" w:rsidR="00737AB5" w:rsidRPr="00BC6B80" w:rsidRDefault="00737AB5" w:rsidP="00597B6B">
      <w:pPr>
        <w:jc w:val="both"/>
        <w:rPr>
          <w:rFonts w:ascii="Cambria" w:hAnsi="Cambria"/>
          <w:shd w:val="clear" w:color="auto" w:fill="FFFFFF"/>
        </w:rPr>
      </w:pPr>
    </w:p>
    <w:p w14:paraId="2DEA546D" w14:textId="09844343" w:rsidR="00B57DDA" w:rsidRPr="00BC6B80" w:rsidRDefault="00B57DDA" w:rsidP="00B57DDA">
      <w:pPr>
        <w:pStyle w:val="ListParagraph"/>
        <w:numPr>
          <w:ilvl w:val="0"/>
          <w:numId w:val="4"/>
        </w:numPr>
        <w:jc w:val="both"/>
        <w:rPr>
          <w:rFonts w:ascii="Cambria" w:hAnsi="Cambria"/>
          <w:b/>
          <w:bCs/>
          <w:i/>
          <w:iCs/>
          <w:color w:val="000000"/>
        </w:rPr>
      </w:pPr>
      <w:r w:rsidRPr="00BC6B80">
        <w:rPr>
          <w:rFonts w:ascii="Cambria" w:hAnsi="Cambria"/>
          <w:b/>
          <w:bCs/>
          <w:i/>
          <w:iCs/>
          <w:color w:val="000000"/>
        </w:rPr>
        <w:t>Principles</w:t>
      </w:r>
      <w:r w:rsidR="00680B9B" w:rsidRPr="00BC6B80">
        <w:rPr>
          <w:rFonts w:ascii="Cambria" w:hAnsi="Cambria"/>
          <w:b/>
          <w:bCs/>
          <w:i/>
          <w:iCs/>
          <w:color w:val="000000"/>
        </w:rPr>
        <w:t xml:space="preserve"> to be observed</w:t>
      </w:r>
    </w:p>
    <w:p w14:paraId="5CBC1F61" w14:textId="0EEE8F0C" w:rsidR="000B13D4" w:rsidRPr="00BC6B80" w:rsidRDefault="007A339D" w:rsidP="00597B6B">
      <w:pPr>
        <w:jc w:val="both"/>
        <w:rPr>
          <w:rFonts w:ascii="Cambria" w:hAnsi="Cambria"/>
          <w:color w:val="000000"/>
        </w:rPr>
      </w:pPr>
      <w:r w:rsidRPr="00BC6B80">
        <w:rPr>
          <w:rFonts w:ascii="Cambria" w:hAnsi="Cambria"/>
          <w:color w:val="000000"/>
        </w:rPr>
        <w:t xml:space="preserve">Section 6 of the of the </w:t>
      </w:r>
      <w:r w:rsidRPr="00BC6B80">
        <w:rPr>
          <w:rFonts w:ascii="Cambria" w:hAnsi="Cambria"/>
          <w:i/>
          <w:iCs/>
          <w:color w:val="000000"/>
        </w:rPr>
        <w:t>Guardianship and Administration Act 1995</w:t>
      </w:r>
      <w:r w:rsidRPr="00BC6B80">
        <w:rPr>
          <w:rFonts w:ascii="Cambria" w:hAnsi="Cambria"/>
          <w:color w:val="000000"/>
        </w:rPr>
        <w:t xml:space="preserve"> (Tas)(‘the Act’)</w:t>
      </w:r>
      <w:r w:rsidR="00C40102" w:rsidRPr="00BC6B80">
        <w:rPr>
          <w:rFonts w:ascii="Cambria" w:hAnsi="Cambria"/>
          <w:color w:val="000000"/>
        </w:rPr>
        <w:t xml:space="preserve"> sets out three core principles which are to guide the functions, powers </w:t>
      </w:r>
      <w:r w:rsidR="000B13D4" w:rsidRPr="00BC6B80">
        <w:rPr>
          <w:rFonts w:ascii="Cambria" w:hAnsi="Cambria"/>
          <w:color w:val="000000"/>
        </w:rPr>
        <w:t>and</w:t>
      </w:r>
      <w:r w:rsidR="00C40102" w:rsidRPr="00BC6B80">
        <w:rPr>
          <w:rFonts w:ascii="Cambria" w:hAnsi="Cambria"/>
          <w:color w:val="000000"/>
        </w:rPr>
        <w:t xml:space="preserve"> duties imposed under the Act, namely that</w:t>
      </w:r>
      <w:r w:rsidR="00EE2DB1" w:rsidRPr="00BC6B80">
        <w:rPr>
          <w:rFonts w:ascii="Cambria" w:hAnsi="Cambria"/>
          <w:color w:val="000000"/>
        </w:rPr>
        <w:t>:</w:t>
      </w:r>
      <w:r w:rsidR="00C40102" w:rsidRPr="00BC6B80">
        <w:rPr>
          <w:rFonts w:ascii="Cambria" w:hAnsi="Cambria"/>
          <w:color w:val="000000"/>
        </w:rPr>
        <w:t xml:space="preserve"> </w:t>
      </w:r>
    </w:p>
    <w:p w14:paraId="5A0C8AC3" w14:textId="77777777" w:rsidR="000B13D4" w:rsidRPr="00BC6B80" w:rsidRDefault="000B13D4" w:rsidP="00597B6B">
      <w:pPr>
        <w:jc w:val="both"/>
        <w:rPr>
          <w:rFonts w:ascii="Cambria" w:hAnsi="Cambria"/>
          <w:color w:val="000000"/>
        </w:rPr>
      </w:pPr>
    </w:p>
    <w:p w14:paraId="74AEE4F1" w14:textId="4C49C144" w:rsidR="000B13D4" w:rsidRPr="00BC6B80" w:rsidRDefault="007A339D" w:rsidP="000B13D4">
      <w:pPr>
        <w:pStyle w:val="ListParagraph"/>
        <w:numPr>
          <w:ilvl w:val="0"/>
          <w:numId w:val="10"/>
        </w:numPr>
        <w:jc w:val="both"/>
        <w:rPr>
          <w:rFonts w:ascii="Cambria" w:hAnsi="Cambria"/>
          <w:color w:val="000000"/>
        </w:rPr>
      </w:pPr>
      <w:r w:rsidRPr="00BC6B80">
        <w:rPr>
          <w:rFonts w:ascii="Cambria" w:hAnsi="Cambria"/>
          <w:color w:val="000000"/>
        </w:rPr>
        <w:t>decisions made</w:t>
      </w:r>
      <w:r w:rsidR="00C40102" w:rsidRPr="00BC6B80">
        <w:rPr>
          <w:rFonts w:ascii="Cambria" w:hAnsi="Cambria"/>
          <w:color w:val="000000"/>
        </w:rPr>
        <w:t xml:space="preserve"> are</w:t>
      </w:r>
      <w:r w:rsidR="00BC1A20" w:rsidRPr="00BC6B80">
        <w:rPr>
          <w:rFonts w:ascii="Cambria" w:hAnsi="Cambria"/>
          <w:color w:val="000000"/>
        </w:rPr>
        <w:t xml:space="preserve"> the least restrictive</w:t>
      </w:r>
      <w:r w:rsidR="00CB50DB" w:rsidRPr="00BC6B80">
        <w:rPr>
          <w:rFonts w:ascii="Cambria" w:hAnsi="Cambria"/>
          <w:color w:val="000000"/>
        </w:rPr>
        <w:t xml:space="preserve"> of a person’s freedom of decision and action;</w:t>
      </w:r>
      <w:r w:rsidR="000B13D4" w:rsidRPr="00BC6B80">
        <w:rPr>
          <w:rFonts w:ascii="Cambria" w:hAnsi="Cambria"/>
          <w:color w:val="000000"/>
        </w:rPr>
        <w:t xml:space="preserve"> and</w:t>
      </w:r>
      <w:r w:rsidRPr="00BC6B80">
        <w:rPr>
          <w:rFonts w:ascii="Cambria" w:hAnsi="Cambria"/>
          <w:color w:val="000000"/>
        </w:rPr>
        <w:t xml:space="preserve"> </w:t>
      </w:r>
    </w:p>
    <w:p w14:paraId="502FC9FD" w14:textId="77777777" w:rsidR="000B13D4" w:rsidRPr="00BC6B80" w:rsidRDefault="00761204" w:rsidP="000B13D4">
      <w:pPr>
        <w:pStyle w:val="ListParagraph"/>
        <w:numPr>
          <w:ilvl w:val="0"/>
          <w:numId w:val="10"/>
        </w:numPr>
        <w:jc w:val="both"/>
        <w:rPr>
          <w:rFonts w:ascii="Cambria" w:hAnsi="Cambria"/>
          <w:color w:val="000000"/>
        </w:rPr>
      </w:pPr>
      <w:r w:rsidRPr="00BC6B80">
        <w:rPr>
          <w:rFonts w:ascii="Cambria" w:hAnsi="Cambria"/>
          <w:color w:val="000000"/>
        </w:rPr>
        <w:t>take the</w:t>
      </w:r>
      <w:r w:rsidR="0057349D" w:rsidRPr="00BC6B80">
        <w:rPr>
          <w:rFonts w:ascii="Cambria" w:hAnsi="Cambria"/>
          <w:color w:val="000000"/>
        </w:rPr>
        <w:t xml:space="preserve"> person’s </w:t>
      </w:r>
      <w:r w:rsidRPr="00BC6B80">
        <w:rPr>
          <w:rFonts w:ascii="Cambria" w:hAnsi="Cambria"/>
          <w:color w:val="000000"/>
        </w:rPr>
        <w:t>wishes into account and</w:t>
      </w:r>
      <w:r w:rsidR="000B13D4" w:rsidRPr="00BC6B80">
        <w:rPr>
          <w:rFonts w:ascii="Cambria" w:hAnsi="Cambria"/>
          <w:color w:val="000000"/>
        </w:rPr>
        <w:t>; and</w:t>
      </w:r>
    </w:p>
    <w:p w14:paraId="389AF790" w14:textId="77777777" w:rsidR="000B13D4" w:rsidRPr="00BC6B80" w:rsidRDefault="00761204" w:rsidP="000B13D4">
      <w:pPr>
        <w:pStyle w:val="ListParagraph"/>
        <w:numPr>
          <w:ilvl w:val="0"/>
          <w:numId w:val="10"/>
        </w:numPr>
        <w:jc w:val="both"/>
        <w:rPr>
          <w:rFonts w:ascii="Cambria" w:hAnsi="Cambria"/>
          <w:color w:val="000000"/>
        </w:rPr>
      </w:pPr>
      <w:r w:rsidRPr="00BC6B80">
        <w:rPr>
          <w:rFonts w:ascii="Cambria" w:hAnsi="Cambria"/>
          <w:color w:val="000000"/>
        </w:rPr>
        <w:t xml:space="preserve">are in </w:t>
      </w:r>
      <w:r w:rsidR="007A339D" w:rsidRPr="00BC6B80">
        <w:rPr>
          <w:rFonts w:ascii="Cambria" w:hAnsi="Cambria"/>
          <w:color w:val="000000"/>
        </w:rPr>
        <w:t>the</w:t>
      </w:r>
      <w:r w:rsidR="00CB50DB" w:rsidRPr="00BC6B80">
        <w:rPr>
          <w:rFonts w:ascii="Cambria" w:hAnsi="Cambria"/>
          <w:color w:val="000000"/>
        </w:rPr>
        <w:t xml:space="preserve">ir </w:t>
      </w:r>
      <w:r w:rsidR="007A339D" w:rsidRPr="00BC6B80">
        <w:rPr>
          <w:rFonts w:ascii="Cambria" w:hAnsi="Cambria"/>
          <w:color w:val="000000"/>
        </w:rPr>
        <w:t>best interests</w:t>
      </w:r>
      <w:r w:rsidR="00CB50DB" w:rsidRPr="00BC6B80">
        <w:rPr>
          <w:rFonts w:ascii="Cambria" w:hAnsi="Cambria"/>
          <w:color w:val="000000"/>
        </w:rPr>
        <w:t xml:space="preserve">. </w:t>
      </w:r>
    </w:p>
    <w:p w14:paraId="2DF703B3" w14:textId="77777777" w:rsidR="000B13D4" w:rsidRPr="00BC6B80" w:rsidRDefault="000B13D4" w:rsidP="000B13D4">
      <w:pPr>
        <w:jc w:val="both"/>
        <w:rPr>
          <w:rFonts w:ascii="Cambria" w:hAnsi="Cambria"/>
          <w:color w:val="000000"/>
        </w:rPr>
      </w:pPr>
    </w:p>
    <w:p w14:paraId="1FC738C9" w14:textId="3606B692" w:rsidR="000B13D4" w:rsidRPr="00BC6B80" w:rsidRDefault="002C0193" w:rsidP="00597B6B">
      <w:pPr>
        <w:jc w:val="both"/>
        <w:rPr>
          <w:rFonts w:ascii="Cambria" w:hAnsi="Cambria"/>
          <w:color w:val="000000"/>
        </w:rPr>
      </w:pPr>
      <w:r w:rsidRPr="00BC6B80">
        <w:rPr>
          <w:rFonts w:ascii="Cambria" w:hAnsi="Cambria"/>
          <w:color w:val="000000"/>
        </w:rPr>
        <w:t xml:space="preserve">The </w:t>
      </w:r>
      <w:r w:rsidR="00E32944" w:rsidRPr="00BC6B80">
        <w:rPr>
          <w:rFonts w:ascii="Cambria" w:hAnsi="Cambria"/>
          <w:color w:val="000000"/>
        </w:rPr>
        <w:t xml:space="preserve">importance of the principles </w:t>
      </w:r>
      <w:r w:rsidRPr="00BC6B80">
        <w:rPr>
          <w:rFonts w:ascii="Cambria" w:hAnsi="Cambria"/>
          <w:color w:val="000000"/>
        </w:rPr>
        <w:t xml:space="preserve">as the Tasmania Law Reform Institute </w:t>
      </w:r>
      <w:r w:rsidR="00CB50DB" w:rsidRPr="00BC6B80">
        <w:rPr>
          <w:rFonts w:ascii="Cambria" w:hAnsi="Cambria"/>
          <w:color w:val="000000"/>
        </w:rPr>
        <w:t xml:space="preserve">(TLRI) </w:t>
      </w:r>
      <w:r w:rsidRPr="00BC6B80">
        <w:rPr>
          <w:rFonts w:ascii="Cambria" w:hAnsi="Cambria"/>
          <w:color w:val="000000"/>
        </w:rPr>
        <w:t xml:space="preserve">has emphasised </w:t>
      </w:r>
      <w:r w:rsidR="007A339D" w:rsidRPr="00BC6B80">
        <w:rPr>
          <w:rFonts w:ascii="Cambria" w:hAnsi="Cambria"/>
          <w:color w:val="000000"/>
        </w:rPr>
        <w:t>is the recognition that they “provide the basis upon which decisions are made and actions taken under the Act”.</w:t>
      </w:r>
      <w:r w:rsidR="007A339D" w:rsidRPr="00BC6B80">
        <w:rPr>
          <w:rStyle w:val="FootnoteReference"/>
          <w:rFonts w:ascii="Cambria" w:hAnsi="Cambria"/>
          <w:color w:val="000000"/>
        </w:rPr>
        <w:footnoteReference w:id="6"/>
      </w:r>
      <w:r w:rsidR="003A7632" w:rsidRPr="00BC6B80">
        <w:rPr>
          <w:rFonts w:ascii="Cambria" w:hAnsi="Cambria"/>
          <w:color w:val="000000"/>
        </w:rPr>
        <w:t xml:space="preserve"> </w:t>
      </w:r>
      <w:r w:rsidR="00950D40" w:rsidRPr="00BC6B80">
        <w:rPr>
          <w:rFonts w:ascii="Cambria" w:hAnsi="Cambria"/>
          <w:color w:val="000000"/>
        </w:rPr>
        <w:t>In practice,</w:t>
      </w:r>
      <w:r w:rsidR="00BC1A20" w:rsidRPr="00BC6B80">
        <w:rPr>
          <w:rFonts w:ascii="Cambria" w:hAnsi="Cambria"/>
          <w:color w:val="000000"/>
        </w:rPr>
        <w:t xml:space="preserve"> taking in</w:t>
      </w:r>
      <w:r w:rsidR="00D762A8" w:rsidRPr="00BC6B80">
        <w:rPr>
          <w:rFonts w:ascii="Cambria" w:hAnsi="Cambria"/>
          <w:color w:val="000000"/>
        </w:rPr>
        <w:t>to</w:t>
      </w:r>
      <w:r w:rsidR="00BC1A20" w:rsidRPr="00BC6B80">
        <w:rPr>
          <w:rFonts w:ascii="Cambria" w:hAnsi="Cambria"/>
          <w:color w:val="000000"/>
        </w:rPr>
        <w:t xml:space="preserve"> account a person’s wishes </w:t>
      </w:r>
      <w:r w:rsidR="00D762A8" w:rsidRPr="00BC6B80">
        <w:rPr>
          <w:rFonts w:ascii="Cambria" w:hAnsi="Cambria"/>
          <w:color w:val="000000"/>
        </w:rPr>
        <w:t>can be overridden if the</w:t>
      </w:r>
      <w:r w:rsidR="004001B3" w:rsidRPr="00BC6B80">
        <w:rPr>
          <w:rFonts w:ascii="Cambria" w:hAnsi="Cambria"/>
          <w:color w:val="000000"/>
        </w:rPr>
        <w:t xml:space="preserve"> </w:t>
      </w:r>
      <w:r w:rsidR="00E85524" w:rsidRPr="00BC6B80">
        <w:rPr>
          <w:rFonts w:ascii="Cambria" w:hAnsi="Cambria"/>
          <w:color w:val="000000"/>
        </w:rPr>
        <w:t xml:space="preserve">Guardian or </w:t>
      </w:r>
      <w:r w:rsidR="00537223" w:rsidRPr="00BC6B80">
        <w:rPr>
          <w:rFonts w:ascii="Cambria" w:hAnsi="Cambria"/>
          <w:color w:val="000000"/>
        </w:rPr>
        <w:t>Administrator</w:t>
      </w:r>
      <w:r w:rsidR="00D762A8" w:rsidRPr="00BC6B80">
        <w:rPr>
          <w:rFonts w:ascii="Cambria" w:hAnsi="Cambria"/>
          <w:color w:val="000000"/>
        </w:rPr>
        <w:t xml:space="preserve"> </w:t>
      </w:r>
      <w:r w:rsidR="005149EA" w:rsidRPr="00BC6B80">
        <w:rPr>
          <w:rFonts w:ascii="Cambria" w:hAnsi="Cambria"/>
          <w:color w:val="000000"/>
        </w:rPr>
        <w:t>determine</w:t>
      </w:r>
      <w:r w:rsidR="000B13D4" w:rsidRPr="00BC6B80">
        <w:rPr>
          <w:rFonts w:ascii="Cambria" w:hAnsi="Cambria"/>
          <w:color w:val="000000"/>
        </w:rPr>
        <w:t>s</w:t>
      </w:r>
      <w:r w:rsidR="005149EA" w:rsidRPr="00BC6B80">
        <w:rPr>
          <w:rFonts w:ascii="Cambria" w:hAnsi="Cambria"/>
          <w:color w:val="000000"/>
        </w:rPr>
        <w:t xml:space="preserve"> that it is not</w:t>
      </w:r>
      <w:r w:rsidR="00D762A8" w:rsidRPr="00BC6B80">
        <w:rPr>
          <w:rFonts w:ascii="Cambria" w:hAnsi="Cambria"/>
          <w:color w:val="000000"/>
        </w:rPr>
        <w:t xml:space="preserve"> in the person’s best interests.</w:t>
      </w:r>
      <w:r w:rsidR="00C0583C" w:rsidRPr="00BC6B80">
        <w:rPr>
          <w:rStyle w:val="FootnoteReference"/>
          <w:rFonts w:ascii="Cambria" w:hAnsi="Cambria"/>
          <w:color w:val="000000"/>
        </w:rPr>
        <w:footnoteReference w:id="7"/>
      </w:r>
      <w:r w:rsidR="00D42697" w:rsidRPr="00BC6B80">
        <w:rPr>
          <w:rFonts w:ascii="Cambria" w:hAnsi="Cambria"/>
          <w:color w:val="000000"/>
        </w:rPr>
        <w:t xml:space="preserve"> </w:t>
      </w:r>
      <w:r w:rsidR="00345633" w:rsidRPr="00BC6B80">
        <w:rPr>
          <w:rFonts w:ascii="Cambria" w:hAnsi="Cambria"/>
          <w:color w:val="000000"/>
        </w:rPr>
        <w:t xml:space="preserve">For example, </w:t>
      </w:r>
      <w:r w:rsidR="000B13D4" w:rsidRPr="00BC6B80">
        <w:rPr>
          <w:rFonts w:ascii="Cambria" w:hAnsi="Cambria"/>
          <w:color w:val="000000"/>
        </w:rPr>
        <w:t xml:space="preserve">a 2021 review </w:t>
      </w:r>
      <w:r w:rsidR="00C72658" w:rsidRPr="00BC6B80">
        <w:rPr>
          <w:rFonts w:ascii="Cambria" w:hAnsi="Cambria"/>
          <w:color w:val="000000"/>
        </w:rPr>
        <w:t>of the Public Trustee</w:t>
      </w:r>
      <w:r w:rsidR="000B13D4" w:rsidRPr="00BC6B80">
        <w:rPr>
          <w:rFonts w:ascii="Cambria" w:hAnsi="Cambria"/>
          <w:color w:val="000000"/>
        </w:rPr>
        <w:t xml:space="preserve"> by Damian Bugg </w:t>
      </w:r>
      <w:r w:rsidR="003A7632" w:rsidRPr="00BC6B80">
        <w:rPr>
          <w:rFonts w:ascii="Cambria" w:hAnsi="Cambria"/>
          <w:color w:val="000000"/>
        </w:rPr>
        <w:t xml:space="preserve">AM </w:t>
      </w:r>
      <w:r w:rsidR="000B13D4" w:rsidRPr="00BC6B80">
        <w:rPr>
          <w:rFonts w:ascii="Cambria" w:hAnsi="Cambria"/>
          <w:color w:val="000000"/>
        </w:rPr>
        <w:t>KC found that statutory duties such as empowering the represented person to become capable of administering their own estate and acting in consultation with the represented person were often ignored.</w:t>
      </w:r>
      <w:r w:rsidR="000B13D4" w:rsidRPr="00BC6B80">
        <w:rPr>
          <w:rStyle w:val="FootnoteReference"/>
          <w:rFonts w:ascii="Cambria" w:hAnsi="Cambria"/>
          <w:color w:val="000000"/>
        </w:rPr>
        <w:footnoteReference w:id="8"/>
      </w:r>
    </w:p>
    <w:p w14:paraId="30922FA9" w14:textId="77777777" w:rsidR="008C6345" w:rsidRPr="00BC6B80" w:rsidRDefault="008C6345" w:rsidP="00597B6B">
      <w:pPr>
        <w:jc w:val="both"/>
        <w:rPr>
          <w:rFonts w:ascii="Cambria" w:hAnsi="Cambria"/>
          <w:color w:val="000000"/>
        </w:rPr>
      </w:pPr>
    </w:p>
    <w:p w14:paraId="1123D7C2" w14:textId="5BF3AFB9" w:rsidR="00573AB4" w:rsidRPr="00BC6B80" w:rsidRDefault="00F1697A" w:rsidP="00573AB4">
      <w:pPr>
        <w:jc w:val="both"/>
        <w:rPr>
          <w:rFonts w:ascii="Cambria" w:hAnsi="Cambria"/>
          <w:color w:val="000000" w:themeColor="text1"/>
        </w:rPr>
      </w:pPr>
      <w:r w:rsidRPr="00BC6B80">
        <w:rPr>
          <w:rFonts w:ascii="Cambria" w:hAnsi="Cambria"/>
          <w:color w:val="000000" w:themeColor="text1"/>
        </w:rPr>
        <w:t xml:space="preserve">As well, both the Guardianship and Administration Board and the Supreme Court of Tasmania have commented on the failure of </w:t>
      </w:r>
      <w:r w:rsidR="008C6345" w:rsidRPr="00BC6B80">
        <w:rPr>
          <w:rFonts w:ascii="Cambria" w:hAnsi="Cambria"/>
          <w:color w:val="000000" w:themeColor="text1"/>
        </w:rPr>
        <w:t xml:space="preserve">both </w:t>
      </w:r>
      <w:r w:rsidRPr="00BC6B80">
        <w:rPr>
          <w:rFonts w:ascii="Cambria" w:hAnsi="Cambria"/>
          <w:color w:val="000000" w:themeColor="text1"/>
        </w:rPr>
        <w:t xml:space="preserve">Guardians and Administrators to </w:t>
      </w:r>
      <w:r w:rsidR="00673691" w:rsidRPr="00BC6B80">
        <w:rPr>
          <w:rFonts w:ascii="Cambria" w:hAnsi="Cambria"/>
          <w:color w:val="000000" w:themeColor="text1"/>
        </w:rPr>
        <w:t>act in the person’s best interests</w:t>
      </w:r>
      <w:r w:rsidR="00CB50DB" w:rsidRPr="00BC6B80">
        <w:rPr>
          <w:rFonts w:ascii="Cambria" w:hAnsi="Cambria"/>
          <w:color w:val="000000" w:themeColor="text1"/>
        </w:rPr>
        <w:t xml:space="preserve"> by </w:t>
      </w:r>
      <w:r w:rsidR="00673691" w:rsidRPr="00BC6B80">
        <w:rPr>
          <w:rFonts w:ascii="Cambria" w:hAnsi="Cambria"/>
          <w:color w:val="000000" w:themeColor="text1"/>
        </w:rPr>
        <w:t>failing to consult or ignoring</w:t>
      </w:r>
      <w:r w:rsidR="00CB50DB" w:rsidRPr="00BC6B80">
        <w:rPr>
          <w:rFonts w:ascii="Cambria" w:hAnsi="Cambria"/>
          <w:color w:val="000000" w:themeColor="text1"/>
        </w:rPr>
        <w:t xml:space="preserve"> the </w:t>
      </w:r>
      <w:r w:rsidR="00673691" w:rsidRPr="00BC6B80">
        <w:rPr>
          <w:rFonts w:ascii="Cambria" w:hAnsi="Cambria"/>
          <w:color w:val="000000" w:themeColor="text1"/>
        </w:rPr>
        <w:t>person’s decision-making</w:t>
      </w:r>
      <w:r w:rsidRPr="00BC6B80">
        <w:rPr>
          <w:rFonts w:ascii="Cambria" w:hAnsi="Cambria"/>
          <w:color w:val="000000" w:themeColor="text1"/>
        </w:rPr>
        <w:t>.</w:t>
      </w:r>
      <w:r w:rsidR="00573AB4" w:rsidRPr="00BC6B80">
        <w:rPr>
          <w:rFonts w:ascii="Cambria" w:hAnsi="Cambria"/>
          <w:color w:val="000000" w:themeColor="text1"/>
        </w:rPr>
        <w:t xml:space="preserve"> In</w:t>
      </w:r>
      <w:r w:rsidRPr="00BC6B80">
        <w:rPr>
          <w:rFonts w:ascii="Cambria" w:hAnsi="Cambria"/>
          <w:color w:val="000000" w:themeColor="text1"/>
        </w:rPr>
        <w:t xml:space="preserve"> </w:t>
      </w:r>
      <w:r w:rsidR="00573AB4" w:rsidRPr="00BC6B80">
        <w:rPr>
          <w:rFonts w:ascii="Cambria" w:hAnsi="Cambria"/>
          <w:i/>
          <w:iCs/>
          <w:color w:val="000000" w:themeColor="text1"/>
        </w:rPr>
        <w:t>SBE (Review of Administration)</w:t>
      </w:r>
      <w:r w:rsidR="004E24CE" w:rsidRPr="00BC6B80">
        <w:rPr>
          <w:rFonts w:ascii="Cambria" w:hAnsi="Cambria"/>
          <w:color w:val="000000" w:themeColor="text1"/>
        </w:rPr>
        <w:t xml:space="preserve"> </w:t>
      </w:r>
      <w:r w:rsidR="00673691" w:rsidRPr="00BC6B80">
        <w:rPr>
          <w:rFonts w:ascii="Cambria" w:hAnsi="Cambria"/>
          <w:color w:val="000000" w:themeColor="text1"/>
        </w:rPr>
        <w:t xml:space="preserve">for example </w:t>
      </w:r>
      <w:r w:rsidR="00573AB4" w:rsidRPr="00BC6B80">
        <w:rPr>
          <w:rFonts w:ascii="Cambria" w:hAnsi="Cambria"/>
          <w:color w:val="000000" w:themeColor="text1"/>
        </w:rPr>
        <w:t xml:space="preserve">the Guardianship and Administration Board </w:t>
      </w:r>
      <w:r w:rsidR="004E24CE" w:rsidRPr="00BC6B80">
        <w:rPr>
          <w:rFonts w:ascii="Cambria" w:hAnsi="Cambria"/>
          <w:color w:val="000000" w:themeColor="text1"/>
        </w:rPr>
        <w:t>noted its concern that the Administrator ha</w:t>
      </w:r>
      <w:r w:rsidR="00673691" w:rsidRPr="00BC6B80">
        <w:rPr>
          <w:rFonts w:ascii="Cambria" w:hAnsi="Cambria"/>
          <w:color w:val="000000" w:themeColor="text1"/>
        </w:rPr>
        <w:t>d done the bare minimum when it had a statutory obligation to consult with the represented person about</w:t>
      </w:r>
      <w:r w:rsidR="00084EB2" w:rsidRPr="00BC6B80">
        <w:rPr>
          <w:rFonts w:ascii="Cambria" w:hAnsi="Cambria"/>
          <w:color w:val="000000" w:themeColor="text1"/>
        </w:rPr>
        <w:t xml:space="preserve"> improving his</w:t>
      </w:r>
      <w:r w:rsidR="00673691" w:rsidRPr="00BC6B80">
        <w:rPr>
          <w:rFonts w:ascii="Cambria" w:hAnsi="Cambria"/>
          <w:color w:val="000000" w:themeColor="text1"/>
        </w:rPr>
        <w:t xml:space="preserve"> quality of life</w:t>
      </w:r>
      <w:r w:rsidR="00573AB4" w:rsidRPr="00BC6B80">
        <w:rPr>
          <w:rFonts w:ascii="Cambria" w:hAnsi="Cambria"/>
          <w:color w:val="000000" w:themeColor="text1"/>
        </w:rPr>
        <w:t>:</w:t>
      </w:r>
      <w:r w:rsidR="00573AB4" w:rsidRPr="00BC6B80">
        <w:rPr>
          <w:rStyle w:val="FootnoteReference"/>
          <w:rFonts w:ascii="Cambria" w:hAnsi="Cambria"/>
          <w:color w:val="000000" w:themeColor="text1"/>
        </w:rPr>
        <w:footnoteReference w:id="9"/>
      </w:r>
      <w:r w:rsidR="00573AB4" w:rsidRPr="00BC6B80">
        <w:rPr>
          <w:rFonts w:ascii="Cambria" w:hAnsi="Cambria"/>
          <w:color w:val="000000" w:themeColor="text1"/>
        </w:rPr>
        <w:t xml:space="preserve">   </w:t>
      </w:r>
    </w:p>
    <w:p w14:paraId="2718E00E" w14:textId="77777777" w:rsidR="00573AB4" w:rsidRPr="00BC6B80" w:rsidRDefault="00573AB4" w:rsidP="00573AB4">
      <w:pPr>
        <w:jc w:val="both"/>
        <w:rPr>
          <w:rFonts w:ascii="Cambria" w:hAnsi="Cambria"/>
          <w:color w:val="000000"/>
        </w:rPr>
      </w:pPr>
    </w:p>
    <w:p w14:paraId="005843DE" w14:textId="77777777" w:rsidR="00573AB4" w:rsidRPr="00BC6B80" w:rsidRDefault="00573AB4" w:rsidP="00573AB4">
      <w:pPr>
        <w:ind w:left="720"/>
        <w:jc w:val="both"/>
        <w:rPr>
          <w:rFonts w:ascii="Cambria" w:hAnsi="Cambria"/>
          <w:i/>
          <w:iCs/>
          <w:sz w:val="22"/>
          <w:szCs w:val="22"/>
        </w:rPr>
      </w:pPr>
      <w:r w:rsidRPr="00BC6B80">
        <w:rPr>
          <w:rFonts w:ascii="Cambria" w:hAnsi="Cambria"/>
          <w:i/>
          <w:iCs/>
          <w:sz w:val="22"/>
          <w:szCs w:val="22"/>
        </w:rPr>
        <w:t>The Board was concerned about the lack of evidence about how the Public Trustee is discharging its obligations under section 57 of the Act. The Public Trustee is required to consider and act in the best interests of SBE at all times, and not just when its account manager hears from a support person for SBE.</w:t>
      </w:r>
    </w:p>
    <w:p w14:paraId="553059C3" w14:textId="77777777" w:rsidR="00573AB4" w:rsidRPr="00BC6B80" w:rsidRDefault="00573AB4" w:rsidP="00573AB4">
      <w:pPr>
        <w:ind w:left="720"/>
        <w:jc w:val="both"/>
        <w:rPr>
          <w:rFonts w:ascii="Cambria" w:hAnsi="Cambria"/>
          <w:i/>
          <w:iCs/>
          <w:sz w:val="22"/>
          <w:szCs w:val="22"/>
        </w:rPr>
      </w:pPr>
    </w:p>
    <w:p w14:paraId="3AF07DEF" w14:textId="77777777" w:rsidR="00573AB4" w:rsidRPr="00BC6B80" w:rsidRDefault="00573AB4" w:rsidP="00573AB4">
      <w:pPr>
        <w:ind w:left="720"/>
        <w:jc w:val="both"/>
        <w:rPr>
          <w:rFonts w:ascii="Cambria" w:hAnsi="Cambria"/>
          <w:sz w:val="22"/>
          <w:szCs w:val="22"/>
        </w:rPr>
      </w:pPr>
      <w:r w:rsidRPr="00BC6B80">
        <w:rPr>
          <w:rFonts w:ascii="Cambria" w:hAnsi="Cambria"/>
          <w:i/>
          <w:iCs/>
          <w:sz w:val="22"/>
          <w:szCs w:val="22"/>
        </w:rPr>
        <w:lastRenderedPageBreak/>
        <w:t>Acting in SBE’s best interests not only includes ensuring that he receives maximum income entitlements, that assets are prudently managed and debts and expenses are responsibly controlled. There is also an obligation to actively ensure income and accumulated funds are being expended to improve SBE’s quality and enjoyment of life. It appears on the limited available evidence that SBE’s basic needs are being met but no more, and instead funds are being allowed to accumulate by default.</w:t>
      </w:r>
    </w:p>
    <w:p w14:paraId="581CD862" w14:textId="77777777" w:rsidR="00573AB4" w:rsidRPr="00BC6B80" w:rsidRDefault="00573AB4" w:rsidP="00597B6B">
      <w:pPr>
        <w:jc w:val="both"/>
        <w:rPr>
          <w:rFonts w:ascii="Cambria" w:hAnsi="Cambria"/>
          <w:color w:val="000000"/>
        </w:rPr>
      </w:pPr>
    </w:p>
    <w:p w14:paraId="2E157DA0" w14:textId="22E8B079" w:rsidR="00D762A8" w:rsidRPr="00BC6B80" w:rsidRDefault="00573AB4" w:rsidP="00597B6B">
      <w:pPr>
        <w:jc w:val="both"/>
        <w:rPr>
          <w:rFonts w:ascii="Cambria" w:hAnsi="Cambria"/>
          <w:color w:val="000000"/>
        </w:rPr>
      </w:pPr>
      <w:r w:rsidRPr="00BC6B80">
        <w:rPr>
          <w:rFonts w:ascii="Cambria" w:hAnsi="Cambria"/>
          <w:color w:val="000000"/>
        </w:rPr>
        <w:t xml:space="preserve">A similar finding was made in the </w:t>
      </w:r>
      <w:proofErr w:type="spellStart"/>
      <w:r w:rsidRPr="00BC6B80">
        <w:rPr>
          <w:rFonts w:ascii="Cambria" w:hAnsi="Cambria"/>
          <w:color w:val="000000"/>
        </w:rPr>
        <w:t>later</w:t>
      </w:r>
      <w:proofErr w:type="spellEnd"/>
      <w:r w:rsidR="00673691" w:rsidRPr="00BC6B80">
        <w:rPr>
          <w:rFonts w:ascii="Cambria" w:hAnsi="Cambria"/>
          <w:color w:val="000000"/>
        </w:rPr>
        <w:t xml:space="preserve"> </w:t>
      </w:r>
      <w:r w:rsidRPr="00BC6B80">
        <w:rPr>
          <w:rFonts w:ascii="Cambria" w:hAnsi="Cambria"/>
          <w:color w:val="000000"/>
        </w:rPr>
        <w:t>case of</w:t>
      </w:r>
      <w:r w:rsidR="00F1697A" w:rsidRPr="00BC6B80">
        <w:rPr>
          <w:rFonts w:ascii="Cambria" w:hAnsi="Cambria"/>
          <w:color w:val="000000"/>
        </w:rPr>
        <w:t xml:space="preserve"> </w:t>
      </w:r>
      <w:r w:rsidR="00695904" w:rsidRPr="00BC6B80">
        <w:rPr>
          <w:rFonts w:ascii="Cambria" w:hAnsi="Cambria"/>
          <w:i/>
          <w:iCs/>
          <w:color w:val="000000"/>
        </w:rPr>
        <w:t>TKH (Advice and Direction)</w:t>
      </w:r>
      <w:r w:rsidR="00695904" w:rsidRPr="00BC6B80">
        <w:rPr>
          <w:rFonts w:ascii="Cambria" w:hAnsi="Cambria"/>
          <w:color w:val="000000"/>
        </w:rPr>
        <w:t xml:space="preserve"> </w:t>
      </w:r>
      <w:r w:rsidRPr="00BC6B80">
        <w:rPr>
          <w:rFonts w:ascii="Cambria" w:hAnsi="Cambria"/>
          <w:color w:val="000000"/>
        </w:rPr>
        <w:t xml:space="preserve">where </w:t>
      </w:r>
      <w:r w:rsidR="00F1697A" w:rsidRPr="00BC6B80">
        <w:rPr>
          <w:rFonts w:ascii="Cambria" w:hAnsi="Cambria"/>
          <w:color w:val="000000"/>
        </w:rPr>
        <w:t xml:space="preserve">the Guardianship and Administration Board </w:t>
      </w:r>
      <w:r w:rsidR="00695904" w:rsidRPr="00BC6B80">
        <w:rPr>
          <w:rFonts w:ascii="Cambria" w:hAnsi="Cambria"/>
          <w:color w:val="000000"/>
        </w:rPr>
        <w:t>observed</w:t>
      </w:r>
      <w:r w:rsidR="00E32944" w:rsidRPr="00BC6B80">
        <w:rPr>
          <w:rFonts w:ascii="Cambria" w:hAnsi="Cambria"/>
          <w:color w:val="000000"/>
        </w:rPr>
        <w:t>:</w:t>
      </w:r>
      <w:r w:rsidR="00E32944" w:rsidRPr="00BC6B80">
        <w:rPr>
          <w:rStyle w:val="FootnoteReference"/>
          <w:rFonts w:ascii="Cambria" w:hAnsi="Cambria"/>
          <w:color w:val="000000"/>
        </w:rPr>
        <w:footnoteReference w:id="10"/>
      </w:r>
    </w:p>
    <w:p w14:paraId="42D60972" w14:textId="5CB69424" w:rsidR="00695904" w:rsidRPr="00BC6B80" w:rsidRDefault="00486784" w:rsidP="00695904">
      <w:pPr>
        <w:ind w:left="720"/>
        <w:jc w:val="both"/>
        <w:rPr>
          <w:rFonts w:ascii="Cambria" w:hAnsi="Cambria"/>
          <w:i/>
          <w:iCs/>
          <w:sz w:val="22"/>
          <w:szCs w:val="22"/>
        </w:rPr>
      </w:pPr>
      <w:r w:rsidRPr="00BC6B80">
        <w:rPr>
          <w:rFonts w:ascii="Cambria" w:hAnsi="Cambria" w:cs="Segoe UI"/>
          <w:color w:val="201F1E"/>
          <w:sz w:val="20"/>
          <w:szCs w:val="20"/>
        </w:rPr>
        <w:br/>
      </w:r>
      <w:r w:rsidR="00695904" w:rsidRPr="00BC6B80">
        <w:rPr>
          <w:rFonts w:ascii="Cambria" w:hAnsi="Cambria"/>
          <w:i/>
          <w:iCs/>
          <w:color w:val="000000" w:themeColor="text1"/>
          <w:sz w:val="22"/>
          <w:szCs w:val="22"/>
          <w:shd w:val="clear" w:color="auto" w:fill="FFFFFF"/>
        </w:rPr>
        <w:t>If there is no direct communication between the Public Trustee’s account manager and the Represented Person or if that is not possible a support person, family member or advocate for the Represented Person, it is difficult to see how the Public Trustee could be discharging its obligation to act in consultation with the Represented Person and to take his wishes into account in relation to the administration of his estate, and thereby acting in his best interests. The Public Trustee should instigate regular communication with the Represented Person (or his representative) that would allow the Public Trustee to understand the Represented Person’s wishes, particularly as to expenditure that might improve his quality of life.</w:t>
      </w:r>
    </w:p>
    <w:p w14:paraId="0C7EF1C5" w14:textId="1B904018" w:rsidR="00486784" w:rsidRPr="00BC6B80" w:rsidRDefault="00486784" w:rsidP="00597B6B">
      <w:pPr>
        <w:jc w:val="both"/>
        <w:rPr>
          <w:rFonts w:ascii="Cambria" w:hAnsi="Cambria"/>
          <w:color w:val="000000"/>
        </w:rPr>
      </w:pPr>
    </w:p>
    <w:p w14:paraId="3195077F" w14:textId="496CF68C" w:rsidR="001C3302" w:rsidRPr="00BC6B80" w:rsidRDefault="002C0193" w:rsidP="001C3302">
      <w:pPr>
        <w:jc w:val="both"/>
        <w:rPr>
          <w:rFonts w:ascii="Cambria" w:hAnsi="Cambria"/>
          <w:color w:val="000000"/>
        </w:rPr>
      </w:pPr>
      <w:r w:rsidRPr="00BC6B80">
        <w:rPr>
          <w:rFonts w:ascii="Cambria" w:hAnsi="Cambria"/>
          <w:color w:val="000000"/>
        </w:rPr>
        <w:t xml:space="preserve">In </w:t>
      </w:r>
      <w:r w:rsidR="00204FE2" w:rsidRPr="00BC6B80">
        <w:rPr>
          <w:rFonts w:ascii="Cambria" w:hAnsi="Cambria"/>
          <w:color w:val="000000"/>
        </w:rPr>
        <w:t>the Supreme Court decision o</w:t>
      </w:r>
      <w:r w:rsidR="00761204" w:rsidRPr="00BC6B80">
        <w:rPr>
          <w:rFonts w:ascii="Cambria" w:hAnsi="Cambria"/>
          <w:color w:val="000000"/>
        </w:rPr>
        <w:t>f</w:t>
      </w:r>
      <w:r w:rsidR="00204FE2" w:rsidRPr="00BC6B80">
        <w:rPr>
          <w:rFonts w:ascii="Cambria" w:hAnsi="Cambria"/>
          <w:color w:val="000000"/>
        </w:rPr>
        <w:t xml:space="preserve"> </w:t>
      </w:r>
      <w:r w:rsidR="002162CE" w:rsidRPr="00BC6B80">
        <w:rPr>
          <w:rFonts w:ascii="Cambria" w:hAnsi="Cambria"/>
          <w:i/>
          <w:iCs/>
          <w:color w:val="000000"/>
        </w:rPr>
        <w:t>J v Guardianship and Administration Board and Tasmanian Health Service</w:t>
      </w:r>
      <w:r w:rsidR="00204FE2" w:rsidRPr="00BC6B80">
        <w:rPr>
          <w:rFonts w:ascii="Cambria" w:hAnsi="Cambria"/>
          <w:i/>
          <w:iCs/>
          <w:color w:val="000000"/>
        </w:rPr>
        <w:t xml:space="preserve"> </w:t>
      </w:r>
      <w:r w:rsidR="00204FE2" w:rsidRPr="00BC6B80">
        <w:rPr>
          <w:rFonts w:ascii="Cambria" w:hAnsi="Cambria"/>
          <w:color w:val="000000"/>
        </w:rPr>
        <w:t>it was observed</w:t>
      </w:r>
      <w:r w:rsidR="001C3302" w:rsidRPr="00BC6B80">
        <w:rPr>
          <w:rFonts w:ascii="Cambria" w:hAnsi="Cambria"/>
          <w:color w:val="000000"/>
        </w:rPr>
        <w:t xml:space="preserve"> by Wood J</w:t>
      </w:r>
      <w:r w:rsidR="002162CE" w:rsidRPr="00BC6B80">
        <w:rPr>
          <w:rFonts w:ascii="Cambria" w:hAnsi="Cambria"/>
          <w:color w:val="000000"/>
        </w:rPr>
        <w:t>:</w:t>
      </w:r>
      <w:r w:rsidR="002162CE" w:rsidRPr="00BC6B80">
        <w:rPr>
          <w:rStyle w:val="FootnoteReference"/>
          <w:rFonts w:ascii="Cambria" w:hAnsi="Cambria"/>
          <w:color w:val="000000"/>
        </w:rPr>
        <w:footnoteReference w:id="11"/>
      </w:r>
      <w:r w:rsidR="002162CE" w:rsidRPr="00BC6B80">
        <w:rPr>
          <w:rFonts w:ascii="Cambria" w:hAnsi="Cambria"/>
          <w:color w:val="000000"/>
        </w:rPr>
        <w:t xml:space="preserve"> </w:t>
      </w:r>
    </w:p>
    <w:p w14:paraId="5B97644E" w14:textId="77777777" w:rsidR="001C3302" w:rsidRPr="00BC6B80" w:rsidRDefault="001C3302" w:rsidP="001C3302">
      <w:pPr>
        <w:jc w:val="both"/>
        <w:rPr>
          <w:rFonts w:ascii="Cambria" w:hAnsi="Cambria"/>
          <w:color w:val="000000"/>
        </w:rPr>
      </w:pPr>
    </w:p>
    <w:p w14:paraId="7C83582A" w14:textId="20DF26AB" w:rsidR="001C3302" w:rsidRPr="00BC6B80" w:rsidRDefault="001C3302" w:rsidP="001C3302">
      <w:pPr>
        <w:ind w:left="720"/>
        <w:jc w:val="both"/>
        <w:rPr>
          <w:rFonts w:ascii="Cambria" w:hAnsi="Cambria"/>
          <w:i/>
          <w:iCs/>
          <w:color w:val="000000" w:themeColor="text1"/>
        </w:rPr>
      </w:pPr>
      <w:r w:rsidRPr="00BC6B80">
        <w:rPr>
          <w:rFonts w:ascii="Cambria" w:hAnsi="Cambria"/>
          <w:i/>
          <w:iCs/>
          <w:color w:val="000000" w:themeColor="text1"/>
          <w:shd w:val="clear" w:color="auto" w:fill="FFFFFF"/>
        </w:rPr>
        <w:t>Giving full effect to the principles in s6, I reject the submission that poor decisions cannot be taken into account, or must necessarily be given limited weight in determining whether someone has a disability and the extent of their decision-making capacity. Each case will turn on its own facts. Restriction of an individual's cognitive ability may, depending on the case, be revealed by the types of decisions that they have made. However, it is important to bear in mind that ultimately the issue is ability and capacity to make reasonable judgements, rather than the judgements themselves.</w:t>
      </w:r>
    </w:p>
    <w:p w14:paraId="1C544336" w14:textId="77777777" w:rsidR="00F1697A" w:rsidRPr="00BC6B80" w:rsidRDefault="00F1697A" w:rsidP="001C3302">
      <w:pPr>
        <w:jc w:val="both"/>
        <w:rPr>
          <w:rFonts w:ascii="Cambria" w:hAnsi="Cambria"/>
          <w:color w:val="000000"/>
        </w:rPr>
      </w:pPr>
    </w:p>
    <w:p w14:paraId="14D778D9" w14:textId="3E02CA96" w:rsidR="003A7632" w:rsidRPr="00BC6B80" w:rsidRDefault="001C3302" w:rsidP="006A2046">
      <w:pPr>
        <w:jc w:val="both"/>
        <w:rPr>
          <w:rFonts w:ascii="Cambria" w:hAnsi="Cambria"/>
          <w:color w:val="000000"/>
        </w:rPr>
      </w:pPr>
      <w:r w:rsidRPr="00BC6B80">
        <w:rPr>
          <w:rFonts w:ascii="Cambria" w:hAnsi="Cambria"/>
          <w:color w:val="000000"/>
        </w:rPr>
        <w:t>The</w:t>
      </w:r>
      <w:r w:rsidR="00E85524" w:rsidRPr="00BC6B80">
        <w:rPr>
          <w:rFonts w:ascii="Cambria" w:hAnsi="Cambria"/>
          <w:color w:val="000000"/>
        </w:rPr>
        <w:t xml:space="preserve"> </w:t>
      </w:r>
      <w:r w:rsidR="007E2340" w:rsidRPr="00BC6B80">
        <w:rPr>
          <w:rFonts w:ascii="Cambria" w:hAnsi="Cambria"/>
          <w:color w:val="000000"/>
        </w:rPr>
        <w:t xml:space="preserve">impact of the </w:t>
      </w:r>
      <w:r w:rsidR="00E85524" w:rsidRPr="00BC6B80">
        <w:rPr>
          <w:rFonts w:ascii="Cambria" w:hAnsi="Cambria"/>
          <w:color w:val="000000"/>
        </w:rPr>
        <w:t>discretion</w:t>
      </w:r>
      <w:r w:rsidR="004001B3" w:rsidRPr="00BC6B80">
        <w:rPr>
          <w:rFonts w:ascii="Cambria" w:hAnsi="Cambria"/>
          <w:color w:val="000000"/>
        </w:rPr>
        <w:t xml:space="preserve"> </w:t>
      </w:r>
      <w:r w:rsidR="00E85524" w:rsidRPr="00BC6B80">
        <w:rPr>
          <w:rFonts w:ascii="Cambria" w:hAnsi="Cambria"/>
          <w:color w:val="000000"/>
        </w:rPr>
        <w:t xml:space="preserve">provided </w:t>
      </w:r>
      <w:r w:rsidR="005149EA" w:rsidRPr="00BC6B80">
        <w:rPr>
          <w:rFonts w:ascii="Cambria" w:hAnsi="Cambria"/>
          <w:color w:val="000000"/>
        </w:rPr>
        <w:t xml:space="preserve">to Guardians and Administrators </w:t>
      </w:r>
      <w:r w:rsidR="004603C1" w:rsidRPr="00BC6B80">
        <w:rPr>
          <w:rFonts w:ascii="Cambria" w:hAnsi="Cambria"/>
          <w:color w:val="000000"/>
        </w:rPr>
        <w:t xml:space="preserve">in section 6 of the Act </w:t>
      </w:r>
      <w:r w:rsidR="00E85524" w:rsidRPr="00BC6B80">
        <w:rPr>
          <w:rFonts w:ascii="Cambria" w:hAnsi="Cambria"/>
          <w:color w:val="000000"/>
        </w:rPr>
        <w:t xml:space="preserve">to override a person’s wishes </w:t>
      </w:r>
      <w:r w:rsidR="004E462E" w:rsidRPr="00BC6B80">
        <w:rPr>
          <w:rFonts w:ascii="Cambria" w:hAnsi="Cambria"/>
          <w:color w:val="000000"/>
        </w:rPr>
        <w:t>on the basis that the decision is not in their best interests,</w:t>
      </w:r>
      <w:r w:rsidR="007E2340" w:rsidRPr="00BC6B80">
        <w:rPr>
          <w:rFonts w:ascii="Cambria" w:hAnsi="Cambria"/>
          <w:color w:val="000000"/>
        </w:rPr>
        <w:t xml:space="preserve"> demonstrates </w:t>
      </w:r>
      <w:r w:rsidRPr="00BC6B80">
        <w:rPr>
          <w:rFonts w:ascii="Cambria" w:hAnsi="Cambria"/>
          <w:color w:val="000000"/>
        </w:rPr>
        <w:t>that reform is</w:t>
      </w:r>
      <w:r w:rsidR="0064528F" w:rsidRPr="00BC6B80">
        <w:rPr>
          <w:rFonts w:ascii="Cambria" w:hAnsi="Cambria"/>
          <w:color w:val="000000"/>
        </w:rPr>
        <w:t xml:space="preserve"> </w:t>
      </w:r>
      <w:r w:rsidRPr="00BC6B80">
        <w:rPr>
          <w:rFonts w:ascii="Cambria" w:hAnsi="Cambria"/>
          <w:color w:val="000000"/>
        </w:rPr>
        <w:t>necessary.</w:t>
      </w:r>
      <w:r w:rsidR="006A2046" w:rsidRPr="00BC6B80">
        <w:rPr>
          <w:rFonts w:ascii="Cambria" w:hAnsi="Cambria"/>
          <w:color w:val="000000"/>
        </w:rPr>
        <w:t xml:space="preserve"> </w:t>
      </w:r>
      <w:r w:rsidR="003A7632" w:rsidRPr="00BC6B80">
        <w:rPr>
          <w:rFonts w:ascii="Cambria" w:hAnsi="Cambria"/>
          <w:color w:val="000000"/>
        </w:rPr>
        <w:t>The introduction of a will and preference model of decision-making in the Bill is strongly supported</w:t>
      </w:r>
      <w:r w:rsidR="006A2046" w:rsidRPr="00BC6B80">
        <w:rPr>
          <w:rFonts w:ascii="Cambria" w:hAnsi="Cambria"/>
          <w:color w:val="000000"/>
        </w:rPr>
        <w:t xml:space="preserve"> because it “recognises the importance of offering support to people who require support to make decisions affecting their lives”,</w:t>
      </w:r>
      <w:r w:rsidR="006A2046" w:rsidRPr="00BC6B80">
        <w:rPr>
          <w:rStyle w:val="FootnoteReference"/>
          <w:rFonts w:ascii="Cambria" w:hAnsi="Cambria"/>
          <w:color w:val="000000"/>
        </w:rPr>
        <w:footnoteReference w:id="12"/>
      </w:r>
      <w:r w:rsidR="006A2046" w:rsidRPr="00BC6B80">
        <w:rPr>
          <w:rFonts w:ascii="Cambria" w:hAnsi="Cambria"/>
          <w:color w:val="000000"/>
        </w:rPr>
        <w:t xml:space="preserve"> and also aligns with article 12 of the </w:t>
      </w:r>
      <w:r w:rsidR="006A2046" w:rsidRPr="00BC6B80">
        <w:rPr>
          <w:rFonts w:ascii="Cambria" w:hAnsi="Cambria"/>
          <w:i/>
          <w:iCs/>
          <w:color w:val="000000"/>
        </w:rPr>
        <w:t>Convention on the Rights of Persons with Disabilities</w:t>
      </w:r>
      <w:r w:rsidR="006A2046" w:rsidRPr="00BC6B80">
        <w:rPr>
          <w:rFonts w:ascii="Cambria" w:hAnsi="Cambria"/>
          <w:color w:val="000000"/>
        </w:rPr>
        <w:t xml:space="preserve"> and recent legislative reforms in Victoria and Queensland.</w:t>
      </w:r>
      <w:r w:rsidR="006A2046" w:rsidRPr="00BC6B80">
        <w:rPr>
          <w:rStyle w:val="FootnoteReference"/>
          <w:rFonts w:ascii="Cambria" w:hAnsi="Cambria"/>
          <w:color w:val="000000"/>
        </w:rPr>
        <w:footnoteReference w:id="13"/>
      </w:r>
      <w:r w:rsidR="006A2046" w:rsidRPr="00BC6B80">
        <w:rPr>
          <w:rFonts w:ascii="Cambria" w:hAnsi="Cambria"/>
          <w:color w:val="000000"/>
        </w:rPr>
        <w:t xml:space="preserve"> </w:t>
      </w:r>
    </w:p>
    <w:p w14:paraId="6EE42065" w14:textId="77777777" w:rsidR="00BC6B80" w:rsidRPr="00BC6B80" w:rsidRDefault="00BC6B80" w:rsidP="00E32944">
      <w:pPr>
        <w:jc w:val="both"/>
        <w:rPr>
          <w:rFonts w:ascii="Cambria" w:hAnsi="Cambria"/>
          <w:color w:val="000000"/>
        </w:rPr>
      </w:pPr>
    </w:p>
    <w:p w14:paraId="2A5E95B3" w14:textId="40C78F19" w:rsidR="00705D48" w:rsidRPr="00BC6B80" w:rsidRDefault="00631338" w:rsidP="00705D48">
      <w:pPr>
        <w:pStyle w:val="ListParagraph"/>
        <w:numPr>
          <w:ilvl w:val="0"/>
          <w:numId w:val="4"/>
        </w:numPr>
        <w:jc w:val="both"/>
        <w:rPr>
          <w:rFonts w:ascii="Cambria" w:hAnsi="Cambria"/>
          <w:b/>
          <w:bCs/>
          <w:i/>
          <w:iCs/>
          <w:color w:val="000000"/>
          <w:bdr w:val="none" w:sz="0" w:space="0" w:color="auto" w:frame="1"/>
        </w:rPr>
      </w:pPr>
      <w:r w:rsidRPr="00BC6B80">
        <w:rPr>
          <w:rFonts w:ascii="Cambria" w:hAnsi="Cambria"/>
          <w:b/>
          <w:bCs/>
          <w:i/>
          <w:iCs/>
          <w:color w:val="000000"/>
          <w:bdr w:val="none" w:sz="0" w:space="0" w:color="auto" w:frame="1"/>
        </w:rPr>
        <w:t>Explicit r</w:t>
      </w:r>
      <w:r w:rsidR="00705D48" w:rsidRPr="00BC6B80">
        <w:rPr>
          <w:rFonts w:ascii="Cambria" w:hAnsi="Cambria"/>
          <w:b/>
          <w:bCs/>
          <w:i/>
          <w:iCs/>
          <w:color w:val="000000"/>
          <w:bdr w:val="none" w:sz="0" w:space="0" w:color="auto" w:frame="1"/>
        </w:rPr>
        <w:t>ecognition of decision-making</w:t>
      </w:r>
      <w:r w:rsidRPr="00BC6B80">
        <w:rPr>
          <w:rFonts w:ascii="Cambria" w:hAnsi="Cambria"/>
          <w:b/>
          <w:bCs/>
          <w:i/>
          <w:iCs/>
          <w:color w:val="000000"/>
          <w:bdr w:val="none" w:sz="0" w:space="0" w:color="auto" w:frame="1"/>
        </w:rPr>
        <w:t xml:space="preserve"> ability</w:t>
      </w:r>
    </w:p>
    <w:p w14:paraId="24FD324C" w14:textId="11B445BF" w:rsidR="00A04EC5" w:rsidRPr="00BC6B80" w:rsidRDefault="00FC514B" w:rsidP="00DB0D5C">
      <w:pPr>
        <w:jc w:val="both"/>
        <w:rPr>
          <w:rFonts w:ascii="Cambria" w:hAnsi="Cambria"/>
          <w:color w:val="000000" w:themeColor="text1"/>
          <w:bdr w:val="none" w:sz="0" w:space="0" w:color="auto" w:frame="1"/>
        </w:rPr>
      </w:pPr>
      <w:r w:rsidRPr="00BC6B80">
        <w:rPr>
          <w:rFonts w:ascii="Cambria" w:hAnsi="Cambria"/>
          <w:color w:val="000000" w:themeColor="text1"/>
          <w:bdr w:val="none" w:sz="0" w:space="0" w:color="auto" w:frame="1"/>
        </w:rPr>
        <w:t xml:space="preserve">We support </w:t>
      </w:r>
      <w:proofErr w:type="spellStart"/>
      <w:r w:rsidRPr="00BC6B80">
        <w:rPr>
          <w:rFonts w:ascii="Cambria" w:hAnsi="Cambria"/>
          <w:color w:val="000000" w:themeColor="text1"/>
          <w:bdr w:val="none" w:sz="0" w:space="0" w:color="auto" w:frame="1"/>
        </w:rPr>
        <w:t>TasCOSS’s</w:t>
      </w:r>
      <w:proofErr w:type="spellEnd"/>
      <w:r w:rsidRPr="00BC6B80">
        <w:rPr>
          <w:rFonts w:ascii="Cambria" w:hAnsi="Cambria"/>
          <w:color w:val="000000" w:themeColor="text1"/>
          <w:bdr w:val="none" w:sz="0" w:space="0" w:color="auto" w:frame="1"/>
        </w:rPr>
        <w:t xml:space="preserve"> recommendation that </w:t>
      </w:r>
      <w:r w:rsidR="000E0321" w:rsidRPr="00BC6B80">
        <w:rPr>
          <w:rFonts w:ascii="Cambria" w:hAnsi="Cambria"/>
          <w:color w:val="000000" w:themeColor="text1"/>
          <w:bdr w:val="none" w:sz="0" w:space="0" w:color="auto" w:frame="1"/>
        </w:rPr>
        <w:t xml:space="preserve">the </w:t>
      </w:r>
      <w:r w:rsidR="004603C1" w:rsidRPr="00BC6B80">
        <w:rPr>
          <w:rFonts w:ascii="Cambria" w:hAnsi="Cambria"/>
          <w:color w:val="000000" w:themeColor="text1"/>
          <w:bdr w:val="none" w:sz="0" w:space="0" w:color="auto" w:frame="1"/>
        </w:rPr>
        <w:t>clause 8</w:t>
      </w:r>
      <w:r w:rsidR="000E0321" w:rsidRPr="00BC6B80">
        <w:rPr>
          <w:rFonts w:ascii="Cambria" w:hAnsi="Cambria"/>
          <w:color w:val="000000" w:themeColor="text1"/>
          <w:bdr w:val="none" w:sz="0" w:space="0" w:color="auto" w:frame="1"/>
        </w:rPr>
        <w:t xml:space="preserve"> principles commence with </w:t>
      </w:r>
      <w:r w:rsidR="00F14EC2" w:rsidRPr="00BC6B80">
        <w:rPr>
          <w:rFonts w:ascii="Cambria" w:hAnsi="Cambria"/>
          <w:color w:val="000000" w:themeColor="text1"/>
          <w:bdr w:val="none" w:sz="0" w:space="0" w:color="auto" w:frame="1"/>
        </w:rPr>
        <w:t>the</w:t>
      </w:r>
      <w:r w:rsidR="000E0321" w:rsidRPr="00BC6B80">
        <w:rPr>
          <w:rFonts w:ascii="Cambria" w:hAnsi="Cambria"/>
          <w:color w:val="000000" w:themeColor="text1"/>
          <w:bdr w:val="none" w:sz="0" w:space="0" w:color="auto" w:frame="1"/>
        </w:rPr>
        <w:t xml:space="preserve"> overarching recognition of a person’s </w:t>
      </w:r>
      <w:r w:rsidRPr="00BC6B80">
        <w:rPr>
          <w:rFonts w:ascii="Cambria" w:hAnsi="Cambria"/>
          <w:color w:val="000000" w:themeColor="text1"/>
          <w:bdr w:val="none" w:sz="0" w:space="0" w:color="auto" w:frame="1"/>
        </w:rPr>
        <w:t>right</w:t>
      </w:r>
      <w:r w:rsidR="000E0321" w:rsidRPr="00BC6B80">
        <w:rPr>
          <w:rFonts w:ascii="Cambria" w:hAnsi="Cambria"/>
          <w:color w:val="000000" w:themeColor="text1"/>
          <w:bdr w:val="none" w:sz="0" w:space="0" w:color="auto" w:frame="1"/>
        </w:rPr>
        <w:t xml:space="preserve"> </w:t>
      </w:r>
      <w:r w:rsidRPr="00BC6B80">
        <w:rPr>
          <w:rFonts w:ascii="Cambria" w:hAnsi="Cambria"/>
          <w:color w:val="000000" w:themeColor="text1"/>
          <w:bdr w:val="none" w:sz="0" w:space="0" w:color="auto" w:frame="1"/>
        </w:rPr>
        <w:t>to make decisions that affect their lives</w:t>
      </w:r>
      <w:r w:rsidR="000E0321" w:rsidRPr="00BC6B80">
        <w:rPr>
          <w:rFonts w:ascii="Cambria" w:hAnsi="Cambria"/>
          <w:color w:val="000000" w:themeColor="text1"/>
          <w:bdr w:val="none" w:sz="0" w:space="0" w:color="auto" w:frame="1"/>
        </w:rPr>
        <w:t xml:space="preserve"> and to have those decisions respected</w:t>
      </w:r>
      <w:r w:rsidR="00F2098F" w:rsidRPr="00BC6B80">
        <w:rPr>
          <w:rFonts w:ascii="Cambria" w:hAnsi="Cambria"/>
          <w:color w:val="000000" w:themeColor="text1"/>
          <w:bdr w:val="none" w:sz="0" w:space="0" w:color="auto" w:frame="1"/>
        </w:rPr>
        <w:t xml:space="preserve">. </w:t>
      </w:r>
      <w:r w:rsidR="006C610B" w:rsidRPr="00BC6B80">
        <w:rPr>
          <w:rFonts w:ascii="Cambria" w:hAnsi="Cambria"/>
          <w:color w:val="000000" w:themeColor="text1"/>
          <w:bdr w:val="none" w:sz="0" w:space="0" w:color="auto" w:frame="1"/>
        </w:rPr>
        <w:t xml:space="preserve">As </w:t>
      </w:r>
      <w:proofErr w:type="spellStart"/>
      <w:r w:rsidR="006C610B" w:rsidRPr="00BC6B80">
        <w:rPr>
          <w:rFonts w:ascii="Cambria" w:hAnsi="Cambria"/>
          <w:color w:val="000000" w:themeColor="text1"/>
          <w:bdr w:val="none" w:sz="0" w:space="0" w:color="auto" w:frame="1"/>
        </w:rPr>
        <w:t>TasCOSS</w:t>
      </w:r>
      <w:proofErr w:type="spellEnd"/>
      <w:r w:rsidR="006C610B" w:rsidRPr="00BC6B80">
        <w:rPr>
          <w:rFonts w:ascii="Cambria" w:hAnsi="Cambria"/>
          <w:color w:val="000000" w:themeColor="text1"/>
          <w:bdr w:val="none" w:sz="0" w:space="0" w:color="auto" w:frame="1"/>
        </w:rPr>
        <w:t xml:space="preserve"> have noted, this</w:t>
      </w:r>
      <w:r w:rsidR="00F2098F" w:rsidRPr="00BC6B80">
        <w:rPr>
          <w:rFonts w:ascii="Cambria" w:hAnsi="Cambria"/>
          <w:color w:val="000000" w:themeColor="text1"/>
          <w:bdr w:val="none" w:sz="0" w:space="0" w:color="auto" w:frame="1"/>
        </w:rPr>
        <w:t xml:space="preserve"> would align</w:t>
      </w:r>
      <w:r w:rsidR="006C610B" w:rsidRPr="00BC6B80">
        <w:rPr>
          <w:rFonts w:ascii="Cambria" w:hAnsi="Cambria"/>
          <w:color w:val="000000" w:themeColor="text1"/>
          <w:bdr w:val="none" w:sz="0" w:space="0" w:color="auto" w:frame="1"/>
        </w:rPr>
        <w:t xml:space="preserve"> </w:t>
      </w:r>
      <w:r w:rsidR="00F2098F" w:rsidRPr="00BC6B80">
        <w:rPr>
          <w:rFonts w:ascii="Cambria" w:hAnsi="Cambria"/>
          <w:color w:val="000000" w:themeColor="text1"/>
          <w:bdr w:val="none" w:sz="0" w:space="0" w:color="auto" w:frame="1"/>
        </w:rPr>
        <w:t xml:space="preserve">with the </w:t>
      </w:r>
      <w:r w:rsidR="00F2098F" w:rsidRPr="00BC6B80">
        <w:rPr>
          <w:rFonts w:ascii="Cambria" w:hAnsi="Cambria"/>
          <w:color w:val="000000" w:themeColor="text1"/>
          <w:bdr w:val="none" w:sz="0" w:space="0" w:color="auto" w:frame="1"/>
        </w:rPr>
        <w:lastRenderedPageBreak/>
        <w:t xml:space="preserve">Australian Law Reform Commission’s recommendation that </w:t>
      </w:r>
      <w:r w:rsidR="0038199D" w:rsidRPr="00BC6B80">
        <w:rPr>
          <w:rFonts w:ascii="Cambria" w:hAnsi="Cambria"/>
          <w:color w:val="000000" w:themeColor="text1"/>
          <w:bdr w:val="none" w:sz="0" w:space="0" w:color="auto" w:frame="1"/>
        </w:rPr>
        <w:t xml:space="preserve">all </w:t>
      </w:r>
      <w:r w:rsidR="0064528F" w:rsidRPr="00BC6B80">
        <w:rPr>
          <w:rFonts w:ascii="Cambria" w:hAnsi="Cambria"/>
          <w:color w:val="000000" w:themeColor="text1"/>
          <w:bdr w:val="none" w:sz="0" w:space="0" w:color="auto" w:frame="1"/>
        </w:rPr>
        <w:t>Australian jurisdictions enact laws</w:t>
      </w:r>
      <w:r w:rsidR="0038199D" w:rsidRPr="00BC6B80">
        <w:rPr>
          <w:rFonts w:ascii="Cambria" w:hAnsi="Cambria"/>
          <w:color w:val="000000" w:themeColor="text1"/>
          <w:bdr w:val="none" w:sz="0" w:space="0" w:color="auto" w:frame="1"/>
        </w:rPr>
        <w:t xml:space="preserve"> consistent with the </w:t>
      </w:r>
      <w:r w:rsidR="00F2098F" w:rsidRPr="00BC6B80">
        <w:rPr>
          <w:rFonts w:ascii="Cambria" w:hAnsi="Cambria"/>
          <w:color w:val="000000" w:themeColor="text1"/>
          <w:bdr w:val="none" w:sz="0" w:space="0" w:color="auto" w:frame="1"/>
        </w:rPr>
        <w:t xml:space="preserve">National Decision-Making </w:t>
      </w:r>
      <w:r w:rsidR="0064528F" w:rsidRPr="00BC6B80">
        <w:rPr>
          <w:rFonts w:ascii="Cambria" w:hAnsi="Cambria"/>
          <w:color w:val="000000" w:themeColor="text1"/>
          <w:bdr w:val="none" w:sz="0" w:space="0" w:color="auto" w:frame="1"/>
        </w:rPr>
        <w:t>P</w:t>
      </w:r>
      <w:r w:rsidR="00F2098F" w:rsidRPr="00BC6B80">
        <w:rPr>
          <w:rFonts w:ascii="Cambria" w:hAnsi="Cambria"/>
          <w:color w:val="000000" w:themeColor="text1"/>
          <w:bdr w:val="none" w:sz="0" w:space="0" w:color="auto" w:frame="1"/>
        </w:rPr>
        <w:t>rinciples.</w:t>
      </w:r>
      <w:r w:rsidR="00F2098F" w:rsidRPr="00BC6B80">
        <w:rPr>
          <w:rStyle w:val="FootnoteReference"/>
          <w:rFonts w:ascii="Cambria" w:hAnsi="Cambria"/>
          <w:color w:val="000000" w:themeColor="text1"/>
          <w:bdr w:val="none" w:sz="0" w:space="0" w:color="auto" w:frame="1"/>
        </w:rPr>
        <w:footnoteReference w:id="14"/>
      </w:r>
      <w:r w:rsidR="00F2098F" w:rsidRPr="00BC6B80">
        <w:rPr>
          <w:rFonts w:ascii="Cambria" w:hAnsi="Cambria"/>
          <w:color w:val="000000" w:themeColor="text1"/>
          <w:bdr w:val="none" w:sz="0" w:space="0" w:color="auto" w:frame="1"/>
        </w:rPr>
        <w:t xml:space="preserve"> </w:t>
      </w:r>
      <w:r w:rsidR="00C83BB7" w:rsidRPr="00BC6B80">
        <w:rPr>
          <w:rFonts w:ascii="Cambria" w:hAnsi="Cambria"/>
          <w:color w:val="000000" w:themeColor="text1"/>
          <w:bdr w:val="none" w:sz="0" w:space="0" w:color="auto" w:frame="1"/>
        </w:rPr>
        <w:t>Queensland</w:t>
      </w:r>
      <w:r w:rsidR="00705D48" w:rsidRPr="00BC6B80">
        <w:rPr>
          <w:rFonts w:ascii="Cambria" w:hAnsi="Cambria"/>
          <w:color w:val="000000" w:themeColor="text1"/>
          <w:bdr w:val="none" w:sz="0" w:space="0" w:color="auto" w:frame="1"/>
        </w:rPr>
        <w:t xml:space="preserve">’s </w:t>
      </w:r>
      <w:r w:rsidR="00705D48" w:rsidRPr="00BC6B80">
        <w:rPr>
          <w:rFonts w:ascii="Cambria" w:hAnsi="Cambria"/>
          <w:i/>
          <w:iCs/>
          <w:color w:val="000000" w:themeColor="text1"/>
          <w:bdr w:val="none" w:sz="0" w:space="0" w:color="auto" w:frame="1"/>
        </w:rPr>
        <w:t>Guardianship and Administration Act 2000</w:t>
      </w:r>
      <w:r w:rsidR="00C83BB7" w:rsidRPr="00BC6B80">
        <w:rPr>
          <w:rFonts w:ascii="Cambria" w:hAnsi="Cambria"/>
          <w:color w:val="000000" w:themeColor="text1"/>
          <w:bdr w:val="none" w:sz="0" w:space="0" w:color="auto" w:frame="1"/>
        </w:rPr>
        <w:t xml:space="preserve"> for example</w:t>
      </w:r>
      <w:r w:rsidR="0064528F" w:rsidRPr="00BC6B80">
        <w:rPr>
          <w:rFonts w:ascii="Cambria" w:hAnsi="Cambria"/>
          <w:color w:val="000000" w:themeColor="text1"/>
          <w:bdr w:val="none" w:sz="0" w:space="0" w:color="auto" w:frame="1"/>
        </w:rPr>
        <w:t xml:space="preserve"> </w:t>
      </w:r>
      <w:r w:rsidR="00A04EC5" w:rsidRPr="00BC6B80">
        <w:rPr>
          <w:rFonts w:ascii="Cambria" w:hAnsi="Cambria"/>
          <w:color w:val="000000" w:themeColor="text1"/>
          <w:bdr w:val="none" w:sz="0" w:space="0" w:color="auto" w:frame="1"/>
        </w:rPr>
        <w:t xml:space="preserve">explicitly </w:t>
      </w:r>
      <w:r w:rsidR="007454B2" w:rsidRPr="00BC6B80">
        <w:rPr>
          <w:rFonts w:ascii="Cambria" w:hAnsi="Cambria"/>
          <w:color w:val="000000" w:themeColor="text1"/>
          <w:bdr w:val="none" w:sz="0" w:space="0" w:color="auto" w:frame="1"/>
        </w:rPr>
        <w:t>recognises</w:t>
      </w:r>
      <w:r w:rsidR="001419E7" w:rsidRPr="00BC6B80">
        <w:rPr>
          <w:rFonts w:ascii="Cambria" w:hAnsi="Cambria"/>
          <w:color w:val="000000" w:themeColor="text1"/>
          <w:bdr w:val="none" w:sz="0" w:space="0" w:color="auto" w:frame="1"/>
        </w:rPr>
        <w:t xml:space="preserve"> “an adult’s right to make decisions is fundamental to the adult’s inherent dignity”.</w:t>
      </w:r>
      <w:r w:rsidR="001419E7" w:rsidRPr="00BC6B80">
        <w:rPr>
          <w:rStyle w:val="FootnoteReference"/>
          <w:rFonts w:ascii="Cambria" w:hAnsi="Cambria"/>
          <w:color w:val="000000" w:themeColor="text1"/>
          <w:bdr w:val="none" w:sz="0" w:space="0" w:color="auto" w:frame="1"/>
        </w:rPr>
        <w:footnoteReference w:id="15"/>
      </w:r>
      <w:r w:rsidR="001419E7" w:rsidRPr="00BC6B80">
        <w:rPr>
          <w:rFonts w:ascii="Cambria" w:hAnsi="Cambria"/>
          <w:color w:val="000000" w:themeColor="text1"/>
          <w:bdr w:val="none" w:sz="0" w:space="0" w:color="auto" w:frame="1"/>
        </w:rPr>
        <w:t xml:space="preserve"> </w:t>
      </w:r>
    </w:p>
    <w:p w14:paraId="123760B1" w14:textId="77777777" w:rsidR="00EB4EA9" w:rsidRPr="00BC6B80" w:rsidRDefault="00EB4EA9" w:rsidP="00EB4EA9">
      <w:pPr>
        <w:jc w:val="both"/>
        <w:rPr>
          <w:rFonts w:ascii="Cambria" w:hAnsi="Cambria"/>
        </w:rPr>
      </w:pPr>
    </w:p>
    <w:p w14:paraId="71850F22" w14:textId="77777777" w:rsidR="00EB4EA9" w:rsidRPr="00BC6B80" w:rsidRDefault="00EB4EA9" w:rsidP="00EB4EA9">
      <w:pPr>
        <w:pStyle w:val="ListParagraph"/>
        <w:numPr>
          <w:ilvl w:val="0"/>
          <w:numId w:val="4"/>
        </w:numPr>
        <w:jc w:val="both"/>
        <w:rPr>
          <w:rFonts w:ascii="Cambria" w:hAnsi="Cambria"/>
          <w:b/>
          <w:bCs/>
          <w:i/>
          <w:iCs/>
          <w:color w:val="000000" w:themeColor="text1"/>
          <w:shd w:val="clear" w:color="auto" w:fill="FFFFFF"/>
        </w:rPr>
      </w:pPr>
      <w:r w:rsidRPr="00BC6B80">
        <w:rPr>
          <w:rFonts w:ascii="Cambria" w:hAnsi="Cambria"/>
          <w:b/>
          <w:bCs/>
          <w:i/>
          <w:iCs/>
          <w:color w:val="000000" w:themeColor="text1"/>
          <w:shd w:val="clear" w:color="auto" w:fill="FFFFFF"/>
        </w:rPr>
        <w:t>Least restrictive of a person’s freedom of decision and action</w:t>
      </w:r>
    </w:p>
    <w:p w14:paraId="18A28B55" w14:textId="068FB8F0" w:rsidR="00EB4EA9" w:rsidRPr="00BC6B80" w:rsidRDefault="00EB4EA9" w:rsidP="00EB4EA9">
      <w:pPr>
        <w:jc w:val="both"/>
        <w:rPr>
          <w:rFonts w:ascii="Cambria" w:hAnsi="Cambria"/>
        </w:rPr>
      </w:pPr>
      <w:r w:rsidRPr="00BC6B80">
        <w:rPr>
          <w:rFonts w:ascii="Cambria" w:hAnsi="Cambria"/>
          <w:color w:val="000000" w:themeColor="text1"/>
          <w:shd w:val="clear" w:color="auto" w:fill="FFFFFF"/>
        </w:rPr>
        <w:t>Whilst clause 8 of the Bill requires that the Act be applied in a manner “least restrictive of a person’s freedom of decision and action” the process for determining decision-making ability or whether an order is required could be clarified. The need for clarification is particularly important given that the principle is already legislatively mandated but has been repeatedly ignored in the past.</w:t>
      </w:r>
      <w:r w:rsidRPr="00BC6B80">
        <w:rPr>
          <w:rStyle w:val="FootnoteReference"/>
          <w:rFonts w:ascii="Cambria" w:hAnsi="Cambria"/>
          <w:color w:val="000000" w:themeColor="text1"/>
          <w:shd w:val="clear" w:color="auto" w:fill="FFFFFF"/>
        </w:rPr>
        <w:footnoteReference w:id="16"/>
      </w:r>
      <w:r w:rsidRPr="00BC6B80">
        <w:rPr>
          <w:rFonts w:ascii="Cambria" w:hAnsi="Cambria"/>
          <w:color w:val="000000" w:themeColor="text1"/>
          <w:shd w:val="clear" w:color="auto" w:fill="FFFFFF"/>
        </w:rPr>
        <w:t xml:space="preserve"> </w:t>
      </w:r>
    </w:p>
    <w:p w14:paraId="2EC7F8A6" w14:textId="77777777" w:rsidR="00EB4EA9" w:rsidRPr="00BC6B80" w:rsidRDefault="00EB4EA9" w:rsidP="00EB4EA9">
      <w:pPr>
        <w:jc w:val="both"/>
        <w:rPr>
          <w:rFonts w:ascii="Cambria" w:hAnsi="Cambria"/>
          <w:color w:val="000000" w:themeColor="text1"/>
          <w:shd w:val="clear" w:color="auto" w:fill="FFFFFF"/>
        </w:rPr>
      </w:pPr>
    </w:p>
    <w:p w14:paraId="180BD986" w14:textId="50CBE2A8" w:rsidR="00EB4EA9" w:rsidRPr="00BC6B80" w:rsidRDefault="00EB4EA9" w:rsidP="00EB4EA9">
      <w:pPr>
        <w:jc w:val="both"/>
        <w:rPr>
          <w:rFonts w:ascii="Cambria" w:hAnsi="Cambria"/>
          <w:color w:val="000000" w:themeColor="text1"/>
          <w:shd w:val="clear" w:color="auto" w:fill="FFFFFF"/>
        </w:rPr>
      </w:pPr>
      <w:r w:rsidRPr="00BC6B80">
        <w:rPr>
          <w:rFonts w:ascii="Cambria" w:hAnsi="Cambria"/>
          <w:color w:val="000000" w:themeColor="text1"/>
          <w:shd w:val="clear" w:color="auto" w:fill="FFFFFF"/>
        </w:rPr>
        <w:t xml:space="preserve">We endorse Advocacy Tasmania’s recommendation that an “all reasonable steps have been exhausted” safeguard should be introduced; a recommendation also endorsed by </w:t>
      </w:r>
      <w:proofErr w:type="spellStart"/>
      <w:r w:rsidRPr="00BC6B80">
        <w:rPr>
          <w:rFonts w:ascii="Cambria" w:hAnsi="Cambria"/>
          <w:color w:val="000000" w:themeColor="text1"/>
          <w:shd w:val="clear" w:color="auto" w:fill="FFFFFF"/>
        </w:rPr>
        <w:t>TasCOSS</w:t>
      </w:r>
      <w:proofErr w:type="spellEnd"/>
      <w:r w:rsidRPr="00BC6B80">
        <w:rPr>
          <w:rFonts w:ascii="Cambria" w:hAnsi="Cambria"/>
          <w:color w:val="000000" w:themeColor="text1"/>
          <w:shd w:val="clear" w:color="auto" w:fill="FFFFFF"/>
        </w:rPr>
        <w:t>. We also note that the Office of the Public Guardian appeared to recommend a formalised process in its submission to the TLRI:</w:t>
      </w:r>
      <w:r w:rsidRPr="00BC6B80">
        <w:rPr>
          <w:rStyle w:val="FootnoteReference"/>
          <w:rFonts w:ascii="Cambria" w:hAnsi="Cambria"/>
          <w:color w:val="000000" w:themeColor="text1"/>
          <w:shd w:val="clear" w:color="auto" w:fill="FFFFFF"/>
        </w:rPr>
        <w:footnoteReference w:id="17"/>
      </w:r>
    </w:p>
    <w:p w14:paraId="19A4A6C0" w14:textId="77777777" w:rsidR="00EB4EA9" w:rsidRPr="00BC6B80" w:rsidRDefault="00EB4EA9" w:rsidP="00EB4EA9">
      <w:pPr>
        <w:jc w:val="both"/>
        <w:rPr>
          <w:rFonts w:ascii="Cambria" w:hAnsi="Cambria"/>
          <w:color w:val="000000" w:themeColor="text1"/>
          <w:bdr w:val="none" w:sz="0" w:space="0" w:color="auto" w:frame="1"/>
        </w:rPr>
      </w:pPr>
    </w:p>
    <w:p w14:paraId="5C9DC8A6" w14:textId="77777777" w:rsidR="00EB4EA9" w:rsidRPr="00BC6B80" w:rsidRDefault="00EB4EA9" w:rsidP="00EB4EA9">
      <w:pPr>
        <w:ind w:left="720"/>
        <w:jc w:val="both"/>
        <w:rPr>
          <w:rFonts w:ascii="Cambria" w:hAnsi="Cambria"/>
          <w:i/>
          <w:iCs/>
          <w:color w:val="000000" w:themeColor="text1"/>
          <w:sz w:val="22"/>
          <w:szCs w:val="22"/>
        </w:rPr>
      </w:pPr>
      <w:r w:rsidRPr="00BC6B80">
        <w:rPr>
          <w:rFonts w:ascii="Cambria" w:hAnsi="Cambria"/>
          <w:i/>
          <w:iCs/>
          <w:color w:val="000000" w:themeColor="text1"/>
          <w:sz w:val="22"/>
          <w:szCs w:val="22"/>
        </w:rPr>
        <w:t>Prior to making an application to the Board for appointment of a guardian or administrator, the applicant should be required to thoroughly explore whether all supported decision-making options have been attempted. There should be a requirement for the applicant to document the process and outcome of such investigations. As noted, the Board should only proceed to make an appointment of a substitute decision-maker if it is satisfied that all other reasonable options have been tried and failed. The OPG considers such requirements would be a significant move towards recognition of informal supports, and much stronger and more concrete than the current Act’s requirement that the principle of the least restrictive alternative is observed.</w:t>
      </w:r>
    </w:p>
    <w:p w14:paraId="5AFC239F" w14:textId="77777777" w:rsidR="00AF5F64" w:rsidRPr="00BC6B80" w:rsidRDefault="00AF5F64" w:rsidP="00EB4EA9">
      <w:pPr>
        <w:jc w:val="both"/>
        <w:rPr>
          <w:rFonts w:ascii="Cambria" w:hAnsi="Cambria"/>
          <w:color w:val="000000" w:themeColor="text1"/>
          <w:shd w:val="clear" w:color="auto" w:fill="FFFFFF"/>
        </w:rPr>
      </w:pPr>
    </w:p>
    <w:p w14:paraId="7F4BA755" w14:textId="2A6531A0" w:rsidR="00EB4EA9" w:rsidRPr="00BC6B80" w:rsidRDefault="00EB4EA9" w:rsidP="00EB4EA9">
      <w:pPr>
        <w:jc w:val="both"/>
        <w:rPr>
          <w:rFonts w:ascii="Cambria" w:hAnsi="Cambria"/>
          <w:color w:val="000000" w:themeColor="text1"/>
          <w:shd w:val="clear" w:color="auto" w:fill="FFFFFF"/>
        </w:rPr>
      </w:pPr>
      <w:r w:rsidRPr="00BC6B80">
        <w:rPr>
          <w:rFonts w:ascii="Cambria" w:hAnsi="Cambria"/>
          <w:color w:val="000000" w:themeColor="text1"/>
          <w:shd w:val="clear" w:color="auto" w:fill="FFFFFF"/>
        </w:rPr>
        <w:t xml:space="preserve">The Tasmanian Law Reform Institute recommended the incorporation of </w:t>
      </w:r>
      <w:r w:rsidR="00BC6B80">
        <w:rPr>
          <w:rFonts w:ascii="Cambria" w:hAnsi="Cambria"/>
          <w:color w:val="000000" w:themeColor="text1"/>
          <w:shd w:val="clear" w:color="auto" w:fill="FFFFFF"/>
        </w:rPr>
        <w:t xml:space="preserve">a </w:t>
      </w:r>
      <w:r w:rsidRPr="00BC6B80">
        <w:rPr>
          <w:rFonts w:ascii="Cambria" w:hAnsi="Cambria"/>
          <w:color w:val="000000" w:themeColor="text1"/>
          <w:shd w:val="clear" w:color="auto" w:fill="FFFFFF"/>
        </w:rPr>
        <w:t>‘Decision-Making Process’ into the Act, a separate section that would outline when and how representatives and the Board are to make decisions.</w:t>
      </w:r>
      <w:r w:rsidR="00BC6B80">
        <w:rPr>
          <w:rFonts w:ascii="Cambria" w:hAnsi="Cambria"/>
          <w:color w:val="000000" w:themeColor="text1"/>
          <w:shd w:val="clear" w:color="auto" w:fill="FFFFFF"/>
        </w:rPr>
        <w:t xml:space="preserve"> The TLRI emphasised that including a decision-making process </w:t>
      </w:r>
      <w:r w:rsidRPr="00BC6B80">
        <w:rPr>
          <w:rFonts w:ascii="Cambria" w:hAnsi="Cambria"/>
          <w:color w:val="000000" w:themeColor="text1"/>
          <w:shd w:val="clear" w:color="auto" w:fill="FFFFFF"/>
        </w:rPr>
        <w:t>would “provide ease of reference, ensures consistency and avoids unnecessary duplication”.</w:t>
      </w:r>
      <w:r w:rsidRPr="00BC6B80">
        <w:rPr>
          <w:rStyle w:val="FootnoteReference"/>
          <w:rFonts w:ascii="Cambria" w:hAnsi="Cambria"/>
          <w:color w:val="000000" w:themeColor="text1"/>
          <w:shd w:val="clear" w:color="auto" w:fill="FFFFFF"/>
        </w:rPr>
        <w:footnoteReference w:id="18"/>
      </w:r>
      <w:r w:rsidRPr="00BC6B80">
        <w:rPr>
          <w:rFonts w:ascii="Cambria" w:hAnsi="Cambria"/>
          <w:color w:val="000000" w:themeColor="text1"/>
          <w:shd w:val="clear" w:color="auto" w:fill="FFFFFF"/>
        </w:rPr>
        <w:t xml:space="preserve"> </w:t>
      </w:r>
      <w:r w:rsidR="00BC6B80">
        <w:rPr>
          <w:rFonts w:ascii="Cambria" w:hAnsi="Cambria"/>
          <w:color w:val="000000" w:themeColor="text1"/>
          <w:shd w:val="clear" w:color="auto" w:fill="FFFFFF"/>
        </w:rPr>
        <w:t xml:space="preserve">As a result, the TLRI recommended the </w:t>
      </w:r>
      <w:r w:rsidRPr="00BC6B80">
        <w:rPr>
          <w:rFonts w:ascii="Cambria" w:hAnsi="Cambria"/>
          <w:color w:val="000000" w:themeColor="text1"/>
          <w:shd w:val="clear" w:color="auto" w:fill="FFFFFF"/>
        </w:rPr>
        <w:t xml:space="preserve">following process be </w:t>
      </w:r>
      <w:r w:rsidR="00BC6B80">
        <w:rPr>
          <w:rFonts w:ascii="Cambria" w:hAnsi="Cambria"/>
          <w:color w:val="000000" w:themeColor="text1"/>
          <w:shd w:val="clear" w:color="auto" w:fill="FFFFFF"/>
        </w:rPr>
        <w:t>explicitly included in the Act</w:t>
      </w:r>
      <w:r w:rsidRPr="00BC6B80">
        <w:rPr>
          <w:rFonts w:ascii="Cambria" w:hAnsi="Cambria"/>
          <w:color w:val="000000" w:themeColor="text1"/>
          <w:shd w:val="clear" w:color="auto" w:fill="FFFFFF"/>
        </w:rPr>
        <w:t xml:space="preserve">:  </w:t>
      </w:r>
    </w:p>
    <w:p w14:paraId="145F6397" w14:textId="77777777" w:rsidR="00EB4EA9" w:rsidRPr="00BC6B80" w:rsidRDefault="00EB4EA9" w:rsidP="00EB4EA9">
      <w:pPr>
        <w:jc w:val="both"/>
        <w:rPr>
          <w:rFonts w:ascii="Cambria" w:eastAsia="Times" w:hAnsi="Cambria"/>
          <w:sz w:val="23"/>
          <w:szCs w:val="23"/>
          <w:lang w:eastAsia="en-US"/>
        </w:rPr>
      </w:pPr>
    </w:p>
    <w:p w14:paraId="2A7C4723" w14:textId="77777777" w:rsidR="00EB4EA9" w:rsidRPr="00BC6B80" w:rsidRDefault="00EB4EA9" w:rsidP="00EB4EA9">
      <w:pPr>
        <w:ind w:left="720"/>
        <w:jc w:val="both"/>
        <w:rPr>
          <w:rFonts w:ascii="Cambria" w:hAnsi="Cambria"/>
          <w:i/>
          <w:iCs/>
          <w:color w:val="000000" w:themeColor="text1"/>
          <w:sz w:val="22"/>
          <w:szCs w:val="22"/>
          <w:shd w:val="clear" w:color="auto" w:fill="FFFFFF"/>
        </w:rPr>
      </w:pPr>
      <w:r w:rsidRPr="00BC6B80">
        <w:rPr>
          <w:rFonts w:ascii="Cambria" w:hAnsi="Cambria"/>
          <w:i/>
          <w:iCs/>
          <w:sz w:val="22"/>
          <w:szCs w:val="22"/>
        </w:rPr>
        <w:t>That the Decision-Making Process require the Board and representatives (the decision-maker) to adopt the following process when making any decision on behalf of a person who does not have decision-making ability to make their own decision about the matter:</w:t>
      </w:r>
    </w:p>
    <w:p w14:paraId="7CC1D4CA" w14:textId="77777777" w:rsidR="00EB4EA9" w:rsidRPr="00BC6B80" w:rsidRDefault="00EB4EA9" w:rsidP="00EB4EA9">
      <w:pPr>
        <w:jc w:val="both"/>
        <w:rPr>
          <w:rFonts w:ascii="Cambria" w:hAnsi="Cambria"/>
          <w:sz w:val="22"/>
          <w:szCs w:val="22"/>
          <w:lang w:val="en-US"/>
        </w:rPr>
      </w:pPr>
    </w:p>
    <w:p w14:paraId="330D49BC" w14:textId="77777777" w:rsidR="00EB4EA9" w:rsidRPr="00BC6B80" w:rsidRDefault="00EB4EA9" w:rsidP="00EB4EA9">
      <w:pPr>
        <w:ind w:left="1440" w:hanging="720"/>
        <w:jc w:val="both"/>
        <w:rPr>
          <w:rFonts w:ascii="Cambria" w:hAnsi="Cambria"/>
          <w:i/>
          <w:iCs/>
          <w:sz w:val="22"/>
          <w:szCs w:val="22"/>
          <w:lang w:val="en-US"/>
        </w:rPr>
      </w:pPr>
      <w:r w:rsidRPr="00BC6B80">
        <w:rPr>
          <w:rFonts w:ascii="Cambria" w:hAnsi="Cambria"/>
          <w:i/>
          <w:iCs/>
          <w:sz w:val="22"/>
          <w:szCs w:val="22"/>
          <w:lang w:val="en-US"/>
        </w:rPr>
        <w:t>1.</w:t>
      </w:r>
      <w:r w:rsidRPr="00BC6B80">
        <w:rPr>
          <w:rFonts w:ascii="Cambria" w:hAnsi="Cambria"/>
          <w:i/>
          <w:iCs/>
          <w:sz w:val="22"/>
          <w:szCs w:val="22"/>
          <w:lang w:val="en-US"/>
        </w:rPr>
        <w:tab/>
        <w:t xml:space="preserve">First, the decision-maker must consider whether there is a need for a decision. There is no need for them to make a decision where the person has made a binding </w:t>
      </w:r>
      <w:r w:rsidRPr="00BC6B80">
        <w:rPr>
          <w:rFonts w:ascii="Cambria" w:hAnsi="Cambria"/>
          <w:i/>
          <w:iCs/>
          <w:sz w:val="22"/>
          <w:szCs w:val="22"/>
          <w:lang w:val="en-US"/>
        </w:rPr>
        <w:lastRenderedPageBreak/>
        <w:t>direction in advance that applies to the circumstances, including in a valid advance care directive.</w:t>
      </w:r>
    </w:p>
    <w:p w14:paraId="1FD290FC" w14:textId="77777777" w:rsidR="00EB4EA9" w:rsidRPr="00BC6B80" w:rsidRDefault="00EB4EA9" w:rsidP="00EB4EA9">
      <w:pPr>
        <w:ind w:left="1440" w:hanging="720"/>
        <w:jc w:val="both"/>
        <w:rPr>
          <w:rFonts w:ascii="Cambria" w:hAnsi="Cambria"/>
          <w:i/>
          <w:iCs/>
          <w:sz w:val="22"/>
          <w:szCs w:val="22"/>
          <w:lang w:val="en-US"/>
        </w:rPr>
      </w:pPr>
      <w:r w:rsidRPr="00BC6B80">
        <w:rPr>
          <w:rFonts w:ascii="Cambria" w:hAnsi="Cambria"/>
          <w:i/>
          <w:iCs/>
          <w:sz w:val="22"/>
          <w:szCs w:val="22"/>
          <w:lang w:val="en-US"/>
        </w:rPr>
        <w:t>2.</w:t>
      </w:r>
      <w:r w:rsidRPr="00BC6B80">
        <w:rPr>
          <w:rFonts w:ascii="Cambria" w:hAnsi="Cambria"/>
          <w:i/>
          <w:iCs/>
          <w:sz w:val="22"/>
          <w:szCs w:val="22"/>
          <w:lang w:val="en-US"/>
        </w:rPr>
        <w:tab/>
        <w:t>Second, the decision-maker must consider whether the person is likely to become able to make their own decision, and if so, when. If the decision-maker considers that a decision can be delayed until the person gains the ability to make the decision, without that delay causing harm, then the decision should be delayed.</w:t>
      </w:r>
    </w:p>
    <w:p w14:paraId="6C10C54C" w14:textId="77777777" w:rsidR="00EB4EA9" w:rsidRPr="00BC6B80" w:rsidRDefault="00EB4EA9" w:rsidP="00EB4EA9">
      <w:pPr>
        <w:ind w:left="1440" w:hanging="720"/>
        <w:jc w:val="both"/>
        <w:rPr>
          <w:rFonts w:ascii="Cambria" w:hAnsi="Cambria"/>
          <w:i/>
          <w:iCs/>
          <w:sz w:val="22"/>
          <w:szCs w:val="22"/>
          <w:lang w:val="en-US"/>
        </w:rPr>
      </w:pPr>
      <w:r w:rsidRPr="00BC6B80">
        <w:rPr>
          <w:rFonts w:ascii="Cambria" w:hAnsi="Cambria"/>
          <w:i/>
          <w:iCs/>
          <w:sz w:val="22"/>
          <w:szCs w:val="22"/>
          <w:lang w:val="en-US"/>
        </w:rPr>
        <w:t>3.</w:t>
      </w:r>
      <w:r w:rsidRPr="00BC6B80">
        <w:rPr>
          <w:rFonts w:ascii="Cambria" w:hAnsi="Cambria"/>
          <w:i/>
          <w:iCs/>
          <w:sz w:val="22"/>
          <w:szCs w:val="22"/>
          <w:lang w:val="en-US"/>
        </w:rPr>
        <w:tab/>
        <w:t>If the decision-maker considers that a decision needs to be made, then the person’s views, wishes and preferences must be given all practical and appropriate effect. A person may communicate their views, wishes and preferences by any means.</w:t>
      </w:r>
    </w:p>
    <w:p w14:paraId="5A6DE5D3" w14:textId="77777777" w:rsidR="00EB4EA9" w:rsidRPr="00BC6B80" w:rsidRDefault="00EB4EA9" w:rsidP="00EB4EA9">
      <w:pPr>
        <w:ind w:left="1440" w:hanging="720"/>
        <w:jc w:val="both"/>
        <w:rPr>
          <w:rFonts w:ascii="Cambria" w:hAnsi="Cambria"/>
          <w:i/>
          <w:iCs/>
          <w:sz w:val="22"/>
          <w:szCs w:val="22"/>
          <w:lang w:val="en-US"/>
        </w:rPr>
      </w:pPr>
      <w:r w:rsidRPr="00BC6B80">
        <w:rPr>
          <w:rFonts w:ascii="Cambria" w:hAnsi="Cambria"/>
          <w:i/>
          <w:iCs/>
          <w:sz w:val="22"/>
          <w:szCs w:val="22"/>
          <w:lang w:val="en-US"/>
        </w:rPr>
        <w:t>4.</w:t>
      </w:r>
      <w:r w:rsidRPr="00BC6B80">
        <w:rPr>
          <w:rFonts w:ascii="Cambria" w:hAnsi="Cambria"/>
          <w:i/>
          <w:iCs/>
          <w:sz w:val="22"/>
          <w:szCs w:val="22"/>
          <w:lang w:val="en-US"/>
        </w:rPr>
        <w:tab/>
        <w:t xml:space="preserve">Where the person’s views, wishes, and preferences cannot be determined, the decision-maker must give all practical and appropriate effect to what the decision-maker reasonably believes the person’s likely views, wishes and preferences are, based on all the information available, including by consulting with family, </w:t>
      </w:r>
      <w:proofErr w:type="spellStart"/>
      <w:r w:rsidRPr="00BC6B80">
        <w:rPr>
          <w:rFonts w:ascii="Cambria" w:hAnsi="Cambria"/>
          <w:i/>
          <w:iCs/>
          <w:sz w:val="22"/>
          <w:szCs w:val="22"/>
          <w:lang w:val="en-US"/>
        </w:rPr>
        <w:t>carers</w:t>
      </w:r>
      <w:proofErr w:type="spellEnd"/>
      <w:r w:rsidRPr="00BC6B80">
        <w:rPr>
          <w:rFonts w:ascii="Cambria" w:hAnsi="Cambria"/>
          <w:i/>
          <w:iCs/>
          <w:sz w:val="22"/>
          <w:szCs w:val="22"/>
          <w:lang w:val="en-US"/>
        </w:rPr>
        <w:t xml:space="preserve"> and other significant people in the person’s life that the decision-maker reasonably believes the person would want to be consulted.</w:t>
      </w:r>
    </w:p>
    <w:p w14:paraId="4516BB2D" w14:textId="77777777" w:rsidR="00EB4EA9" w:rsidRPr="00BC6B80" w:rsidRDefault="00EB4EA9" w:rsidP="00EB4EA9">
      <w:pPr>
        <w:ind w:left="1440" w:hanging="720"/>
        <w:jc w:val="both"/>
        <w:rPr>
          <w:rFonts w:ascii="Cambria" w:hAnsi="Cambria"/>
          <w:i/>
          <w:iCs/>
          <w:sz w:val="22"/>
          <w:szCs w:val="22"/>
          <w:lang w:val="en-US"/>
        </w:rPr>
      </w:pPr>
      <w:r w:rsidRPr="00BC6B80">
        <w:rPr>
          <w:rFonts w:ascii="Cambria" w:hAnsi="Cambria"/>
          <w:i/>
          <w:iCs/>
          <w:sz w:val="22"/>
          <w:szCs w:val="22"/>
          <w:lang w:val="en-US"/>
        </w:rPr>
        <w:t>5.</w:t>
      </w:r>
      <w:r w:rsidRPr="00BC6B80">
        <w:rPr>
          <w:rFonts w:ascii="Cambria" w:hAnsi="Cambria"/>
          <w:i/>
          <w:iCs/>
          <w:sz w:val="22"/>
          <w:szCs w:val="22"/>
          <w:lang w:val="en-US"/>
        </w:rPr>
        <w:tab/>
        <w:t>A decision-maker may not give all practical and appropriate effect to the person’s views, wishes and preferences only where:</w:t>
      </w:r>
    </w:p>
    <w:p w14:paraId="141779ED" w14:textId="77777777" w:rsidR="00EB4EA9" w:rsidRPr="00BC6B80" w:rsidRDefault="00EB4EA9" w:rsidP="00EB4EA9">
      <w:pPr>
        <w:ind w:left="1440"/>
        <w:jc w:val="both"/>
        <w:rPr>
          <w:rFonts w:ascii="Cambria" w:hAnsi="Cambria"/>
          <w:i/>
          <w:iCs/>
          <w:sz w:val="22"/>
          <w:szCs w:val="22"/>
          <w:lang w:val="en-US"/>
        </w:rPr>
      </w:pPr>
      <w:r w:rsidRPr="00BC6B80">
        <w:rPr>
          <w:rFonts w:ascii="Cambria" w:hAnsi="Cambria"/>
          <w:i/>
          <w:iCs/>
          <w:sz w:val="22"/>
          <w:szCs w:val="22"/>
          <w:lang w:val="en-US"/>
        </w:rPr>
        <w:t>(a)</w:t>
      </w:r>
      <w:r w:rsidRPr="00BC6B80">
        <w:rPr>
          <w:rFonts w:ascii="Cambria" w:hAnsi="Cambria"/>
          <w:i/>
          <w:iCs/>
          <w:sz w:val="22"/>
          <w:szCs w:val="22"/>
          <w:lang w:val="en-US"/>
        </w:rPr>
        <w:tab/>
        <w:t>it is necessary to prevent unacceptable harm to the person or another person; or</w:t>
      </w:r>
    </w:p>
    <w:p w14:paraId="63AD4500" w14:textId="77777777" w:rsidR="00EB4EA9" w:rsidRPr="00BC6B80" w:rsidRDefault="00EB4EA9" w:rsidP="00EB4EA9">
      <w:pPr>
        <w:ind w:left="1440"/>
        <w:jc w:val="both"/>
        <w:rPr>
          <w:rFonts w:ascii="Cambria" w:hAnsi="Cambria"/>
          <w:i/>
          <w:iCs/>
          <w:sz w:val="22"/>
          <w:szCs w:val="22"/>
          <w:lang w:val="en-US"/>
        </w:rPr>
      </w:pPr>
      <w:r w:rsidRPr="00BC6B80">
        <w:rPr>
          <w:rFonts w:ascii="Cambria" w:hAnsi="Cambria"/>
          <w:i/>
          <w:iCs/>
          <w:sz w:val="22"/>
          <w:szCs w:val="22"/>
          <w:lang w:val="en-US"/>
        </w:rPr>
        <w:t>(b)</w:t>
      </w:r>
      <w:r w:rsidRPr="00BC6B80">
        <w:rPr>
          <w:rFonts w:ascii="Cambria" w:hAnsi="Cambria"/>
          <w:i/>
          <w:iCs/>
          <w:sz w:val="22"/>
          <w:szCs w:val="22"/>
          <w:lang w:val="en-US"/>
        </w:rPr>
        <w:tab/>
        <w:t>it would be unlawful.</w:t>
      </w:r>
    </w:p>
    <w:p w14:paraId="093CEAEB" w14:textId="77777777" w:rsidR="00EB4EA9" w:rsidRPr="00BC6B80" w:rsidRDefault="00EB4EA9" w:rsidP="00EB4EA9">
      <w:pPr>
        <w:ind w:left="720"/>
        <w:jc w:val="both"/>
        <w:rPr>
          <w:rFonts w:ascii="Cambria" w:hAnsi="Cambria"/>
          <w:i/>
          <w:iCs/>
          <w:sz w:val="22"/>
          <w:szCs w:val="22"/>
          <w:lang w:val="en-US"/>
        </w:rPr>
      </w:pPr>
    </w:p>
    <w:p w14:paraId="010CEBA7" w14:textId="77777777" w:rsidR="00EB4EA9" w:rsidRPr="00BC6B80" w:rsidRDefault="00EB4EA9" w:rsidP="00EB4EA9">
      <w:pPr>
        <w:ind w:left="720"/>
        <w:jc w:val="both"/>
        <w:rPr>
          <w:rFonts w:ascii="Cambria" w:hAnsi="Cambria"/>
          <w:i/>
          <w:iCs/>
          <w:sz w:val="22"/>
          <w:szCs w:val="22"/>
          <w:lang w:val="en-US"/>
        </w:rPr>
      </w:pPr>
      <w:r w:rsidRPr="00BC6B80">
        <w:rPr>
          <w:rFonts w:ascii="Cambria" w:hAnsi="Cambria"/>
          <w:i/>
          <w:iCs/>
          <w:sz w:val="22"/>
          <w:szCs w:val="22"/>
          <w:lang w:val="en-US"/>
        </w:rPr>
        <w:t>In any of these cases, a representative must adopt Step 6 whilst continuing to give as much effect as possible to the person’s views, wishes and preference.</w:t>
      </w:r>
    </w:p>
    <w:p w14:paraId="67B91492" w14:textId="77777777" w:rsidR="00EB4EA9" w:rsidRPr="00BC6B80" w:rsidRDefault="00EB4EA9" w:rsidP="00EB4EA9">
      <w:pPr>
        <w:ind w:left="720"/>
        <w:jc w:val="both"/>
        <w:rPr>
          <w:rFonts w:ascii="Cambria" w:hAnsi="Cambria"/>
          <w:i/>
          <w:iCs/>
          <w:sz w:val="22"/>
          <w:szCs w:val="22"/>
          <w:lang w:val="en-US"/>
        </w:rPr>
      </w:pPr>
    </w:p>
    <w:p w14:paraId="42571A01" w14:textId="77777777" w:rsidR="00EB4EA9" w:rsidRPr="00BC6B80" w:rsidRDefault="00EB4EA9" w:rsidP="00EB4EA9">
      <w:pPr>
        <w:ind w:left="1440" w:hanging="720"/>
        <w:jc w:val="both"/>
        <w:rPr>
          <w:rFonts w:ascii="Cambria" w:hAnsi="Cambria"/>
          <w:i/>
          <w:iCs/>
          <w:sz w:val="22"/>
          <w:szCs w:val="22"/>
          <w:lang w:val="en-US"/>
        </w:rPr>
      </w:pPr>
      <w:r w:rsidRPr="00BC6B80">
        <w:rPr>
          <w:rFonts w:ascii="Cambria" w:hAnsi="Cambria"/>
          <w:i/>
          <w:iCs/>
          <w:sz w:val="22"/>
          <w:szCs w:val="22"/>
          <w:lang w:val="en-US"/>
        </w:rPr>
        <w:t>6.</w:t>
      </w:r>
      <w:r w:rsidRPr="00BC6B80">
        <w:rPr>
          <w:rFonts w:ascii="Cambria" w:hAnsi="Cambria"/>
          <w:i/>
          <w:iCs/>
          <w:sz w:val="22"/>
          <w:szCs w:val="22"/>
          <w:lang w:val="en-US"/>
        </w:rPr>
        <w:tab/>
        <w:t>If it is not possible to determine or apply the person’s views, wishes and preferences, a decision-maker must act to promote and uphold the person’s personal and social wellbeing and act in a way least restrictive of their human rights.</w:t>
      </w:r>
    </w:p>
    <w:p w14:paraId="37E60795" w14:textId="072D829F" w:rsidR="00EB4EA9" w:rsidRDefault="00EB4EA9" w:rsidP="00DB0D5C">
      <w:pPr>
        <w:jc w:val="both"/>
        <w:rPr>
          <w:rFonts w:ascii="Cambria" w:hAnsi="Cambria"/>
          <w:color w:val="000000"/>
          <w:bdr w:val="none" w:sz="0" w:space="0" w:color="auto" w:frame="1"/>
        </w:rPr>
      </w:pPr>
    </w:p>
    <w:p w14:paraId="77F8C9C7" w14:textId="3C9119B8" w:rsidR="00BC6B80" w:rsidRDefault="00BC6B80" w:rsidP="00DB0D5C">
      <w:pPr>
        <w:jc w:val="both"/>
        <w:rPr>
          <w:rFonts w:ascii="Cambria" w:hAnsi="Cambria"/>
          <w:color w:val="000000"/>
          <w:bdr w:val="none" w:sz="0" w:space="0" w:color="auto" w:frame="1"/>
        </w:rPr>
      </w:pPr>
      <w:r>
        <w:rPr>
          <w:rFonts w:ascii="Cambria" w:hAnsi="Cambria"/>
          <w:color w:val="000000"/>
          <w:bdr w:val="none" w:sz="0" w:space="0" w:color="auto" w:frame="1"/>
        </w:rPr>
        <w:t>We strongly recommend the adoption of the TLRI’s decision-making process into the Act.</w:t>
      </w:r>
    </w:p>
    <w:p w14:paraId="27AC764E" w14:textId="77777777" w:rsidR="00BC6B80" w:rsidRPr="00BC6B80" w:rsidRDefault="00BC6B80" w:rsidP="00DB0D5C">
      <w:pPr>
        <w:jc w:val="both"/>
        <w:rPr>
          <w:rFonts w:ascii="Cambria" w:hAnsi="Cambria"/>
          <w:color w:val="000000"/>
          <w:bdr w:val="none" w:sz="0" w:space="0" w:color="auto" w:frame="1"/>
        </w:rPr>
      </w:pPr>
    </w:p>
    <w:p w14:paraId="61AF9C83" w14:textId="60E3F03D" w:rsidR="00E13E07" w:rsidRPr="00BC6B80" w:rsidRDefault="00E13E07" w:rsidP="00E13E07">
      <w:pPr>
        <w:pStyle w:val="ListParagraph"/>
        <w:numPr>
          <w:ilvl w:val="0"/>
          <w:numId w:val="4"/>
        </w:numPr>
        <w:jc w:val="both"/>
        <w:rPr>
          <w:rFonts w:ascii="Cambria" w:hAnsi="Cambria"/>
          <w:b/>
          <w:bCs/>
          <w:i/>
          <w:iCs/>
        </w:rPr>
      </w:pPr>
      <w:r w:rsidRPr="00BC6B80">
        <w:rPr>
          <w:rFonts w:ascii="Cambria" w:hAnsi="Cambria"/>
          <w:b/>
          <w:bCs/>
          <w:i/>
          <w:iCs/>
        </w:rPr>
        <w:t xml:space="preserve">A legislated supported decision-making </w:t>
      </w:r>
      <w:r w:rsidR="00AF5F64" w:rsidRPr="00BC6B80">
        <w:rPr>
          <w:rFonts w:ascii="Cambria" w:hAnsi="Cambria"/>
          <w:b/>
          <w:bCs/>
          <w:i/>
          <w:iCs/>
        </w:rPr>
        <w:t>scheme</w:t>
      </w:r>
    </w:p>
    <w:p w14:paraId="651CA1F2" w14:textId="6B341C37" w:rsidR="00AF5F64" w:rsidRPr="00BC6B80" w:rsidRDefault="000B5CAC" w:rsidP="00EB4EA9">
      <w:pPr>
        <w:jc w:val="both"/>
        <w:rPr>
          <w:rFonts w:ascii="Cambria" w:hAnsi="Cambria"/>
        </w:rPr>
      </w:pPr>
      <w:r w:rsidRPr="00BC6B80">
        <w:rPr>
          <w:rFonts w:ascii="Cambria" w:hAnsi="Cambria"/>
        </w:rPr>
        <w:t xml:space="preserve">Supported decision-making describes decision-making where a person makes their own decisions </w:t>
      </w:r>
      <w:r w:rsidR="00E7158B" w:rsidRPr="00BC6B80">
        <w:rPr>
          <w:rFonts w:ascii="Cambria" w:hAnsi="Cambria"/>
        </w:rPr>
        <w:t>but with support. Support could include assisting a person to obtain or explain information, discuss options or providing advice in relation to personal, financial and legal matters or supporting a person to communicate or implement a decision. Supported decision</w:t>
      </w:r>
      <w:r w:rsidR="007E2340" w:rsidRPr="00BC6B80">
        <w:rPr>
          <w:rFonts w:ascii="Cambria" w:hAnsi="Cambria"/>
        </w:rPr>
        <w:t>-</w:t>
      </w:r>
      <w:r w:rsidR="00E7158B" w:rsidRPr="00BC6B80">
        <w:rPr>
          <w:rFonts w:ascii="Cambria" w:hAnsi="Cambria"/>
        </w:rPr>
        <w:t>making is recognised in a</w:t>
      </w:r>
      <w:r w:rsidR="00E13E07" w:rsidRPr="00BC6B80">
        <w:rPr>
          <w:rFonts w:ascii="Cambria" w:hAnsi="Cambria"/>
        </w:rPr>
        <w:t>rticle 12</w:t>
      </w:r>
      <w:r w:rsidR="00EB4EA9" w:rsidRPr="00BC6B80">
        <w:rPr>
          <w:rFonts w:ascii="Cambria" w:hAnsi="Cambria"/>
        </w:rPr>
        <w:t>(3)</w:t>
      </w:r>
      <w:r w:rsidR="00E13E07" w:rsidRPr="00BC6B80">
        <w:rPr>
          <w:rFonts w:ascii="Cambria" w:hAnsi="Cambria"/>
        </w:rPr>
        <w:t xml:space="preserve"> of the Convention </w:t>
      </w:r>
      <w:r w:rsidR="00E7158B" w:rsidRPr="00BC6B80">
        <w:rPr>
          <w:rFonts w:ascii="Cambria" w:hAnsi="Cambria"/>
        </w:rPr>
        <w:t xml:space="preserve">which </w:t>
      </w:r>
      <w:r w:rsidR="00E13E07" w:rsidRPr="00BC6B80">
        <w:rPr>
          <w:rFonts w:ascii="Cambria" w:hAnsi="Cambria"/>
        </w:rPr>
        <w:t xml:space="preserve">emphasises </w:t>
      </w:r>
      <w:r w:rsidR="00EB4EA9" w:rsidRPr="00BC6B80">
        <w:rPr>
          <w:rFonts w:ascii="Cambria" w:hAnsi="Cambria"/>
        </w:rPr>
        <w:t>that support must be available for p</w:t>
      </w:r>
      <w:r w:rsidRPr="00BC6B80">
        <w:rPr>
          <w:rFonts w:ascii="Cambria" w:hAnsi="Cambria"/>
        </w:rPr>
        <w:t>ersons</w:t>
      </w:r>
      <w:r w:rsidR="00EB4EA9" w:rsidRPr="00BC6B80">
        <w:rPr>
          <w:rFonts w:ascii="Cambria" w:hAnsi="Cambria"/>
        </w:rPr>
        <w:t xml:space="preserve"> to make</w:t>
      </w:r>
      <w:r w:rsidRPr="00BC6B80">
        <w:rPr>
          <w:rFonts w:ascii="Cambria" w:hAnsi="Cambria"/>
        </w:rPr>
        <w:t xml:space="preserve"> </w:t>
      </w:r>
      <w:r w:rsidR="00EB4EA9" w:rsidRPr="00BC6B80">
        <w:rPr>
          <w:rFonts w:ascii="Cambria" w:hAnsi="Cambria"/>
        </w:rPr>
        <w:t xml:space="preserve">decisions about matters affecting their lives. In other words, the focus of the Act should be on recognising </w:t>
      </w:r>
      <w:r w:rsidR="00E13E07" w:rsidRPr="00BC6B80">
        <w:rPr>
          <w:rFonts w:ascii="Cambria" w:hAnsi="Cambria"/>
        </w:rPr>
        <w:t>a person’s ability to make decisions with support as well as the need to make available the supports necessary for a person to make their own decision.</w:t>
      </w:r>
      <w:r w:rsidR="00E7158B" w:rsidRPr="00BC6B80">
        <w:rPr>
          <w:rFonts w:ascii="Cambria" w:hAnsi="Cambria"/>
        </w:rPr>
        <w:t xml:space="preserve"> </w:t>
      </w:r>
      <w:r w:rsidR="00E13E07" w:rsidRPr="00BC6B80">
        <w:rPr>
          <w:rFonts w:ascii="Cambria" w:hAnsi="Cambria"/>
        </w:rPr>
        <w:t>Whilst there is some reference in the Bill to supported decision-making</w:t>
      </w:r>
      <w:r w:rsidR="007E2340" w:rsidRPr="00BC6B80">
        <w:rPr>
          <w:rFonts w:ascii="Cambria" w:hAnsi="Cambria"/>
        </w:rPr>
        <w:t>,</w:t>
      </w:r>
      <w:r w:rsidR="00E13E07" w:rsidRPr="00BC6B80">
        <w:rPr>
          <w:rStyle w:val="FootnoteReference"/>
          <w:rFonts w:ascii="Cambria" w:hAnsi="Cambria"/>
        </w:rPr>
        <w:footnoteReference w:id="19"/>
      </w:r>
      <w:r w:rsidR="00E13E07" w:rsidRPr="00BC6B80">
        <w:rPr>
          <w:rFonts w:ascii="Cambria" w:hAnsi="Cambria"/>
        </w:rPr>
        <w:t xml:space="preserve"> we are concerned </w:t>
      </w:r>
      <w:r w:rsidR="007E2340" w:rsidRPr="00BC6B80">
        <w:rPr>
          <w:rFonts w:ascii="Cambria" w:hAnsi="Cambria"/>
        </w:rPr>
        <w:t>by</w:t>
      </w:r>
      <w:r w:rsidR="00E13E07" w:rsidRPr="00BC6B80">
        <w:rPr>
          <w:rFonts w:ascii="Cambria" w:hAnsi="Cambria"/>
        </w:rPr>
        <w:t xml:space="preserve"> the </w:t>
      </w:r>
      <w:r w:rsidR="007454B2" w:rsidRPr="00BC6B80">
        <w:rPr>
          <w:rFonts w:ascii="Cambria" w:hAnsi="Cambria"/>
        </w:rPr>
        <w:t>omission of</w:t>
      </w:r>
      <w:r w:rsidR="00E13E07" w:rsidRPr="00BC6B80">
        <w:rPr>
          <w:rFonts w:ascii="Cambria" w:hAnsi="Cambria"/>
        </w:rPr>
        <w:t xml:space="preserve"> a legislated supported decision-making scheme. As the Tasmania Law Reform Institute has observed, the importance of a formal, legislated supported decision-making scheme is</w:t>
      </w:r>
      <w:r w:rsidRPr="00BC6B80">
        <w:rPr>
          <w:rFonts w:ascii="Cambria" w:hAnsi="Cambria"/>
        </w:rPr>
        <w:t xml:space="preserve"> its formal recognition of an ‘in between’ between a person making their own decision and the making of a representative decision.</w:t>
      </w:r>
      <w:r w:rsidRPr="00BC6B80">
        <w:rPr>
          <w:rStyle w:val="FootnoteReference"/>
          <w:rFonts w:ascii="Cambria" w:hAnsi="Cambria"/>
        </w:rPr>
        <w:footnoteReference w:id="20"/>
      </w:r>
      <w:r w:rsidRPr="00BC6B80">
        <w:rPr>
          <w:rFonts w:ascii="Cambria" w:hAnsi="Cambria"/>
        </w:rPr>
        <w:t xml:space="preserve"> The other advantages according to the TLRI is that it </w:t>
      </w:r>
      <w:r w:rsidR="00E13E07" w:rsidRPr="00BC6B80">
        <w:rPr>
          <w:rFonts w:ascii="Cambria" w:hAnsi="Cambria"/>
        </w:rPr>
        <w:t>provid</w:t>
      </w:r>
      <w:r w:rsidRPr="00BC6B80">
        <w:rPr>
          <w:rFonts w:ascii="Cambria" w:hAnsi="Cambria"/>
        </w:rPr>
        <w:t>es</w:t>
      </w:r>
      <w:r w:rsidR="00E13E07" w:rsidRPr="00BC6B80">
        <w:rPr>
          <w:rFonts w:ascii="Cambria" w:hAnsi="Cambria"/>
        </w:rPr>
        <w:t xml:space="preserve"> a less restrictive alternative to the appointment of a representative and </w:t>
      </w:r>
      <w:r w:rsidR="00E13E07" w:rsidRPr="00BC6B80">
        <w:rPr>
          <w:rFonts w:ascii="Cambria" w:hAnsi="Cambria"/>
        </w:rPr>
        <w:lastRenderedPageBreak/>
        <w:t>ensur</w:t>
      </w:r>
      <w:r w:rsidRPr="00BC6B80">
        <w:rPr>
          <w:rFonts w:ascii="Cambria" w:hAnsi="Cambria"/>
        </w:rPr>
        <w:t>es</w:t>
      </w:r>
      <w:r w:rsidR="00E13E07" w:rsidRPr="00BC6B80">
        <w:rPr>
          <w:rFonts w:ascii="Cambria" w:hAnsi="Cambria"/>
        </w:rPr>
        <w:t xml:space="preserve"> that representative decision-making occurs as a last resort.</w:t>
      </w:r>
      <w:r w:rsidR="00E13E07" w:rsidRPr="00BC6B80">
        <w:rPr>
          <w:rStyle w:val="FootnoteReference"/>
          <w:rFonts w:ascii="Cambria" w:hAnsi="Cambria"/>
        </w:rPr>
        <w:footnoteReference w:id="21"/>
      </w:r>
      <w:r w:rsidR="00E13E07" w:rsidRPr="00BC6B80">
        <w:rPr>
          <w:rFonts w:ascii="Cambria" w:hAnsi="Cambria"/>
        </w:rPr>
        <w:t xml:space="preserve"> We strongly believe that Part 4 of the Victorian </w:t>
      </w:r>
      <w:r w:rsidR="00E13E07" w:rsidRPr="00BC6B80">
        <w:rPr>
          <w:rFonts w:ascii="Cambria" w:hAnsi="Cambria"/>
          <w:i/>
          <w:iCs/>
        </w:rPr>
        <w:t>Guardianship and Administrative Act 2019</w:t>
      </w:r>
      <w:r w:rsidR="00E13E07" w:rsidRPr="00BC6B80">
        <w:rPr>
          <w:rFonts w:ascii="Cambria" w:hAnsi="Cambria"/>
        </w:rPr>
        <w:t xml:space="preserve"> should be used as a template for the inclusion of a legislated supported decision-making scheme in the Bill. </w:t>
      </w:r>
    </w:p>
    <w:p w14:paraId="492B57D3" w14:textId="77777777" w:rsidR="007E2340" w:rsidRPr="00BC6B80" w:rsidRDefault="007E2340" w:rsidP="00EB4EA9">
      <w:pPr>
        <w:jc w:val="both"/>
        <w:rPr>
          <w:rFonts w:ascii="Cambria" w:hAnsi="Cambria"/>
        </w:rPr>
      </w:pPr>
    </w:p>
    <w:p w14:paraId="321193FD" w14:textId="4F177303" w:rsidR="00705D48" w:rsidRPr="00BC6B80" w:rsidRDefault="00705D48" w:rsidP="00705D48">
      <w:pPr>
        <w:pStyle w:val="ListParagraph"/>
        <w:numPr>
          <w:ilvl w:val="0"/>
          <w:numId w:val="4"/>
        </w:numPr>
        <w:jc w:val="both"/>
        <w:rPr>
          <w:rFonts w:ascii="Cambria" w:hAnsi="Cambria"/>
          <w:b/>
          <w:bCs/>
          <w:i/>
          <w:iCs/>
        </w:rPr>
      </w:pPr>
      <w:r w:rsidRPr="00BC6B80">
        <w:rPr>
          <w:rFonts w:ascii="Cambria" w:hAnsi="Cambria"/>
          <w:b/>
          <w:bCs/>
          <w:i/>
          <w:iCs/>
        </w:rPr>
        <w:t>Compensation</w:t>
      </w:r>
    </w:p>
    <w:p w14:paraId="18939FC5" w14:textId="274B8B05" w:rsidR="005C64CE" w:rsidRDefault="00597B6B" w:rsidP="00BC6B80">
      <w:pPr>
        <w:jc w:val="both"/>
        <w:rPr>
          <w:rFonts w:ascii="Cambria" w:hAnsi="Cambria"/>
        </w:rPr>
      </w:pPr>
      <w:r w:rsidRPr="00BC6B80">
        <w:rPr>
          <w:rFonts w:ascii="Cambria" w:hAnsi="Cambria"/>
          <w:color w:val="000000" w:themeColor="text1"/>
        </w:rPr>
        <w:t xml:space="preserve">We strongly believe that </w:t>
      </w:r>
      <w:r w:rsidR="005C64CE" w:rsidRPr="00BC6B80">
        <w:rPr>
          <w:rFonts w:ascii="Cambria" w:hAnsi="Cambria"/>
          <w:color w:val="000000" w:themeColor="text1"/>
        </w:rPr>
        <w:t xml:space="preserve">the Tribunal should have the power to award compensation </w:t>
      </w:r>
      <w:r w:rsidRPr="00BC6B80">
        <w:rPr>
          <w:rFonts w:ascii="Cambria" w:hAnsi="Cambria"/>
          <w:color w:val="000000" w:themeColor="text1"/>
        </w:rPr>
        <w:t xml:space="preserve">where the guardian or administrator has </w:t>
      </w:r>
      <w:r w:rsidR="00CF2541" w:rsidRPr="00BC6B80">
        <w:rPr>
          <w:rFonts w:ascii="Cambria" w:hAnsi="Cambria"/>
          <w:color w:val="000000" w:themeColor="text1"/>
        </w:rPr>
        <w:t xml:space="preserve">acted outside their powers and </w:t>
      </w:r>
      <w:r w:rsidRPr="00BC6B80">
        <w:rPr>
          <w:rFonts w:ascii="Cambria" w:hAnsi="Cambria"/>
          <w:color w:val="000000" w:themeColor="text1"/>
        </w:rPr>
        <w:t>caus</w:t>
      </w:r>
      <w:r w:rsidR="00CF2541" w:rsidRPr="00BC6B80">
        <w:rPr>
          <w:rFonts w:ascii="Cambria" w:hAnsi="Cambria"/>
          <w:color w:val="000000" w:themeColor="text1"/>
        </w:rPr>
        <w:t>ed</w:t>
      </w:r>
      <w:r w:rsidR="005C64CE" w:rsidRPr="00BC6B80">
        <w:rPr>
          <w:rFonts w:ascii="Cambria" w:hAnsi="Cambria"/>
          <w:color w:val="000000" w:themeColor="text1"/>
        </w:rPr>
        <w:t xml:space="preserve"> </w:t>
      </w:r>
      <w:r w:rsidRPr="00BC6B80">
        <w:rPr>
          <w:rFonts w:ascii="Cambria" w:hAnsi="Cambria"/>
          <w:color w:val="000000" w:themeColor="text1"/>
        </w:rPr>
        <w:t>loss.</w:t>
      </w:r>
      <w:r w:rsidR="005C64CE" w:rsidRPr="00BC6B80">
        <w:rPr>
          <w:rFonts w:ascii="Cambria" w:hAnsi="Cambria"/>
          <w:color w:val="000000" w:themeColor="text1"/>
        </w:rPr>
        <w:t xml:space="preserve"> This has been recommended by the </w:t>
      </w:r>
      <w:r w:rsidR="00CF2541" w:rsidRPr="00BC6B80">
        <w:rPr>
          <w:rFonts w:ascii="Cambria" w:hAnsi="Cambria"/>
          <w:color w:val="000000" w:themeColor="text1"/>
        </w:rPr>
        <w:t>Tasmania Law Reform Institute</w:t>
      </w:r>
      <w:r w:rsidR="007E2340" w:rsidRPr="00BC6B80">
        <w:rPr>
          <w:rFonts w:ascii="Cambria" w:hAnsi="Cambria"/>
          <w:color w:val="000000" w:themeColor="text1"/>
        </w:rPr>
        <w:t>,</w:t>
      </w:r>
      <w:r w:rsidR="00CF2541" w:rsidRPr="00BC6B80">
        <w:rPr>
          <w:rStyle w:val="FootnoteReference"/>
          <w:rFonts w:ascii="Cambria" w:hAnsi="Cambria"/>
          <w:color w:val="000000" w:themeColor="text1"/>
        </w:rPr>
        <w:footnoteReference w:id="22"/>
      </w:r>
      <w:r w:rsidR="00CF2541" w:rsidRPr="00BC6B80">
        <w:rPr>
          <w:rFonts w:ascii="Cambria" w:hAnsi="Cambria"/>
          <w:color w:val="000000" w:themeColor="text1"/>
        </w:rPr>
        <w:t xml:space="preserve"> and the </w:t>
      </w:r>
      <w:r w:rsidR="005C64CE" w:rsidRPr="00BC6B80">
        <w:rPr>
          <w:rFonts w:ascii="Cambria" w:hAnsi="Cambria"/>
          <w:color w:val="000000" w:themeColor="text1"/>
        </w:rPr>
        <w:t xml:space="preserve">Australian Law Reform Commission who </w:t>
      </w:r>
      <w:r w:rsidR="00CF2541" w:rsidRPr="00BC6B80">
        <w:rPr>
          <w:rFonts w:ascii="Cambria" w:hAnsi="Cambria"/>
          <w:color w:val="000000" w:themeColor="text1"/>
        </w:rPr>
        <w:t>observed</w:t>
      </w:r>
      <w:r w:rsidR="005C64CE" w:rsidRPr="00BC6B80">
        <w:rPr>
          <w:rFonts w:ascii="Cambria" w:hAnsi="Cambria"/>
          <w:color w:val="000000" w:themeColor="text1"/>
        </w:rPr>
        <w:t xml:space="preserve"> that providing the Tribunal with </w:t>
      </w:r>
      <w:r w:rsidR="00CF2541" w:rsidRPr="00BC6B80">
        <w:rPr>
          <w:rFonts w:ascii="Cambria" w:hAnsi="Cambria"/>
          <w:color w:val="000000" w:themeColor="text1"/>
        </w:rPr>
        <w:t>jurisdiction</w:t>
      </w:r>
      <w:r w:rsidR="005C64CE" w:rsidRPr="00BC6B80">
        <w:rPr>
          <w:rFonts w:ascii="Cambria" w:hAnsi="Cambria"/>
          <w:color w:val="000000" w:themeColor="text1"/>
        </w:rPr>
        <w:t xml:space="preserve"> </w:t>
      </w:r>
      <w:r w:rsidR="00CF2541" w:rsidRPr="00BC6B80">
        <w:rPr>
          <w:rFonts w:ascii="Cambria" w:hAnsi="Cambria"/>
          <w:color w:val="000000" w:themeColor="text1"/>
        </w:rPr>
        <w:t>would act as a deterrent against the misuse of funds as well as providing a “just, quick and economical resolution of proceedings with a more flexible and informal approach to procedural and evidentiary matters than a court”.</w:t>
      </w:r>
      <w:r w:rsidR="00AA6498" w:rsidRPr="00BC6B80">
        <w:rPr>
          <w:rStyle w:val="FootnoteReference"/>
          <w:rFonts w:ascii="Cambria" w:hAnsi="Cambria"/>
          <w:color w:val="000000" w:themeColor="text1"/>
        </w:rPr>
        <w:footnoteReference w:id="23"/>
      </w:r>
      <w:r w:rsidR="00CF2541" w:rsidRPr="00BC6B80">
        <w:rPr>
          <w:rFonts w:ascii="Cambria" w:hAnsi="Cambria"/>
          <w:color w:val="000000" w:themeColor="text1"/>
        </w:rPr>
        <w:t xml:space="preserve"> </w:t>
      </w:r>
      <w:r w:rsidR="005C64CE" w:rsidRPr="00BC6B80">
        <w:rPr>
          <w:rFonts w:ascii="Cambria" w:hAnsi="Cambria"/>
        </w:rPr>
        <w:t xml:space="preserve">A model that could be adopted is section 181 of the </w:t>
      </w:r>
      <w:r w:rsidR="005C64CE" w:rsidRPr="00BC6B80">
        <w:rPr>
          <w:rFonts w:ascii="Cambria" w:hAnsi="Cambria"/>
          <w:i/>
          <w:iCs/>
        </w:rPr>
        <w:t>Guardianship and Administration Act 2019</w:t>
      </w:r>
      <w:r w:rsidR="005C64CE" w:rsidRPr="00BC6B80">
        <w:rPr>
          <w:rFonts w:ascii="Cambria" w:hAnsi="Cambria"/>
        </w:rPr>
        <w:t xml:space="preserve"> (Vic):   </w:t>
      </w:r>
      <w:bookmarkStart w:id="0" w:name="_Toc96957738"/>
    </w:p>
    <w:p w14:paraId="1821100B" w14:textId="77777777" w:rsidR="00BC6B80" w:rsidRPr="00BC6B80" w:rsidRDefault="00BC6B80" w:rsidP="00BC6B80">
      <w:pPr>
        <w:jc w:val="both"/>
        <w:rPr>
          <w:rFonts w:ascii="Cambria" w:hAnsi="Cambria"/>
          <w:color w:val="000000" w:themeColor="text1"/>
        </w:rPr>
      </w:pPr>
    </w:p>
    <w:p w14:paraId="7264FB71" w14:textId="77777777" w:rsidR="005C64CE" w:rsidRPr="00BC6B80" w:rsidRDefault="005C64CE" w:rsidP="005C64CE">
      <w:pPr>
        <w:ind w:left="720"/>
        <w:jc w:val="both"/>
        <w:rPr>
          <w:rFonts w:ascii="Cambria" w:hAnsi="Cambria"/>
          <w:b/>
          <w:bCs/>
          <w:i/>
          <w:iCs/>
          <w:sz w:val="22"/>
          <w:szCs w:val="22"/>
          <w:lang w:eastAsia="en-AU"/>
        </w:rPr>
      </w:pPr>
      <w:r w:rsidRPr="00BC6B80">
        <w:rPr>
          <w:rFonts w:ascii="Cambria" w:hAnsi="Cambria"/>
          <w:b/>
          <w:bCs/>
          <w:i/>
          <w:iCs/>
          <w:sz w:val="22"/>
          <w:szCs w:val="22"/>
          <w:lang w:eastAsia="en-AU"/>
        </w:rPr>
        <w:t>181 Compensation for acts of guardian or administrator</w:t>
      </w:r>
      <w:bookmarkEnd w:id="0"/>
    </w:p>
    <w:p w14:paraId="270F04B4" w14:textId="77777777" w:rsidR="005C64CE" w:rsidRPr="00BC6B80" w:rsidRDefault="005C64CE" w:rsidP="005C64CE">
      <w:pPr>
        <w:ind w:left="720"/>
        <w:jc w:val="both"/>
        <w:rPr>
          <w:rFonts w:ascii="Cambria" w:hAnsi="Cambria"/>
          <w:i/>
          <w:iCs/>
          <w:color w:val="000000"/>
          <w:sz w:val="22"/>
          <w:szCs w:val="22"/>
          <w:lang w:eastAsia="en-AU"/>
        </w:rPr>
      </w:pPr>
      <w:r w:rsidRPr="00BC6B80">
        <w:rPr>
          <w:rFonts w:ascii="Cambria" w:hAnsi="Cambria"/>
          <w:i/>
          <w:iCs/>
          <w:sz w:val="22"/>
          <w:szCs w:val="22"/>
          <w:lang w:eastAsia="en-AU"/>
        </w:rPr>
        <w:t xml:space="preserve">(1) The Supreme Court or VCAT may order a guardian or administrator </w:t>
      </w:r>
      <w:r w:rsidRPr="00BC6B80">
        <w:rPr>
          <w:rFonts w:ascii="Cambria" w:hAnsi="Cambria"/>
          <w:i/>
          <w:iCs/>
          <w:color w:val="000000"/>
          <w:sz w:val="22"/>
          <w:szCs w:val="22"/>
          <w:lang w:eastAsia="en-AU"/>
        </w:rPr>
        <w:t>to compensate the represented person or missing person for whom the guardian or administrator is appointed for a loss caused by the guardian or administrator contravening this Act when acting as guardian or</w:t>
      </w:r>
      <w:r w:rsidRPr="00BC6B80">
        <w:rPr>
          <w:rFonts w:ascii="Cambria" w:hAnsi="Cambria"/>
          <w:i/>
          <w:iCs/>
          <w:sz w:val="22"/>
          <w:szCs w:val="22"/>
        </w:rPr>
        <w:t> </w:t>
      </w:r>
      <w:r w:rsidRPr="00BC6B80">
        <w:rPr>
          <w:rFonts w:ascii="Cambria" w:hAnsi="Cambria"/>
          <w:i/>
          <w:iCs/>
          <w:color w:val="000000"/>
          <w:sz w:val="22"/>
          <w:szCs w:val="22"/>
          <w:lang w:eastAsia="en-AU"/>
        </w:rPr>
        <w:t>administrator.</w:t>
      </w:r>
    </w:p>
    <w:p w14:paraId="0634418A" w14:textId="77777777" w:rsidR="005C64CE" w:rsidRPr="00BC6B80" w:rsidRDefault="005C64CE" w:rsidP="005C64CE">
      <w:pPr>
        <w:ind w:left="720"/>
        <w:jc w:val="both"/>
        <w:rPr>
          <w:rFonts w:ascii="Cambria" w:hAnsi="Cambria"/>
          <w:i/>
          <w:iCs/>
          <w:sz w:val="22"/>
          <w:szCs w:val="22"/>
          <w:lang w:eastAsia="en-AU"/>
        </w:rPr>
      </w:pPr>
    </w:p>
    <w:p w14:paraId="1DC2FDF0" w14:textId="77777777" w:rsidR="005C64CE" w:rsidRPr="00BC6B80" w:rsidRDefault="005C64CE" w:rsidP="005C64CE">
      <w:pPr>
        <w:ind w:left="720"/>
        <w:jc w:val="both"/>
        <w:rPr>
          <w:rFonts w:ascii="Cambria" w:hAnsi="Cambria"/>
          <w:i/>
          <w:iCs/>
          <w:sz w:val="22"/>
          <w:szCs w:val="22"/>
          <w:lang w:eastAsia="en-AU"/>
        </w:rPr>
      </w:pPr>
      <w:r w:rsidRPr="00BC6B80">
        <w:rPr>
          <w:rFonts w:ascii="Cambria" w:hAnsi="Cambria"/>
          <w:i/>
          <w:iCs/>
          <w:sz w:val="22"/>
          <w:szCs w:val="22"/>
          <w:lang w:eastAsia="en-AU"/>
        </w:rPr>
        <w:t>(2) Subsection (1) applies even if—</w:t>
      </w:r>
    </w:p>
    <w:p w14:paraId="5C949982" w14:textId="77777777" w:rsidR="005C64CE" w:rsidRPr="00BC6B80" w:rsidRDefault="005C64CE" w:rsidP="005C64CE">
      <w:pPr>
        <w:ind w:left="720"/>
        <w:jc w:val="both"/>
        <w:rPr>
          <w:rFonts w:ascii="Cambria" w:hAnsi="Cambria"/>
          <w:i/>
          <w:iCs/>
          <w:sz w:val="22"/>
          <w:szCs w:val="22"/>
          <w:lang w:eastAsia="en-AU"/>
        </w:rPr>
      </w:pPr>
    </w:p>
    <w:p w14:paraId="4BD1E858" w14:textId="77777777" w:rsidR="005C64CE" w:rsidRPr="00BC6B80" w:rsidRDefault="005C64CE" w:rsidP="005C64CE">
      <w:pPr>
        <w:ind w:left="720"/>
        <w:jc w:val="both"/>
        <w:rPr>
          <w:rFonts w:ascii="Cambria" w:hAnsi="Cambria"/>
          <w:i/>
          <w:iCs/>
          <w:sz w:val="22"/>
          <w:szCs w:val="22"/>
          <w:lang w:eastAsia="en-AU"/>
        </w:rPr>
      </w:pPr>
      <w:r w:rsidRPr="00BC6B80">
        <w:rPr>
          <w:rFonts w:ascii="Cambria" w:hAnsi="Cambria"/>
          <w:i/>
          <w:iCs/>
          <w:sz w:val="22"/>
          <w:szCs w:val="22"/>
          <w:lang w:eastAsia="en-AU"/>
        </w:rPr>
        <w:t>(a) the guardian or administrator is convicted of an offence in relation to the guardian's or administrator's contravention; or</w:t>
      </w:r>
    </w:p>
    <w:p w14:paraId="4ECB42D2" w14:textId="77777777" w:rsidR="005C64CE" w:rsidRPr="00BC6B80" w:rsidRDefault="005C64CE" w:rsidP="005C64CE">
      <w:pPr>
        <w:ind w:left="720"/>
        <w:jc w:val="both"/>
        <w:rPr>
          <w:rFonts w:ascii="Cambria" w:hAnsi="Cambria"/>
          <w:i/>
          <w:iCs/>
          <w:sz w:val="22"/>
          <w:szCs w:val="22"/>
          <w:lang w:eastAsia="en-AU"/>
        </w:rPr>
      </w:pPr>
    </w:p>
    <w:p w14:paraId="66CF5DBC" w14:textId="77777777" w:rsidR="005C64CE" w:rsidRPr="00BC6B80" w:rsidRDefault="005C64CE" w:rsidP="005C64CE">
      <w:pPr>
        <w:ind w:left="720"/>
        <w:jc w:val="both"/>
        <w:rPr>
          <w:rFonts w:ascii="Cambria" w:hAnsi="Cambria"/>
          <w:i/>
          <w:iCs/>
          <w:color w:val="000000"/>
          <w:sz w:val="22"/>
          <w:szCs w:val="22"/>
          <w:lang w:eastAsia="en-AU"/>
        </w:rPr>
      </w:pPr>
      <w:r w:rsidRPr="00BC6B80">
        <w:rPr>
          <w:rFonts w:ascii="Cambria" w:hAnsi="Cambria"/>
          <w:i/>
          <w:iCs/>
          <w:sz w:val="22"/>
          <w:szCs w:val="22"/>
          <w:lang w:eastAsia="en-AU"/>
        </w:rPr>
        <w:t xml:space="preserve">(b) the represented person or missing person has died, in which case </w:t>
      </w:r>
      <w:r w:rsidRPr="00BC6B80">
        <w:rPr>
          <w:rFonts w:ascii="Cambria" w:hAnsi="Cambria"/>
          <w:i/>
          <w:iCs/>
          <w:color w:val="000000"/>
          <w:sz w:val="22"/>
          <w:szCs w:val="22"/>
          <w:lang w:eastAsia="en-AU"/>
        </w:rPr>
        <w:t>compensation is payable to the estate of the represented person or missing person; or</w:t>
      </w:r>
    </w:p>
    <w:p w14:paraId="3C4BE145" w14:textId="77777777" w:rsidR="005C64CE" w:rsidRPr="00BC6B80" w:rsidRDefault="005C64CE" w:rsidP="005C64CE">
      <w:pPr>
        <w:ind w:left="720"/>
        <w:jc w:val="both"/>
        <w:rPr>
          <w:rFonts w:ascii="Cambria" w:hAnsi="Cambria"/>
          <w:i/>
          <w:iCs/>
          <w:sz w:val="22"/>
          <w:szCs w:val="22"/>
          <w:lang w:eastAsia="en-AU"/>
        </w:rPr>
      </w:pPr>
    </w:p>
    <w:p w14:paraId="460DE417" w14:textId="77777777" w:rsidR="005C64CE" w:rsidRPr="00BC6B80" w:rsidRDefault="005C64CE" w:rsidP="005C64CE">
      <w:pPr>
        <w:ind w:left="720"/>
        <w:jc w:val="both"/>
        <w:rPr>
          <w:rFonts w:ascii="Cambria" w:hAnsi="Cambria"/>
          <w:i/>
          <w:iCs/>
          <w:sz w:val="22"/>
          <w:szCs w:val="22"/>
          <w:lang w:eastAsia="en-AU"/>
        </w:rPr>
      </w:pPr>
      <w:r w:rsidRPr="00BC6B80">
        <w:rPr>
          <w:rFonts w:ascii="Cambria" w:hAnsi="Cambria"/>
          <w:i/>
          <w:iCs/>
          <w:sz w:val="22"/>
          <w:szCs w:val="22"/>
          <w:lang w:eastAsia="en-AU"/>
        </w:rPr>
        <w:t>(c) the order appointing the guardian or administrator is no longer in force or is revoked or set aside.</w:t>
      </w:r>
    </w:p>
    <w:p w14:paraId="5A0C58A8" w14:textId="77777777" w:rsidR="005C64CE" w:rsidRPr="00BC6B80" w:rsidRDefault="005C64CE" w:rsidP="00597B6B">
      <w:pPr>
        <w:rPr>
          <w:rFonts w:ascii="Cambria" w:hAnsi="Cambria"/>
          <w:lang w:eastAsia="en-AU"/>
        </w:rPr>
      </w:pPr>
    </w:p>
    <w:p w14:paraId="52B81F1D" w14:textId="243D9057" w:rsidR="002E1B90" w:rsidRPr="00BC6B80" w:rsidRDefault="002E1B90" w:rsidP="002E1B90">
      <w:pPr>
        <w:pStyle w:val="ListParagraph"/>
        <w:numPr>
          <w:ilvl w:val="0"/>
          <w:numId w:val="4"/>
        </w:numPr>
        <w:jc w:val="both"/>
        <w:rPr>
          <w:rFonts w:ascii="Cambria" w:hAnsi="Cambria"/>
          <w:b/>
          <w:bCs/>
          <w:i/>
          <w:iCs/>
        </w:rPr>
      </w:pPr>
      <w:r w:rsidRPr="00BC6B80">
        <w:rPr>
          <w:rFonts w:ascii="Cambria" w:hAnsi="Cambria"/>
          <w:b/>
          <w:bCs/>
          <w:i/>
          <w:iCs/>
        </w:rPr>
        <w:t>Mediation</w:t>
      </w:r>
    </w:p>
    <w:p w14:paraId="36F2AC00" w14:textId="1F45C58B" w:rsidR="00597B6B" w:rsidRPr="00BC6B80" w:rsidRDefault="00597B6B" w:rsidP="00597B6B">
      <w:pPr>
        <w:jc w:val="both"/>
        <w:rPr>
          <w:rFonts w:ascii="Cambria" w:hAnsi="Cambria"/>
        </w:rPr>
      </w:pPr>
      <w:r w:rsidRPr="00BC6B80">
        <w:rPr>
          <w:rFonts w:ascii="Cambria" w:hAnsi="Cambria"/>
        </w:rPr>
        <w:t>Amongst the many functions and powers of the Public Guardian is the promotion and protection of the rights of Tasmanians with disability.</w:t>
      </w:r>
      <w:r w:rsidRPr="00BC6B80">
        <w:rPr>
          <w:rStyle w:val="FootnoteReference"/>
          <w:rFonts w:ascii="Cambria" w:hAnsi="Cambria" w:cs="Calibri"/>
          <w:color w:val="000000"/>
        </w:rPr>
        <w:footnoteReference w:id="24"/>
      </w:r>
      <w:r w:rsidRPr="00BC6B80">
        <w:rPr>
          <w:rFonts w:ascii="Cambria" w:hAnsi="Cambria"/>
        </w:rPr>
        <w:t xml:space="preserve"> However, the Public Guardian also acts as a guardian, a challenging role as was noted in the most recent </w:t>
      </w:r>
      <w:r w:rsidRPr="00BC6B80">
        <w:rPr>
          <w:rFonts w:ascii="Cambria" w:hAnsi="Cambria"/>
          <w:i/>
          <w:iCs/>
        </w:rPr>
        <w:t>Office of the Public Guardian Annual Report</w:t>
      </w:r>
      <w:r w:rsidRPr="00BC6B80">
        <w:rPr>
          <w:rFonts w:ascii="Cambria" w:hAnsi="Cambria"/>
        </w:rPr>
        <w:t>:</w:t>
      </w:r>
    </w:p>
    <w:p w14:paraId="16BD462F" w14:textId="77777777" w:rsidR="00597B6B" w:rsidRPr="00BC6B80" w:rsidRDefault="00597B6B" w:rsidP="00597B6B">
      <w:pPr>
        <w:jc w:val="both"/>
        <w:rPr>
          <w:rFonts w:ascii="Cambria" w:hAnsi="Cambria"/>
        </w:rPr>
      </w:pPr>
    </w:p>
    <w:p w14:paraId="763A25CE" w14:textId="77777777" w:rsidR="00597B6B" w:rsidRPr="00BC6B80" w:rsidRDefault="00597B6B" w:rsidP="00597B6B">
      <w:pPr>
        <w:ind w:left="720"/>
        <w:jc w:val="both"/>
        <w:rPr>
          <w:rFonts w:ascii="Cambria" w:hAnsi="Cambria"/>
          <w:i/>
          <w:iCs/>
          <w:sz w:val="22"/>
          <w:szCs w:val="22"/>
        </w:rPr>
      </w:pPr>
      <w:r w:rsidRPr="00BC6B80">
        <w:rPr>
          <w:rFonts w:ascii="Cambria" w:hAnsi="Cambria"/>
          <w:i/>
          <w:iCs/>
          <w:sz w:val="22"/>
          <w:szCs w:val="22"/>
        </w:rPr>
        <w:t>Guardianship practice is at the most complex end of the social and statutory service spectrum and deals with not only the most vulnerable Tasmanians but the most complex social issues including acute mental illness, behavioural disturbance, and responding to situations of significant abuse, neglect and exploitation.</w:t>
      </w:r>
    </w:p>
    <w:p w14:paraId="2FC93A89" w14:textId="77777777" w:rsidR="00597B6B" w:rsidRPr="00BC6B80" w:rsidRDefault="00597B6B" w:rsidP="00597B6B">
      <w:pPr>
        <w:jc w:val="both"/>
        <w:rPr>
          <w:rFonts w:ascii="Cambria" w:hAnsi="Cambria"/>
          <w:i/>
          <w:iCs/>
        </w:rPr>
      </w:pPr>
    </w:p>
    <w:p w14:paraId="58F898C1" w14:textId="608D5D84" w:rsidR="00597B6B" w:rsidRPr="00BC6B80" w:rsidRDefault="00597B6B" w:rsidP="00E61FFF">
      <w:pPr>
        <w:jc w:val="both"/>
        <w:rPr>
          <w:rFonts w:ascii="Cambria" w:hAnsi="Cambria" w:cs="Calibri"/>
          <w:color w:val="000000"/>
          <w:shd w:val="clear" w:color="auto" w:fill="FFFFFF"/>
        </w:rPr>
      </w:pPr>
      <w:r w:rsidRPr="00BC6B80">
        <w:rPr>
          <w:rFonts w:ascii="Cambria" w:hAnsi="Cambria" w:cs="Calibri"/>
          <w:color w:val="000000"/>
        </w:rPr>
        <w:lastRenderedPageBreak/>
        <w:t>With the Public Guardian making decisions on behalf of 318 Tasmanians on where they live and what care and services they receive</w:t>
      </w:r>
      <w:r w:rsidR="007E2340" w:rsidRPr="00BC6B80">
        <w:rPr>
          <w:rFonts w:ascii="Cambria" w:hAnsi="Cambria" w:cs="Calibri"/>
          <w:color w:val="000000"/>
        </w:rPr>
        <w:t>,</w:t>
      </w:r>
      <w:r w:rsidRPr="00BC6B80">
        <w:rPr>
          <w:rStyle w:val="FootnoteReference"/>
          <w:rFonts w:ascii="Cambria" w:hAnsi="Cambria" w:cs="Calibri"/>
          <w:color w:val="000000"/>
        </w:rPr>
        <w:footnoteReference w:id="25"/>
      </w:r>
      <w:r w:rsidRPr="00BC6B80">
        <w:rPr>
          <w:rFonts w:ascii="Cambria" w:hAnsi="Cambria" w:cs="Calibri"/>
          <w:color w:val="000000"/>
        </w:rPr>
        <w:t xml:space="preserve"> we do not believe it is appropriate that they are appointed as mediator as has been proposed in </w:t>
      </w:r>
      <w:r w:rsidR="002E1B90" w:rsidRPr="00BC6B80">
        <w:rPr>
          <w:rFonts w:ascii="Cambria" w:hAnsi="Cambria" w:cs="Calibri"/>
          <w:color w:val="000000"/>
        </w:rPr>
        <w:t>section</w:t>
      </w:r>
      <w:r w:rsidRPr="00BC6B80">
        <w:rPr>
          <w:rFonts w:ascii="Cambria" w:hAnsi="Cambria" w:cs="Calibri"/>
          <w:color w:val="000000"/>
        </w:rPr>
        <w:t xml:space="preserve"> 70 of the Bill. In</w:t>
      </w:r>
      <w:r w:rsidR="002E1B90" w:rsidRPr="00BC6B80">
        <w:rPr>
          <w:rFonts w:ascii="Cambria" w:hAnsi="Cambria" w:cs="Calibri"/>
          <w:color w:val="000000"/>
        </w:rPr>
        <w:t xml:space="preserve"> circumstances where the Public Guardian is a party to the dispute</w:t>
      </w:r>
      <w:r w:rsidR="00F25EC9" w:rsidRPr="00BC6B80">
        <w:rPr>
          <w:rFonts w:ascii="Cambria" w:hAnsi="Cambria" w:cs="Calibri"/>
          <w:color w:val="000000"/>
        </w:rPr>
        <w:t xml:space="preserve">, </w:t>
      </w:r>
      <w:r w:rsidR="002E1B90" w:rsidRPr="00BC6B80">
        <w:rPr>
          <w:rFonts w:ascii="Cambria" w:hAnsi="Cambria" w:cs="Calibri"/>
          <w:color w:val="000000"/>
        </w:rPr>
        <w:t xml:space="preserve">there would be a conflict of interest if they were also to act as a mediator in an attempt to resolve the dispute. </w:t>
      </w:r>
      <w:r w:rsidR="00E61FFF" w:rsidRPr="00BC6B80">
        <w:rPr>
          <w:rFonts w:ascii="Cambria" w:hAnsi="Cambria" w:cs="Calibri"/>
          <w:color w:val="000000"/>
        </w:rPr>
        <w:t xml:space="preserve">We are also concerned that Public Guardian staff may not have recognised training and qualifications as mediators. </w:t>
      </w:r>
      <w:r w:rsidRPr="00BC6B80">
        <w:rPr>
          <w:rFonts w:ascii="Cambria" w:hAnsi="Cambria" w:cs="Calibri"/>
          <w:color w:val="000000"/>
        </w:rPr>
        <w:t>We strongly believe that mediation should be provided by</w:t>
      </w:r>
      <w:r w:rsidR="00E61FFF" w:rsidRPr="00BC6B80">
        <w:rPr>
          <w:rFonts w:ascii="Cambria" w:hAnsi="Cambria" w:cs="Calibri"/>
          <w:color w:val="000000"/>
        </w:rPr>
        <w:t xml:space="preserve"> mediators independent of the Public Guardian and with </w:t>
      </w:r>
      <w:r w:rsidRPr="00BC6B80">
        <w:rPr>
          <w:rFonts w:ascii="Cambria" w:hAnsi="Cambria" w:cs="Calibri"/>
          <w:color w:val="000000"/>
          <w:shd w:val="clear" w:color="auto" w:fill="FFFFFF"/>
        </w:rPr>
        <w:t xml:space="preserve">recognised alternative dispute resolution </w:t>
      </w:r>
      <w:r w:rsidR="00E61FFF" w:rsidRPr="00BC6B80">
        <w:rPr>
          <w:rFonts w:ascii="Cambria" w:hAnsi="Cambria" w:cs="Calibri"/>
          <w:color w:val="000000"/>
          <w:shd w:val="clear" w:color="auto" w:fill="FFFFFF"/>
        </w:rPr>
        <w:t xml:space="preserve">training and qualifications. </w:t>
      </w:r>
      <w:r w:rsidRPr="00BC6B80">
        <w:rPr>
          <w:rFonts w:ascii="Cambria" w:hAnsi="Cambria" w:cs="Calibri"/>
          <w:color w:val="000000"/>
          <w:shd w:val="clear" w:color="auto" w:fill="FFFFFF"/>
        </w:rPr>
        <w:t xml:space="preserve">  </w:t>
      </w:r>
    </w:p>
    <w:p w14:paraId="2D44ACFA" w14:textId="77777777" w:rsidR="00C372B5" w:rsidRPr="00BC6B80" w:rsidRDefault="00C372B5" w:rsidP="00C372B5">
      <w:pPr>
        <w:jc w:val="both"/>
        <w:rPr>
          <w:rFonts w:ascii="Cambria" w:hAnsi="Cambria" w:cs="Calibri"/>
          <w:color w:val="000000"/>
          <w:shd w:val="clear" w:color="auto" w:fill="FFFFFF"/>
        </w:rPr>
      </w:pPr>
    </w:p>
    <w:p w14:paraId="3EACAD6A" w14:textId="77777777" w:rsidR="00C372B5" w:rsidRPr="00BC6B80" w:rsidRDefault="00C372B5" w:rsidP="00C372B5">
      <w:pPr>
        <w:pStyle w:val="ListParagraph"/>
        <w:numPr>
          <w:ilvl w:val="0"/>
          <w:numId w:val="4"/>
        </w:numPr>
        <w:jc w:val="both"/>
        <w:rPr>
          <w:rFonts w:ascii="Cambria" w:hAnsi="Cambria" w:cs="Calibri"/>
          <w:b/>
          <w:bCs/>
          <w:i/>
          <w:iCs/>
          <w:color w:val="000000"/>
        </w:rPr>
      </w:pPr>
      <w:r w:rsidRPr="00BC6B80">
        <w:rPr>
          <w:rFonts w:ascii="Cambria" w:hAnsi="Cambria" w:cs="Calibri"/>
          <w:b/>
          <w:bCs/>
          <w:i/>
          <w:iCs/>
          <w:color w:val="000000"/>
        </w:rPr>
        <w:t>Resourcing</w:t>
      </w:r>
    </w:p>
    <w:p w14:paraId="0579E40B" w14:textId="7103074D" w:rsidR="003743FD" w:rsidRPr="00BC6B80" w:rsidRDefault="00C5064D" w:rsidP="00CE6242">
      <w:pPr>
        <w:jc w:val="both"/>
        <w:rPr>
          <w:rFonts w:ascii="Cambria" w:hAnsi="Cambria"/>
          <w:color w:val="000000" w:themeColor="text1"/>
        </w:rPr>
      </w:pPr>
      <w:r w:rsidRPr="00BC6B80">
        <w:rPr>
          <w:rFonts w:ascii="Cambria" w:hAnsi="Cambria" w:cs="Calibri"/>
          <w:color w:val="000000" w:themeColor="text1"/>
        </w:rPr>
        <w:t>The modernising of the Act</w:t>
      </w:r>
      <w:r w:rsidR="00B03DF2" w:rsidRPr="00BC6B80">
        <w:rPr>
          <w:rFonts w:ascii="Cambria" w:hAnsi="Cambria" w:cs="Calibri"/>
          <w:color w:val="000000" w:themeColor="text1"/>
        </w:rPr>
        <w:t xml:space="preserve"> through legislative reform must be accompanied by appropriate resourcing </w:t>
      </w:r>
      <w:r w:rsidR="002C0193" w:rsidRPr="00BC6B80">
        <w:rPr>
          <w:rFonts w:ascii="Cambria" w:hAnsi="Cambria" w:cs="Calibri"/>
          <w:color w:val="000000" w:themeColor="text1"/>
        </w:rPr>
        <w:t>to ensure that people have access to effective support to realise their rights and make decisions</w:t>
      </w:r>
      <w:r w:rsidR="00B03DF2" w:rsidRPr="00BC6B80">
        <w:rPr>
          <w:rFonts w:ascii="Cambria" w:hAnsi="Cambria" w:cs="Calibri"/>
          <w:color w:val="000000" w:themeColor="text1"/>
        </w:rPr>
        <w:t>. First and foremost,</w:t>
      </w:r>
      <w:r w:rsidR="007E2340" w:rsidRPr="00BC6B80">
        <w:rPr>
          <w:rFonts w:ascii="Cambria" w:hAnsi="Cambria" w:cs="Calibri"/>
          <w:color w:val="000000" w:themeColor="text1"/>
        </w:rPr>
        <w:t xml:space="preserve"> </w:t>
      </w:r>
      <w:r w:rsidR="003743FD" w:rsidRPr="00BC6B80">
        <w:rPr>
          <w:rFonts w:ascii="Cambria" w:hAnsi="Cambria" w:cs="Calibri"/>
          <w:color w:val="000000" w:themeColor="text1"/>
        </w:rPr>
        <w:t xml:space="preserve">we strongly endorse </w:t>
      </w:r>
      <w:r w:rsidR="00B03DF2" w:rsidRPr="00BC6B80">
        <w:rPr>
          <w:rFonts w:ascii="Cambria" w:hAnsi="Cambria" w:cs="Calibri"/>
          <w:color w:val="000000" w:themeColor="text1"/>
        </w:rPr>
        <w:t>t</w:t>
      </w:r>
      <w:r w:rsidR="00C372B5" w:rsidRPr="00BC6B80">
        <w:rPr>
          <w:rFonts w:ascii="Cambria" w:hAnsi="Cambria" w:cs="Calibri"/>
          <w:color w:val="000000" w:themeColor="text1"/>
        </w:rPr>
        <w:t xml:space="preserve">he </w:t>
      </w:r>
      <w:r w:rsidR="00883EDD" w:rsidRPr="00BC6B80">
        <w:rPr>
          <w:rFonts w:ascii="Cambria" w:hAnsi="Cambria" w:cs="Calibri"/>
          <w:color w:val="000000" w:themeColor="text1"/>
        </w:rPr>
        <w:t xml:space="preserve">Tasmanian Law Reform </w:t>
      </w:r>
      <w:r w:rsidR="00C372B5" w:rsidRPr="00BC6B80">
        <w:rPr>
          <w:rFonts w:ascii="Cambria" w:hAnsi="Cambria" w:cs="Calibri"/>
          <w:color w:val="000000" w:themeColor="text1"/>
        </w:rPr>
        <w:t>Institute recommend</w:t>
      </w:r>
      <w:r w:rsidR="003743FD" w:rsidRPr="00BC6B80">
        <w:rPr>
          <w:rFonts w:ascii="Cambria" w:hAnsi="Cambria" w:cs="Calibri"/>
          <w:color w:val="000000" w:themeColor="text1"/>
        </w:rPr>
        <w:t xml:space="preserve">ation of  </w:t>
      </w:r>
      <w:r w:rsidR="00883EDD" w:rsidRPr="00BC6B80">
        <w:rPr>
          <w:rFonts w:ascii="Cambria" w:hAnsi="Cambria" w:cs="Calibri"/>
          <w:color w:val="000000" w:themeColor="text1"/>
        </w:rPr>
        <w:t>a</w:t>
      </w:r>
      <w:r w:rsidR="00C372B5" w:rsidRPr="00BC6B80">
        <w:rPr>
          <w:rFonts w:ascii="Cambria" w:hAnsi="Cambria" w:cs="Calibri"/>
          <w:color w:val="000000" w:themeColor="text1"/>
        </w:rPr>
        <w:t xml:space="preserve"> public education campaign </w:t>
      </w:r>
      <w:r w:rsidR="00883EDD" w:rsidRPr="00BC6B80">
        <w:rPr>
          <w:rFonts w:ascii="Cambria" w:hAnsi="Cambria" w:cs="Calibri"/>
          <w:color w:val="000000" w:themeColor="text1"/>
        </w:rPr>
        <w:t>which w</w:t>
      </w:r>
      <w:r w:rsidR="003743FD" w:rsidRPr="00BC6B80">
        <w:rPr>
          <w:rFonts w:ascii="Cambria" w:hAnsi="Cambria" w:cs="Calibri"/>
          <w:color w:val="000000" w:themeColor="text1"/>
        </w:rPr>
        <w:t>ill</w:t>
      </w:r>
      <w:r w:rsidR="00C372B5" w:rsidRPr="00BC6B80">
        <w:rPr>
          <w:rFonts w:ascii="Cambria" w:hAnsi="Cambria" w:cs="Calibri"/>
          <w:color w:val="000000" w:themeColor="text1"/>
        </w:rPr>
        <w:t xml:space="preserve"> ensure that all members of the </w:t>
      </w:r>
      <w:r w:rsidR="00C372B5" w:rsidRPr="00BC6B80">
        <w:rPr>
          <w:rFonts w:ascii="Cambria" w:hAnsi="Cambria"/>
          <w:color w:val="000000" w:themeColor="text1"/>
        </w:rPr>
        <w:t xml:space="preserve">Tasmanian community </w:t>
      </w:r>
      <w:r w:rsidR="00B03DF2" w:rsidRPr="00BC6B80">
        <w:rPr>
          <w:rFonts w:ascii="Cambria" w:hAnsi="Cambria"/>
          <w:color w:val="000000" w:themeColor="text1"/>
        </w:rPr>
        <w:t>better understand</w:t>
      </w:r>
      <w:r w:rsidR="00C372B5" w:rsidRPr="00BC6B80">
        <w:rPr>
          <w:rFonts w:ascii="Cambria" w:hAnsi="Cambria"/>
          <w:color w:val="000000" w:themeColor="text1"/>
        </w:rPr>
        <w:t xml:space="preserve"> the rights of people with disability</w:t>
      </w:r>
      <w:r w:rsidR="003743FD" w:rsidRPr="00BC6B80">
        <w:rPr>
          <w:rFonts w:ascii="Cambria" w:hAnsi="Cambria"/>
          <w:color w:val="000000" w:themeColor="text1"/>
        </w:rPr>
        <w:t>. This will in turn avoid</w:t>
      </w:r>
      <w:r w:rsidR="00B03DF2" w:rsidRPr="00BC6B80">
        <w:rPr>
          <w:rFonts w:ascii="Cambria" w:hAnsi="Cambria"/>
          <w:color w:val="000000" w:themeColor="text1"/>
        </w:rPr>
        <w:t xml:space="preserve"> breaches of the Act</w:t>
      </w:r>
      <w:r w:rsidR="003743FD" w:rsidRPr="00BC6B80">
        <w:rPr>
          <w:rFonts w:ascii="Cambria" w:hAnsi="Cambria"/>
          <w:color w:val="000000" w:themeColor="text1"/>
        </w:rPr>
        <w:t xml:space="preserve"> and</w:t>
      </w:r>
      <w:r w:rsidR="00B03DF2" w:rsidRPr="00BC6B80">
        <w:rPr>
          <w:rFonts w:ascii="Cambria" w:hAnsi="Cambria"/>
          <w:color w:val="000000" w:themeColor="text1"/>
        </w:rPr>
        <w:t xml:space="preserve"> reduce the burden on </w:t>
      </w:r>
      <w:r w:rsidR="003743FD" w:rsidRPr="00BC6B80">
        <w:rPr>
          <w:rFonts w:ascii="Cambria" w:hAnsi="Cambria"/>
          <w:color w:val="000000" w:themeColor="text1"/>
        </w:rPr>
        <w:t>advocacy services and the Tribunal</w:t>
      </w:r>
      <w:r w:rsidR="00B03DF2" w:rsidRPr="00BC6B80">
        <w:rPr>
          <w:rFonts w:ascii="Cambria" w:hAnsi="Cambria"/>
          <w:color w:val="000000" w:themeColor="text1"/>
        </w:rPr>
        <w:t>.</w:t>
      </w:r>
      <w:r w:rsidR="00B03DF2" w:rsidRPr="00BC6B80">
        <w:rPr>
          <w:rStyle w:val="FootnoteReference"/>
          <w:rFonts w:ascii="Cambria" w:hAnsi="Cambria"/>
          <w:color w:val="000000" w:themeColor="text1"/>
        </w:rPr>
        <w:footnoteReference w:id="26"/>
      </w:r>
    </w:p>
    <w:p w14:paraId="76768DEB" w14:textId="77777777" w:rsidR="003743FD" w:rsidRPr="00BC6B80" w:rsidRDefault="003743FD" w:rsidP="00CE6242">
      <w:pPr>
        <w:jc w:val="both"/>
        <w:rPr>
          <w:rFonts w:ascii="Cambria" w:hAnsi="Cambria"/>
          <w:color w:val="000000" w:themeColor="text1"/>
        </w:rPr>
      </w:pPr>
    </w:p>
    <w:p w14:paraId="221A1507" w14:textId="302E2CB9" w:rsidR="00883EDD" w:rsidRPr="00BC6B80" w:rsidRDefault="00C372B5" w:rsidP="00CE6242">
      <w:pPr>
        <w:jc w:val="both"/>
        <w:rPr>
          <w:rFonts w:ascii="Cambria" w:hAnsi="Cambria"/>
          <w:color w:val="000000" w:themeColor="text1"/>
        </w:rPr>
      </w:pPr>
      <w:r w:rsidRPr="00BC6B80">
        <w:rPr>
          <w:rFonts w:ascii="Cambria" w:hAnsi="Cambria" w:cs="Calibri"/>
          <w:color w:val="000000" w:themeColor="text1"/>
        </w:rPr>
        <w:t xml:space="preserve">As well, the TLRI emphasised the importance of ensuring that </w:t>
      </w:r>
      <w:r w:rsidR="00883EDD" w:rsidRPr="00BC6B80">
        <w:rPr>
          <w:rFonts w:ascii="Cambria" w:hAnsi="Cambria" w:cs="Calibri"/>
          <w:color w:val="000000" w:themeColor="text1"/>
        </w:rPr>
        <w:t xml:space="preserve">culturally appropriate </w:t>
      </w:r>
      <w:r w:rsidRPr="00BC6B80">
        <w:rPr>
          <w:rFonts w:ascii="Cambria" w:hAnsi="Cambria" w:cs="Calibri"/>
          <w:color w:val="000000" w:themeColor="text1"/>
        </w:rPr>
        <w:t>decision-making supports are available to all members of the community, an important policy in the Tasmanian context with many Tasmanians living in regional, rural and remote areas. As the TLRI</w:t>
      </w:r>
      <w:r w:rsidR="00883EDD" w:rsidRPr="00BC6B80">
        <w:rPr>
          <w:rFonts w:ascii="Cambria" w:hAnsi="Cambria" w:cs="Calibri"/>
          <w:color w:val="000000" w:themeColor="text1"/>
        </w:rPr>
        <w:t xml:space="preserve"> observed</w:t>
      </w:r>
      <w:r w:rsidRPr="00BC6B80">
        <w:rPr>
          <w:rFonts w:ascii="Cambria" w:hAnsi="Cambria" w:cs="Calibri"/>
          <w:color w:val="000000" w:themeColor="text1"/>
        </w:rPr>
        <w:t xml:space="preserve"> “</w:t>
      </w:r>
      <w:r w:rsidR="00883EDD" w:rsidRPr="00BC6B80">
        <w:rPr>
          <w:rFonts w:ascii="Cambria" w:hAnsi="Cambria"/>
          <w:color w:val="000000" w:themeColor="text1"/>
        </w:rPr>
        <w:t>d</w:t>
      </w:r>
      <w:r w:rsidRPr="00BC6B80">
        <w:rPr>
          <w:rFonts w:ascii="Cambria" w:hAnsi="Cambria"/>
          <w:color w:val="000000" w:themeColor="text1"/>
        </w:rPr>
        <w:t>ecision-making supports must be able to be utilised at low or no cost to ensure that an individual’s financial position does not preclude equal access to support”.</w:t>
      </w:r>
      <w:r w:rsidRPr="00BC6B80">
        <w:rPr>
          <w:rStyle w:val="FootnoteReference"/>
          <w:rFonts w:ascii="Cambria" w:hAnsi="Cambria" w:cs="Calibri"/>
          <w:color w:val="000000" w:themeColor="text1"/>
        </w:rPr>
        <w:footnoteReference w:id="27"/>
      </w:r>
    </w:p>
    <w:p w14:paraId="67E0BC91" w14:textId="77777777" w:rsidR="00C96FC8" w:rsidRPr="00BC6B80" w:rsidRDefault="00C96FC8" w:rsidP="00CE6242">
      <w:pPr>
        <w:jc w:val="both"/>
        <w:rPr>
          <w:rFonts w:ascii="Cambria" w:hAnsi="Cambria"/>
          <w:color w:val="000000" w:themeColor="text1"/>
        </w:rPr>
      </w:pPr>
    </w:p>
    <w:p w14:paraId="0FEB39D6" w14:textId="5AE04D0C" w:rsidR="00F25EC9" w:rsidRPr="00BC6B80" w:rsidRDefault="00C96FC8" w:rsidP="00C372B5">
      <w:pPr>
        <w:jc w:val="both"/>
        <w:rPr>
          <w:rFonts w:ascii="Cambria" w:hAnsi="Cambria" w:cs="Segoe UI"/>
          <w:color w:val="000000" w:themeColor="text1"/>
          <w:shd w:val="clear" w:color="auto" w:fill="FFFFFF"/>
        </w:rPr>
      </w:pPr>
      <w:r w:rsidRPr="00BC6B80">
        <w:rPr>
          <w:rFonts w:ascii="Cambria" w:hAnsi="Cambria"/>
          <w:color w:val="000000" w:themeColor="text1"/>
        </w:rPr>
        <w:t xml:space="preserve">Decision-making support must also include </w:t>
      </w:r>
      <w:r w:rsidR="00F25EC9" w:rsidRPr="00BC6B80">
        <w:rPr>
          <w:rFonts w:ascii="Cambria" w:hAnsi="Cambria"/>
          <w:color w:val="000000" w:themeColor="text1"/>
        </w:rPr>
        <w:t xml:space="preserve">the option of </w:t>
      </w:r>
      <w:r w:rsidRPr="00BC6B80">
        <w:rPr>
          <w:rFonts w:ascii="Cambria" w:hAnsi="Cambria"/>
          <w:color w:val="000000" w:themeColor="text1"/>
        </w:rPr>
        <w:t>representation.</w:t>
      </w:r>
      <w:r w:rsidR="00E12A8E" w:rsidRPr="00BC6B80">
        <w:rPr>
          <w:rFonts w:ascii="Cambria" w:hAnsi="Cambria"/>
          <w:color w:val="000000" w:themeColor="text1"/>
        </w:rPr>
        <w:t xml:space="preserve"> </w:t>
      </w:r>
      <w:r w:rsidR="00103B5A" w:rsidRPr="00BC6B80">
        <w:rPr>
          <w:rFonts w:ascii="Cambria" w:hAnsi="Cambria"/>
          <w:color w:val="000000" w:themeColor="text1"/>
          <w:shd w:val="clear" w:color="auto" w:fill="FFFFFF"/>
        </w:rPr>
        <w:t xml:space="preserve">The importance of representation is that it can act as a safeguard that both protects and promotes a person’s will and preference. Whilst </w:t>
      </w:r>
      <w:r w:rsidRPr="00BC6B80">
        <w:rPr>
          <w:rFonts w:ascii="Cambria" w:hAnsi="Cambria"/>
          <w:color w:val="000000" w:themeColor="text1"/>
          <w:shd w:val="clear" w:color="auto" w:fill="FFFFFF"/>
        </w:rPr>
        <w:t>many represented person</w:t>
      </w:r>
      <w:r w:rsidR="00595637" w:rsidRPr="00BC6B80">
        <w:rPr>
          <w:rFonts w:ascii="Cambria" w:hAnsi="Cambria"/>
          <w:color w:val="000000" w:themeColor="text1"/>
          <w:shd w:val="clear" w:color="auto" w:fill="FFFFFF"/>
        </w:rPr>
        <w:t>s</w:t>
      </w:r>
      <w:r w:rsidRPr="00BC6B80">
        <w:rPr>
          <w:rFonts w:ascii="Cambria" w:hAnsi="Cambria"/>
          <w:color w:val="000000" w:themeColor="text1"/>
          <w:shd w:val="clear" w:color="auto" w:fill="FFFFFF"/>
        </w:rPr>
        <w:t xml:space="preserve"> will not want or need </w:t>
      </w:r>
      <w:r w:rsidR="00103B5A" w:rsidRPr="00BC6B80">
        <w:rPr>
          <w:rFonts w:ascii="Cambria" w:hAnsi="Cambria"/>
          <w:color w:val="000000" w:themeColor="text1"/>
          <w:shd w:val="clear" w:color="auto" w:fill="FFFFFF"/>
        </w:rPr>
        <w:t>representatio</w:t>
      </w:r>
      <w:r w:rsidRPr="00BC6B80">
        <w:rPr>
          <w:rFonts w:ascii="Cambria" w:hAnsi="Cambria"/>
          <w:color w:val="000000" w:themeColor="text1"/>
          <w:shd w:val="clear" w:color="auto" w:fill="FFFFFF"/>
        </w:rPr>
        <w:t>n</w:t>
      </w:r>
      <w:r w:rsidR="00103B5A" w:rsidRPr="00BC6B80">
        <w:rPr>
          <w:rFonts w:ascii="Cambria" w:hAnsi="Cambria"/>
          <w:color w:val="000000" w:themeColor="text1"/>
          <w:shd w:val="clear" w:color="auto" w:fill="FFFFFF"/>
        </w:rPr>
        <w:t>, it must be freely available.</w:t>
      </w:r>
      <w:r w:rsidR="00E12A8E" w:rsidRPr="00BC6B80">
        <w:rPr>
          <w:rFonts w:ascii="Cambria" w:hAnsi="Cambria"/>
          <w:color w:val="000000" w:themeColor="text1"/>
          <w:shd w:val="clear" w:color="auto" w:fill="FFFFFF"/>
        </w:rPr>
        <w:t xml:space="preserve"> The </w:t>
      </w:r>
      <w:r w:rsidR="00E12A8E" w:rsidRPr="00BC6B80">
        <w:rPr>
          <w:rFonts w:ascii="Cambria" w:hAnsi="Cambria" w:cs="Segoe UI"/>
          <w:color w:val="000000" w:themeColor="text1"/>
          <w:shd w:val="clear" w:color="auto" w:fill="FFFFFF"/>
        </w:rPr>
        <w:t>shift</w:t>
      </w:r>
      <w:r w:rsidR="00F25EC9" w:rsidRPr="00BC6B80">
        <w:rPr>
          <w:rFonts w:ascii="Cambria" w:hAnsi="Cambria" w:cs="Segoe UI"/>
          <w:color w:val="000000" w:themeColor="text1"/>
          <w:shd w:val="clear" w:color="auto" w:fill="FFFFFF"/>
        </w:rPr>
        <w:t xml:space="preserve"> </w:t>
      </w:r>
      <w:r w:rsidR="00E12A8E" w:rsidRPr="00BC6B80">
        <w:rPr>
          <w:rFonts w:ascii="Cambria" w:hAnsi="Cambria" w:cs="Segoe UI"/>
          <w:color w:val="000000" w:themeColor="text1"/>
          <w:shd w:val="clear" w:color="auto" w:fill="FFFFFF"/>
        </w:rPr>
        <w:t>from a best</w:t>
      </w:r>
      <w:r w:rsidR="007E2340" w:rsidRPr="00BC6B80">
        <w:rPr>
          <w:rFonts w:ascii="Cambria" w:hAnsi="Cambria" w:cs="Segoe UI"/>
          <w:color w:val="000000" w:themeColor="text1"/>
          <w:shd w:val="clear" w:color="auto" w:fill="FFFFFF"/>
        </w:rPr>
        <w:t>-</w:t>
      </w:r>
      <w:r w:rsidR="00E12A8E" w:rsidRPr="00BC6B80">
        <w:rPr>
          <w:rFonts w:ascii="Cambria" w:hAnsi="Cambria" w:cs="Segoe UI"/>
          <w:color w:val="000000" w:themeColor="text1"/>
          <w:shd w:val="clear" w:color="auto" w:fill="FFFFFF"/>
        </w:rPr>
        <w:t>interests</w:t>
      </w:r>
      <w:r w:rsidR="00F25EC9" w:rsidRPr="00BC6B80">
        <w:rPr>
          <w:rFonts w:ascii="Cambria" w:hAnsi="Cambria" w:cs="Segoe UI"/>
          <w:color w:val="000000" w:themeColor="text1"/>
          <w:shd w:val="clear" w:color="auto" w:fill="FFFFFF"/>
        </w:rPr>
        <w:t xml:space="preserve"> </w:t>
      </w:r>
      <w:r w:rsidR="00E12A8E" w:rsidRPr="00BC6B80">
        <w:rPr>
          <w:rFonts w:ascii="Cambria" w:hAnsi="Cambria" w:cs="Segoe UI"/>
          <w:color w:val="000000" w:themeColor="text1"/>
          <w:shd w:val="clear" w:color="auto" w:fill="FFFFFF"/>
        </w:rPr>
        <w:t>to a will and preference model</w:t>
      </w:r>
      <w:r w:rsidR="00F25EC9" w:rsidRPr="00BC6B80">
        <w:rPr>
          <w:rFonts w:ascii="Cambria" w:hAnsi="Cambria" w:cs="Segoe UI"/>
          <w:color w:val="000000" w:themeColor="text1"/>
          <w:shd w:val="clear" w:color="auto" w:fill="FFFFFF"/>
        </w:rPr>
        <w:t xml:space="preserve"> of decision making</w:t>
      </w:r>
      <w:r w:rsidR="00E12A8E" w:rsidRPr="00BC6B80">
        <w:rPr>
          <w:rFonts w:ascii="Cambria" w:hAnsi="Cambria" w:cs="Segoe UI"/>
          <w:color w:val="000000" w:themeColor="text1"/>
          <w:shd w:val="clear" w:color="auto" w:fill="FFFFFF"/>
        </w:rPr>
        <w:t xml:space="preserve">, will mean that in many cases decision makers will be assisted </w:t>
      </w:r>
      <w:r w:rsidR="00EF4C6B" w:rsidRPr="00BC6B80">
        <w:rPr>
          <w:rFonts w:ascii="Cambria" w:hAnsi="Cambria" w:cs="Segoe UI"/>
          <w:color w:val="000000" w:themeColor="text1"/>
          <w:shd w:val="clear" w:color="auto" w:fill="FFFFFF"/>
        </w:rPr>
        <w:t>by representation wh</w:t>
      </w:r>
      <w:r w:rsidR="00F25EC9" w:rsidRPr="00BC6B80">
        <w:rPr>
          <w:rFonts w:ascii="Cambria" w:hAnsi="Cambria" w:cs="Segoe UI"/>
          <w:color w:val="000000" w:themeColor="text1"/>
          <w:shd w:val="clear" w:color="auto" w:fill="FFFFFF"/>
        </w:rPr>
        <w:t>o</w:t>
      </w:r>
      <w:r w:rsidR="00EF4C6B" w:rsidRPr="00BC6B80">
        <w:rPr>
          <w:rFonts w:ascii="Cambria" w:hAnsi="Cambria" w:cs="Segoe UI"/>
          <w:color w:val="000000" w:themeColor="text1"/>
          <w:shd w:val="clear" w:color="auto" w:fill="FFFFFF"/>
        </w:rPr>
        <w:t xml:space="preserve"> can speak to </w:t>
      </w:r>
      <w:r w:rsidR="00E12A8E" w:rsidRPr="00BC6B80">
        <w:rPr>
          <w:rFonts w:ascii="Cambria" w:hAnsi="Cambria" w:cs="Segoe UI"/>
          <w:color w:val="000000" w:themeColor="text1"/>
          <w:shd w:val="clear" w:color="auto" w:fill="FFFFFF"/>
        </w:rPr>
        <w:t>the wishes and preferences of the represented person</w:t>
      </w:r>
      <w:r w:rsidR="00EF4C6B" w:rsidRPr="00BC6B80">
        <w:rPr>
          <w:rFonts w:ascii="Cambria" w:hAnsi="Cambria" w:cs="Segoe UI"/>
          <w:color w:val="000000" w:themeColor="text1"/>
          <w:shd w:val="clear" w:color="auto" w:fill="FFFFFF"/>
        </w:rPr>
        <w:t xml:space="preserve">. A significant increase in </w:t>
      </w:r>
      <w:r w:rsidR="00F25EC9" w:rsidRPr="00BC6B80">
        <w:rPr>
          <w:rFonts w:ascii="Cambria" w:hAnsi="Cambria" w:cs="Segoe UI"/>
          <w:color w:val="000000" w:themeColor="text1"/>
          <w:shd w:val="clear" w:color="auto" w:fill="FFFFFF"/>
        </w:rPr>
        <w:t xml:space="preserve">funding to </w:t>
      </w:r>
      <w:r w:rsidR="00EF4C6B" w:rsidRPr="00BC6B80">
        <w:rPr>
          <w:rFonts w:ascii="Cambria" w:hAnsi="Cambria" w:cs="Segoe UI"/>
          <w:color w:val="000000" w:themeColor="text1"/>
          <w:shd w:val="clear" w:color="auto" w:fill="FFFFFF"/>
        </w:rPr>
        <w:t xml:space="preserve">representation </w:t>
      </w:r>
      <w:r w:rsidR="00F25EC9" w:rsidRPr="00BC6B80">
        <w:rPr>
          <w:rFonts w:ascii="Cambria" w:hAnsi="Cambria" w:cs="Segoe UI"/>
          <w:color w:val="000000" w:themeColor="text1"/>
          <w:shd w:val="clear" w:color="auto" w:fill="FFFFFF"/>
        </w:rPr>
        <w:t xml:space="preserve">services </w:t>
      </w:r>
      <w:r w:rsidR="00EF4C6B" w:rsidRPr="00BC6B80">
        <w:rPr>
          <w:rFonts w:ascii="Cambria" w:hAnsi="Cambria" w:cs="Segoe UI"/>
          <w:color w:val="000000" w:themeColor="text1"/>
          <w:shd w:val="clear" w:color="auto" w:fill="FFFFFF"/>
        </w:rPr>
        <w:t>will be necessary given the paucity currently being provided</w:t>
      </w:r>
      <w:r w:rsidR="007E2340" w:rsidRPr="00BC6B80">
        <w:rPr>
          <w:rFonts w:ascii="Cambria" w:hAnsi="Cambria" w:cs="Segoe UI"/>
          <w:color w:val="000000" w:themeColor="text1"/>
          <w:shd w:val="clear" w:color="auto" w:fill="FFFFFF"/>
        </w:rPr>
        <w:t>,</w:t>
      </w:r>
      <w:r w:rsidR="00EF4C6B" w:rsidRPr="00BC6B80">
        <w:rPr>
          <w:rFonts w:ascii="Cambria" w:hAnsi="Cambria" w:cs="Segoe UI"/>
          <w:color w:val="000000" w:themeColor="text1"/>
          <w:shd w:val="clear" w:color="auto" w:fill="FFFFFF"/>
        </w:rPr>
        <w:t xml:space="preserve"> with the</w:t>
      </w:r>
      <w:r w:rsidR="00EF4C6B" w:rsidRPr="00BC6B80">
        <w:rPr>
          <w:rFonts w:ascii="Cambria" w:hAnsi="Cambria"/>
          <w:color w:val="000000" w:themeColor="text1"/>
          <w:shd w:val="clear" w:color="auto" w:fill="FFFFFF"/>
        </w:rPr>
        <w:t xml:space="preserve"> most recent Tasmanian Civil and Administrative Tribunal</w:t>
      </w:r>
      <w:r w:rsidR="00EF4C6B" w:rsidRPr="00BC6B80">
        <w:rPr>
          <w:rFonts w:ascii="Cambria" w:hAnsi="Cambria"/>
          <w:i/>
          <w:iCs/>
          <w:color w:val="000000" w:themeColor="text1"/>
          <w:shd w:val="clear" w:color="auto" w:fill="FFFFFF"/>
        </w:rPr>
        <w:t xml:space="preserve"> Annual Report</w:t>
      </w:r>
      <w:r w:rsidR="00EF4C6B" w:rsidRPr="00BC6B80">
        <w:rPr>
          <w:rFonts w:ascii="Cambria" w:hAnsi="Cambria"/>
          <w:color w:val="000000" w:themeColor="text1"/>
          <w:shd w:val="clear" w:color="auto" w:fill="FFFFFF"/>
        </w:rPr>
        <w:t xml:space="preserve"> noting that representation was only provided in 3.6 per cent of cases in 2021-22</w:t>
      </w:r>
      <w:r w:rsidR="00F25EC9" w:rsidRPr="00BC6B80">
        <w:rPr>
          <w:rFonts w:ascii="Cambria" w:hAnsi="Cambria"/>
          <w:color w:val="000000" w:themeColor="text1"/>
          <w:shd w:val="clear" w:color="auto" w:fill="FFFFFF"/>
        </w:rPr>
        <w:t>.</w:t>
      </w:r>
      <w:r w:rsidR="00EF4C6B" w:rsidRPr="00BC6B80">
        <w:rPr>
          <w:rStyle w:val="FootnoteReference"/>
          <w:rFonts w:ascii="Cambria" w:hAnsi="Cambria"/>
          <w:color w:val="000000" w:themeColor="text1"/>
          <w:shd w:val="clear" w:color="auto" w:fill="FFFFFF"/>
        </w:rPr>
        <w:footnoteReference w:id="28"/>
      </w:r>
    </w:p>
    <w:p w14:paraId="4FBA63BF" w14:textId="77777777" w:rsidR="00F25EC9" w:rsidRPr="00BC6B80" w:rsidRDefault="00F25EC9" w:rsidP="00C372B5">
      <w:pPr>
        <w:jc w:val="both"/>
        <w:rPr>
          <w:rFonts w:ascii="Cambria" w:hAnsi="Cambria" w:cs="Segoe UI"/>
          <w:color w:val="000000" w:themeColor="text1"/>
          <w:shd w:val="clear" w:color="auto" w:fill="FFFFFF"/>
        </w:rPr>
      </w:pPr>
    </w:p>
    <w:p w14:paraId="25C69880" w14:textId="0239B69E" w:rsidR="00CE6242" w:rsidRPr="00BC6B80" w:rsidRDefault="00EF4C6B" w:rsidP="00C372B5">
      <w:pPr>
        <w:jc w:val="both"/>
        <w:rPr>
          <w:rFonts w:ascii="Cambria" w:hAnsi="Cambria" w:cs="Segoe UI"/>
          <w:color w:val="000000" w:themeColor="text1"/>
          <w:shd w:val="clear" w:color="auto" w:fill="FFFFFF"/>
        </w:rPr>
      </w:pPr>
      <w:r w:rsidRPr="00BC6B80">
        <w:rPr>
          <w:rFonts w:ascii="Cambria" w:hAnsi="Cambria"/>
          <w:color w:val="000000" w:themeColor="text1"/>
          <w:shd w:val="clear" w:color="auto" w:fill="FFFFFF"/>
        </w:rPr>
        <w:t>As well, w</w:t>
      </w:r>
      <w:r w:rsidR="00595637" w:rsidRPr="00BC6B80">
        <w:rPr>
          <w:rFonts w:ascii="Cambria" w:hAnsi="Cambria"/>
          <w:color w:val="000000" w:themeColor="text1"/>
          <w:shd w:val="clear" w:color="auto" w:fill="FFFFFF"/>
        </w:rPr>
        <w:t>hilst the Tasmanian Civil and Administrative Tribunal has the power to appoint a person to represent a party</w:t>
      </w:r>
      <w:r w:rsidR="007E2340" w:rsidRPr="00BC6B80">
        <w:rPr>
          <w:rFonts w:ascii="Cambria" w:hAnsi="Cambria"/>
          <w:color w:val="000000" w:themeColor="text1"/>
          <w:shd w:val="clear" w:color="auto" w:fill="FFFFFF"/>
        </w:rPr>
        <w:t>,</w:t>
      </w:r>
      <w:r w:rsidR="00595637" w:rsidRPr="00BC6B80">
        <w:rPr>
          <w:rStyle w:val="FootnoteReference"/>
          <w:rFonts w:ascii="Cambria" w:hAnsi="Cambria"/>
          <w:color w:val="000000" w:themeColor="text1"/>
          <w:shd w:val="clear" w:color="auto" w:fill="FFFFFF"/>
        </w:rPr>
        <w:footnoteReference w:id="29"/>
      </w:r>
      <w:r w:rsidR="00595637" w:rsidRPr="00BC6B80">
        <w:rPr>
          <w:rFonts w:ascii="Cambria" w:hAnsi="Cambria"/>
          <w:color w:val="000000" w:themeColor="text1"/>
          <w:shd w:val="clear" w:color="auto" w:fill="FFFFFF"/>
        </w:rPr>
        <w:t xml:space="preserve"> we strongly </w:t>
      </w:r>
      <w:r w:rsidR="00161A57" w:rsidRPr="00BC6B80">
        <w:rPr>
          <w:rFonts w:ascii="Cambria" w:hAnsi="Cambria"/>
          <w:color w:val="000000" w:themeColor="text1"/>
          <w:shd w:val="clear" w:color="auto" w:fill="FFFFFF"/>
        </w:rPr>
        <w:t xml:space="preserve">believe that there are circumstances </w:t>
      </w:r>
      <w:r w:rsidR="003743FD" w:rsidRPr="00BC6B80">
        <w:rPr>
          <w:rFonts w:ascii="Cambria" w:hAnsi="Cambria"/>
          <w:color w:val="000000" w:themeColor="text1"/>
          <w:shd w:val="clear" w:color="auto" w:fill="FFFFFF"/>
        </w:rPr>
        <w:lastRenderedPageBreak/>
        <w:t xml:space="preserve">warranting the </w:t>
      </w:r>
      <w:r w:rsidR="00161A57" w:rsidRPr="00BC6B80">
        <w:rPr>
          <w:rFonts w:ascii="Cambria" w:hAnsi="Cambria"/>
          <w:color w:val="000000" w:themeColor="text1"/>
          <w:shd w:val="clear" w:color="auto" w:fill="FFFFFF"/>
        </w:rPr>
        <w:t>appointment of representation</w:t>
      </w:r>
      <w:r w:rsidR="0011314C" w:rsidRPr="00BC6B80">
        <w:rPr>
          <w:rFonts w:ascii="Cambria" w:hAnsi="Cambria"/>
          <w:color w:val="000000" w:themeColor="text1"/>
          <w:shd w:val="clear" w:color="auto" w:fill="FFFFFF"/>
        </w:rPr>
        <w:t xml:space="preserve"> and this should be expressly set out in the Act</w:t>
      </w:r>
      <w:r w:rsidR="00161A57" w:rsidRPr="00BC6B80">
        <w:rPr>
          <w:rFonts w:ascii="Cambria" w:hAnsi="Cambria"/>
          <w:color w:val="000000" w:themeColor="text1"/>
          <w:shd w:val="clear" w:color="auto" w:fill="FFFFFF"/>
        </w:rPr>
        <w:t xml:space="preserve">. </w:t>
      </w:r>
      <w:r w:rsidR="0011314C" w:rsidRPr="00BC6B80">
        <w:rPr>
          <w:rFonts w:ascii="Cambria" w:hAnsi="Cambria"/>
          <w:color w:val="000000" w:themeColor="text1"/>
          <w:shd w:val="clear" w:color="auto" w:fill="FFFFFF"/>
        </w:rPr>
        <w:t xml:space="preserve">We strongly support the TLRI’s recommendation </w:t>
      </w:r>
      <w:r w:rsidR="00BA1458" w:rsidRPr="00BC6B80">
        <w:rPr>
          <w:rFonts w:ascii="Cambria" w:hAnsi="Cambria"/>
          <w:color w:val="000000" w:themeColor="text1"/>
          <w:shd w:val="clear" w:color="auto" w:fill="FFFFFF"/>
        </w:rPr>
        <w:t xml:space="preserve">that the Act contain an equivalent provision to that found formerly in </w:t>
      </w:r>
      <w:r w:rsidR="0011314C" w:rsidRPr="00BC6B80">
        <w:rPr>
          <w:rFonts w:ascii="Cambria" w:hAnsi="Cambria"/>
          <w:color w:val="000000" w:themeColor="text1"/>
          <w:shd w:val="clear" w:color="auto" w:fill="FFFFFF"/>
        </w:rPr>
        <w:t xml:space="preserve">the </w:t>
      </w:r>
      <w:r w:rsidR="0011314C" w:rsidRPr="00BC6B80">
        <w:rPr>
          <w:rFonts w:ascii="Cambria" w:hAnsi="Cambria"/>
          <w:i/>
          <w:iCs/>
          <w:color w:val="000000" w:themeColor="text1"/>
          <w:shd w:val="clear" w:color="auto" w:fill="FFFFFF"/>
        </w:rPr>
        <w:t>Mental Health Act 2013</w:t>
      </w:r>
      <w:r w:rsidR="0011314C" w:rsidRPr="00BC6B80">
        <w:rPr>
          <w:rFonts w:ascii="Cambria" w:hAnsi="Cambria"/>
          <w:color w:val="000000" w:themeColor="text1"/>
          <w:shd w:val="clear" w:color="auto" w:fill="FFFFFF"/>
        </w:rPr>
        <w:t xml:space="preserve"> (Tas)</w:t>
      </w:r>
      <w:r w:rsidR="007E2340" w:rsidRPr="00BC6B80">
        <w:rPr>
          <w:rFonts w:ascii="Cambria" w:hAnsi="Cambria"/>
          <w:color w:val="000000" w:themeColor="text1"/>
          <w:shd w:val="clear" w:color="auto" w:fill="FFFFFF"/>
        </w:rPr>
        <w:t>;</w:t>
      </w:r>
      <w:r w:rsidR="0011314C" w:rsidRPr="00BC6B80">
        <w:rPr>
          <w:rFonts w:ascii="Cambria" w:hAnsi="Cambria"/>
          <w:color w:val="000000" w:themeColor="text1"/>
          <w:shd w:val="clear" w:color="auto" w:fill="FFFFFF"/>
        </w:rPr>
        <w:t xml:space="preserve"> </w:t>
      </w:r>
      <w:r w:rsidR="003743FD" w:rsidRPr="00BC6B80">
        <w:rPr>
          <w:rFonts w:ascii="Cambria" w:hAnsi="Cambria"/>
          <w:color w:val="000000" w:themeColor="text1"/>
          <w:shd w:val="clear" w:color="auto" w:fill="FFFFFF"/>
        </w:rPr>
        <w:t>namely</w:t>
      </w:r>
      <w:r w:rsidR="0011314C" w:rsidRPr="00BC6B80">
        <w:rPr>
          <w:rFonts w:ascii="Cambria" w:hAnsi="Cambria"/>
          <w:color w:val="000000" w:themeColor="text1"/>
          <w:shd w:val="clear" w:color="auto" w:fill="FFFFFF"/>
        </w:rPr>
        <w:t xml:space="preserve"> that the Tribunal</w:t>
      </w:r>
      <w:r w:rsidR="00F25EC9" w:rsidRPr="00BC6B80">
        <w:rPr>
          <w:rFonts w:ascii="Cambria" w:hAnsi="Cambria"/>
          <w:color w:val="000000" w:themeColor="text1"/>
          <w:shd w:val="clear" w:color="auto" w:fill="FFFFFF"/>
        </w:rPr>
        <w:t xml:space="preserve"> have the power to</w:t>
      </w:r>
      <w:r w:rsidR="0011314C" w:rsidRPr="00BC6B80">
        <w:rPr>
          <w:rFonts w:ascii="Cambria" w:hAnsi="Cambria"/>
          <w:color w:val="000000" w:themeColor="text1"/>
          <w:shd w:val="clear" w:color="auto" w:fill="FFFFFF"/>
        </w:rPr>
        <w:t xml:space="preserve"> appoint representation “</w:t>
      </w:r>
      <w:r w:rsidR="00161A57" w:rsidRPr="00BC6B80">
        <w:rPr>
          <w:rFonts w:ascii="Cambria" w:hAnsi="Cambria"/>
          <w:color w:val="000000" w:themeColor="text1"/>
          <w:shd w:val="clear" w:color="auto" w:fill="FFFFFF"/>
        </w:rPr>
        <w:t>if it considers that the patient is, or may be, personally incapable of making such arrangements and is not, or may not be, receiving useful assistance elsewhere in that regard</w:t>
      </w:r>
      <w:r w:rsidR="0011314C" w:rsidRPr="00BC6B80">
        <w:rPr>
          <w:rFonts w:ascii="Cambria" w:hAnsi="Cambria"/>
          <w:color w:val="000000" w:themeColor="text1"/>
          <w:shd w:val="clear" w:color="auto" w:fill="FFFFFF"/>
        </w:rPr>
        <w:t>”</w:t>
      </w:r>
      <w:r w:rsidR="00161A57" w:rsidRPr="00BC6B80">
        <w:rPr>
          <w:rFonts w:ascii="Cambria" w:hAnsi="Cambria"/>
          <w:color w:val="000000" w:themeColor="text1"/>
          <w:shd w:val="clear" w:color="auto" w:fill="FFFFFF"/>
        </w:rPr>
        <w:t>.</w:t>
      </w:r>
      <w:r w:rsidR="0011314C" w:rsidRPr="00BC6B80">
        <w:rPr>
          <w:rStyle w:val="FootnoteReference"/>
          <w:rFonts w:ascii="Cambria" w:hAnsi="Cambria"/>
          <w:color w:val="000000" w:themeColor="text1"/>
          <w:shd w:val="clear" w:color="auto" w:fill="FFFFFF"/>
        </w:rPr>
        <w:footnoteReference w:id="30"/>
      </w:r>
      <w:r w:rsidR="0011314C" w:rsidRPr="00BC6B80">
        <w:rPr>
          <w:rFonts w:ascii="Cambria" w:hAnsi="Cambria"/>
          <w:color w:val="000000" w:themeColor="text1"/>
          <w:shd w:val="clear" w:color="auto" w:fill="FFFFFF"/>
        </w:rPr>
        <w:t xml:space="preserve"> </w:t>
      </w:r>
    </w:p>
    <w:p w14:paraId="33E2B072" w14:textId="1A97DAC3" w:rsidR="00EF4C6B" w:rsidRPr="00BC6B80" w:rsidRDefault="00EF4C6B" w:rsidP="00C372B5">
      <w:pPr>
        <w:jc w:val="both"/>
        <w:rPr>
          <w:rFonts w:ascii="Cambria" w:hAnsi="Cambria"/>
          <w:color w:val="000000" w:themeColor="text1"/>
          <w:shd w:val="clear" w:color="auto" w:fill="FFFFFF"/>
        </w:rPr>
      </w:pPr>
    </w:p>
    <w:p w14:paraId="40BE02C2" w14:textId="15D855F7" w:rsidR="00E131F6" w:rsidRPr="00BC6B80" w:rsidRDefault="00EF4C6B" w:rsidP="00C372B5">
      <w:pPr>
        <w:jc w:val="both"/>
        <w:rPr>
          <w:rFonts w:ascii="Cambria" w:hAnsi="Cambria"/>
          <w:color w:val="000000" w:themeColor="text1"/>
          <w:shd w:val="clear" w:color="auto" w:fill="FFFFFF"/>
        </w:rPr>
      </w:pPr>
      <w:r w:rsidRPr="00BC6B80">
        <w:rPr>
          <w:rFonts w:ascii="Cambria" w:hAnsi="Cambria"/>
          <w:color w:val="000000" w:themeColor="text1"/>
          <w:shd w:val="clear" w:color="auto" w:fill="FFFFFF"/>
        </w:rPr>
        <w:t>Finally, it is imperative that all organisations directly involved in administering the Act are provided with the resourcing they need</w:t>
      </w:r>
      <w:r w:rsidR="00E131F6" w:rsidRPr="00BC6B80">
        <w:rPr>
          <w:rFonts w:ascii="Cambria" w:hAnsi="Cambria"/>
          <w:color w:val="000000" w:themeColor="text1"/>
          <w:shd w:val="clear" w:color="auto" w:fill="FFFFFF"/>
        </w:rPr>
        <w:t xml:space="preserve"> to effectively perform their functions, duties and powers</w:t>
      </w:r>
      <w:r w:rsidRPr="00BC6B80">
        <w:rPr>
          <w:rFonts w:ascii="Cambria" w:hAnsi="Cambria"/>
          <w:color w:val="000000" w:themeColor="text1"/>
          <w:shd w:val="clear" w:color="auto" w:fill="FFFFFF"/>
        </w:rPr>
        <w:t>. These organisations include the Tasmanian Civil and Administrative Tribunal, the Office of the Public Guardian, the Public Trustee</w:t>
      </w:r>
      <w:r w:rsidR="00F25EC9" w:rsidRPr="00BC6B80">
        <w:rPr>
          <w:rFonts w:ascii="Cambria" w:hAnsi="Cambria"/>
          <w:color w:val="000000" w:themeColor="text1"/>
          <w:shd w:val="clear" w:color="auto" w:fill="FFFFFF"/>
        </w:rPr>
        <w:t xml:space="preserve">, community legal centres </w:t>
      </w:r>
      <w:r w:rsidRPr="00BC6B80">
        <w:rPr>
          <w:rFonts w:ascii="Cambria" w:hAnsi="Cambria"/>
          <w:color w:val="000000" w:themeColor="text1"/>
          <w:shd w:val="clear" w:color="auto" w:fill="FFFFFF"/>
        </w:rPr>
        <w:t>and Legal Aid</w:t>
      </w:r>
      <w:r w:rsidR="00BC6B80">
        <w:rPr>
          <w:rFonts w:ascii="Cambria" w:hAnsi="Cambria"/>
          <w:color w:val="000000" w:themeColor="text1"/>
          <w:shd w:val="clear" w:color="auto" w:fill="FFFFFF"/>
        </w:rPr>
        <w:t xml:space="preserve"> </w:t>
      </w:r>
      <w:r w:rsidRPr="00BC6B80">
        <w:rPr>
          <w:rFonts w:ascii="Cambria" w:hAnsi="Cambria"/>
          <w:color w:val="000000" w:themeColor="text1"/>
          <w:shd w:val="clear" w:color="auto" w:fill="FFFFFF"/>
        </w:rPr>
        <w:t>Tasmania.</w:t>
      </w:r>
      <w:r w:rsidR="00E131F6" w:rsidRPr="00BC6B80">
        <w:rPr>
          <w:rFonts w:ascii="Cambria" w:hAnsi="Cambria"/>
          <w:color w:val="000000" w:themeColor="text1"/>
          <w:shd w:val="clear" w:color="auto" w:fill="FFFFFF"/>
        </w:rPr>
        <w:t xml:space="preserve"> Two years ago, the President of the Guardianship and Administrative Board emphasised that </w:t>
      </w:r>
      <w:r w:rsidR="00F25EC9" w:rsidRPr="00BC6B80">
        <w:rPr>
          <w:rFonts w:ascii="Cambria" w:hAnsi="Cambria"/>
          <w:color w:val="000000" w:themeColor="text1"/>
          <w:shd w:val="clear" w:color="auto" w:fill="FFFFFF"/>
        </w:rPr>
        <w:t xml:space="preserve">the number of </w:t>
      </w:r>
      <w:r w:rsidR="00E131F6" w:rsidRPr="00BC6B80">
        <w:rPr>
          <w:rFonts w:ascii="Cambria" w:hAnsi="Cambria"/>
          <w:color w:val="000000" w:themeColor="text1"/>
          <w:shd w:val="clear" w:color="auto" w:fill="FFFFFF"/>
        </w:rPr>
        <w:t>applications would continue to grow</w:t>
      </w:r>
      <w:r w:rsidR="00F25EC9" w:rsidRPr="00BC6B80">
        <w:rPr>
          <w:rFonts w:ascii="Cambria" w:hAnsi="Cambria"/>
          <w:color w:val="000000" w:themeColor="text1"/>
          <w:shd w:val="clear" w:color="auto" w:fill="FFFFFF"/>
        </w:rPr>
        <w:t xml:space="preserve"> based on modelling provided by the Department of Justice</w:t>
      </w:r>
      <w:r w:rsidR="00E131F6" w:rsidRPr="00BC6B80">
        <w:rPr>
          <w:rFonts w:ascii="Cambria" w:hAnsi="Cambria"/>
          <w:color w:val="000000" w:themeColor="text1"/>
          <w:shd w:val="clear" w:color="auto" w:fill="FFFFFF"/>
        </w:rPr>
        <w:t>:</w:t>
      </w:r>
      <w:r w:rsidR="00E131F6" w:rsidRPr="00BC6B80">
        <w:rPr>
          <w:rStyle w:val="FootnoteReference"/>
          <w:rFonts w:ascii="Cambria" w:hAnsi="Cambria"/>
          <w:color w:val="000000" w:themeColor="text1"/>
          <w:shd w:val="clear" w:color="auto" w:fill="FFFFFF"/>
        </w:rPr>
        <w:footnoteReference w:id="31"/>
      </w:r>
    </w:p>
    <w:p w14:paraId="3DE31AB4" w14:textId="4C8444A1" w:rsidR="00E131F6" w:rsidRPr="00BC6B80" w:rsidRDefault="00E131F6" w:rsidP="00C372B5">
      <w:pPr>
        <w:jc w:val="both"/>
        <w:rPr>
          <w:rFonts w:ascii="Cambria" w:hAnsi="Cambria"/>
          <w:color w:val="000000" w:themeColor="text1"/>
          <w:shd w:val="clear" w:color="auto" w:fill="FFFFFF"/>
        </w:rPr>
      </w:pPr>
    </w:p>
    <w:p w14:paraId="2A29A8DD" w14:textId="77777777" w:rsidR="00E131F6" w:rsidRPr="00BC6B80" w:rsidRDefault="00E131F6" w:rsidP="00E131F6">
      <w:pPr>
        <w:ind w:left="720"/>
        <w:jc w:val="both"/>
        <w:rPr>
          <w:rFonts w:ascii="Cambria" w:hAnsi="Cambria"/>
          <w:i/>
          <w:iCs/>
          <w:sz w:val="22"/>
          <w:szCs w:val="22"/>
        </w:rPr>
      </w:pPr>
      <w:r w:rsidRPr="00BC6B80">
        <w:rPr>
          <w:rFonts w:ascii="Cambria" w:hAnsi="Cambria"/>
          <w:i/>
          <w:iCs/>
          <w:sz w:val="22"/>
          <w:szCs w:val="22"/>
        </w:rPr>
        <w:t>The majority of applications before the Board involve people over 65 years of age, with the most common disability being dementia. The modelling showed the predicted growth in application numbers will continue due to increased dementia and mental health disabilities, and an ageing population. The modelling indicated the Board will require additional funding for hearings and additional administrative staff to meet its statutory functions. The financial and human resource risk associated with the increased demand on the Board was highlighted. The human resource risks currently could not be clearer.</w:t>
      </w:r>
    </w:p>
    <w:p w14:paraId="0949BB25" w14:textId="77777777" w:rsidR="00E131F6" w:rsidRPr="00BC6B80" w:rsidRDefault="00E131F6" w:rsidP="00C372B5">
      <w:pPr>
        <w:jc w:val="both"/>
        <w:rPr>
          <w:rFonts w:ascii="Cambria" w:hAnsi="Cambria"/>
          <w:color w:val="000000" w:themeColor="text1"/>
          <w:shd w:val="clear" w:color="auto" w:fill="FFFFFF"/>
        </w:rPr>
      </w:pPr>
    </w:p>
    <w:p w14:paraId="48E3B3C5" w14:textId="3D7345CD" w:rsidR="00E845FE" w:rsidRPr="00BC6B80" w:rsidRDefault="00E845FE" w:rsidP="00E845FE">
      <w:pPr>
        <w:pStyle w:val="ListParagraph"/>
        <w:numPr>
          <w:ilvl w:val="0"/>
          <w:numId w:val="4"/>
        </w:numPr>
        <w:jc w:val="both"/>
        <w:rPr>
          <w:rFonts w:ascii="Cambria" w:hAnsi="Cambria"/>
          <w:b/>
          <w:bCs/>
          <w:i/>
          <w:iCs/>
          <w:color w:val="000000" w:themeColor="text1"/>
          <w:shd w:val="clear" w:color="auto" w:fill="FFFFFF"/>
        </w:rPr>
      </w:pPr>
      <w:r w:rsidRPr="00BC6B80">
        <w:rPr>
          <w:rFonts w:ascii="Cambria" w:hAnsi="Cambria"/>
          <w:b/>
          <w:bCs/>
          <w:i/>
          <w:iCs/>
          <w:color w:val="000000" w:themeColor="text1"/>
          <w:shd w:val="clear" w:color="auto" w:fill="FFFFFF"/>
        </w:rPr>
        <w:t>Statement of Reasons</w:t>
      </w:r>
    </w:p>
    <w:p w14:paraId="4CDDDA4B" w14:textId="016773A8" w:rsidR="00595702" w:rsidRPr="00BC6B80" w:rsidRDefault="00F17468" w:rsidP="00E845FE">
      <w:pPr>
        <w:jc w:val="both"/>
        <w:rPr>
          <w:rFonts w:ascii="Cambria" w:hAnsi="Cambria"/>
          <w:color w:val="000000" w:themeColor="text1"/>
          <w:shd w:val="clear" w:color="auto" w:fill="FFFFFF"/>
        </w:rPr>
      </w:pPr>
      <w:r w:rsidRPr="00BC6B80">
        <w:rPr>
          <w:rFonts w:ascii="Cambria" w:hAnsi="Cambria"/>
          <w:color w:val="000000" w:themeColor="text1"/>
          <w:shd w:val="clear" w:color="auto" w:fill="FFFFFF"/>
        </w:rPr>
        <w:t xml:space="preserve">There is no requirement </w:t>
      </w:r>
      <w:r w:rsidR="00FA46AD" w:rsidRPr="00BC6B80">
        <w:rPr>
          <w:rFonts w:ascii="Cambria" w:hAnsi="Cambria"/>
          <w:color w:val="000000" w:themeColor="text1"/>
          <w:shd w:val="clear" w:color="auto" w:fill="FFFFFF"/>
        </w:rPr>
        <w:t xml:space="preserve">in the Act </w:t>
      </w:r>
      <w:r w:rsidRPr="00BC6B80">
        <w:rPr>
          <w:rFonts w:ascii="Cambria" w:hAnsi="Cambria"/>
          <w:color w:val="000000" w:themeColor="text1"/>
          <w:shd w:val="clear" w:color="auto" w:fill="FFFFFF"/>
        </w:rPr>
        <w:t xml:space="preserve">that represented persons receive a statement of reasons </w:t>
      </w:r>
      <w:r w:rsidR="00FA46AD" w:rsidRPr="00BC6B80">
        <w:rPr>
          <w:rFonts w:ascii="Cambria" w:hAnsi="Cambria"/>
          <w:color w:val="000000" w:themeColor="text1"/>
          <w:shd w:val="clear" w:color="auto" w:fill="FFFFFF"/>
        </w:rPr>
        <w:t>explaining</w:t>
      </w:r>
      <w:r w:rsidRPr="00BC6B80">
        <w:rPr>
          <w:rFonts w:ascii="Cambria" w:hAnsi="Cambria"/>
          <w:color w:val="000000" w:themeColor="text1"/>
          <w:shd w:val="clear" w:color="auto" w:fill="FFFFFF"/>
        </w:rPr>
        <w:t xml:space="preserve"> the Tribunal’s decision.</w:t>
      </w:r>
      <w:r w:rsidR="00C72658" w:rsidRPr="00BC6B80">
        <w:rPr>
          <w:rFonts w:ascii="Cambria" w:hAnsi="Cambria"/>
          <w:color w:val="000000" w:themeColor="text1"/>
          <w:shd w:val="clear" w:color="auto" w:fill="FFFFFF"/>
        </w:rPr>
        <w:t xml:space="preserve"> In practice, both attendee and non-attendee represented persons </w:t>
      </w:r>
      <w:r w:rsidRPr="00BC6B80">
        <w:rPr>
          <w:rFonts w:ascii="Cambria" w:hAnsi="Cambria"/>
          <w:color w:val="000000" w:themeColor="text1"/>
          <w:shd w:val="clear" w:color="auto" w:fill="FFFFFF"/>
        </w:rPr>
        <w:t xml:space="preserve">receive a copy of the </w:t>
      </w:r>
      <w:r w:rsidR="00C72658" w:rsidRPr="00BC6B80">
        <w:rPr>
          <w:rFonts w:ascii="Cambria" w:hAnsi="Cambria"/>
          <w:color w:val="000000" w:themeColor="text1"/>
          <w:shd w:val="clear" w:color="auto" w:fill="FFFFFF"/>
        </w:rPr>
        <w:t xml:space="preserve">Tribunal’s </w:t>
      </w:r>
      <w:r w:rsidRPr="00BC6B80">
        <w:rPr>
          <w:rFonts w:ascii="Cambria" w:hAnsi="Cambria"/>
          <w:color w:val="000000" w:themeColor="text1"/>
          <w:shd w:val="clear" w:color="auto" w:fill="FFFFFF"/>
        </w:rPr>
        <w:t>order and informed that they have a right -</w:t>
      </w:r>
      <w:r w:rsidR="007E2340" w:rsidRPr="00BC6B80">
        <w:rPr>
          <w:rFonts w:ascii="Cambria" w:hAnsi="Cambria"/>
          <w:color w:val="000000" w:themeColor="text1"/>
          <w:shd w:val="clear" w:color="auto" w:fill="FFFFFF"/>
        </w:rPr>
        <w:t xml:space="preserve"> </w:t>
      </w:r>
      <w:r w:rsidRPr="00BC6B80">
        <w:rPr>
          <w:rFonts w:ascii="Cambria" w:hAnsi="Cambria"/>
          <w:color w:val="000000" w:themeColor="text1"/>
          <w:shd w:val="clear" w:color="auto" w:fill="FFFFFF"/>
        </w:rPr>
        <w:t>within 21 days of the Tribunal’s decision</w:t>
      </w:r>
      <w:r w:rsidR="007E2340" w:rsidRPr="00BC6B80">
        <w:rPr>
          <w:rFonts w:ascii="Cambria" w:hAnsi="Cambria"/>
          <w:color w:val="000000" w:themeColor="text1"/>
          <w:shd w:val="clear" w:color="auto" w:fill="FFFFFF"/>
        </w:rPr>
        <w:t xml:space="preserve"> </w:t>
      </w:r>
      <w:r w:rsidRPr="00BC6B80">
        <w:rPr>
          <w:rFonts w:ascii="Cambria" w:hAnsi="Cambria"/>
          <w:color w:val="000000" w:themeColor="text1"/>
          <w:shd w:val="clear" w:color="auto" w:fill="FFFFFF"/>
        </w:rPr>
        <w:t xml:space="preserve">- to apply for a written statement of reasons. </w:t>
      </w:r>
      <w:r w:rsidR="00E845FE" w:rsidRPr="00BC6B80">
        <w:rPr>
          <w:rFonts w:ascii="Cambria" w:hAnsi="Cambria"/>
          <w:color w:val="000000" w:themeColor="text1"/>
          <w:shd w:val="clear" w:color="auto" w:fill="FFFFFF"/>
        </w:rPr>
        <w:t>We strongly support written statement of reasons being provided</w:t>
      </w:r>
      <w:r w:rsidRPr="00BC6B80">
        <w:rPr>
          <w:rFonts w:ascii="Cambria" w:hAnsi="Cambria"/>
          <w:color w:val="000000" w:themeColor="text1"/>
          <w:shd w:val="clear" w:color="auto" w:fill="FFFFFF"/>
        </w:rPr>
        <w:t xml:space="preserve"> to the represented person as a matter of course</w:t>
      </w:r>
      <w:r w:rsidR="00E845FE" w:rsidRPr="00BC6B80">
        <w:rPr>
          <w:rFonts w:ascii="Cambria" w:hAnsi="Cambria"/>
          <w:color w:val="000000" w:themeColor="text1"/>
          <w:shd w:val="clear" w:color="auto" w:fill="FFFFFF"/>
        </w:rPr>
        <w:t xml:space="preserve">. In our opinion, this will provide greater </w:t>
      </w:r>
      <w:r w:rsidRPr="00BC6B80">
        <w:rPr>
          <w:rFonts w:ascii="Cambria" w:hAnsi="Cambria"/>
          <w:color w:val="000000" w:themeColor="text1"/>
          <w:shd w:val="clear" w:color="auto" w:fill="FFFFFF"/>
        </w:rPr>
        <w:t xml:space="preserve">accountability and </w:t>
      </w:r>
      <w:r w:rsidR="00E845FE" w:rsidRPr="00BC6B80">
        <w:rPr>
          <w:rFonts w:ascii="Cambria" w:hAnsi="Cambria"/>
          <w:color w:val="000000" w:themeColor="text1"/>
          <w:shd w:val="clear" w:color="auto" w:fill="FFFFFF"/>
        </w:rPr>
        <w:t>transparency of decision-making</w:t>
      </w:r>
      <w:r w:rsidRPr="00BC6B80">
        <w:rPr>
          <w:rFonts w:ascii="Cambria" w:hAnsi="Cambria"/>
          <w:color w:val="000000" w:themeColor="text1"/>
          <w:shd w:val="clear" w:color="auto" w:fill="FFFFFF"/>
        </w:rPr>
        <w:t>,</w:t>
      </w:r>
      <w:r w:rsidR="00E845FE" w:rsidRPr="00BC6B80">
        <w:rPr>
          <w:rFonts w:ascii="Cambria" w:hAnsi="Cambria"/>
          <w:color w:val="000000" w:themeColor="text1"/>
          <w:shd w:val="clear" w:color="auto" w:fill="FFFFFF"/>
        </w:rPr>
        <w:t xml:space="preserve"> meaning that represented persons, families, friends and advocates are aware of how and why decisions were arrived at.</w:t>
      </w:r>
    </w:p>
    <w:p w14:paraId="779D58DA" w14:textId="77777777" w:rsidR="00E7158B" w:rsidRPr="00BC6B80" w:rsidRDefault="00E7158B" w:rsidP="00151505">
      <w:pPr>
        <w:pStyle w:val="xmsonormal"/>
        <w:shd w:val="clear" w:color="auto" w:fill="FFFFFF"/>
        <w:spacing w:before="0" w:beforeAutospacing="0" w:after="0" w:afterAutospacing="0"/>
        <w:ind w:right="-52"/>
        <w:jc w:val="both"/>
        <w:rPr>
          <w:rFonts w:ascii="Cambria" w:hAnsi="Cambria"/>
          <w:color w:val="000000" w:themeColor="text1"/>
        </w:rPr>
      </w:pPr>
      <w:bookmarkStart w:id="1" w:name="OLE_LINK1"/>
    </w:p>
    <w:p w14:paraId="5A81443F" w14:textId="1DC05C30" w:rsidR="00151505" w:rsidRPr="00BC6B80" w:rsidRDefault="00151505" w:rsidP="00151505">
      <w:pPr>
        <w:pStyle w:val="xmsonormal"/>
        <w:shd w:val="clear" w:color="auto" w:fill="FFFFFF"/>
        <w:spacing w:before="0" w:beforeAutospacing="0" w:after="0" w:afterAutospacing="0"/>
        <w:ind w:right="-52"/>
        <w:jc w:val="both"/>
        <w:rPr>
          <w:rFonts w:ascii="Cambria" w:hAnsi="Cambria"/>
          <w:color w:val="000000" w:themeColor="text1"/>
        </w:rPr>
      </w:pPr>
      <w:r w:rsidRPr="00BC6B80">
        <w:rPr>
          <w:rFonts w:ascii="Cambria" w:hAnsi="Cambria"/>
          <w:color w:val="000000" w:themeColor="text1"/>
        </w:rPr>
        <w:t xml:space="preserve">If you have any queries, or would like to discuss our submission further, please do not hesitate to contact us. </w:t>
      </w:r>
    </w:p>
    <w:p w14:paraId="2C240A0B" w14:textId="77777777" w:rsidR="00151505" w:rsidRPr="00BC6B80" w:rsidRDefault="00151505" w:rsidP="00151505">
      <w:pPr>
        <w:ind w:right="-52"/>
        <w:rPr>
          <w:rFonts w:ascii="Cambria" w:hAnsi="Cambria"/>
          <w:color w:val="000000" w:themeColor="text1"/>
        </w:rPr>
      </w:pPr>
    </w:p>
    <w:p w14:paraId="7DA203B6" w14:textId="77777777" w:rsidR="00151505" w:rsidRPr="00BC6B80" w:rsidRDefault="00151505" w:rsidP="00151505">
      <w:pPr>
        <w:ind w:right="-52"/>
        <w:rPr>
          <w:rFonts w:ascii="Cambria" w:hAnsi="Cambria"/>
          <w:color w:val="000000" w:themeColor="text1"/>
        </w:rPr>
      </w:pPr>
    </w:p>
    <w:p w14:paraId="4B755467" w14:textId="77777777" w:rsidR="00151505" w:rsidRPr="00BC6B80" w:rsidRDefault="00151505" w:rsidP="00151505">
      <w:pPr>
        <w:ind w:right="-52"/>
        <w:rPr>
          <w:rFonts w:ascii="Cambria" w:hAnsi="Cambria"/>
          <w:color w:val="000000" w:themeColor="text1"/>
        </w:rPr>
      </w:pPr>
      <w:r w:rsidRPr="00BC6B80">
        <w:rPr>
          <w:rFonts w:ascii="Cambria" w:hAnsi="Cambria"/>
          <w:color w:val="000000" w:themeColor="text1"/>
        </w:rPr>
        <w:t>Yours faithfully,</w:t>
      </w:r>
    </w:p>
    <w:bookmarkEnd w:id="1"/>
    <w:p w14:paraId="6F33D3D9" w14:textId="77777777" w:rsidR="00151505" w:rsidRPr="00BC6B80" w:rsidRDefault="00151505" w:rsidP="00151505">
      <w:pPr>
        <w:ind w:right="-52"/>
        <w:rPr>
          <w:rFonts w:ascii="Cambria" w:hAnsi="Cambria"/>
          <w:color w:val="000000" w:themeColor="text1"/>
        </w:rPr>
      </w:pPr>
    </w:p>
    <w:p w14:paraId="32532345" w14:textId="77777777" w:rsidR="00151505" w:rsidRPr="00BC6B80" w:rsidRDefault="00151505" w:rsidP="00151505">
      <w:pPr>
        <w:ind w:right="-52"/>
        <w:rPr>
          <w:rFonts w:ascii="Cambria" w:hAnsi="Cambria"/>
          <w:color w:val="000000" w:themeColor="text1"/>
        </w:rPr>
      </w:pPr>
    </w:p>
    <w:p w14:paraId="3A7CD639" w14:textId="77777777" w:rsidR="00151505" w:rsidRPr="00BC6B80" w:rsidRDefault="00151505" w:rsidP="00151505">
      <w:pPr>
        <w:ind w:right="-52"/>
        <w:rPr>
          <w:rFonts w:ascii="Cambria" w:hAnsi="Cambria"/>
          <w:color w:val="000000" w:themeColor="text1"/>
        </w:rPr>
      </w:pPr>
    </w:p>
    <w:p w14:paraId="62331F79" w14:textId="77777777" w:rsidR="00151505" w:rsidRPr="00BC6B80" w:rsidRDefault="00151505" w:rsidP="00151505">
      <w:pPr>
        <w:ind w:right="-52"/>
        <w:rPr>
          <w:rFonts w:ascii="Cambria" w:hAnsi="Cambria"/>
          <w:color w:val="000000" w:themeColor="text1"/>
        </w:rPr>
      </w:pPr>
      <w:r w:rsidRPr="00BC6B80">
        <w:rPr>
          <w:rFonts w:ascii="Cambria" w:hAnsi="Cambria"/>
          <w:color w:val="000000" w:themeColor="text1"/>
        </w:rPr>
        <w:t>Benedict Bartl</w:t>
      </w:r>
    </w:p>
    <w:p w14:paraId="5E4B4BD5" w14:textId="77777777" w:rsidR="00151505" w:rsidRPr="00BC6B80" w:rsidRDefault="00151505" w:rsidP="00151505">
      <w:pPr>
        <w:ind w:right="-52"/>
        <w:rPr>
          <w:rFonts w:ascii="Cambria" w:hAnsi="Cambria"/>
          <w:color w:val="000000" w:themeColor="text1"/>
        </w:rPr>
      </w:pPr>
      <w:r w:rsidRPr="00BC6B80">
        <w:rPr>
          <w:rFonts w:ascii="Cambria" w:hAnsi="Cambria"/>
          <w:color w:val="000000" w:themeColor="text1"/>
        </w:rPr>
        <w:t>Policy Officer</w:t>
      </w:r>
    </w:p>
    <w:p w14:paraId="6B610AB8" w14:textId="78CCB6CA" w:rsidR="006A2046" w:rsidRPr="00BC6B80" w:rsidRDefault="00151505" w:rsidP="007E2340">
      <w:pPr>
        <w:pBdr>
          <w:bottom w:val="single" w:sz="6" w:space="1" w:color="auto"/>
        </w:pBdr>
        <w:ind w:right="-52"/>
        <w:rPr>
          <w:rFonts w:ascii="Cambria" w:hAnsi="Cambria"/>
          <w:b/>
          <w:bCs/>
          <w:color w:val="000000" w:themeColor="text1"/>
        </w:rPr>
      </w:pPr>
      <w:r w:rsidRPr="00BC6B80">
        <w:rPr>
          <w:rFonts w:ascii="Cambria" w:hAnsi="Cambria"/>
          <w:b/>
          <w:bCs/>
          <w:color w:val="000000" w:themeColor="text1"/>
        </w:rPr>
        <w:t>Community Legal Centres Tasmania</w:t>
      </w:r>
    </w:p>
    <w:sectPr w:rsidR="006A2046" w:rsidRPr="00BC6B80">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8875" w14:textId="77777777" w:rsidR="00C85F31" w:rsidRDefault="00C85F31" w:rsidP="00151505">
      <w:r>
        <w:separator/>
      </w:r>
    </w:p>
  </w:endnote>
  <w:endnote w:type="continuationSeparator" w:id="0">
    <w:p w14:paraId="02074DFE" w14:textId="77777777" w:rsidR="00C85F31" w:rsidRDefault="00C85F31" w:rsidP="0015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1108557"/>
      <w:docPartObj>
        <w:docPartGallery w:val="Page Numbers (Bottom of Page)"/>
        <w:docPartUnique/>
      </w:docPartObj>
    </w:sdtPr>
    <w:sdtContent>
      <w:p w14:paraId="5153D3AC" w14:textId="77777777" w:rsidR="002F6682" w:rsidRDefault="00AA05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C5BA2" w14:textId="77777777" w:rsidR="002F6682"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691377"/>
      <w:docPartObj>
        <w:docPartGallery w:val="Page Numbers (Bottom of Page)"/>
        <w:docPartUnique/>
      </w:docPartObj>
    </w:sdtPr>
    <w:sdtContent>
      <w:p w14:paraId="2177EC6A" w14:textId="77777777" w:rsidR="002F6682" w:rsidRDefault="00AA05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B55F2D" w14:textId="77777777" w:rsidR="002F6682"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364C" w14:textId="77777777" w:rsidR="00C85F31" w:rsidRDefault="00C85F31" w:rsidP="00151505">
      <w:r>
        <w:separator/>
      </w:r>
    </w:p>
  </w:footnote>
  <w:footnote w:type="continuationSeparator" w:id="0">
    <w:p w14:paraId="0BAFA6B0" w14:textId="77777777" w:rsidR="00C85F31" w:rsidRDefault="00C85F31" w:rsidP="00151505">
      <w:r>
        <w:continuationSeparator/>
      </w:r>
    </w:p>
  </w:footnote>
  <w:footnote w:id="1">
    <w:p w14:paraId="5C48850B" w14:textId="789E7164" w:rsidR="00151505" w:rsidRPr="00BC6B80" w:rsidRDefault="00151505" w:rsidP="00151505">
      <w:pPr>
        <w:pStyle w:val="FootnoteText"/>
        <w:rPr>
          <w:rFonts w:ascii="Cambria" w:hAnsi="Cambria"/>
          <w:sz w:val="20"/>
          <w:szCs w:val="20"/>
          <w:lang w:val="en-AU"/>
        </w:rPr>
      </w:pPr>
      <w:r w:rsidRPr="00BC6B80">
        <w:rPr>
          <w:rStyle w:val="FootnoteReference"/>
          <w:rFonts w:ascii="Cambria" w:hAnsi="Cambria"/>
          <w:sz w:val="20"/>
          <w:szCs w:val="20"/>
          <w:lang w:val="en-AU"/>
        </w:rPr>
        <w:footnoteRef/>
      </w:r>
      <w:r w:rsidR="00C372B5" w:rsidRPr="00BC6B80">
        <w:rPr>
          <w:rFonts w:ascii="Cambria" w:hAnsi="Cambria"/>
          <w:sz w:val="20"/>
          <w:szCs w:val="20"/>
          <w:lang w:val="en-AU"/>
        </w:rPr>
        <w:t xml:space="preserve"> </w:t>
      </w:r>
      <w:r w:rsidRPr="00BC6B80">
        <w:rPr>
          <w:rFonts w:ascii="Cambria" w:hAnsi="Cambria"/>
          <w:sz w:val="20"/>
          <w:szCs w:val="20"/>
          <w:lang w:val="en-AU"/>
        </w:rPr>
        <w:t xml:space="preserve">CLC Tas would like to acknowledge those persons and organisations who gave freely of their time in assisting with our submission. </w:t>
      </w:r>
    </w:p>
  </w:footnote>
  <w:footnote w:id="2">
    <w:p w14:paraId="4107F4C3" w14:textId="3F5759DB" w:rsidR="0057349D" w:rsidRPr="00BC6B80" w:rsidRDefault="0057349D">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Australian Law Reform Commission (ALRC), </w:t>
      </w:r>
      <w:r w:rsidRPr="00BC6B80">
        <w:rPr>
          <w:rFonts w:ascii="Cambria" w:hAnsi="Cambria"/>
          <w:i/>
          <w:sz w:val="20"/>
          <w:szCs w:val="20"/>
        </w:rPr>
        <w:t>Equality, Capacity and Disability in Commonwealth Laws: Final Report</w:t>
      </w:r>
      <w:r w:rsidRPr="00BC6B80">
        <w:rPr>
          <w:rFonts w:ascii="Cambria" w:hAnsi="Cambria"/>
          <w:sz w:val="20"/>
          <w:szCs w:val="20"/>
        </w:rPr>
        <w:t>, Report 124 (2014) Recommendation 3-3(2).</w:t>
      </w:r>
    </w:p>
  </w:footnote>
  <w:footnote w:id="3">
    <w:p w14:paraId="4077B9E1" w14:textId="49C79BED" w:rsidR="00A850B0" w:rsidRPr="00BC6B80" w:rsidRDefault="00A850B0">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sz w:val="20"/>
          <w:szCs w:val="20"/>
          <w:bdr w:val="none" w:sz="0" w:space="0" w:color="auto" w:frame="1"/>
        </w:rPr>
        <w:t xml:space="preserve">According to the RSPCA companion animals </w:t>
      </w:r>
      <w:r w:rsidRPr="00BC6B80">
        <w:rPr>
          <w:rFonts w:ascii="Cambria" w:hAnsi="Cambria"/>
          <w:color w:val="000000" w:themeColor="text1"/>
          <w:sz w:val="20"/>
          <w:szCs w:val="20"/>
          <w:shd w:val="clear" w:color="auto" w:fill="FFFFFF"/>
        </w:rPr>
        <w:t xml:space="preserve">“provide emotional support for people with a diagnosed mental health condition in the home setting but who may not have been specifically trained and/or certified”. As found at RSPCA, ‘What is an assistance animal?’. As found at </w:t>
      </w:r>
      <w:hyperlink r:id="rId1" w:history="1">
        <w:r w:rsidRPr="00BC6B80">
          <w:rPr>
            <w:rStyle w:val="Hyperlink"/>
            <w:rFonts w:ascii="Cambria" w:hAnsi="Cambria"/>
            <w:sz w:val="20"/>
            <w:szCs w:val="20"/>
            <w:shd w:val="clear" w:color="auto" w:fill="FFFFFF"/>
          </w:rPr>
          <w:t>https://kb.rspca.org.au/knowledge-base/what-is-an-assistance-animal/</w:t>
        </w:r>
      </w:hyperlink>
      <w:r w:rsidRPr="00BC6B80">
        <w:rPr>
          <w:rFonts w:ascii="Cambria" w:hAnsi="Cambria"/>
          <w:color w:val="000000" w:themeColor="text1"/>
          <w:sz w:val="20"/>
          <w:szCs w:val="20"/>
          <w:shd w:val="clear" w:color="auto" w:fill="FFFFFF"/>
        </w:rPr>
        <w:t xml:space="preserve"> (accessed 15 November 2022).   </w:t>
      </w:r>
    </w:p>
  </w:footnote>
  <w:footnote w:id="4">
    <w:p w14:paraId="6447A24D" w14:textId="77777777" w:rsidR="00A73453" w:rsidRPr="00BC6B80" w:rsidRDefault="00A73453" w:rsidP="00A73453">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sz w:val="20"/>
          <w:szCs w:val="20"/>
          <w:lang w:val="en-AU"/>
        </w:rPr>
        <w:t xml:space="preserve">See also clause 8. </w:t>
      </w:r>
    </w:p>
  </w:footnote>
  <w:footnote w:id="5">
    <w:p w14:paraId="519939AD" w14:textId="67CF854C" w:rsidR="006F2EC0" w:rsidRPr="00BC6B80" w:rsidRDefault="006F2EC0" w:rsidP="006F2EC0">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sz w:val="20"/>
          <w:szCs w:val="20"/>
          <w:lang w:val="en-AU"/>
        </w:rPr>
        <w:t xml:space="preserve">Section 4(e) </w:t>
      </w:r>
      <w:r w:rsidRPr="00BC6B80">
        <w:rPr>
          <w:rFonts w:ascii="Cambria" w:hAnsi="Cambria"/>
          <w:color w:val="000000"/>
          <w:sz w:val="20"/>
          <w:szCs w:val="20"/>
        </w:rPr>
        <w:t xml:space="preserve">of the </w:t>
      </w:r>
      <w:r w:rsidRPr="00BC6B80">
        <w:rPr>
          <w:rFonts w:ascii="Cambria" w:hAnsi="Cambria"/>
          <w:i/>
          <w:iCs/>
          <w:color w:val="000000"/>
          <w:sz w:val="20"/>
          <w:szCs w:val="20"/>
        </w:rPr>
        <w:t>Guardianship and Administration Act 2019</w:t>
      </w:r>
      <w:r w:rsidRPr="00BC6B80">
        <w:rPr>
          <w:rFonts w:ascii="Cambria" w:hAnsi="Cambria"/>
          <w:color w:val="000000"/>
          <w:sz w:val="20"/>
          <w:szCs w:val="20"/>
        </w:rPr>
        <w:t xml:space="preserve"> (Vic). Also see section</w:t>
      </w:r>
      <w:r w:rsidRPr="00BC6B80">
        <w:rPr>
          <w:rFonts w:ascii="Cambria" w:hAnsi="Cambria"/>
          <w:sz w:val="20"/>
          <w:szCs w:val="20"/>
          <w:lang w:val="en-AU"/>
        </w:rPr>
        <w:t xml:space="preserve"> </w:t>
      </w:r>
      <w:r w:rsidRPr="00BC6B80">
        <w:rPr>
          <w:rFonts w:ascii="Cambria" w:hAnsi="Cambria"/>
          <w:color w:val="000000"/>
          <w:sz w:val="20"/>
          <w:szCs w:val="20"/>
        </w:rPr>
        <w:t xml:space="preserve">9(1)(d) of the </w:t>
      </w:r>
      <w:r w:rsidRPr="00BC6B80">
        <w:rPr>
          <w:rFonts w:ascii="Cambria" w:hAnsi="Cambria"/>
          <w:i/>
          <w:iCs/>
          <w:color w:val="000000"/>
          <w:sz w:val="20"/>
          <w:szCs w:val="20"/>
        </w:rPr>
        <w:t>Guardianship and Administration Act 2019</w:t>
      </w:r>
      <w:r w:rsidRPr="00BC6B80">
        <w:rPr>
          <w:rFonts w:ascii="Cambria" w:hAnsi="Cambria"/>
          <w:color w:val="000000"/>
          <w:sz w:val="20"/>
          <w:szCs w:val="20"/>
        </w:rPr>
        <w:t xml:space="preserve"> (Vic).  </w:t>
      </w:r>
      <w:r w:rsidRPr="00BC6B80">
        <w:rPr>
          <w:rFonts w:ascii="Cambria" w:hAnsi="Cambria"/>
          <w:sz w:val="20"/>
          <w:szCs w:val="20"/>
          <w:lang w:val="en-AU"/>
        </w:rPr>
        <w:t xml:space="preserve"> </w:t>
      </w:r>
    </w:p>
  </w:footnote>
  <w:footnote w:id="6">
    <w:p w14:paraId="4A2DA69A" w14:textId="77777777" w:rsidR="007A339D" w:rsidRPr="00BC6B80" w:rsidRDefault="007A339D" w:rsidP="007A339D">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sz w:val="20"/>
          <w:szCs w:val="20"/>
        </w:rPr>
        <w:t xml:space="preserve">Tasmania Law Reform Institute, </w:t>
      </w:r>
      <w:r w:rsidRPr="00BC6B80">
        <w:rPr>
          <w:rFonts w:ascii="Cambria" w:hAnsi="Cambria"/>
          <w:i/>
          <w:iCs/>
          <w:color w:val="000000"/>
          <w:sz w:val="20"/>
          <w:szCs w:val="20"/>
        </w:rPr>
        <w:t>Review of the Guardianship and Administration Act 1995</w:t>
      </w:r>
      <w:r w:rsidRPr="00BC6B80">
        <w:rPr>
          <w:rFonts w:ascii="Cambria" w:hAnsi="Cambria"/>
          <w:color w:val="000000"/>
          <w:sz w:val="20"/>
          <w:szCs w:val="20"/>
        </w:rPr>
        <w:t xml:space="preserve"> (Tas) (Final Report No 26: December 2018) at 14.</w:t>
      </w:r>
    </w:p>
  </w:footnote>
  <w:footnote w:id="7">
    <w:p w14:paraId="1CAAE292" w14:textId="663E936C" w:rsidR="00C0583C" w:rsidRPr="00BC6B80" w:rsidRDefault="00C0583C">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sz w:val="20"/>
          <w:szCs w:val="20"/>
          <w:lang w:val="en-AU"/>
        </w:rPr>
        <w:t xml:space="preserve">Sections 27 and 57 of the </w:t>
      </w:r>
      <w:r w:rsidRPr="00BC6B80">
        <w:rPr>
          <w:rFonts w:ascii="Cambria" w:hAnsi="Cambria"/>
          <w:i/>
          <w:iCs/>
          <w:sz w:val="20"/>
          <w:szCs w:val="20"/>
          <w:lang w:val="en-AU"/>
        </w:rPr>
        <w:t>Guardianship and Administration Act 1995</w:t>
      </w:r>
      <w:r w:rsidRPr="00BC6B80">
        <w:rPr>
          <w:rFonts w:ascii="Cambria" w:hAnsi="Cambria"/>
          <w:sz w:val="20"/>
          <w:szCs w:val="20"/>
          <w:lang w:val="en-AU"/>
        </w:rPr>
        <w:t xml:space="preserve"> (Tas).   </w:t>
      </w:r>
    </w:p>
  </w:footnote>
  <w:footnote w:id="8">
    <w:p w14:paraId="30E5BC1C" w14:textId="77777777" w:rsidR="000B13D4" w:rsidRPr="00BC6B80" w:rsidRDefault="000B13D4" w:rsidP="000B13D4">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Damian Bugg AM QC, </w:t>
      </w:r>
      <w:r w:rsidRPr="00BC6B80">
        <w:rPr>
          <w:rFonts w:ascii="Cambria" w:hAnsi="Cambria"/>
          <w:i/>
          <w:iCs/>
          <w:sz w:val="20"/>
          <w:szCs w:val="20"/>
        </w:rPr>
        <w:t>Independent Review of the Public Trustee Tasmania</w:t>
      </w:r>
      <w:r w:rsidRPr="00BC6B80">
        <w:rPr>
          <w:rFonts w:ascii="Cambria" w:hAnsi="Cambria"/>
          <w:sz w:val="20"/>
          <w:szCs w:val="20"/>
        </w:rPr>
        <w:t xml:space="preserve"> (November 2021) at 23.  </w:t>
      </w:r>
    </w:p>
  </w:footnote>
  <w:footnote w:id="9">
    <w:p w14:paraId="4BCC2B30" w14:textId="77777777" w:rsidR="00573AB4" w:rsidRPr="00BC6B80" w:rsidRDefault="00573AB4" w:rsidP="00573AB4">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i/>
          <w:iCs/>
          <w:sz w:val="20"/>
          <w:szCs w:val="20"/>
          <w:lang w:val="en-AU"/>
        </w:rPr>
        <w:t>SBE (Review of Administration)</w:t>
      </w:r>
      <w:r w:rsidRPr="00BC6B80">
        <w:rPr>
          <w:rFonts w:ascii="Cambria" w:hAnsi="Cambria"/>
          <w:sz w:val="20"/>
          <w:szCs w:val="20"/>
          <w:lang w:val="en-AU"/>
        </w:rPr>
        <w:t xml:space="preserve"> [2021] TASGAB 29 at paras. 33-34. </w:t>
      </w:r>
    </w:p>
  </w:footnote>
  <w:footnote w:id="10">
    <w:p w14:paraId="1F1729D2" w14:textId="77777777" w:rsidR="00E32944" w:rsidRPr="00BC6B80" w:rsidRDefault="00E32944" w:rsidP="00E32944">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i/>
          <w:iCs/>
          <w:color w:val="000000"/>
          <w:sz w:val="20"/>
          <w:szCs w:val="20"/>
        </w:rPr>
        <w:t>TKH (Advice and Direction)</w:t>
      </w:r>
      <w:r w:rsidRPr="00BC6B80">
        <w:rPr>
          <w:rFonts w:ascii="Cambria" w:hAnsi="Cambria"/>
          <w:color w:val="000000"/>
          <w:sz w:val="20"/>
          <w:szCs w:val="20"/>
        </w:rPr>
        <w:t xml:space="preserve"> [2021] TASGAB 50 at para. 10.  </w:t>
      </w:r>
    </w:p>
  </w:footnote>
  <w:footnote w:id="11">
    <w:p w14:paraId="4E500988" w14:textId="71C77EA5" w:rsidR="002162CE" w:rsidRPr="00BC6B80" w:rsidRDefault="002162CE">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i/>
          <w:iCs/>
          <w:color w:val="000000"/>
          <w:sz w:val="20"/>
          <w:szCs w:val="20"/>
        </w:rPr>
        <w:t>J v Guardianship and Administration Board and Tasmanian Health Service</w:t>
      </w:r>
      <w:r w:rsidRPr="00BC6B80">
        <w:rPr>
          <w:rFonts w:ascii="Cambria" w:hAnsi="Cambria"/>
          <w:color w:val="000000"/>
          <w:sz w:val="20"/>
          <w:szCs w:val="20"/>
        </w:rPr>
        <w:t xml:space="preserve"> [2019] TASSC 15 at</w:t>
      </w:r>
      <w:r w:rsidR="003F236E" w:rsidRPr="00BC6B80">
        <w:rPr>
          <w:rFonts w:ascii="Cambria" w:hAnsi="Cambria"/>
          <w:color w:val="000000"/>
          <w:sz w:val="20"/>
          <w:szCs w:val="20"/>
        </w:rPr>
        <w:t xml:space="preserve"> [42]. </w:t>
      </w:r>
      <w:r w:rsidRPr="00BC6B80">
        <w:rPr>
          <w:rFonts w:ascii="Cambria" w:hAnsi="Cambria"/>
          <w:color w:val="000000"/>
          <w:sz w:val="20"/>
          <w:szCs w:val="20"/>
        </w:rPr>
        <w:t xml:space="preserve"> </w:t>
      </w:r>
    </w:p>
  </w:footnote>
  <w:footnote w:id="12">
    <w:p w14:paraId="2DB1EEC3" w14:textId="77777777" w:rsidR="006A2046" w:rsidRPr="00BC6B80" w:rsidRDefault="006A2046" w:rsidP="006A2046">
      <w:pPr>
        <w:rPr>
          <w:rFonts w:ascii="Cambria" w:hAnsi="Cambria"/>
          <w:sz w:val="20"/>
          <w:szCs w:val="20"/>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sz w:val="20"/>
          <w:szCs w:val="20"/>
        </w:rPr>
        <w:t xml:space="preserve">Tasmania Law Reform Institute, </w:t>
      </w:r>
      <w:r w:rsidRPr="00BC6B80">
        <w:rPr>
          <w:rFonts w:ascii="Cambria" w:hAnsi="Cambria"/>
          <w:i/>
          <w:iCs/>
          <w:color w:val="000000"/>
          <w:sz w:val="20"/>
          <w:szCs w:val="20"/>
        </w:rPr>
        <w:t>Review of the Guardianship and Administration Act 1995</w:t>
      </w:r>
      <w:r w:rsidRPr="00BC6B80">
        <w:rPr>
          <w:rFonts w:ascii="Cambria" w:hAnsi="Cambria"/>
          <w:color w:val="000000"/>
          <w:sz w:val="20"/>
          <w:szCs w:val="20"/>
        </w:rPr>
        <w:t xml:space="preserve"> (Tas) (Final Report No 26: December 2018) at 14.</w:t>
      </w:r>
    </w:p>
  </w:footnote>
  <w:footnote w:id="13">
    <w:p w14:paraId="750CE89E" w14:textId="1812D84E" w:rsidR="006A2046" w:rsidRPr="00BC6B80" w:rsidRDefault="006A2046" w:rsidP="006A2046">
      <w:pPr>
        <w:rPr>
          <w:rFonts w:ascii="Cambria" w:hAnsi="Cambria"/>
          <w:sz w:val="20"/>
          <w:szCs w:val="20"/>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sz w:val="20"/>
          <w:szCs w:val="20"/>
        </w:rPr>
        <w:t xml:space="preserve">Sections 8-9 of the </w:t>
      </w:r>
      <w:r w:rsidRPr="00BC6B80">
        <w:rPr>
          <w:rFonts w:ascii="Cambria" w:hAnsi="Cambria"/>
          <w:i/>
          <w:iCs/>
          <w:color w:val="000000"/>
          <w:sz w:val="20"/>
          <w:szCs w:val="20"/>
        </w:rPr>
        <w:t>Guardianship and Administration Act 2019</w:t>
      </w:r>
      <w:r w:rsidRPr="00BC6B80">
        <w:rPr>
          <w:rFonts w:ascii="Cambria" w:hAnsi="Cambria"/>
          <w:color w:val="000000"/>
          <w:sz w:val="20"/>
          <w:szCs w:val="20"/>
        </w:rPr>
        <w:t xml:space="preserve"> (Vic); section 11B(9) of the </w:t>
      </w:r>
      <w:r w:rsidRPr="00BC6B80">
        <w:rPr>
          <w:rFonts w:ascii="Cambria" w:hAnsi="Cambria"/>
          <w:i/>
          <w:iCs/>
          <w:color w:val="000000"/>
          <w:sz w:val="20"/>
          <w:szCs w:val="20"/>
        </w:rPr>
        <w:t>Guardianship and Administration Act 2000</w:t>
      </w:r>
      <w:r w:rsidRPr="00BC6B80">
        <w:rPr>
          <w:rFonts w:ascii="Cambria" w:hAnsi="Cambria"/>
          <w:color w:val="000000"/>
          <w:sz w:val="20"/>
          <w:szCs w:val="20"/>
        </w:rPr>
        <w:t xml:space="preserve"> (Qld).</w:t>
      </w:r>
    </w:p>
  </w:footnote>
  <w:footnote w:id="14">
    <w:p w14:paraId="23826918" w14:textId="3E779B07" w:rsidR="00F2098F" w:rsidRPr="00BC6B80" w:rsidRDefault="00F2098F">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Australian Law Reform Commission, </w:t>
      </w:r>
      <w:r w:rsidRPr="00BC6B80">
        <w:rPr>
          <w:rFonts w:ascii="Cambria" w:hAnsi="Cambria"/>
          <w:i/>
          <w:iCs/>
          <w:sz w:val="20"/>
          <w:szCs w:val="20"/>
        </w:rPr>
        <w:t>Equality, Capacity and Disability in Commonwealth Laws - Final Report</w:t>
      </w:r>
      <w:r w:rsidRPr="00BC6B80">
        <w:rPr>
          <w:rFonts w:ascii="Cambria" w:hAnsi="Cambria"/>
          <w:sz w:val="20"/>
          <w:szCs w:val="20"/>
        </w:rPr>
        <w:t xml:space="preserve"> (August 2014) at 24.</w:t>
      </w:r>
      <w:r w:rsidR="00C83BB7" w:rsidRPr="00BC6B80">
        <w:rPr>
          <w:rFonts w:ascii="Cambria" w:hAnsi="Cambria"/>
          <w:sz w:val="20"/>
          <w:szCs w:val="20"/>
        </w:rPr>
        <w:t xml:space="preserve"> </w:t>
      </w:r>
    </w:p>
  </w:footnote>
  <w:footnote w:id="15">
    <w:p w14:paraId="6402EB5D" w14:textId="7748D1DF" w:rsidR="001419E7" w:rsidRPr="00BC6B80" w:rsidRDefault="001419E7">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sz w:val="20"/>
          <w:szCs w:val="20"/>
        </w:rPr>
        <w:t xml:space="preserve">Section 5 of the </w:t>
      </w:r>
      <w:r w:rsidRPr="00BC6B80">
        <w:rPr>
          <w:rFonts w:ascii="Cambria" w:hAnsi="Cambria"/>
          <w:i/>
          <w:iCs/>
          <w:color w:val="000000"/>
          <w:sz w:val="20"/>
          <w:szCs w:val="20"/>
        </w:rPr>
        <w:t>Guardianship and Administration Act 2000</w:t>
      </w:r>
      <w:r w:rsidRPr="00BC6B80">
        <w:rPr>
          <w:rFonts w:ascii="Cambria" w:hAnsi="Cambria"/>
          <w:color w:val="000000"/>
          <w:sz w:val="20"/>
          <w:szCs w:val="20"/>
        </w:rPr>
        <w:t xml:space="preserve"> (Qld). See also </w:t>
      </w:r>
      <w:r w:rsidRPr="00BC6B80">
        <w:rPr>
          <w:rFonts w:ascii="Cambria" w:hAnsi="Cambria"/>
          <w:sz w:val="20"/>
          <w:szCs w:val="20"/>
          <w:lang w:val="en-AU"/>
        </w:rPr>
        <w:t xml:space="preserve">section 5(2) </w:t>
      </w:r>
      <w:r w:rsidRPr="00BC6B80">
        <w:rPr>
          <w:rFonts w:ascii="Cambria" w:hAnsi="Cambria"/>
          <w:color w:val="000000"/>
          <w:sz w:val="20"/>
          <w:szCs w:val="20"/>
        </w:rPr>
        <w:t xml:space="preserve">of the </w:t>
      </w:r>
      <w:r w:rsidRPr="00BC6B80">
        <w:rPr>
          <w:rFonts w:ascii="Cambria" w:hAnsi="Cambria"/>
          <w:i/>
          <w:iCs/>
          <w:color w:val="000000"/>
          <w:sz w:val="20"/>
          <w:szCs w:val="20"/>
        </w:rPr>
        <w:t>Guardianship and Administration Act 2019</w:t>
      </w:r>
      <w:r w:rsidRPr="00BC6B80">
        <w:rPr>
          <w:rFonts w:ascii="Cambria" w:hAnsi="Cambria"/>
          <w:color w:val="000000"/>
          <w:sz w:val="20"/>
          <w:szCs w:val="20"/>
        </w:rPr>
        <w:t xml:space="preserve"> (Vic) which provides that “a person is presumed to have decision-making capacity unless there is evidence to the contrary”. </w:t>
      </w:r>
      <w:r w:rsidRPr="00BC6B80">
        <w:rPr>
          <w:rFonts w:ascii="Cambria" w:hAnsi="Cambria"/>
          <w:sz w:val="20"/>
          <w:szCs w:val="20"/>
          <w:lang w:val="en-AU"/>
        </w:rPr>
        <w:t xml:space="preserve"> </w:t>
      </w:r>
      <w:r w:rsidRPr="00BC6B80">
        <w:rPr>
          <w:rFonts w:ascii="Cambria" w:hAnsi="Cambria"/>
          <w:color w:val="000000"/>
          <w:sz w:val="20"/>
          <w:szCs w:val="20"/>
        </w:rPr>
        <w:t xml:space="preserve"> </w:t>
      </w:r>
    </w:p>
  </w:footnote>
  <w:footnote w:id="16">
    <w:p w14:paraId="2677512B" w14:textId="77777777" w:rsidR="00EB4EA9" w:rsidRPr="00BC6B80" w:rsidRDefault="00EB4EA9" w:rsidP="00EB4EA9">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sz w:val="20"/>
          <w:szCs w:val="20"/>
          <w:lang w:val="en-AU"/>
        </w:rPr>
        <w:t>See, for example sections</w:t>
      </w:r>
      <w:r w:rsidRPr="00BC6B80">
        <w:rPr>
          <w:rFonts w:ascii="Cambria" w:hAnsi="Cambria"/>
          <w:color w:val="000000"/>
          <w:sz w:val="20"/>
          <w:szCs w:val="20"/>
        </w:rPr>
        <w:t xml:space="preserve"> 6, 20(5), 51(4) of the </w:t>
      </w:r>
      <w:r w:rsidRPr="00BC6B80">
        <w:rPr>
          <w:rFonts w:ascii="Cambria" w:hAnsi="Cambria"/>
          <w:i/>
          <w:iCs/>
          <w:color w:val="000000"/>
          <w:sz w:val="20"/>
          <w:szCs w:val="20"/>
        </w:rPr>
        <w:t>Guardianship and Administration Act 1995</w:t>
      </w:r>
      <w:r w:rsidRPr="00BC6B80">
        <w:rPr>
          <w:rFonts w:ascii="Cambria" w:hAnsi="Cambria"/>
          <w:color w:val="000000"/>
          <w:sz w:val="20"/>
          <w:szCs w:val="20"/>
        </w:rPr>
        <w:t xml:space="preserve"> (Tas).</w:t>
      </w:r>
      <w:r w:rsidRPr="00BC6B80">
        <w:rPr>
          <w:rFonts w:ascii="Cambria" w:hAnsi="Cambria"/>
          <w:sz w:val="20"/>
          <w:szCs w:val="20"/>
          <w:lang w:val="en-AU"/>
        </w:rPr>
        <w:t xml:space="preserve"> </w:t>
      </w:r>
    </w:p>
  </w:footnote>
  <w:footnote w:id="17">
    <w:p w14:paraId="4A71B0AB" w14:textId="77777777" w:rsidR="00EB4EA9" w:rsidRPr="00BC6B80" w:rsidRDefault="00EB4EA9" w:rsidP="00EB4EA9">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sz w:val="20"/>
          <w:szCs w:val="20"/>
        </w:rPr>
        <w:t xml:space="preserve">Tasmania Law Reform Institute, </w:t>
      </w:r>
      <w:r w:rsidRPr="00BC6B80">
        <w:rPr>
          <w:rFonts w:ascii="Cambria" w:hAnsi="Cambria"/>
          <w:i/>
          <w:iCs/>
          <w:color w:val="000000"/>
          <w:sz w:val="20"/>
          <w:szCs w:val="20"/>
        </w:rPr>
        <w:t>Review of the Guardianship and Administration Act 1995</w:t>
      </w:r>
      <w:r w:rsidRPr="00BC6B80">
        <w:rPr>
          <w:rFonts w:ascii="Cambria" w:hAnsi="Cambria"/>
          <w:color w:val="000000"/>
          <w:sz w:val="20"/>
          <w:szCs w:val="20"/>
        </w:rPr>
        <w:t xml:space="preserve"> (Tas) (Final Report No 26: December 2018) at 121.</w:t>
      </w:r>
    </w:p>
  </w:footnote>
  <w:footnote w:id="18">
    <w:p w14:paraId="069365FE" w14:textId="77777777" w:rsidR="00EB4EA9" w:rsidRPr="00BC6B80" w:rsidRDefault="00EB4EA9" w:rsidP="00EB4EA9">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sz w:val="20"/>
          <w:szCs w:val="20"/>
        </w:rPr>
        <w:t xml:space="preserve">Tasmania Law Reform Institute, </w:t>
      </w:r>
      <w:r w:rsidRPr="00BC6B80">
        <w:rPr>
          <w:rFonts w:ascii="Cambria" w:hAnsi="Cambria"/>
          <w:i/>
          <w:iCs/>
          <w:color w:val="000000"/>
          <w:sz w:val="20"/>
          <w:szCs w:val="20"/>
        </w:rPr>
        <w:t>Review of the Guardianship and Administration Act 1995</w:t>
      </w:r>
      <w:r w:rsidRPr="00BC6B80">
        <w:rPr>
          <w:rFonts w:ascii="Cambria" w:hAnsi="Cambria"/>
          <w:color w:val="000000"/>
          <w:sz w:val="20"/>
          <w:szCs w:val="20"/>
        </w:rPr>
        <w:t xml:space="preserve"> (Tas) (Final Report No 26: December 2018) at </w:t>
      </w:r>
      <w:r w:rsidRPr="00BC6B80">
        <w:rPr>
          <w:rFonts w:ascii="Cambria" w:hAnsi="Cambria"/>
          <w:sz w:val="20"/>
          <w:szCs w:val="20"/>
          <w:lang w:val="en-AU"/>
        </w:rPr>
        <w:t>182.</w:t>
      </w:r>
    </w:p>
  </w:footnote>
  <w:footnote w:id="19">
    <w:p w14:paraId="08E56E59" w14:textId="77777777" w:rsidR="00E13E07" w:rsidRPr="00BC6B80" w:rsidRDefault="00E13E07" w:rsidP="00E13E07">
      <w:pPr>
        <w:pStyle w:val="FootnoteText"/>
        <w:rPr>
          <w:rFonts w:ascii="Cambria" w:hAnsi="Cambria"/>
          <w:color w:val="FF0000"/>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themeColor="text1"/>
          <w:sz w:val="20"/>
          <w:szCs w:val="20"/>
          <w:lang w:val="en-AU"/>
        </w:rPr>
        <w:t xml:space="preserve">See for example, sections 7(a) and 10(6)(n), 10(7) of the Bill. </w:t>
      </w:r>
    </w:p>
  </w:footnote>
  <w:footnote w:id="20">
    <w:p w14:paraId="2F243E0E" w14:textId="38FD5140" w:rsidR="000B5CAC" w:rsidRPr="00BC6B80" w:rsidRDefault="000B5CAC">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sz w:val="20"/>
          <w:szCs w:val="20"/>
        </w:rPr>
        <w:t xml:space="preserve">Tasmania Law Reform Institute, </w:t>
      </w:r>
      <w:r w:rsidRPr="00BC6B80">
        <w:rPr>
          <w:rFonts w:ascii="Cambria" w:hAnsi="Cambria"/>
          <w:i/>
          <w:iCs/>
          <w:color w:val="000000"/>
          <w:sz w:val="20"/>
          <w:szCs w:val="20"/>
        </w:rPr>
        <w:t>Review of the Guardianship and Administration Act 1995</w:t>
      </w:r>
      <w:r w:rsidRPr="00BC6B80">
        <w:rPr>
          <w:rFonts w:ascii="Cambria" w:hAnsi="Cambria"/>
          <w:color w:val="000000"/>
          <w:sz w:val="20"/>
          <w:szCs w:val="20"/>
        </w:rPr>
        <w:t xml:space="preserve"> (Tas) (Final Report No 26: December 2018) at</w:t>
      </w:r>
      <w:r w:rsidRPr="00BC6B80">
        <w:rPr>
          <w:rFonts w:ascii="Cambria" w:hAnsi="Cambria"/>
          <w:sz w:val="20"/>
          <w:szCs w:val="20"/>
        </w:rPr>
        <w:t xml:space="preserve"> 123.</w:t>
      </w:r>
    </w:p>
  </w:footnote>
  <w:footnote w:id="21">
    <w:p w14:paraId="64C6FA7C" w14:textId="0C0F162F" w:rsidR="00E13E07" w:rsidRPr="00BC6B80" w:rsidRDefault="00E13E07" w:rsidP="00E13E07">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005565DE" w:rsidRPr="00BC6B80">
        <w:rPr>
          <w:rFonts w:ascii="Cambria" w:hAnsi="Cambria"/>
          <w:color w:val="000000"/>
          <w:sz w:val="20"/>
          <w:szCs w:val="20"/>
        </w:rPr>
        <w:t xml:space="preserve">Tasmania Law Reform Institute, </w:t>
      </w:r>
      <w:r w:rsidR="005565DE" w:rsidRPr="00BC6B80">
        <w:rPr>
          <w:rFonts w:ascii="Cambria" w:hAnsi="Cambria"/>
          <w:i/>
          <w:iCs/>
          <w:color w:val="000000"/>
          <w:sz w:val="20"/>
          <w:szCs w:val="20"/>
        </w:rPr>
        <w:t>Review of the Guardianship and Administration Act 1995</w:t>
      </w:r>
      <w:r w:rsidR="005565DE" w:rsidRPr="00BC6B80">
        <w:rPr>
          <w:rFonts w:ascii="Cambria" w:hAnsi="Cambria"/>
          <w:color w:val="000000"/>
          <w:sz w:val="20"/>
          <w:szCs w:val="20"/>
        </w:rPr>
        <w:t xml:space="preserve"> (Tas) (Final Report No 26: December 2018) at</w:t>
      </w:r>
      <w:r w:rsidRPr="00BC6B80">
        <w:rPr>
          <w:rFonts w:ascii="Cambria" w:hAnsi="Cambria"/>
          <w:sz w:val="20"/>
          <w:szCs w:val="20"/>
        </w:rPr>
        <w:t xml:space="preserve"> 130. </w:t>
      </w:r>
    </w:p>
  </w:footnote>
  <w:footnote w:id="22">
    <w:p w14:paraId="73BC2898" w14:textId="5B0A948A" w:rsidR="00CF2541" w:rsidRPr="00BC6B80" w:rsidRDefault="00CF2541">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sz w:val="20"/>
          <w:szCs w:val="20"/>
        </w:rPr>
        <w:t xml:space="preserve">Tasmania Law Reform Institute, </w:t>
      </w:r>
      <w:r w:rsidRPr="00BC6B80">
        <w:rPr>
          <w:rFonts w:ascii="Cambria" w:hAnsi="Cambria"/>
          <w:i/>
          <w:iCs/>
          <w:color w:val="000000"/>
          <w:sz w:val="20"/>
          <w:szCs w:val="20"/>
        </w:rPr>
        <w:t>Review of the Guardianship and Administration Act 1995</w:t>
      </w:r>
      <w:r w:rsidRPr="00BC6B80">
        <w:rPr>
          <w:rFonts w:ascii="Cambria" w:hAnsi="Cambria"/>
          <w:color w:val="000000"/>
          <w:sz w:val="20"/>
          <w:szCs w:val="20"/>
        </w:rPr>
        <w:t xml:space="preserve"> (Tas) (Final Report No 26: December 2018) at </w:t>
      </w:r>
      <w:r w:rsidRPr="00BC6B80">
        <w:rPr>
          <w:rFonts w:ascii="Cambria" w:hAnsi="Cambria"/>
          <w:sz w:val="20"/>
          <w:szCs w:val="20"/>
          <w:lang w:val="en-AU"/>
        </w:rPr>
        <w:t>256.</w:t>
      </w:r>
    </w:p>
  </w:footnote>
  <w:footnote w:id="23">
    <w:p w14:paraId="54101FF8" w14:textId="14E8AB94" w:rsidR="00AA6498" w:rsidRPr="00BC6B80" w:rsidRDefault="00AA6498">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Australian Law Reform Commission, </w:t>
      </w:r>
      <w:r w:rsidRPr="00BC6B80">
        <w:rPr>
          <w:rFonts w:ascii="Cambria" w:hAnsi="Cambria"/>
          <w:i/>
          <w:sz w:val="20"/>
          <w:szCs w:val="20"/>
        </w:rPr>
        <w:t>Elder Abuse – A National Legal Response</w:t>
      </w:r>
      <w:r w:rsidRPr="00BC6B80">
        <w:rPr>
          <w:rFonts w:ascii="Cambria" w:hAnsi="Cambria"/>
          <w:sz w:val="20"/>
          <w:szCs w:val="20"/>
        </w:rPr>
        <w:t>, Final Report 131 (</w:t>
      </w:r>
      <w:r w:rsidR="00CF2541" w:rsidRPr="00BC6B80">
        <w:rPr>
          <w:rFonts w:ascii="Cambria" w:hAnsi="Cambria"/>
          <w:sz w:val="20"/>
          <w:szCs w:val="20"/>
        </w:rPr>
        <w:t xml:space="preserve">May </w:t>
      </w:r>
      <w:r w:rsidRPr="00BC6B80">
        <w:rPr>
          <w:rFonts w:ascii="Cambria" w:hAnsi="Cambria"/>
          <w:sz w:val="20"/>
          <w:szCs w:val="20"/>
        </w:rPr>
        <w:t>2017)</w:t>
      </w:r>
      <w:r w:rsidR="00CF2541" w:rsidRPr="00BC6B80">
        <w:rPr>
          <w:rFonts w:ascii="Cambria" w:hAnsi="Cambria"/>
          <w:sz w:val="20"/>
          <w:szCs w:val="20"/>
        </w:rPr>
        <w:t xml:space="preserve"> at 179</w:t>
      </w:r>
      <w:r w:rsidRPr="00BC6B80">
        <w:rPr>
          <w:rFonts w:ascii="Cambria" w:hAnsi="Cambria"/>
          <w:sz w:val="20"/>
          <w:szCs w:val="20"/>
        </w:rPr>
        <w:t>.</w:t>
      </w:r>
    </w:p>
  </w:footnote>
  <w:footnote w:id="24">
    <w:p w14:paraId="37A9641D" w14:textId="77777777" w:rsidR="00597B6B" w:rsidRPr="00BC6B80" w:rsidRDefault="00597B6B" w:rsidP="00597B6B">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sz w:val="20"/>
          <w:szCs w:val="20"/>
          <w:lang w:val="en-AU"/>
        </w:rPr>
        <w:t xml:space="preserve">Section 15 of the </w:t>
      </w:r>
      <w:r w:rsidRPr="00BC6B80">
        <w:rPr>
          <w:rFonts w:ascii="Cambria" w:hAnsi="Cambria"/>
          <w:i/>
          <w:iCs/>
          <w:sz w:val="20"/>
          <w:szCs w:val="20"/>
          <w:lang w:val="en-AU"/>
        </w:rPr>
        <w:t>Guardianship and Administration Act 1995</w:t>
      </w:r>
      <w:r w:rsidRPr="00BC6B80">
        <w:rPr>
          <w:rFonts w:ascii="Cambria" w:hAnsi="Cambria"/>
          <w:sz w:val="20"/>
          <w:szCs w:val="20"/>
          <w:lang w:val="en-AU"/>
        </w:rPr>
        <w:t xml:space="preserve"> (Tas). </w:t>
      </w:r>
    </w:p>
  </w:footnote>
  <w:footnote w:id="25">
    <w:p w14:paraId="78728CE4" w14:textId="1722F71A" w:rsidR="00597B6B" w:rsidRPr="00BC6B80" w:rsidRDefault="00597B6B" w:rsidP="00597B6B">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002E1B90" w:rsidRPr="00BC6B80">
        <w:rPr>
          <w:rFonts w:ascii="Cambria" w:hAnsi="Cambria"/>
          <w:sz w:val="20"/>
          <w:szCs w:val="20"/>
        </w:rPr>
        <w:t xml:space="preserve">Office of the Public Guardian Tasmania, </w:t>
      </w:r>
      <w:r w:rsidR="002E1B90" w:rsidRPr="00BC6B80">
        <w:rPr>
          <w:rFonts w:ascii="Cambria" w:hAnsi="Cambria"/>
          <w:i/>
          <w:iCs/>
          <w:sz w:val="20"/>
          <w:szCs w:val="20"/>
        </w:rPr>
        <w:t>Annual Report 2019-20</w:t>
      </w:r>
      <w:r w:rsidR="002E1B90" w:rsidRPr="00BC6B80">
        <w:rPr>
          <w:rFonts w:ascii="Cambria" w:hAnsi="Cambria"/>
          <w:sz w:val="20"/>
          <w:szCs w:val="20"/>
        </w:rPr>
        <w:t xml:space="preserve"> (September 2020) at 6. As found at </w:t>
      </w:r>
      <w:hyperlink r:id="rId2" w:history="1">
        <w:r w:rsidR="002E1B90" w:rsidRPr="00BC6B80">
          <w:rPr>
            <w:rStyle w:val="Hyperlink"/>
            <w:rFonts w:ascii="Cambria" w:hAnsi="Cambria"/>
            <w:sz w:val="20"/>
            <w:szCs w:val="20"/>
          </w:rPr>
          <w:t>https://www.publicguardian.tas.gov.au/__data/assets/pdf_file/0011/630011/OPG-Annual-Report-19-20-Accessible-Version.pdf</w:t>
        </w:r>
      </w:hyperlink>
      <w:r w:rsidR="002E1B90" w:rsidRPr="00BC6B80">
        <w:rPr>
          <w:rFonts w:ascii="Cambria" w:hAnsi="Cambria"/>
          <w:sz w:val="20"/>
          <w:szCs w:val="20"/>
        </w:rPr>
        <w:t xml:space="preserve"> (accessed 12 November 2022). </w:t>
      </w:r>
    </w:p>
  </w:footnote>
  <w:footnote w:id="26">
    <w:p w14:paraId="28C24105" w14:textId="20CA0F9B" w:rsidR="00B03DF2" w:rsidRPr="00BC6B80" w:rsidRDefault="00B03DF2" w:rsidP="00B03DF2">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sz w:val="20"/>
          <w:szCs w:val="20"/>
        </w:rPr>
        <w:t xml:space="preserve">Tasmania Law Reform Institute, Review of the Guardianship and Administration Act 1995 (Tas) (Final Report No 26: December 2018) at </w:t>
      </w:r>
      <w:r w:rsidR="003743FD" w:rsidRPr="00BC6B80">
        <w:rPr>
          <w:rFonts w:ascii="Cambria" w:hAnsi="Cambria"/>
          <w:color w:val="000000"/>
          <w:sz w:val="20"/>
          <w:szCs w:val="20"/>
        </w:rPr>
        <w:t>428</w:t>
      </w:r>
      <w:r w:rsidRPr="00BC6B80">
        <w:rPr>
          <w:rFonts w:ascii="Cambria" w:hAnsi="Cambria"/>
          <w:color w:val="000000"/>
          <w:sz w:val="20"/>
          <w:szCs w:val="20"/>
        </w:rPr>
        <w:t xml:space="preserve">. </w:t>
      </w:r>
    </w:p>
  </w:footnote>
  <w:footnote w:id="27">
    <w:p w14:paraId="4B6D9E59" w14:textId="77777777" w:rsidR="00C372B5" w:rsidRPr="00BC6B80" w:rsidRDefault="00C372B5" w:rsidP="00C372B5">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color w:val="000000"/>
          <w:sz w:val="20"/>
          <w:szCs w:val="20"/>
        </w:rPr>
        <w:t xml:space="preserve">Tasmania Law Reform Institute, Review of the Guardianship and Administration Act 1995 (Tas) (Final Report No 26: December 2018) at 122. </w:t>
      </w:r>
    </w:p>
  </w:footnote>
  <w:footnote w:id="28">
    <w:p w14:paraId="60DB3CE0" w14:textId="77777777" w:rsidR="00EF4C6B" w:rsidRPr="00BC6B80" w:rsidRDefault="00EF4C6B" w:rsidP="00EF4C6B">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sz w:val="20"/>
          <w:szCs w:val="20"/>
          <w:lang w:val="en-AU"/>
        </w:rPr>
        <w:t xml:space="preserve">Tasmanian Civil and Administrative Annual Report 2021-22. As found at </w:t>
      </w:r>
      <w:hyperlink r:id="rId3" w:history="1">
        <w:r w:rsidRPr="00BC6B80">
          <w:rPr>
            <w:rStyle w:val="Hyperlink"/>
            <w:rFonts w:ascii="Cambria" w:hAnsi="Cambria"/>
            <w:sz w:val="20"/>
            <w:szCs w:val="20"/>
            <w:lang w:val="en-AU"/>
          </w:rPr>
          <w:t>https://tascat.tas.gov.au/publications/annual-reports/annual-report-2021-2022</w:t>
        </w:r>
      </w:hyperlink>
      <w:r w:rsidRPr="00BC6B80">
        <w:rPr>
          <w:rFonts w:ascii="Cambria" w:hAnsi="Cambria"/>
          <w:sz w:val="20"/>
          <w:szCs w:val="20"/>
          <w:lang w:val="en-AU"/>
        </w:rPr>
        <w:t xml:space="preserve"> (Accessed 13 November 2022). </w:t>
      </w:r>
    </w:p>
  </w:footnote>
  <w:footnote w:id="29">
    <w:p w14:paraId="10CB1E0D" w14:textId="05F78317" w:rsidR="00595637" w:rsidRPr="00BC6B80" w:rsidRDefault="00595637">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sz w:val="20"/>
          <w:szCs w:val="20"/>
          <w:lang w:val="en-AU"/>
        </w:rPr>
        <w:t xml:space="preserve">Section 98(4)(b) of the </w:t>
      </w:r>
      <w:r w:rsidRPr="00BC6B80">
        <w:rPr>
          <w:rFonts w:ascii="Cambria" w:hAnsi="Cambria"/>
          <w:i/>
          <w:iCs/>
          <w:sz w:val="20"/>
          <w:szCs w:val="20"/>
          <w:lang w:val="en-AU"/>
        </w:rPr>
        <w:t>Tasmanian Civil and Administrative Tribunal Act 2000</w:t>
      </w:r>
      <w:r w:rsidRPr="00BC6B80">
        <w:rPr>
          <w:rFonts w:ascii="Cambria" w:hAnsi="Cambria"/>
          <w:sz w:val="20"/>
          <w:szCs w:val="20"/>
          <w:lang w:val="en-AU"/>
        </w:rPr>
        <w:t xml:space="preserve"> (Tas). </w:t>
      </w:r>
    </w:p>
  </w:footnote>
  <w:footnote w:id="30">
    <w:p w14:paraId="76D656A5" w14:textId="37932F90" w:rsidR="0011314C" w:rsidRPr="00BC6B80" w:rsidRDefault="0011314C" w:rsidP="001F0CA2">
      <w:pPr>
        <w:jc w:val="both"/>
        <w:rPr>
          <w:rFonts w:ascii="Cambria" w:hAnsi="Cambria"/>
          <w:color w:val="000000" w:themeColor="text1"/>
          <w:sz w:val="20"/>
          <w:szCs w:val="20"/>
          <w:shd w:val="clear" w:color="auto" w:fill="FFFFFF"/>
        </w:rPr>
      </w:pPr>
      <w:r w:rsidRPr="00BC6B80">
        <w:rPr>
          <w:rStyle w:val="FootnoteReference"/>
          <w:rFonts w:ascii="Cambria" w:hAnsi="Cambria"/>
          <w:sz w:val="20"/>
          <w:szCs w:val="20"/>
        </w:rPr>
        <w:footnoteRef/>
      </w:r>
      <w:r w:rsidRPr="00BC6B80">
        <w:rPr>
          <w:rFonts w:ascii="Cambria" w:hAnsi="Cambria"/>
          <w:sz w:val="20"/>
          <w:szCs w:val="20"/>
        </w:rPr>
        <w:t xml:space="preserve"> </w:t>
      </w:r>
      <w:r w:rsidR="001F0CA2" w:rsidRPr="00BC6B80">
        <w:rPr>
          <w:rFonts w:ascii="Cambria" w:hAnsi="Cambria"/>
          <w:sz w:val="20"/>
          <w:szCs w:val="20"/>
        </w:rPr>
        <w:t xml:space="preserve">Clause 7(4) of Schedule 4, Part 2 of the </w:t>
      </w:r>
      <w:r w:rsidR="001F0CA2" w:rsidRPr="00BC6B80">
        <w:rPr>
          <w:rFonts w:ascii="Cambria" w:hAnsi="Cambria"/>
          <w:i/>
          <w:sz w:val="20"/>
          <w:szCs w:val="20"/>
        </w:rPr>
        <w:t>Mental Health Act</w:t>
      </w:r>
      <w:r w:rsidR="001F0CA2" w:rsidRPr="00BC6B80">
        <w:rPr>
          <w:rFonts w:ascii="Cambria" w:hAnsi="Cambria"/>
          <w:sz w:val="20"/>
          <w:szCs w:val="20"/>
        </w:rPr>
        <w:t xml:space="preserve"> </w:t>
      </w:r>
      <w:r w:rsidR="001F0CA2" w:rsidRPr="00BC6B80">
        <w:rPr>
          <w:rFonts w:ascii="Cambria" w:hAnsi="Cambria"/>
          <w:i/>
          <w:iCs/>
          <w:sz w:val="20"/>
          <w:szCs w:val="20"/>
        </w:rPr>
        <w:t xml:space="preserve">2013 </w:t>
      </w:r>
      <w:r w:rsidR="001F0CA2" w:rsidRPr="00BC6B80">
        <w:rPr>
          <w:rFonts w:ascii="Cambria" w:hAnsi="Cambria"/>
          <w:iCs/>
          <w:sz w:val="20"/>
          <w:szCs w:val="20"/>
        </w:rPr>
        <w:t>(Tas)</w:t>
      </w:r>
      <w:r w:rsidR="001F0CA2" w:rsidRPr="00BC6B80">
        <w:rPr>
          <w:rFonts w:ascii="Cambria" w:hAnsi="Cambria"/>
          <w:sz w:val="20"/>
          <w:szCs w:val="20"/>
        </w:rPr>
        <w:t xml:space="preserve">. </w:t>
      </w:r>
    </w:p>
  </w:footnote>
  <w:footnote w:id="31">
    <w:p w14:paraId="4ECAB4DF" w14:textId="7C101EEF" w:rsidR="00E131F6" w:rsidRPr="00BC6B80" w:rsidRDefault="00E131F6">
      <w:pPr>
        <w:pStyle w:val="FootnoteText"/>
        <w:rPr>
          <w:rFonts w:ascii="Cambria" w:hAnsi="Cambria"/>
          <w:sz w:val="20"/>
          <w:szCs w:val="20"/>
          <w:lang w:val="en-AU"/>
        </w:rPr>
      </w:pPr>
      <w:r w:rsidRPr="00BC6B80">
        <w:rPr>
          <w:rStyle w:val="FootnoteReference"/>
          <w:rFonts w:ascii="Cambria" w:hAnsi="Cambria"/>
          <w:sz w:val="20"/>
          <w:szCs w:val="20"/>
        </w:rPr>
        <w:footnoteRef/>
      </w:r>
      <w:r w:rsidRPr="00BC6B80">
        <w:rPr>
          <w:rFonts w:ascii="Cambria" w:hAnsi="Cambria"/>
          <w:sz w:val="20"/>
          <w:szCs w:val="20"/>
        </w:rPr>
        <w:t xml:space="preserve"> </w:t>
      </w:r>
      <w:r w:rsidRPr="00BC6B80">
        <w:rPr>
          <w:rFonts w:ascii="Cambria" w:hAnsi="Cambria"/>
          <w:sz w:val="20"/>
          <w:szCs w:val="20"/>
          <w:lang w:val="en-AU"/>
        </w:rPr>
        <w:t xml:space="preserve">Guardianship and Administration Board </w:t>
      </w:r>
      <w:r w:rsidRPr="00BC6B80">
        <w:rPr>
          <w:rFonts w:ascii="Cambria" w:hAnsi="Cambria"/>
          <w:i/>
          <w:iCs/>
          <w:sz w:val="20"/>
          <w:szCs w:val="20"/>
          <w:lang w:val="en-AU"/>
        </w:rPr>
        <w:t>Annual Report 2019-20</w:t>
      </w:r>
      <w:r w:rsidRPr="00BC6B80">
        <w:rPr>
          <w:rFonts w:ascii="Cambria" w:hAnsi="Cambria"/>
          <w:sz w:val="20"/>
          <w:szCs w:val="20"/>
          <w:lang w:val="en-AU"/>
        </w:rPr>
        <w:t xml:space="preserve"> at 3. As found at </w:t>
      </w:r>
      <w:hyperlink r:id="rId4" w:history="1">
        <w:r w:rsidRPr="00BC6B80">
          <w:rPr>
            <w:rStyle w:val="Hyperlink"/>
            <w:rFonts w:ascii="Cambria" w:hAnsi="Cambria"/>
            <w:sz w:val="20"/>
            <w:szCs w:val="20"/>
            <w:lang w:val="en-AU"/>
          </w:rPr>
          <w:t>https://www.tascat.tas.gov.au/__data/assets/pdf_file/0006/597084/FINAL-Annual-Report-2019-20-25-September-2020.pdf</w:t>
        </w:r>
      </w:hyperlink>
      <w:r w:rsidRPr="00BC6B80">
        <w:rPr>
          <w:rFonts w:ascii="Cambria" w:hAnsi="Cambria"/>
          <w:sz w:val="20"/>
          <w:szCs w:val="20"/>
          <w:lang w:val="en-AU"/>
        </w:rPr>
        <w:t xml:space="preserve"> (accessed 13 November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EED"/>
    <w:multiLevelType w:val="hybridMultilevel"/>
    <w:tmpl w:val="2958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76B49"/>
    <w:multiLevelType w:val="hybridMultilevel"/>
    <w:tmpl w:val="BF5CBF3A"/>
    <w:lvl w:ilvl="0" w:tplc="74B6EE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7130B"/>
    <w:multiLevelType w:val="hybridMultilevel"/>
    <w:tmpl w:val="01708668"/>
    <w:lvl w:ilvl="0" w:tplc="CA8603E0">
      <w:start w:val="3"/>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1264E"/>
    <w:multiLevelType w:val="hybridMultilevel"/>
    <w:tmpl w:val="8DD80ADA"/>
    <w:lvl w:ilvl="0" w:tplc="9A1EF508">
      <w:start w:val="1"/>
      <w:numFmt w:val="bullet"/>
      <w:pStyle w:val="DotPointTLRI"/>
      <w:lvlText w:val=""/>
      <w:lvlJc w:val="left"/>
      <w:pPr>
        <w:ind w:left="1146" w:hanging="426"/>
      </w:pPr>
      <w:rPr>
        <w:rFonts w:ascii="Symbol" w:hAnsi="Symbol" w:hint="default"/>
      </w:rPr>
    </w:lvl>
    <w:lvl w:ilvl="1" w:tplc="0C090003">
      <w:start w:val="1"/>
      <w:numFmt w:val="bullet"/>
      <w:lvlText w:val="o"/>
      <w:lvlJc w:val="left"/>
      <w:pPr>
        <w:ind w:left="1735" w:hanging="360"/>
      </w:pPr>
      <w:rPr>
        <w:rFonts w:ascii="Courier New" w:hAnsi="Courier New" w:cs="Courier New" w:hint="default"/>
      </w:rPr>
    </w:lvl>
    <w:lvl w:ilvl="2" w:tplc="201C3C74">
      <w:start w:val="1"/>
      <w:numFmt w:val="bullet"/>
      <w:lvlText w:val=""/>
      <w:lvlJc w:val="left"/>
      <w:pPr>
        <w:ind w:left="2455" w:hanging="360"/>
      </w:pPr>
    </w:lvl>
    <w:lvl w:ilvl="3" w:tplc="743A4228" w:tentative="1">
      <w:start w:val="1"/>
      <w:numFmt w:val="bullet"/>
      <w:lvlText w:val=""/>
      <w:lvlJc w:val="left"/>
      <w:pPr>
        <w:ind w:left="3175" w:hanging="360"/>
      </w:pPr>
    </w:lvl>
    <w:lvl w:ilvl="4" w:tplc="12A6BAE6" w:tentative="1">
      <w:start w:val="1"/>
      <w:numFmt w:val="bullet"/>
      <w:lvlText w:val="o"/>
      <w:lvlJc w:val="left"/>
      <w:pPr>
        <w:ind w:left="3895" w:hanging="360"/>
      </w:pPr>
    </w:lvl>
    <w:lvl w:ilvl="5" w:tplc="9B1C1150" w:tentative="1">
      <w:start w:val="1"/>
      <w:numFmt w:val="bullet"/>
      <w:lvlText w:val=""/>
      <w:lvlJc w:val="left"/>
      <w:pPr>
        <w:ind w:left="4615" w:hanging="360"/>
      </w:pPr>
    </w:lvl>
    <w:lvl w:ilvl="6" w:tplc="1652C8AE" w:tentative="1">
      <w:start w:val="1"/>
      <w:numFmt w:val="bullet"/>
      <w:lvlText w:val=""/>
      <w:lvlJc w:val="left"/>
      <w:pPr>
        <w:ind w:left="5335" w:hanging="360"/>
      </w:pPr>
    </w:lvl>
    <w:lvl w:ilvl="7" w:tplc="031CB4C8" w:tentative="1">
      <w:start w:val="1"/>
      <w:numFmt w:val="bullet"/>
      <w:lvlText w:val="o"/>
      <w:lvlJc w:val="left"/>
      <w:pPr>
        <w:ind w:left="6055" w:hanging="360"/>
      </w:pPr>
    </w:lvl>
    <w:lvl w:ilvl="8" w:tplc="BF547436" w:tentative="1">
      <w:start w:val="1"/>
      <w:numFmt w:val="bullet"/>
      <w:lvlText w:val=""/>
      <w:lvlJc w:val="left"/>
      <w:pPr>
        <w:ind w:left="6775" w:hanging="360"/>
      </w:pPr>
    </w:lvl>
  </w:abstractNum>
  <w:abstractNum w:abstractNumId="4" w15:restartNumberingAfterBreak="0">
    <w:nsid w:val="29EB52E5"/>
    <w:multiLevelType w:val="multilevel"/>
    <w:tmpl w:val="C866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22177"/>
    <w:multiLevelType w:val="hybridMultilevel"/>
    <w:tmpl w:val="1E66AA48"/>
    <w:lvl w:ilvl="0" w:tplc="3E5A81E8">
      <w:start w:val="1"/>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D6C9B"/>
    <w:multiLevelType w:val="multilevel"/>
    <w:tmpl w:val="BAE210E0"/>
    <w:lvl w:ilvl="0">
      <w:start w:val="1"/>
      <w:numFmt w:val="decimal"/>
      <w:pStyle w:val="PartNoTLRI"/>
      <w:suff w:val="nothing"/>
      <w:lvlText w:val="Part %1"/>
      <w:lvlJc w:val="left"/>
      <w:pPr>
        <w:ind w:left="4969" w:hanging="432"/>
      </w:pPr>
    </w:lvl>
    <w:lvl w:ilvl="1">
      <w:start w:val="1"/>
      <w:numFmt w:val="decimal"/>
      <w:pStyle w:val="NumberedHeadingTLRI"/>
      <w:lvlText w:val="%1.%2"/>
      <w:lvlJc w:val="left"/>
      <w:pPr>
        <w:tabs>
          <w:tab w:val="num" w:pos="1287"/>
        </w:tabs>
        <w:ind w:left="567" w:firstLine="0"/>
      </w:pPr>
      <w:rPr>
        <w:rFonts w:ascii="Arial" w:hAnsi="Arial" w:cs="Arial" w:hint="default"/>
        <w:i w:val="0"/>
        <w:sz w:val="32"/>
        <w:szCs w:val="32"/>
      </w:rPr>
    </w:lvl>
    <w:lvl w:ilvl="2">
      <w:start w:val="1"/>
      <w:numFmt w:val="decimal"/>
      <w:pStyle w:val="NormalNumberedTextTLRI"/>
      <w:lvlText w:val="%1.%2.%3"/>
      <w:lvlJc w:val="left"/>
      <w:pPr>
        <w:tabs>
          <w:tab w:val="num" w:pos="1146"/>
        </w:tabs>
        <w:ind w:left="426" w:firstLine="0"/>
      </w:pPr>
    </w:lvl>
    <w:lvl w:ilvl="3">
      <w:start w:val="2"/>
      <w:numFmt w:val="none"/>
      <w:lvlText w:val=""/>
      <w:lvlJc w:val="left"/>
      <w:pPr>
        <w:tabs>
          <w:tab w:val="num" w:pos="361"/>
        </w:tabs>
        <w:ind w:left="1" w:firstLine="0"/>
      </w:pPr>
    </w:lvl>
    <w:lvl w:ilvl="4">
      <w:start w:val="1"/>
      <w:numFmt w:val="none"/>
      <w:lvlText w:val=""/>
      <w:lvlJc w:val="left"/>
      <w:pPr>
        <w:tabs>
          <w:tab w:val="num" w:pos="158"/>
        </w:tabs>
        <w:ind w:left="158" w:hanging="1008"/>
      </w:pPr>
    </w:lvl>
    <w:lvl w:ilvl="5">
      <w:start w:val="1"/>
      <w:numFmt w:val="none"/>
      <w:lvlRestart w:val="1"/>
      <w:lvlText w:val=""/>
      <w:lvlJc w:val="left"/>
      <w:pPr>
        <w:tabs>
          <w:tab w:val="num" w:pos="302"/>
        </w:tabs>
        <w:ind w:left="302" w:hanging="1152"/>
      </w:pPr>
    </w:lvl>
    <w:lvl w:ilvl="6">
      <w:start w:val="1"/>
      <w:numFmt w:val="none"/>
      <w:lvlText w:val=""/>
      <w:lvlJc w:val="left"/>
      <w:pPr>
        <w:tabs>
          <w:tab w:val="num" w:pos="446"/>
        </w:tabs>
        <w:ind w:left="446" w:hanging="1296"/>
      </w:pPr>
    </w:lvl>
    <w:lvl w:ilvl="7">
      <w:start w:val="1"/>
      <w:numFmt w:val="none"/>
      <w:lvlText w:val=""/>
      <w:lvlJc w:val="left"/>
      <w:pPr>
        <w:tabs>
          <w:tab w:val="num" w:pos="590"/>
        </w:tabs>
        <w:ind w:left="590" w:hanging="1440"/>
      </w:pPr>
    </w:lvl>
    <w:lvl w:ilvl="8">
      <w:start w:val="1"/>
      <w:numFmt w:val="none"/>
      <w:lvlText w:val=""/>
      <w:lvlJc w:val="left"/>
      <w:pPr>
        <w:tabs>
          <w:tab w:val="num" w:pos="734"/>
        </w:tabs>
        <w:ind w:left="734" w:hanging="1584"/>
      </w:pPr>
    </w:lvl>
  </w:abstractNum>
  <w:abstractNum w:abstractNumId="7" w15:restartNumberingAfterBreak="0">
    <w:nsid w:val="467B1E8B"/>
    <w:multiLevelType w:val="multilevel"/>
    <w:tmpl w:val="D5C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D04474"/>
    <w:multiLevelType w:val="multilevel"/>
    <w:tmpl w:val="CC56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B35563"/>
    <w:multiLevelType w:val="hybridMultilevel"/>
    <w:tmpl w:val="F9EEA80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32562">
    <w:abstractNumId w:val="6"/>
  </w:num>
  <w:num w:numId="2" w16cid:durableId="422650378">
    <w:abstractNumId w:val="3"/>
  </w:num>
  <w:num w:numId="3" w16cid:durableId="136411162">
    <w:abstractNumId w:val="8"/>
  </w:num>
  <w:num w:numId="4" w16cid:durableId="1239362841">
    <w:abstractNumId w:val="2"/>
  </w:num>
  <w:num w:numId="5" w16cid:durableId="442191825">
    <w:abstractNumId w:val="1"/>
  </w:num>
  <w:num w:numId="6" w16cid:durableId="1766343513">
    <w:abstractNumId w:val="7"/>
  </w:num>
  <w:num w:numId="7" w16cid:durableId="1124546326">
    <w:abstractNumId w:val="9"/>
  </w:num>
  <w:num w:numId="8" w16cid:durableId="543834992">
    <w:abstractNumId w:val="5"/>
  </w:num>
  <w:num w:numId="9" w16cid:durableId="1835291095">
    <w:abstractNumId w:val="4"/>
  </w:num>
  <w:num w:numId="10" w16cid:durableId="69392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05"/>
    <w:rsid w:val="00011625"/>
    <w:rsid w:val="00015427"/>
    <w:rsid w:val="00024572"/>
    <w:rsid w:val="00026648"/>
    <w:rsid w:val="00084EB2"/>
    <w:rsid w:val="0009588A"/>
    <w:rsid w:val="000B13D4"/>
    <w:rsid w:val="000B5C8D"/>
    <w:rsid w:val="000B5CAC"/>
    <w:rsid w:val="000C511F"/>
    <w:rsid w:val="000E0321"/>
    <w:rsid w:val="00103B5A"/>
    <w:rsid w:val="0011314C"/>
    <w:rsid w:val="00127F7F"/>
    <w:rsid w:val="001419E7"/>
    <w:rsid w:val="00151505"/>
    <w:rsid w:val="00161A57"/>
    <w:rsid w:val="001C3302"/>
    <w:rsid w:val="001D50D0"/>
    <w:rsid w:val="001F0CA2"/>
    <w:rsid w:val="002025F9"/>
    <w:rsid w:val="00204FE2"/>
    <w:rsid w:val="00215FCE"/>
    <w:rsid w:val="002162CE"/>
    <w:rsid w:val="002442FD"/>
    <w:rsid w:val="0027380D"/>
    <w:rsid w:val="00287BF3"/>
    <w:rsid w:val="002A718D"/>
    <w:rsid w:val="002C0193"/>
    <w:rsid w:val="002C3ACE"/>
    <w:rsid w:val="002E1B90"/>
    <w:rsid w:val="00314396"/>
    <w:rsid w:val="00345633"/>
    <w:rsid w:val="00367108"/>
    <w:rsid w:val="003743FD"/>
    <w:rsid w:val="003747D4"/>
    <w:rsid w:val="0038199D"/>
    <w:rsid w:val="0039143C"/>
    <w:rsid w:val="0039353F"/>
    <w:rsid w:val="003A7632"/>
    <w:rsid w:val="003B2590"/>
    <w:rsid w:val="003F236E"/>
    <w:rsid w:val="004001B3"/>
    <w:rsid w:val="00421054"/>
    <w:rsid w:val="00426181"/>
    <w:rsid w:val="0043312A"/>
    <w:rsid w:val="004603C1"/>
    <w:rsid w:val="00486784"/>
    <w:rsid w:val="004A41F7"/>
    <w:rsid w:val="004A6F1C"/>
    <w:rsid w:val="004B28BC"/>
    <w:rsid w:val="004E24CE"/>
    <w:rsid w:val="004E462E"/>
    <w:rsid w:val="004E7792"/>
    <w:rsid w:val="004F2F66"/>
    <w:rsid w:val="00511798"/>
    <w:rsid w:val="005149EA"/>
    <w:rsid w:val="00517E15"/>
    <w:rsid w:val="00537223"/>
    <w:rsid w:val="005565DE"/>
    <w:rsid w:val="0057349D"/>
    <w:rsid w:val="00573AB4"/>
    <w:rsid w:val="00590CD3"/>
    <w:rsid w:val="00595196"/>
    <w:rsid w:val="00595637"/>
    <w:rsid w:val="00595702"/>
    <w:rsid w:val="00597B6B"/>
    <w:rsid w:val="005B514C"/>
    <w:rsid w:val="005B5257"/>
    <w:rsid w:val="005C0D84"/>
    <w:rsid w:val="005C64CE"/>
    <w:rsid w:val="005D0DE1"/>
    <w:rsid w:val="005D34E0"/>
    <w:rsid w:val="005F1C17"/>
    <w:rsid w:val="005F3DA1"/>
    <w:rsid w:val="0061042F"/>
    <w:rsid w:val="0062202C"/>
    <w:rsid w:val="00631338"/>
    <w:rsid w:val="0064528F"/>
    <w:rsid w:val="00673691"/>
    <w:rsid w:val="00680B9B"/>
    <w:rsid w:val="0068644C"/>
    <w:rsid w:val="00695904"/>
    <w:rsid w:val="006A2046"/>
    <w:rsid w:val="006C610B"/>
    <w:rsid w:val="006F2EC0"/>
    <w:rsid w:val="006F4F21"/>
    <w:rsid w:val="00705D48"/>
    <w:rsid w:val="00713182"/>
    <w:rsid w:val="0073437B"/>
    <w:rsid w:val="00737AB5"/>
    <w:rsid w:val="007454B2"/>
    <w:rsid w:val="00761204"/>
    <w:rsid w:val="00774130"/>
    <w:rsid w:val="00776AFB"/>
    <w:rsid w:val="007A339D"/>
    <w:rsid w:val="007A5467"/>
    <w:rsid w:val="007B0B94"/>
    <w:rsid w:val="007B3670"/>
    <w:rsid w:val="007C1E6A"/>
    <w:rsid w:val="007D6158"/>
    <w:rsid w:val="007E2340"/>
    <w:rsid w:val="007E7272"/>
    <w:rsid w:val="007F346E"/>
    <w:rsid w:val="0081679D"/>
    <w:rsid w:val="00820AEF"/>
    <w:rsid w:val="00854433"/>
    <w:rsid w:val="00856941"/>
    <w:rsid w:val="008739D8"/>
    <w:rsid w:val="008753C0"/>
    <w:rsid w:val="00883EDD"/>
    <w:rsid w:val="00887DB5"/>
    <w:rsid w:val="008C053A"/>
    <w:rsid w:val="008C0F2B"/>
    <w:rsid w:val="008C6345"/>
    <w:rsid w:val="00930948"/>
    <w:rsid w:val="00950D40"/>
    <w:rsid w:val="009B6A41"/>
    <w:rsid w:val="009C0F01"/>
    <w:rsid w:val="009D1890"/>
    <w:rsid w:val="009E782C"/>
    <w:rsid w:val="00A01483"/>
    <w:rsid w:val="00A04EC5"/>
    <w:rsid w:val="00A30937"/>
    <w:rsid w:val="00A42483"/>
    <w:rsid w:val="00A71606"/>
    <w:rsid w:val="00A73453"/>
    <w:rsid w:val="00A77182"/>
    <w:rsid w:val="00A850B0"/>
    <w:rsid w:val="00A911CA"/>
    <w:rsid w:val="00A92F65"/>
    <w:rsid w:val="00AA0592"/>
    <w:rsid w:val="00AA6498"/>
    <w:rsid w:val="00AF5F64"/>
    <w:rsid w:val="00B032F2"/>
    <w:rsid w:val="00B03DF2"/>
    <w:rsid w:val="00B11866"/>
    <w:rsid w:val="00B2308B"/>
    <w:rsid w:val="00B57DDA"/>
    <w:rsid w:val="00B703D6"/>
    <w:rsid w:val="00B869E3"/>
    <w:rsid w:val="00B9317E"/>
    <w:rsid w:val="00BA1458"/>
    <w:rsid w:val="00BA3618"/>
    <w:rsid w:val="00BA4536"/>
    <w:rsid w:val="00BC1A20"/>
    <w:rsid w:val="00BC5078"/>
    <w:rsid w:val="00BC6B80"/>
    <w:rsid w:val="00BD06C5"/>
    <w:rsid w:val="00C0583C"/>
    <w:rsid w:val="00C201C9"/>
    <w:rsid w:val="00C204FC"/>
    <w:rsid w:val="00C21CE5"/>
    <w:rsid w:val="00C24A92"/>
    <w:rsid w:val="00C372B5"/>
    <w:rsid w:val="00C40102"/>
    <w:rsid w:val="00C47537"/>
    <w:rsid w:val="00C5064D"/>
    <w:rsid w:val="00C72658"/>
    <w:rsid w:val="00C8158A"/>
    <w:rsid w:val="00C83BB7"/>
    <w:rsid w:val="00C85F31"/>
    <w:rsid w:val="00C91E65"/>
    <w:rsid w:val="00C96FC8"/>
    <w:rsid w:val="00CB4BB6"/>
    <w:rsid w:val="00CB50DB"/>
    <w:rsid w:val="00CC6840"/>
    <w:rsid w:val="00CE6242"/>
    <w:rsid w:val="00CF2541"/>
    <w:rsid w:val="00D02681"/>
    <w:rsid w:val="00D36494"/>
    <w:rsid w:val="00D37F1F"/>
    <w:rsid w:val="00D42697"/>
    <w:rsid w:val="00D6102B"/>
    <w:rsid w:val="00D65781"/>
    <w:rsid w:val="00D679FF"/>
    <w:rsid w:val="00D74B71"/>
    <w:rsid w:val="00D762A8"/>
    <w:rsid w:val="00DA337E"/>
    <w:rsid w:val="00DB0D5C"/>
    <w:rsid w:val="00DF52A3"/>
    <w:rsid w:val="00E12A8E"/>
    <w:rsid w:val="00E131F6"/>
    <w:rsid w:val="00E13E07"/>
    <w:rsid w:val="00E1448C"/>
    <w:rsid w:val="00E32944"/>
    <w:rsid w:val="00E50A44"/>
    <w:rsid w:val="00E54839"/>
    <w:rsid w:val="00E5581B"/>
    <w:rsid w:val="00E61FFF"/>
    <w:rsid w:val="00E7158B"/>
    <w:rsid w:val="00E83F92"/>
    <w:rsid w:val="00E845FE"/>
    <w:rsid w:val="00E85524"/>
    <w:rsid w:val="00EB4EA9"/>
    <w:rsid w:val="00EB5773"/>
    <w:rsid w:val="00EE2DB1"/>
    <w:rsid w:val="00EF4C6B"/>
    <w:rsid w:val="00EF636A"/>
    <w:rsid w:val="00F00266"/>
    <w:rsid w:val="00F034A3"/>
    <w:rsid w:val="00F14EC2"/>
    <w:rsid w:val="00F1697A"/>
    <w:rsid w:val="00F17468"/>
    <w:rsid w:val="00F2098F"/>
    <w:rsid w:val="00F20E38"/>
    <w:rsid w:val="00F25EC9"/>
    <w:rsid w:val="00FA46AD"/>
    <w:rsid w:val="00FC418C"/>
    <w:rsid w:val="00FC456E"/>
    <w:rsid w:val="00FC514B"/>
    <w:rsid w:val="00FC5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4F83"/>
  <w15:chartTrackingRefBased/>
  <w15:docId w15:val="{18D7E55C-CF19-5F49-82A1-8E91553F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0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505"/>
    <w:rPr>
      <w:color w:val="0563C1" w:themeColor="hyperlink"/>
      <w:u w:val="single"/>
    </w:rPr>
  </w:style>
  <w:style w:type="paragraph" w:styleId="FootnoteText">
    <w:name w:val="footnote text"/>
    <w:aliases w:val="Footnote,Text"/>
    <w:basedOn w:val="Normal"/>
    <w:link w:val="FootnoteTextChar"/>
    <w:uiPriority w:val="99"/>
    <w:unhideWhenUsed/>
    <w:rsid w:val="00151505"/>
    <w:rPr>
      <w:rFonts w:asciiTheme="minorHAnsi" w:eastAsiaTheme="minorEastAsia" w:hAnsiTheme="minorHAnsi" w:cstheme="minorBidi"/>
      <w:lang w:val="en-US" w:eastAsia="en-US"/>
    </w:rPr>
  </w:style>
  <w:style w:type="character" w:customStyle="1" w:styleId="FootnoteTextChar">
    <w:name w:val="Footnote Text Char"/>
    <w:aliases w:val="Footnote Char,Text Char"/>
    <w:basedOn w:val="DefaultParagraphFont"/>
    <w:link w:val="FootnoteText"/>
    <w:uiPriority w:val="99"/>
    <w:rsid w:val="00151505"/>
    <w:rPr>
      <w:rFonts w:eastAsiaTheme="minorEastAsia"/>
      <w:lang w:val="en-US"/>
    </w:rPr>
  </w:style>
  <w:style w:type="character" w:styleId="FootnoteReference">
    <w:name w:val="footnote reference"/>
    <w:aliases w:val="Ref,de nota al pie"/>
    <w:basedOn w:val="DefaultParagraphFont"/>
    <w:uiPriority w:val="99"/>
    <w:unhideWhenUsed/>
    <w:qFormat/>
    <w:rsid w:val="00151505"/>
    <w:rPr>
      <w:vertAlign w:val="superscript"/>
    </w:rPr>
  </w:style>
  <w:style w:type="paragraph" w:styleId="NoSpacing">
    <w:name w:val="No Spacing"/>
    <w:uiPriority w:val="1"/>
    <w:qFormat/>
    <w:rsid w:val="00151505"/>
    <w:rPr>
      <w:rFonts w:ascii="Times New Roman" w:eastAsia="Times New Roman" w:hAnsi="Times New Roman" w:cs="Times New Roman"/>
      <w:lang w:eastAsia="en-GB"/>
    </w:rPr>
  </w:style>
  <w:style w:type="paragraph" w:styleId="Footer">
    <w:name w:val="footer"/>
    <w:basedOn w:val="Normal"/>
    <w:link w:val="FooterChar"/>
    <w:uiPriority w:val="99"/>
    <w:unhideWhenUsed/>
    <w:rsid w:val="00151505"/>
    <w:pPr>
      <w:tabs>
        <w:tab w:val="center" w:pos="4513"/>
        <w:tab w:val="right" w:pos="9026"/>
      </w:tabs>
    </w:pPr>
  </w:style>
  <w:style w:type="character" w:customStyle="1" w:styleId="FooterChar">
    <w:name w:val="Footer Char"/>
    <w:basedOn w:val="DefaultParagraphFont"/>
    <w:link w:val="Footer"/>
    <w:uiPriority w:val="99"/>
    <w:rsid w:val="00151505"/>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151505"/>
  </w:style>
  <w:style w:type="paragraph" w:customStyle="1" w:styleId="xmsonormal">
    <w:name w:val="x_msonormal"/>
    <w:basedOn w:val="Normal"/>
    <w:rsid w:val="00151505"/>
    <w:pPr>
      <w:spacing w:before="100" w:beforeAutospacing="1" w:after="100" w:afterAutospacing="1"/>
    </w:pPr>
  </w:style>
  <w:style w:type="character" w:styleId="UnresolvedMention">
    <w:name w:val="Unresolved Mention"/>
    <w:basedOn w:val="DefaultParagraphFont"/>
    <w:uiPriority w:val="99"/>
    <w:semiHidden/>
    <w:unhideWhenUsed/>
    <w:rsid w:val="00151505"/>
    <w:rPr>
      <w:color w:val="605E5C"/>
      <w:shd w:val="clear" w:color="auto" w:fill="E1DFDD"/>
    </w:rPr>
  </w:style>
  <w:style w:type="paragraph" w:customStyle="1" w:styleId="NumberedHeadingTLRI">
    <w:name w:val="Numbered Heading TLRI"/>
    <w:basedOn w:val="Normal"/>
    <w:next w:val="NormalNumberedTextTLRI"/>
    <w:qFormat/>
    <w:rsid w:val="00774130"/>
    <w:pPr>
      <w:numPr>
        <w:ilvl w:val="1"/>
        <w:numId w:val="1"/>
      </w:numPr>
      <w:tabs>
        <w:tab w:val="clear" w:pos="1287"/>
        <w:tab w:val="num" w:pos="851"/>
      </w:tabs>
      <w:spacing w:before="360" w:after="220"/>
      <w:ind w:left="0"/>
    </w:pPr>
    <w:rPr>
      <w:rFonts w:ascii="Arial" w:eastAsia="Times" w:hAnsi="Arial"/>
      <w:b/>
      <w:sz w:val="32"/>
      <w:szCs w:val="20"/>
      <w:lang w:eastAsia="en-US"/>
    </w:rPr>
  </w:style>
  <w:style w:type="paragraph" w:customStyle="1" w:styleId="PartNoTLRI">
    <w:name w:val="Part No TLRI"/>
    <w:basedOn w:val="Normal"/>
    <w:qFormat/>
    <w:rsid w:val="00774130"/>
    <w:pPr>
      <w:numPr>
        <w:numId w:val="1"/>
      </w:numPr>
      <w:ind w:left="0" w:firstLine="0"/>
      <w:jc w:val="center"/>
    </w:pPr>
    <w:rPr>
      <w:rFonts w:ascii="Arial" w:eastAsia="Times" w:hAnsi="Arial"/>
      <w:b/>
      <w:sz w:val="36"/>
      <w:szCs w:val="20"/>
      <w:lang w:eastAsia="en-US"/>
    </w:rPr>
  </w:style>
  <w:style w:type="paragraph" w:customStyle="1" w:styleId="FootnoteTextTLRI">
    <w:name w:val="Footnote Text TLRI"/>
    <w:basedOn w:val="FootnoteText"/>
    <w:link w:val="FootnoteTextTLRIChar"/>
    <w:qFormat/>
    <w:rsid w:val="00774130"/>
    <w:pPr>
      <w:spacing w:after="40"/>
      <w:ind w:left="426" w:hanging="426"/>
      <w:jc w:val="both"/>
    </w:pPr>
    <w:rPr>
      <w:rFonts w:ascii="Garamond" w:eastAsia="Times New Roman" w:hAnsi="Garamond" w:cs="Times New Roman"/>
      <w:sz w:val="19"/>
      <w:szCs w:val="19"/>
      <w:lang w:val="en-AU"/>
    </w:rPr>
  </w:style>
  <w:style w:type="character" w:customStyle="1" w:styleId="FootnoteTextTLRIChar">
    <w:name w:val="Footnote Text TLRI Char"/>
    <w:link w:val="FootnoteTextTLRI"/>
    <w:rsid w:val="00774130"/>
    <w:rPr>
      <w:rFonts w:ascii="Garamond" w:eastAsia="Times New Roman" w:hAnsi="Garamond" w:cs="Times New Roman"/>
      <w:sz w:val="19"/>
      <w:szCs w:val="19"/>
    </w:rPr>
  </w:style>
  <w:style w:type="paragraph" w:customStyle="1" w:styleId="NormalNumberedTextTLRI">
    <w:name w:val="Normal Numbered Text TLRI"/>
    <w:basedOn w:val="Normal"/>
    <w:link w:val="NormalNumberedTextTLRIChar"/>
    <w:qFormat/>
    <w:rsid w:val="00774130"/>
    <w:pPr>
      <w:numPr>
        <w:ilvl w:val="2"/>
        <w:numId w:val="1"/>
      </w:numPr>
      <w:tabs>
        <w:tab w:val="clear" w:pos="1146"/>
        <w:tab w:val="left" w:pos="851"/>
      </w:tabs>
      <w:spacing w:before="220" w:after="120" w:line="269" w:lineRule="auto"/>
      <w:ind w:left="0"/>
      <w:jc w:val="both"/>
    </w:pPr>
    <w:rPr>
      <w:rFonts w:ascii="Garamond" w:eastAsia="Times" w:hAnsi="Garamond"/>
      <w:color w:val="000000"/>
      <w:sz w:val="23"/>
      <w:szCs w:val="23"/>
      <w:lang w:eastAsia="en-US"/>
    </w:rPr>
  </w:style>
  <w:style w:type="character" w:customStyle="1" w:styleId="NormalNumberedTextTLRIChar">
    <w:name w:val="Normal Numbered Text TLRI Char"/>
    <w:link w:val="NormalNumberedTextTLRI"/>
    <w:rsid w:val="00774130"/>
    <w:rPr>
      <w:rFonts w:ascii="Garamond" w:eastAsia="Times" w:hAnsi="Garamond" w:cs="Times New Roman"/>
      <w:color w:val="000000"/>
      <w:sz w:val="23"/>
      <w:szCs w:val="23"/>
    </w:rPr>
  </w:style>
  <w:style w:type="paragraph" w:customStyle="1" w:styleId="DotPointTLRI">
    <w:name w:val="Dot Point TLRI"/>
    <w:basedOn w:val="Normal"/>
    <w:qFormat/>
    <w:rsid w:val="00774130"/>
    <w:pPr>
      <w:numPr>
        <w:numId w:val="2"/>
      </w:numPr>
      <w:tabs>
        <w:tab w:val="left" w:pos="851"/>
      </w:tabs>
      <w:spacing w:before="120" w:after="120" w:line="269" w:lineRule="auto"/>
      <w:ind w:left="851" w:hanging="425"/>
      <w:jc w:val="both"/>
    </w:pPr>
    <w:rPr>
      <w:rFonts w:ascii="Garamond" w:eastAsia="Times" w:hAnsi="Garamond"/>
      <w:color w:val="000000"/>
      <w:sz w:val="23"/>
      <w:szCs w:val="23"/>
      <w:lang w:eastAsia="en-US"/>
    </w:rPr>
  </w:style>
  <w:style w:type="paragraph" w:customStyle="1" w:styleId="QuoteTLRI">
    <w:name w:val="Quote TLRI"/>
    <w:basedOn w:val="Normal"/>
    <w:rsid w:val="00026648"/>
    <w:pPr>
      <w:tabs>
        <w:tab w:val="left" w:pos="851"/>
      </w:tabs>
      <w:spacing w:after="120" w:line="269" w:lineRule="auto"/>
      <w:ind w:left="851" w:right="851"/>
      <w:jc w:val="both"/>
    </w:pPr>
    <w:rPr>
      <w:rFonts w:ascii="Garamond" w:eastAsia="Times" w:hAnsi="Garamond"/>
      <w:sz w:val="21"/>
      <w:szCs w:val="21"/>
      <w:lang w:eastAsia="en-US"/>
    </w:rPr>
  </w:style>
  <w:style w:type="paragraph" w:customStyle="1" w:styleId="NumberlessNormalText">
    <w:name w:val="Numberless Normal Text"/>
    <w:rsid w:val="00C8158A"/>
    <w:pPr>
      <w:tabs>
        <w:tab w:val="left" w:pos="851"/>
      </w:tabs>
      <w:spacing w:before="120" w:after="120" w:line="276" w:lineRule="auto"/>
      <w:jc w:val="both"/>
    </w:pPr>
    <w:rPr>
      <w:rFonts w:ascii="Garamond" w:eastAsia="Times" w:hAnsi="Garamond" w:cs="Times New Roman"/>
      <w:sz w:val="23"/>
      <w:szCs w:val="23"/>
    </w:rPr>
  </w:style>
  <w:style w:type="paragraph" w:customStyle="1" w:styleId="Sub-HeadingTLRI">
    <w:name w:val="Sub-Heading TLRI"/>
    <w:basedOn w:val="Normal"/>
    <w:link w:val="Sub-HeadingTLRIChar"/>
    <w:qFormat/>
    <w:rsid w:val="00A42483"/>
    <w:pPr>
      <w:keepNext/>
      <w:spacing w:before="360" w:after="220"/>
      <w:jc w:val="both"/>
    </w:pPr>
    <w:rPr>
      <w:rFonts w:ascii="Garamond" w:eastAsia="Times" w:hAnsi="Garamond"/>
      <w:b/>
      <w:i/>
      <w:szCs w:val="20"/>
      <w:lang w:eastAsia="en-US"/>
    </w:rPr>
  </w:style>
  <w:style w:type="character" w:customStyle="1" w:styleId="Sub-HeadingTLRIChar">
    <w:name w:val="Sub-Heading TLRI Char"/>
    <w:link w:val="Sub-HeadingTLRI"/>
    <w:rsid w:val="00A42483"/>
    <w:rPr>
      <w:rFonts w:ascii="Garamond" w:eastAsia="Times" w:hAnsi="Garamond" w:cs="Times New Roman"/>
      <w:b/>
      <w:i/>
      <w:szCs w:val="20"/>
    </w:rPr>
  </w:style>
  <w:style w:type="paragraph" w:customStyle="1" w:styleId="furhtersub-heading2">
    <w:name w:val="furhter sub-heading 2"/>
    <w:basedOn w:val="Normal"/>
    <w:uiPriority w:val="1"/>
    <w:qFormat/>
    <w:rsid w:val="00A42483"/>
    <w:pPr>
      <w:spacing w:before="240" w:after="220" w:line="259" w:lineRule="auto"/>
      <w:jc w:val="both"/>
    </w:pPr>
    <w:rPr>
      <w:rFonts w:ascii="Garamond" w:eastAsia="Times" w:hAnsi="Garamond"/>
      <w:i/>
      <w:sz w:val="23"/>
      <w:szCs w:val="23"/>
      <w:lang w:eastAsia="ja-JP"/>
    </w:rPr>
  </w:style>
  <w:style w:type="paragraph" w:customStyle="1" w:styleId="DraftHeading2">
    <w:name w:val="Draft Heading 2"/>
    <w:basedOn w:val="Normal"/>
    <w:next w:val="Normal"/>
    <w:link w:val="DraftHeading2Char"/>
    <w:rsid w:val="0009588A"/>
    <w:pPr>
      <w:overflowPunct w:val="0"/>
      <w:autoSpaceDE w:val="0"/>
      <w:autoSpaceDN w:val="0"/>
      <w:adjustRightInd w:val="0"/>
      <w:spacing w:before="120"/>
      <w:textAlignment w:val="baseline"/>
    </w:pPr>
    <w:rPr>
      <w:szCs w:val="20"/>
      <w:lang w:eastAsia="en-US"/>
    </w:rPr>
  </w:style>
  <w:style w:type="paragraph" w:customStyle="1" w:styleId="DraftHeading3">
    <w:name w:val="Draft Heading 3"/>
    <w:basedOn w:val="Normal"/>
    <w:next w:val="Normal"/>
    <w:rsid w:val="0009588A"/>
    <w:pPr>
      <w:overflowPunct w:val="0"/>
      <w:autoSpaceDE w:val="0"/>
      <w:autoSpaceDN w:val="0"/>
      <w:adjustRightInd w:val="0"/>
      <w:spacing w:before="120"/>
      <w:textAlignment w:val="baseline"/>
    </w:pPr>
    <w:rPr>
      <w:szCs w:val="20"/>
      <w:lang w:eastAsia="en-US"/>
    </w:rPr>
  </w:style>
  <w:style w:type="paragraph" w:customStyle="1" w:styleId="DraftHeading1">
    <w:name w:val="Draft Heading 1"/>
    <w:basedOn w:val="Normal"/>
    <w:next w:val="Normal"/>
    <w:link w:val="DraftHeading1Char"/>
    <w:rsid w:val="0009588A"/>
    <w:pPr>
      <w:overflowPunct w:val="0"/>
      <w:autoSpaceDE w:val="0"/>
      <w:autoSpaceDN w:val="0"/>
      <w:adjustRightInd w:val="0"/>
      <w:spacing w:before="120"/>
      <w:textAlignment w:val="baseline"/>
      <w:outlineLvl w:val="2"/>
    </w:pPr>
    <w:rPr>
      <w:b/>
      <w:lang w:eastAsia="en-US"/>
    </w:rPr>
  </w:style>
  <w:style w:type="character" w:customStyle="1" w:styleId="DraftHeading2Char">
    <w:name w:val="Draft Heading 2 Char"/>
    <w:basedOn w:val="DefaultParagraphFont"/>
    <w:link w:val="DraftHeading2"/>
    <w:rsid w:val="0009588A"/>
    <w:rPr>
      <w:rFonts w:ascii="Times New Roman" w:eastAsia="Times New Roman" w:hAnsi="Times New Roman" w:cs="Times New Roman"/>
      <w:szCs w:val="20"/>
    </w:rPr>
  </w:style>
  <w:style w:type="character" w:customStyle="1" w:styleId="DraftHeading1Char">
    <w:name w:val="Draft Heading 1 Char"/>
    <w:basedOn w:val="DefaultParagraphFont"/>
    <w:link w:val="DraftHeading1"/>
    <w:locked/>
    <w:rsid w:val="0009588A"/>
    <w:rPr>
      <w:rFonts w:ascii="Times New Roman" w:eastAsia="Times New Roman" w:hAnsi="Times New Roman" w:cs="Times New Roman"/>
      <w:b/>
    </w:rPr>
  </w:style>
  <w:style w:type="paragraph" w:customStyle="1" w:styleId="xmsolistparagraph">
    <w:name w:val="x_msolistparagraph"/>
    <w:basedOn w:val="Normal"/>
    <w:rsid w:val="00A77182"/>
    <w:pPr>
      <w:spacing w:before="100" w:beforeAutospacing="1" w:after="100" w:afterAutospacing="1"/>
    </w:pPr>
  </w:style>
  <w:style w:type="character" w:customStyle="1" w:styleId="xcontentpasted1">
    <w:name w:val="x_contentpasted1"/>
    <w:basedOn w:val="DefaultParagraphFont"/>
    <w:rsid w:val="00597B6B"/>
  </w:style>
  <w:style w:type="character" w:customStyle="1" w:styleId="xcontentpasted0">
    <w:name w:val="x_contentpasted0"/>
    <w:basedOn w:val="DefaultParagraphFont"/>
    <w:rsid w:val="00597B6B"/>
  </w:style>
  <w:style w:type="paragraph" w:styleId="ListParagraph">
    <w:name w:val="List Paragraph"/>
    <w:basedOn w:val="Normal"/>
    <w:uiPriority w:val="34"/>
    <w:qFormat/>
    <w:rsid w:val="00B57DDA"/>
    <w:pPr>
      <w:ind w:left="720"/>
      <w:contextualSpacing/>
    </w:pPr>
  </w:style>
  <w:style w:type="paragraph" w:customStyle="1" w:styleId="headingparagraph">
    <w:name w:val="headingparagraph"/>
    <w:basedOn w:val="Normal"/>
    <w:rsid w:val="00517E15"/>
    <w:pPr>
      <w:spacing w:before="100" w:beforeAutospacing="1" w:after="100" w:afterAutospacing="1"/>
    </w:pPr>
  </w:style>
  <w:style w:type="paragraph" w:customStyle="1" w:styleId="Style1">
    <w:name w:val="Style 1"/>
    <w:link w:val="Style1Char"/>
    <w:qFormat/>
    <w:rsid w:val="00486784"/>
    <w:pPr>
      <w:ind w:firstLine="567"/>
      <w:jc w:val="both"/>
    </w:pPr>
    <w:rPr>
      <w:rFonts w:ascii="Times New Roman" w:eastAsia="Times New Roman" w:hAnsi="Times New Roman" w:cs="Arial"/>
      <w:szCs w:val="28"/>
      <w:lang w:eastAsia="en-AU"/>
    </w:rPr>
  </w:style>
  <w:style w:type="character" w:customStyle="1" w:styleId="Style1Char">
    <w:name w:val="Style 1 Char"/>
    <w:basedOn w:val="DefaultParagraphFont"/>
    <w:link w:val="Style1"/>
    <w:rsid w:val="00486784"/>
    <w:rPr>
      <w:rFonts w:ascii="Times New Roman" w:eastAsia="Times New Roman" w:hAnsi="Times New Roman" w:cs="Arial"/>
      <w:szCs w:val="28"/>
      <w:lang w:eastAsia="en-AU"/>
    </w:rPr>
  </w:style>
  <w:style w:type="character" w:customStyle="1" w:styleId="contentpasted1">
    <w:name w:val="contentpasted1"/>
    <w:basedOn w:val="DefaultParagraphFont"/>
    <w:rsid w:val="007B3670"/>
  </w:style>
  <w:style w:type="table" w:styleId="TableGrid">
    <w:name w:val="Table Grid"/>
    <w:basedOn w:val="TableNormal"/>
    <w:uiPriority w:val="39"/>
    <w:rsid w:val="00622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6345"/>
    <w:pPr>
      <w:spacing w:before="100" w:beforeAutospacing="1" w:after="100" w:afterAutospacing="1"/>
    </w:pPr>
  </w:style>
  <w:style w:type="paragraph" w:customStyle="1" w:styleId="Reclist">
    <w:name w:val="Rec list"/>
    <w:basedOn w:val="Normal"/>
    <w:link w:val="ReclistChar"/>
    <w:qFormat/>
    <w:rsid w:val="0039143C"/>
    <w:pPr>
      <w:tabs>
        <w:tab w:val="left" w:pos="426"/>
      </w:tabs>
      <w:spacing w:before="120" w:after="120" w:line="269" w:lineRule="auto"/>
      <w:ind w:left="426" w:hanging="426"/>
      <w:jc w:val="both"/>
    </w:pPr>
    <w:rPr>
      <w:rFonts w:ascii="Garamond" w:eastAsia="Times" w:hAnsi="Garamond"/>
      <w:color w:val="000000"/>
      <w:sz w:val="23"/>
      <w:szCs w:val="23"/>
      <w:lang w:eastAsia="en-US"/>
    </w:rPr>
  </w:style>
  <w:style w:type="character" w:customStyle="1" w:styleId="ReclistChar">
    <w:name w:val="Rec list Char"/>
    <w:link w:val="Reclist"/>
    <w:rsid w:val="0039143C"/>
    <w:rPr>
      <w:rFonts w:ascii="Garamond" w:eastAsia="Times" w:hAnsi="Garamond" w:cs="Times New Roman"/>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0072">
      <w:bodyDiv w:val="1"/>
      <w:marLeft w:val="0"/>
      <w:marRight w:val="0"/>
      <w:marTop w:val="0"/>
      <w:marBottom w:val="0"/>
      <w:divBdr>
        <w:top w:val="none" w:sz="0" w:space="0" w:color="auto"/>
        <w:left w:val="none" w:sz="0" w:space="0" w:color="auto"/>
        <w:bottom w:val="none" w:sz="0" w:space="0" w:color="auto"/>
        <w:right w:val="none" w:sz="0" w:space="0" w:color="auto"/>
      </w:divBdr>
    </w:div>
    <w:div w:id="99300798">
      <w:bodyDiv w:val="1"/>
      <w:marLeft w:val="0"/>
      <w:marRight w:val="0"/>
      <w:marTop w:val="0"/>
      <w:marBottom w:val="0"/>
      <w:divBdr>
        <w:top w:val="none" w:sz="0" w:space="0" w:color="auto"/>
        <w:left w:val="none" w:sz="0" w:space="0" w:color="auto"/>
        <w:bottom w:val="none" w:sz="0" w:space="0" w:color="auto"/>
        <w:right w:val="none" w:sz="0" w:space="0" w:color="auto"/>
      </w:divBdr>
    </w:div>
    <w:div w:id="168250783">
      <w:bodyDiv w:val="1"/>
      <w:marLeft w:val="0"/>
      <w:marRight w:val="0"/>
      <w:marTop w:val="0"/>
      <w:marBottom w:val="0"/>
      <w:divBdr>
        <w:top w:val="none" w:sz="0" w:space="0" w:color="auto"/>
        <w:left w:val="none" w:sz="0" w:space="0" w:color="auto"/>
        <w:bottom w:val="none" w:sz="0" w:space="0" w:color="auto"/>
        <w:right w:val="none" w:sz="0" w:space="0" w:color="auto"/>
      </w:divBdr>
    </w:div>
    <w:div w:id="198203220">
      <w:bodyDiv w:val="1"/>
      <w:marLeft w:val="0"/>
      <w:marRight w:val="0"/>
      <w:marTop w:val="0"/>
      <w:marBottom w:val="0"/>
      <w:divBdr>
        <w:top w:val="none" w:sz="0" w:space="0" w:color="auto"/>
        <w:left w:val="none" w:sz="0" w:space="0" w:color="auto"/>
        <w:bottom w:val="none" w:sz="0" w:space="0" w:color="auto"/>
        <w:right w:val="none" w:sz="0" w:space="0" w:color="auto"/>
      </w:divBdr>
    </w:div>
    <w:div w:id="213347505">
      <w:bodyDiv w:val="1"/>
      <w:marLeft w:val="0"/>
      <w:marRight w:val="0"/>
      <w:marTop w:val="0"/>
      <w:marBottom w:val="0"/>
      <w:divBdr>
        <w:top w:val="none" w:sz="0" w:space="0" w:color="auto"/>
        <w:left w:val="none" w:sz="0" w:space="0" w:color="auto"/>
        <w:bottom w:val="none" w:sz="0" w:space="0" w:color="auto"/>
        <w:right w:val="none" w:sz="0" w:space="0" w:color="auto"/>
      </w:divBdr>
      <w:divsChild>
        <w:div w:id="485127296">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5888851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85804611">
                  <w:blockQuote w:val="1"/>
                  <w:marLeft w:val="0"/>
                  <w:marRight w:val="0"/>
                  <w:marTop w:val="120"/>
                  <w:marBottom w:val="120"/>
                  <w:divBdr>
                    <w:top w:val="none" w:sz="0" w:space="0" w:color="auto"/>
                    <w:left w:val="none" w:sz="0" w:space="0" w:color="auto"/>
                    <w:bottom w:val="none" w:sz="0" w:space="0" w:color="auto"/>
                    <w:right w:val="none" w:sz="0" w:space="0" w:color="auto"/>
                  </w:divBdr>
                </w:div>
                <w:div w:id="340426585">
                  <w:blockQuote w:val="1"/>
                  <w:marLeft w:val="0"/>
                  <w:marRight w:val="0"/>
                  <w:marTop w:val="120"/>
                  <w:marBottom w:val="120"/>
                  <w:divBdr>
                    <w:top w:val="none" w:sz="0" w:space="0" w:color="auto"/>
                    <w:left w:val="none" w:sz="0" w:space="0" w:color="auto"/>
                    <w:bottom w:val="none" w:sz="0" w:space="0" w:color="auto"/>
                    <w:right w:val="none" w:sz="0" w:space="0" w:color="auto"/>
                  </w:divBdr>
                </w:div>
                <w:div w:id="6381938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34820561">
      <w:bodyDiv w:val="1"/>
      <w:marLeft w:val="0"/>
      <w:marRight w:val="0"/>
      <w:marTop w:val="0"/>
      <w:marBottom w:val="0"/>
      <w:divBdr>
        <w:top w:val="none" w:sz="0" w:space="0" w:color="auto"/>
        <w:left w:val="none" w:sz="0" w:space="0" w:color="auto"/>
        <w:bottom w:val="none" w:sz="0" w:space="0" w:color="auto"/>
        <w:right w:val="none" w:sz="0" w:space="0" w:color="auto"/>
      </w:divBdr>
    </w:div>
    <w:div w:id="335226320">
      <w:bodyDiv w:val="1"/>
      <w:marLeft w:val="0"/>
      <w:marRight w:val="0"/>
      <w:marTop w:val="0"/>
      <w:marBottom w:val="0"/>
      <w:divBdr>
        <w:top w:val="none" w:sz="0" w:space="0" w:color="auto"/>
        <w:left w:val="none" w:sz="0" w:space="0" w:color="auto"/>
        <w:bottom w:val="none" w:sz="0" w:space="0" w:color="auto"/>
        <w:right w:val="none" w:sz="0" w:space="0" w:color="auto"/>
      </w:divBdr>
    </w:div>
    <w:div w:id="475873522">
      <w:bodyDiv w:val="1"/>
      <w:marLeft w:val="0"/>
      <w:marRight w:val="0"/>
      <w:marTop w:val="0"/>
      <w:marBottom w:val="0"/>
      <w:divBdr>
        <w:top w:val="none" w:sz="0" w:space="0" w:color="auto"/>
        <w:left w:val="none" w:sz="0" w:space="0" w:color="auto"/>
        <w:bottom w:val="none" w:sz="0" w:space="0" w:color="auto"/>
        <w:right w:val="none" w:sz="0" w:space="0" w:color="auto"/>
      </w:divBdr>
    </w:div>
    <w:div w:id="503060032">
      <w:bodyDiv w:val="1"/>
      <w:marLeft w:val="0"/>
      <w:marRight w:val="0"/>
      <w:marTop w:val="0"/>
      <w:marBottom w:val="0"/>
      <w:divBdr>
        <w:top w:val="none" w:sz="0" w:space="0" w:color="auto"/>
        <w:left w:val="none" w:sz="0" w:space="0" w:color="auto"/>
        <w:bottom w:val="none" w:sz="0" w:space="0" w:color="auto"/>
        <w:right w:val="none" w:sz="0" w:space="0" w:color="auto"/>
      </w:divBdr>
    </w:div>
    <w:div w:id="534197419">
      <w:bodyDiv w:val="1"/>
      <w:marLeft w:val="0"/>
      <w:marRight w:val="0"/>
      <w:marTop w:val="0"/>
      <w:marBottom w:val="0"/>
      <w:divBdr>
        <w:top w:val="none" w:sz="0" w:space="0" w:color="auto"/>
        <w:left w:val="none" w:sz="0" w:space="0" w:color="auto"/>
        <w:bottom w:val="none" w:sz="0" w:space="0" w:color="auto"/>
        <w:right w:val="none" w:sz="0" w:space="0" w:color="auto"/>
      </w:divBdr>
    </w:div>
    <w:div w:id="652492758">
      <w:bodyDiv w:val="1"/>
      <w:marLeft w:val="0"/>
      <w:marRight w:val="0"/>
      <w:marTop w:val="0"/>
      <w:marBottom w:val="0"/>
      <w:divBdr>
        <w:top w:val="none" w:sz="0" w:space="0" w:color="auto"/>
        <w:left w:val="none" w:sz="0" w:space="0" w:color="auto"/>
        <w:bottom w:val="none" w:sz="0" w:space="0" w:color="auto"/>
        <w:right w:val="none" w:sz="0" w:space="0" w:color="auto"/>
      </w:divBdr>
    </w:div>
    <w:div w:id="703214538">
      <w:bodyDiv w:val="1"/>
      <w:marLeft w:val="0"/>
      <w:marRight w:val="0"/>
      <w:marTop w:val="0"/>
      <w:marBottom w:val="0"/>
      <w:divBdr>
        <w:top w:val="none" w:sz="0" w:space="0" w:color="auto"/>
        <w:left w:val="none" w:sz="0" w:space="0" w:color="auto"/>
        <w:bottom w:val="none" w:sz="0" w:space="0" w:color="auto"/>
        <w:right w:val="none" w:sz="0" w:space="0" w:color="auto"/>
      </w:divBdr>
    </w:div>
    <w:div w:id="705057992">
      <w:bodyDiv w:val="1"/>
      <w:marLeft w:val="0"/>
      <w:marRight w:val="0"/>
      <w:marTop w:val="0"/>
      <w:marBottom w:val="0"/>
      <w:divBdr>
        <w:top w:val="none" w:sz="0" w:space="0" w:color="auto"/>
        <w:left w:val="none" w:sz="0" w:space="0" w:color="auto"/>
        <w:bottom w:val="none" w:sz="0" w:space="0" w:color="auto"/>
        <w:right w:val="none" w:sz="0" w:space="0" w:color="auto"/>
      </w:divBdr>
    </w:div>
    <w:div w:id="852845539">
      <w:bodyDiv w:val="1"/>
      <w:marLeft w:val="0"/>
      <w:marRight w:val="0"/>
      <w:marTop w:val="0"/>
      <w:marBottom w:val="0"/>
      <w:divBdr>
        <w:top w:val="none" w:sz="0" w:space="0" w:color="auto"/>
        <w:left w:val="none" w:sz="0" w:space="0" w:color="auto"/>
        <w:bottom w:val="none" w:sz="0" w:space="0" w:color="auto"/>
        <w:right w:val="none" w:sz="0" w:space="0" w:color="auto"/>
      </w:divBdr>
    </w:div>
    <w:div w:id="855650788">
      <w:bodyDiv w:val="1"/>
      <w:marLeft w:val="0"/>
      <w:marRight w:val="0"/>
      <w:marTop w:val="0"/>
      <w:marBottom w:val="0"/>
      <w:divBdr>
        <w:top w:val="none" w:sz="0" w:space="0" w:color="auto"/>
        <w:left w:val="none" w:sz="0" w:space="0" w:color="auto"/>
        <w:bottom w:val="none" w:sz="0" w:space="0" w:color="auto"/>
        <w:right w:val="none" w:sz="0" w:space="0" w:color="auto"/>
      </w:divBdr>
    </w:div>
    <w:div w:id="965887327">
      <w:bodyDiv w:val="1"/>
      <w:marLeft w:val="0"/>
      <w:marRight w:val="0"/>
      <w:marTop w:val="0"/>
      <w:marBottom w:val="0"/>
      <w:divBdr>
        <w:top w:val="none" w:sz="0" w:space="0" w:color="auto"/>
        <w:left w:val="none" w:sz="0" w:space="0" w:color="auto"/>
        <w:bottom w:val="none" w:sz="0" w:space="0" w:color="auto"/>
        <w:right w:val="none" w:sz="0" w:space="0" w:color="auto"/>
      </w:divBdr>
    </w:div>
    <w:div w:id="975140119">
      <w:bodyDiv w:val="1"/>
      <w:marLeft w:val="0"/>
      <w:marRight w:val="0"/>
      <w:marTop w:val="0"/>
      <w:marBottom w:val="0"/>
      <w:divBdr>
        <w:top w:val="none" w:sz="0" w:space="0" w:color="auto"/>
        <w:left w:val="none" w:sz="0" w:space="0" w:color="auto"/>
        <w:bottom w:val="none" w:sz="0" w:space="0" w:color="auto"/>
        <w:right w:val="none" w:sz="0" w:space="0" w:color="auto"/>
      </w:divBdr>
    </w:div>
    <w:div w:id="1064525819">
      <w:bodyDiv w:val="1"/>
      <w:marLeft w:val="0"/>
      <w:marRight w:val="0"/>
      <w:marTop w:val="0"/>
      <w:marBottom w:val="0"/>
      <w:divBdr>
        <w:top w:val="none" w:sz="0" w:space="0" w:color="auto"/>
        <w:left w:val="none" w:sz="0" w:space="0" w:color="auto"/>
        <w:bottom w:val="none" w:sz="0" w:space="0" w:color="auto"/>
        <w:right w:val="none" w:sz="0" w:space="0" w:color="auto"/>
      </w:divBdr>
    </w:div>
    <w:div w:id="1107771460">
      <w:bodyDiv w:val="1"/>
      <w:marLeft w:val="0"/>
      <w:marRight w:val="0"/>
      <w:marTop w:val="0"/>
      <w:marBottom w:val="0"/>
      <w:divBdr>
        <w:top w:val="none" w:sz="0" w:space="0" w:color="auto"/>
        <w:left w:val="none" w:sz="0" w:space="0" w:color="auto"/>
        <w:bottom w:val="none" w:sz="0" w:space="0" w:color="auto"/>
        <w:right w:val="none" w:sz="0" w:space="0" w:color="auto"/>
      </w:divBdr>
    </w:div>
    <w:div w:id="1277368354">
      <w:bodyDiv w:val="1"/>
      <w:marLeft w:val="0"/>
      <w:marRight w:val="0"/>
      <w:marTop w:val="0"/>
      <w:marBottom w:val="0"/>
      <w:divBdr>
        <w:top w:val="none" w:sz="0" w:space="0" w:color="auto"/>
        <w:left w:val="none" w:sz="0" w:space="0" w:color="auto"/>
        <w:bottom w:val="none" w:sz="0" w:space="0" w:color="auto"/>
        <w:right w:val="none" w:sz="0" w:space="0" w:color="auto"/>
      </w:divBdr>
    </w:div>
    <w:div w:id="1504398471">
      <w:bodyDiv w:val="1"/>
      <w:marLeft w:val="0"/>
      <w:marRight w:val="0"/>
      <w:marTop w:val="0"/>
      <w:marBottom w:val="0"/>
      <w:divBdr>
        <w:top w:val="none" w:sz="0" w:space="0" w:color="auto"/>
        <w:left w:val="none" w:sz="0" w:space="0" w:color="auto"/>
        <w:bottom w:val="none" w:sz="0" w:space="0" w:color="auto"/>
        <w:right w:val="none" w:sz="0" w:space="0" w:color="auto"/>
      </w:divBdr>
    </w:div>
    <w:div w:id="1552812521">
      <w:bodyDiv w:val="1"/>
      <w:marLeft w:val="0"/>
      <w:marRight w:val="0"/>
      <w:marTop w:val="0"/>
      <w:marBottom w:val="0"/>
      <w:divBdr>
        <w:top w:val="none" w:sz="0" w:space="0" w:color="auto"/>
        <w:left w:val="none" w:sz="0" w:space="0" w:color="auto"/>
        <w:bottom w:val="none" w:sz="0" w:space="0" w:color="auto"/>
        <w:right w:val="none" w:sz="0" w:space="0" w:color="auto"/>
      </w:divBdr>
    </w:div>
    <w:div w:id="1627273841">
      <w:bodyDiv w:val="1"/>
      <w:marLeft w:val="0"/>
      <w:marRight w:val="0"/>
      <w:marTop w:val="0"/>
      <w:marBottom w:val="0"/>
      <w:divBdr>
        <w:top w:val="none" w:sz="0" w:space="0" w:color="auto"/>
        <w:left w:val="none" w:sz="0" w:space="0" w:color="auto"/>
        <w:bottom w:val="none" w:sz="0" w:space="0" w:color="auto"/>
        <w:right w:val="none" w:sz="0" w:space="0" w:color="auto"/>
      </w:divBdr>
    </w:div>
    <w:div w:id="1651052989">
      <w:bodyDiv w:val="1"/>
      <w:marLeft w:val="0"/>
      <w:marRight w:val="0"/>
      <w:marTop w:val="0"/>
      <w:marBottom w:val="0"/>
      <w:divBdr>
        <w:top w:val="none" w:sz="0" w:space="0" w:color="auto"/>
        <w:left w:val="none" w:sz="0" w:space="0" w:color="auto"/>
        <w:bottom w:val="none" w:sz="0" w:space="0" w:color="auto"/>
        <w:right w:val="none" w:sz="0" w:space="0" w:color="auto"/>
      </w:divBdr>
    </w:div>
    <w:div w:id="1660424036">
      <w:bodyDiv w:val="1"/>
      <w:marLeft w:val="0"/>
      <w:marRight w:val="0"/>
      <w:marTop w:val="0"/>
      <w:marBottom w:val="0"/>
      <w:divBdr>
        <w:top w:val="none" w:sz="0" w:space="0" w:color="auto"/>
        <w:left w:val="none" w:sz="0" w:space="0" w:color="auto"/>
        <w:bottom w:val="none" w:sz="0" w:space="0" w:color="auto"/>
        <w:right w:val="none" w:sz="0" w:space="0" w:color="auto"/>
      </w:divBdr>
    </w:div>
    <w:div w:id="1681201875">
      <w:bodyDiv w:val="1"/>
      <w:marLeft w:val="0"/>
      <w:marRight w:val="0"/>
      <w:marTop w:val="0"/>
      <w:marBottom w:val="0"/>
      <w:divBdr>
        <w:top w:val="none" w:sz="0" w:space="0" w:color="auto"/>
        <w:left w:val="none" w:sz="0" w:space="0" w:color="auto"/>
        <w:bottom w:val="none" w:sz="0" w:space="0" w:color="auto"/>
        <w:right w:val="none" w:sz="0" w:space="0" w:color="auto"/>
      </w:divBdr>
    </w:div>
    <w:div w:id="1693723472">
      <w:bodyDiv w:val="1"/>
      <w:marLeft w:val="0"/>
      <w:marRight w:val="0"/>
      <w:marTop w:val="0"/>
      <w:marBottom w:val="0"/>
      <w:divBdr>
        <w:top w:val="none" w:sz="0" w:space="0" w:color="auto"/>
        <w:left w:val="none" w:sz="0" w:space="0" w:color="auto"/>
        <w:bottom w:val="none" w:sz="0" w:space="0" w:color="auto"/>
        <w:right w:val="none" w:sz="0" w:space="0" w:color="auto"/>
      </w:divBdr>
    </w:div>
    <w:div w:id="1745099920">
      <w:bodyDiv w:val="1"/>
      <w:marLeft w:val="0"/>
      <w:marRight w:val="0"/>
      <w:marTop w:val="0"/>
      <w:marBottom w:val="0"/>
      <w:divBdr>
        <w:top w:val="none" w:sz="0" w:space="0" w:color="auto"/>
        <w:left w:val="none" w:sz="0" w:space="0" w:color="auto"/>
        <w:bottom w:val="none" w:sz="0" w:space="0" w:color="auto"/>
        <w:right w:val="none" w:sz="0" w:space="0" w:color="auto"/>
      </w:divBdr>
    </w:div>
    <w:div w:id="1818573806">
      <w:bodyDiv w:val="1"/>
      <w:marLeft w:val="0"/>
      <w:marRight w:val="0"/>
      <w:marTop w:val="0"/>
      <w:marBottom w:val="0"/>
      <w:divBdr>
        <w:top w:val="none" w:sz="0" w:space="0" w:color="auto"/>
        <w:left w:val="none" w:sz="0" w:space="0" w:color="auto"/>
        <w:bottom w:val="none" w:sz="0" w:space="0" w:color="auto"/>
        <w:right w:val="none" w:sz="0" w:space="0" w:color="auto"/>
      </w:divBdr>
    </w:div>
    <w:div w:id="1854763003">
      <w:bodyDiv w:val="1"/>
      <w:marLeft w:val="0"/>
      <w:marRight w:val="0"/>
      <w:marTop w:val="0"/>
      <w:marBottom w:val="0"/>
      <w:divBdr>
        <w:top w:val="none" w:sz="0" w:space="0" w:color="auto"/>
        <w:left w:val="none" w:sz="0" w:space="0" w:color="auto"/>
        <w:bottom w:val="none" w:sz="0" w:space="0" w:color="auto"/>
        <w:right w:val="none" w:sz="0" w:space="0" w:color="auto"/>
      </w:divBdr>
    </w:div>
    <w:div w:id="1882982481">
      <w:bodyDiv w:val="1"/>
      <w:marLeft w:val="0"/>
      <w:marRight w:val="0"/>
      <w:marTop w:val="0"/>
      <w:marBottom w:val="0"/>
      <w:divBdr>
        <w:top w:val="none" w:sz="0" w:space="0" w:color="auto"/>
        <w:left w:val="none" w:sz="0" w:space="0" w:color="auto"/>
        <w:bottom w:val="none" w:sz="0" w:space="0" w:color="auto"/>
        <w:right w:val="none" w:sz="0" w:space="0" w:color="auto"/>
      </w:divBdr>
    </w:div>
    <w:div w:id="1912348620">
      <w:bodyDiv w:val="1"/>
      <w:marLeft w:val="0"/>
      <w:marRight w:val="0"/>
      <w:marTop w:val="0"/>
      <w:marBottom w:val="0"/>
      <w:divBdr>
        <w:top w:val="none" w:sz="0" w:space="0" w:color="auto"/>
        <w:left w:val="none" w:sz="0" w:space="0" w:color="auto"/>
        <w:bottom w:val="none" w:sz="0" w:space="0" w:color="auto"/>
        <w:right w:val="none" w:sz="0" w:space="0" w:color="auto"/>
      </w:divBdr>
    </w:div>
    <w:div w:id="1917353536">
      <w:bodyDiv w:val="1"/>
      <w:marLeft w:val="0"/>
      <w:marRight w:val="0"/>
      <w:marTop w:val="0"/>
      <w:marBottom w:val="0"/>
      <w:divBdr>
        <w:top w:val="none" w:sz="0" w:space="0" w:color="auto"/>
        <w:left w:val="none" w:sz="0" w:space="0" w:color="auto"/>
        <w:bottom w:val="none" w:sz="0" w:space="0" w:color="auto"/>
        <w:right w:val="none" w:sz="0" w:space="0" w:color="auto"/>
      </w:divBdr>
    </w:div>
    <w:div w:id="20720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islation.development@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scat.tas.gov.au/publications/annual-reports/annual-report-2021-2022" TargetMode="External"/><Relationship Id="rId2" Type="http://schemas.openxmlformats.org/officeDocument/2006/relationships/hyperlink" Target="https://www.publicguardian.tas.gov.au/__data/assets/pdf_file/0011/630011/OPG-Annual-Report-19-20-Accessible-Version.pdf" TargetMode="External"/><Relationship Id="rId1" Type="http://schemas.openxmlformats.org/officeDocument/2006/relationships/hyperlink" Target="https://kb.rspca.org.au/knowledge-base/what-is-an-assistance-animal/" TargetMode="External"/><Relationship Id="rId4" Type="http://schemas.openxmlformats.org/officeDocument/2006/relationships/hyperlink" Target="https://www.tascat.tas.gov.au/__data/assets/pdf_file/0006/597084/FINAL-Annual-Report-2019-20-25-September-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2022-11-18T04:10:00Z</cp:lastPrinted>
  <dcterms:created xsi:type="dcterms:W3CDTF">2022-11-16T03:39:00Z</dcterms:created>
  <dcterms:modified xsi:type="dcterms:W3CDTF">2022-11-18T04:22:00Z</dcterms:modified>
</cp:coreProperties>
</file>