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A32C9" w14:textId="77777777" w:rsidR="0055679C" w:rsidRPr="00187347" w:rsidRDefault="0055679C" w:rsidP="0055679C">
      <w:pPr>
        <w:jc w:val="center"/>
      </w:pPr>
      <w:r w:rsidRPr="00187347">
        <w:rPr>
          <w:rFonts w:asciiTheme="minorHAnsi" w:hAnsiTheme="minorHAnsi"/>
          <w:noProof/>
          <w:sz w:val="20"/>
          <w:szCs w:val="20"/>
        </w:rPr>
        <w:drawing>
          <wp:inline distT="0" distB="0" distL="0" distR="0" wp14:anchorId="74B6C03B" wp14:editId="21F984D5">
            <wp:extent cx="3235960" cy="1099476"/>
            <wp:effectExtent l="0" t="0" r="0" b="0"/>
            <wp:docPr id="7"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14:paraId="6F5B0329" w14:textId="77777777" w:rsidR="0055679C" w:rsidRPr="00D774B4" w:rsidRDefault="0055679C" w:rsidP="0055679C">
      <w:pPr>
        <w:rPr>
          <w:rFonts w:ascii="Cambria" w:hAnsi="Cambria"/>
        </w:rPr>
      </w:pPr>
    </w:p>
    <w:p w14:paraId="11953A4D" w14:textId="77777777" w:rsidR="0055679C" w:rsidRPr="00D774B4" w:rsidRDefault="0055679C" w:rsidP="0055679C">
      <w:pPr>
        <w:rPr>
          <w:rFonts w:ascii="Cambria" w:hAnsi="Cambria"/>
          <w:color w:val="000000" w:themeColor="text1"/>
        </w:rPr>
      </w:pPr>
    </w:p>
    <w:p w14:paraId="24EA5FEF" w14:textId="33A690AA" w:rsidR="0055679C" w:rsidRPr="00D774B4" w:rsidRDefault="0055679C" w:rsidP="0055679C">
      <w:pPr>
        <w:rPr>
          <w:rFonts w:ascii="Cambria" w:hAnsi="Cambria"/>
          <w:color w:val="000000" w:themeColor="text1"/>
        </w:rPr>
      </w:pPr>
      <w:r w:rsidRPr="00D774B4">
        <w:rPr>
          <w:rFonts w:ascii="Cambria" w:hAnsi="Cambria"/>
          <w:color w:val="000000" w:themeColor="text1"/>
        </w:rPr>
        <w:t>7 October 2022</w:t>
      </w:r>
    </w:p>
    <w:p w14:paraId="4E6F23FF" w14:textId="77777777" w:rsidR="0055679C" w:rsidRPr="00D774B4" w:rsidRDefault="0055679C" w:rsidP="0055679C">
      <w:pPr>
        <w:rPr>
          <w:rFonts w:ascii="Cambria" w:hAnsi="Cambria"/>
        </w:rPr>
      </w:pPr>
    </w:p>
    <w:p w14:paraId="18C4D51E" w14:textId="77777777" w:rsidR="0055679C" w:rsidRPr="00D774B4" w:rsidRDefault="0055679C" w:rsidP="0055679C">
      <w:pPr>
        <w:rPr>
          <w:rFonts w:ascii="Cambria" w:hAnsi="Cambria"/>
        </w:rPr>
      </w:pPr>
      <w:r w:rsidRPr="00D774B4">
        <w:rPr>
          <w:rFonts w:ascii="Cambria" w:hAnsi="Cambria"/>
        </w:rPr>
        <w:t>Department of Justice</w:t>
      </w:r>
    </w:p>
    <w:p w14:paraId="52308D74" w14:textId="77777777" w:rsidR="0055679C" w:rsidRPr="00D774B4" w:rsidRDefault="0055679C" w:rsidP="0055679C">
      <w:pPr>
        <w:rPr>
          <w:rFonts w:ascii="Cambria" w:hAnsi="Cambria"/>
        </w:rPr>
      </w:pPr>
      <w:r w:rsidRPr="00D774B4">
        <w:rPr>
          <w:rFonts w:ascii="Cambria" w:hAnsi="Cambria"/>
        </w:rPr>
        <w:t>Office of the Secretary</w:t>
      </w:r>
    </w:p>
    <w:p w14:paraId="2BAF85C4" w14:textId="77777777" w:rsidR="0055679C" w:rsidRPr="00D774B4" w:rsidRDefault="0055679C" w:rsidP="0055679C">
      <w:pPr>
        <w:rPr>
          <w:rFonts w:ascii="Cambria" w:hAnsi="Cambria"/>
        </w:rPr>
      </w:pPr>
      <w:r w:rsidRPr="00D774B4">
        <w:rPr>
          <w:rFonts w:ascii="Cambria" w:hAnsi="Cambria"/>
        </w:rPr>
        <w:t>GPO Box 825</w:t>
      </w:r>
    </w:p>
    <w:p w14:paraId="07AB75E4" w14:textId="77777777" w:rsidR="0055679C" w:rsidRPr="00D774B4" w:rsidRDefault="0055679C" w:rsidP="0055679C">
      <w:pPr>
        <w:rPr>
          <w:rFonts w:ascii="Cambria" w:hAnsi="Cambria"/>
        </w:rPr>
      </w:pPr>
      <w:r w:rsidRPr="00D774B4">
        <w:rPr>
          <w:rFonts w:ascii="Cambria" w:hAnsi="Cambria"/>
        </w:rPr>
        <w:t>Hobart TAS 7001</w:t>
      </w:r>
      <w:r w:rsidRPr="00D774B4">
        <w:rPr>
          <w:rFonts w:ascii="Cambria" w:hAnsi="Cambria"/>
        </w:rPr>
        <w:tab/>
      </w:r>
      <w:r w:rsidRPr="00D774B4">
        <w:rPr>
          <w:rFonts w:ascii="Cambria" w:hAnsi="Cambria"/>
        </w:rPr>
        <w:tab/>
      </w:r>
    </w:p>
    <w:p w14:paraId="57D65C75" w14:textId="77777777" w:rsidR="0055679C" w:rsidRPr="00D774B4" w:rsidRDefault="0055679C" w:rsidP="0055679C">
      <w:pPr>
        <w:ind w:left="2880" w:firstLine="720"/>
        <w:rPr>
          <w:rFonts w:ascii="Cambria" w:hAnsi="Cambria"/>
          <w:b/>
          <w:bCs/>
          <w:i/>
          <w:iCs/>
        </w:rPr>
      </w:pPr>
    </w:p>
    <w:p w14:paraId="55A5C9EC" w14:textId="77777777" w:rsidR="0055679C" w:rsidRPr="00D774B4" w:rsidRDefault="0055679C" w:rsidP="0055679C">
      <w:pPr>
        <w:ind w:left="2880" w:firstLine="720"/>
        <w:rPr>
          <w:rFonts w:ascii="Cambria" w:hAnsi="Cambria"/>
        </w:rPr>
      </w:pPr>
      <w:r w:rsidRPr="00D774B4">
        <w:rPr>
          <w:rFonts w:ascii="Cambria" w:hAnsi="Cambria"/>
          <w:b/>
          <w:bCs/>
          <w:i/>
          <w:iCs/>
        </w:rPr>
        <w:t>via email:</w:t>
      </w:r>
      <w:r w:rsidRPr="00D774B4">
        <w:rPr>
          <w:rFonts w:ascii="Cambria" w:hAnsi="Cambria"/>
          <w:i/>
          <w:iCs/>
        </w:rPr>
        <w:t xml:space="preserve"> </w:t>
      </w:r>
      <w:hyperlink r:id="rId8" w:history="1">
        <w:r w:rsidRPr="00D774B4">
          <w:rPr>
            <w:rStyle w:val="Hyperlink"/>
            <w:rFonts w:ascii="Cambria" w:hAnsi="Cambria"/>
            <w:i/>
            <w:iCs/>
          </w:rPr>
          <w:t>haveyoursay@justice.tas.gov.au</w:t>
        </w:r>
      </w:hyperlink>
      <w:r w:rsidRPr="00D774B4">
        <w:rPr>
          <w:rFonts w:ascii="Cambria" w:hAnsi="Cambria"/>
          <w:i/>
          <w:iCs/>
        </w:rPr>
        <w:t xml:space="preserve"> </w:t>
      </w:r>
      <w:r w:rsidRPr="00D774B4">
        <w:rPr>
          <w:rFonts w:ascii="Cambria" w:hAnsi="Cambria"/>
        </w:rPr>
        <w:t xml:space="preserve"> </w:t>
      </w:r>
    </w:p>
    <w:p w14:paraId="54403F45" w14:textId="77777777" w:rsidR="0055679C" w:rsidRPr="00D774B4" w:rsidRDefault="0055679C" w:rsidP="0055679C">
      <w:pPr>
        <w:rPr>
          <w:rFonts w:ascii="Cambria" w:hAnsi="Cambria"/>
        </w:rPr>
      </w:pPr>
    </w:p>
    <w:p w14:paraId="3FC8206B" w14:textId="77777777" w:rsidR="0055679C" w:rsidRPr="00D774B4" w:rsidRDefault="0055679C" w:rsidP="0055679C">
      <w:pPr>
        <w:jc w:val="both"/>
        <w:rPr>
          <w:rFonts w:ascii="Cambria" w:hAnsi="Cambria"/>
          <w:color w:val="000000" w:themeColor="text1"/>
        </w:rPr>
      </w:pPr>
      <w:r w:rsidRPr="00D774B4">
        <w:rPr>
          <w:rFonts w:ascii="Cambria" w:hAnsi="Cambria"/>
          <w:color w:val="000000" w:themeColor="text1"/>
        </w:rPr>
        <w:t xml:space="preserve">To the Department of Justice, </w:t>
      </w:r>
    </w:p>
    <w:p w14:paraId="7B90875A" w14:textId="5A81443F" w:rsidR="0055679C" w:rsidRPr="00D774B4" w:rsidRDefault="0055679C" w:rsidP="0055679C">
      <w:pPr>
        <w:pBdr>
          <w:bottom w:val="single" w:sz="6" w:space="1" w:color="auto"/>
        </w:pBdr>
        <w:jc w:val="both"/>
        <w:rPr>
          <w:rFonts w:ascii="Cambria" w:hAnsi="Cambria"/>
          <w:b/>
          <w:bCs/>
          <w:color w:val="000000" w:themeColor="text1"/>
        </w:rPr>
      </w:pPr>
      <w:r w:rsidRPr="00D774B4">
        <w:rPr>
          <w:rFonts w:ascii="Cambria" w:hAnsi="Cambria"/>
          <w:b/>
          <w:bCs/>
          <w:color w:val="000000" w:themeColor="text1"/>
        </w:rPr>
        <w:t xml:space="preserve">Re: </w:t>
      </w:r>
      <w:r w:rsidRPr="00D774B4">
        <w:rPr>
          <w:rFonts w:ascii="Cambria" w:hAnsi="Cambria"/>
          <w:b/>
          <w:bCs/>
          <w:i/>
          <w:iCs/>
          <w:color w:val="000000" w:themeColor="text1"/>
        </w:rPr>
        <w:t>Justice Miscellaneous (Royal Commission Amendments) Bill 2022</w:t>
      </w:r>
    </w:p>
    <w:p w14:paraId="72A589C5" w14:textId="77777777" w:rsidR="0055679C" w:rsidRPr="00D774B4" w:rsidRDefault="0055679C" w:rsidP="0055679C">
      <w:pPr>
        <w:jc w:val="both"/>
        <w:rPr>
          <w:rFonts w:ascii="Cambria" w:hAnsi="Cambria"/>
          <w:color w:val="000000" w:themeColor="text1"/>
        </w:rPr>
      </w:pPr>
    </w:p>
    <w:p w14:paraId="53A330FE" w14:textId="4B755467" w:rsidR="0055679C" w:rsidRPr="00D774B4" w:rsidRDefault="0055679C" w:rsidP="00F5609C">
      <w:pPr>
        <w:pStyle w:val="NoSpacing"/>
        <w:shd w:val="clear" w:color="auto" w:fill="FFFFFF"/>
        <w:ind w:right="-52"/>
        <w:jc w:val="both"/>
        <w:rPr>
          <w:rFonts w:ascii="Cambria" w:hAnsi="Cambria"/>
          <w:color w:val="000000" w:themeColor="text1"/>
          <w:shd w:val="clear" w:color="auto" w:fill="FFFFFF"/>
        </w:rPr>
      </w:pPr>
      <w:r w:rsidRPr="00D774B4">
        <w:rPr>
          <w:rFonts w:ascii="Cambria" w:hAnsi="Cambria"/>
          <w:color w:val="000000" w:themeColor="text1"/>
          <w:bdr w:val="none" w:sz="0" w:space="0" w:color="auto" w:frame="1"/>
        </w:rPr>
        <w:t>Community Legal Centres Tasmania (CLC Tas) welcomes the opportunity to respond to the </w:t>
      </w:r>
      <w:r w:rsidRPr="00D774B4">
        <w:rPr>
          <w:rFonts w:ascii="Cambria" w:hAnsi="Cambria"/>
          <w:i/>
          <w:iCs/>
          <w:color w:val="000000" w:themeColor="text1"/>
        </w:rPr>
        <w:t>Justice Miscellaneous (Royal Commission Amendments) Bill 2022</w:t>
      </w:r>
      <w:r w:rsidRPr="00D774B4">
        <w:rPr>
          <w:rFonts w:ascii="Cambria" w:hAnsi="Cambria"/>
          <w:color w:val="000000" w:themeColor="text1"/>
          <w:bdr w:val="none" w:sz="0" w:space="0" w:color="auto" w:frame="1"/>
        </w:rPr>
        <w:t xml:space="preserve"> (‘the Bill’).</w:t>
      </w:r>
      <w:r w:rsidRPr="00D774B4">
        <w:rPr>
          <w:rStyle w:val="FootnoteReference"/>
          <w:rFonts w:ascii="Cambria" w:hAnsi="Cambria"/>
          <w:color w:val="000000" w:themeColor="text1"/>
        </w:rPr>
        <w:footnoteReference w:id="1"/>
      </w:r>
      <w:r w:rsidRPr="00D774B4">
        <w:rPr>
          <w:rFonts w:ascii="Cambria" w:hAnsi="Cambria"/>
          <w:color w:val="000000" w:themeColor="text1"/>
          <w:bdr w:val="none" w:sz="0" w:space="0" w:color="auto" w:frame="1"/>
        </w:rPr>
        <w:t xml:space="preserve"> </w:t>
      </w:r>
    </w:p>
    <w:p w14:paraId="369B65CD" w14:textId="77777777" w:rsidR="0055679C" w:rsidRPr="00D774B4" w:rsidRDefault="0055679C" w:rsidP="00F5609C">
      <w:pPr>
        <w:pStyle w:val="NoSpacing"/>
        <w:shd w:val="clear" w:color="auto" w:fill="FFFFFF"/>
        <w:ind w:right="-52"/>
        <w:jc w:val="both"/>
        <w:rPr>
          <w:rFonts w:ascii="Cambria" w:hAnsi="Cambria"/>
          <w:color w:val="000000" w:themeColor="text1"/>
          <w:shd w:val="clear" w:color="auto" w:fill="FFFFFF"/>
        </w:rPr>
      </w:pPr>
    </w:p>
    <w:p w14:paraId="029D4809" w14:textId="77777777" w:rsidR="0055679C" w:rsidRPr="00D774B4" w:rsidRDefault="0055679C" w:rsidP="00F5609C">
      <w:pPr>
        <w:pStyle w:val="NoSpacing"/>
        <w:shd w:val="clear" w:color="auto" w:fill="FFFFFF"/>
        <w:ind w:right="-52"/>
        <w:jc w:val="both"/>
        <w:rPr>
          <w:rFonts w:ascii="Cambria" w:hAnsi="Cambria"/>
          <w:color w:val="000000" w:themeColor="text1"/>
          <w:shd w:val="clear" w:color="auto" w:fill="FFFFFF"/>
        </w:rPr>
      </w:pPr>
      <w:r w:rsidRPr="00D774B4">
        <w:rPr>
          <w:rFonts w:ascii="Cambria" w:hAnsi="Cambria" w:cs="Arial"/>
          <w:color w:val="000000" w:themeColor="text1"/>
          <w:lang w:eastAsia="en-AU"/>
        </w:rPr>
        <w:t xml:space="preserve">CLC Tas </w:t>
      </w:r>
      <w:r w:rsidRPr="00D774B4">
        <w:rPr>
          <w:rFonts w:ascii="Cambria" w:hAnsi="Cambria" w:cs="Arial"/>
          <w:color w:val="000000" w:themeColor="text1"/>
        </w:rPr>
        <w:t xml:space="preserve">is the peak body representing the interests of nine community legal centres (CLCs) located throughout Tasmania. We are a member-based, independent, not-for-profit and incorporated organisation that advocates for law reform on a range of public interest matters aimed at improving access to justice, reducing discrimination and protecting and promoting human rights. </w:t>
      </w:r>
    </w:p>
    <w:p w14:paraId="66E13D96" w14:textId="77777777" w:rsidR="0055679C" w:rsidRPr="00D774B4" w:rsidRDefault="0055679C" w:rsidP="00F5609C">
      <w:pPr>
        <w:pStyle w:val="NoSpacing"/>
        <w:shd w:val="clear" w:color="auto" w:fill="FFFFFF"/>
        <w:ind w:right="-52"/>
        <w:jc w:val="both"/>
        <w:rPr>
          <w:rFonts w:ascii="Cambria" w:hAnsi="Cambria" w:cs="Arial"/>
          <w:color w:val="000000" w:themeColor="text1"/>
        </w:rPr>
      </w:pPr>
    </w:p>
    <w:p w14:paraId="4C454000" w14:textId="27398DDF" w:rsidR="00784EDC" w:rsidRPr="00D774B4" w:rsidRDefault="0055679C" w:rsidP="00F5609C">
      <w:pPr>
        <w:pStyle w:val="NoSpacing"/>
        <w:shd w:val="clear" w:color="auto" w:fill="FFFFFF"/>
        <w:ind w:right="-52"/>
        <w:jc w:val="both"/>
        <w:rPr>
          <w:rFonts w:ascii="Cambria" w:hAnsi="Cambria"/>
          <w:color w:val="000000" w:themeColor="text1"/>
          <w:shd w:val="clear" w:color="auto" w:fill="FFFFFF"/>
        </w:rPr>
      </w:pPr>
      <w:r w:rsidRPr="00D774B4">
        <w:rPr>
          <w:rFonts w:ascii="Cambria" w:hAnsi="Cambria" w:cs="Arial"/>
          <w:color w:val="000000" w:themeColor="text1"/>
        </w:rPr>
        <w:t>We are supportive of the Government’s intention to improve victim-survivors’ experience of the criminal justice system and access to justice</w:t>
      </w:r>
      <w:r w:rsidRPr="00D774B4">
        <w:rPr>
          <w:rFonts w:ascii="Cambria" w:hAnsi="Cambria"/>
          <w:color w:val="000000" w:themeColor="text1"/>
          <w:shd w:val="clear" w:color="auto" w:fill="FFFFFF"/>
        </w:rPr>
        <w:t xml:space="preserve">. The reforms set out in the Bill correspond broadly with the </w:t>
      </w:r>
      <w:r w:rsidRPr="00D774B4">
        <w:rPr>
          <w:rFonts w:ascii="Cambria" w:hAnsi="Cambria" w:cs="Arial"/>
          <w:color w:val="000000" w:themeColor="text1"/>
        </w:rPr>
        <w:t xml:space="preserve">recommendations from the </w:t>
      </w:r>
      <w:r w:rsidRPr="00D774B4">
        <w:rPr>
          <w:rFonts w:ascii="Cambria" w:hAnsi="Cambria" w:cs="Arial"/>
          <w:i/>
          <w:iCs/>
          <w:color w:val="000000" w:themeColor="text1"/>
        </w:rPr>
        <w:t>Royal Commission into Institutional Responses to Child Sexual Abuse</w:t>
      </w:r>
      <w:r w:rsidRPr="00D774B4">
        <w:rPr>
          <w:rFonts w:ascii="Cambria" w:hAnsi="Cambria" w:cs="Arial"/>
          <w:color w:val="000000" w:themeColor="text1"/>
        </w:rPr>
        <w:t xml:space="preserve"> and </w:t>
      </w:r>
      <w:r w:rsidRPr="00D774B4">
        <w:rPr>
          <w:rFonts w:ascii="Cambria" w:hAnsi="Cambria"/>
          <w:color w:val="000000" w:themeColor="text1"/>
          <w:shd w:val="clear" w:color="auto" w:fill="FFFFFF"/>
        </w:rPr>
        <w:t>will</w:t>
      </w:r>
      <w:r w:rsidR="00784EDC" w:rsidRPr="00D774B4">
        <w:rPr>
          <w:rFonts w:ascii="Cambria" w:hAnsi="Cambria"/>
          <w:color w:val="000000" w:themeColor="text1"/>
          <w:shd w:val="clear" w:color="auto" w:fill="FFFFFF"/>
        </w:rPr>
        <w:t xml:space="preserve"> support victim-survivors to </w:t>
      </w:r>
      <w:r w:rsidR="007E2A0E" w:rsidRPr="00D774B4">
        <w:rPr>
          <w:rFonts w:ascii="Cambria" w:hAnsi="Cambria"/>
          <w:color w:val="000000" w:themeColor="text1"/>
          <w:shd w:val="clear" w:color="auto" w:fill="FFFFFF"/>
        </w:rPr>
        <w:t xml:space="preserve">more </w:t>
      </w:r>
      <w:r w:rsidR="00784EDC" w:rsidRPr="00D774B4">
        <w:rPr>
          <w:rFonts w:ascii="Cambria" w:hAnsi="Cambria"/>
          <w:color w:val="000000" w:themeColor="text1"/>
          <w:shd w:val="clear" w:color="auto" w:fill="FFFFFF"/>
        </w:rPr>
        <w:t>effectively participate in criminal proceedings and receive appropriate support throughout the process.</w:t>
      </w:r>
    </w:p>
    <w:p w14:paraId="286AE1D0" w14:textId="77777777" w:rsidR="00D17E94" w:rsidRPr="00D774B4" w:rsidRDefault="00D17E94" w:rsidP="00F5609C">
      <w:pPr>
        <w:ind w:right="-52"/>
        <w:jc w:val="both"/>
        <w:rPr>
          <w:rFonts w:ascii="Cambria" w:hAnsi="Cambria" w:cs="Arial"/>
          <w:b/>
          <w:i/>
          <w:color w:val="000000" w:themeColor="text1"/>
        </w:rPr>
      </w:pPr>
    </w:p>
    <w:p w14:paraId="595F45BF" w14:textId="2DDA3D35" w:rsidR="0002227D" w:rsidRPr="00D774B4" w:rsidRDefault="0002227D" w:rsidP="00F5609C">
      <w:pPr>
        <w:ind w:right="-52"/>
        <w:jc w:val="both"/>
        <w:rPr>
          <w:rFonts w:ascii="Cambria" w:hAnsi="Cambria" w:cs="Arial"/>
          <w:b/>
          <w:i/>
          <w:color w:val="000000" w:themeColor="text1"/>
        </w:rPr>
      </w:pPr>
      <w:r w:rsidRPr="00D774B4">
        <w:rPr>
          <w:rFonts w:ascii="Cambria" w:hAnsi="Cambria" w:cs="Arial"/>
          <w:b/>
          <w:i/>
          <w:color w:val="000000" w:themeColor="text1"/>
        </w:rPr>
        <w:t>Classification (Publications, Films and Computer Games) Enforcement Act 1995 (Tas)</w:t>
      </w:r>
    </w:p>
    <w:p w14:paraId="796EBDE9" w14:textId="1293AF5C" w:rsidR="00D17E94" w:rsidRPr="00D774B4" w:rsidRDefault="00D17E94" w:rsidP="00F5609C">
      <w:pPr>
        <w:ind w:right="-52"/>
        <w:jc w:val="both"/>
        <w:rPr>
          <w:rFonts w:ascii="Cambria" w:hAnsi="Cambria" w:cs="Arial"/>
          <w:color w:val="000000" w:themeColor="text1"/>
        </w:rPr>
      </w:pPr>
      <w:r w:rsidRPr="00D774B4">
        <w:rPr>
          <w:rFonts w:ascii="Cambria" w:hAnsi="Cambria"/>
          <w:color w:val="000000" w:themeColor="text1"/>
        </w:rPr>
        <w:t xml:space="preserve">Limitation periods provide finality and prevent unfairness to the accused. Nevertheless, the </w:t>
      </w:r>
      <w:r w:rsidRPr="00D774B4">
        <w:rPr>
          <w:rFonts w:ascii="Cambria" w:hAnsi="Cambria"/>
          <w:i/>
          <w:iCs/>
          <w:color w:val="000000" w:themeColor="text1"/>
        </w:rPr>
        <w:t xml:space="preserve">Royal Commission </w:t>
      </w:r>
      <w:r w:rsidRPr="00D774B4">
        <w:rPr>
          <w:rFonts w:ascii="Cambria" w:hAnsi="Cambria" w:cs="Arial"/>
          <w:i/>
          <w:iCs/>
          <w:color w:val="000000" w:themeColor="text1"/>
        </w:rPr>
        <w:t>into Institutional Responses to Child Sexual Abuse</w:t>
      </w:r>
      <w:r w:rsidRPr="00D774B4">
        <w:rPr>
          <w:rFonts w:ascii="Cambria" w:hAnsi="Cambria"/>
          <w:color w:val="000000" w:themeColor="text1"/>
        </w:rPr>
        <w:t xml:space="preserve"> (‘the Royal Commission’) recommended that limitation periods for all child sexual abuse offences</w:t>
      </w:r>
      <w:r w:rsidR="007E2A0E" w:rsidRPr="00D774B4">
        <w:rPr>
          <w:rFonts w:ascii="Cambria" w:hAnsi="Cambria"/>
          <w:color w:val="000000" w:themeColor="text1"/>
        </w:rPr>
        <w:t xml:space="preserve"> </w:t>
      </w:r>
      <w:r w:rsidRPr="00D774B4">
        <w:rPr>
          <w:rFonts w:ascii="Cambria" w:hAnsi="Cambria"/>
          <w:color w:val="000000" w:themeColor="text1"/>
        </w:rPr>
        <w:t>be removed in recognition that</w:t>
      </w:r>
      <w:r w:rsidR="0002227D" w:rsidRPr="00D774B4">
        <w:rPr>
          <w:rFonts w:ascii="Cambria" w:hAnsi="Cambria" w:cs="Arial"/>
          <w:color w:val="000000" w:themeColor="text1"/>
        </w:rPr>
        <w:t xml:space="preserve"> </w:t>
      </w:r>
      <w:r w:rsidRPr="00D774B4">
        <w:rPr>
          <w:rFonts w:ascii="Cambria" w:hAnsi="Cambria" w:cs="Arial"/>
          <w:color w:val="000000" w:themeColor="text1"/>
        </w:rPr>
        <w:t xml:space="preserve">many </w:t>
      </w:r>
      <w:r w:rsidR="0002227D" w:rsidRPr="00D774B4">
        <w:rPr>
          <w:rFonts w:ascii="Cambria" w:hAnsi="Cambria" w:cs="Arial"/>
          <w:color w:val="000000" w:themeColor="text1"/>
        </w:rPr>
        <w:t>survivors of child sexual abuse are reluctant to disclose the crimes perpetrated against them until many years have passed.</w:t>
      </w:r>
      <w:r w:rsidR="007E2A0E" w:rsidRPr="00D774B4">
        <w:rPr>
          <w:rFonts w:ascii="Cambria" w:hAnsi="Cambria" w:cs="Arial"/>
          <w:color w:val="000000" w:themeColor="text1"/>
        </w:rPr>
        <w:t xml:space="preserve"> The</w:t>
      </w:r>
      <w:r w:rsidR="0002227D" w:rsidRPr="00D774B4">
        <w:rPr>
          <w:rFonts w:ascii="Cambria" w:hAnsi="Cambria" w:cs="Arial"/>
          <w:color w:val="000000" w:themeColor="text1"/>
        </w:rPr>
        <w:t xml:space="preserve"> Royal Commission </w:t>
      </w:r>
      <w:r w:rsidRPr="00D774B4">
        <w:rPr>
          <w:rFonts w:ascii="Cambria" w:hAnsi="Cambria" w:cs="Arial"/>
          <w:color w:val="000000" w:themeColor="text1"/>
        </w:rPr>
        <w:t>reported</w:t>
      </w:r>
      <w:r w:rsidR="0002227D" w:rsidRPr="00D774B4">
        <w:rPr>
          <w:rFonts w:ascii="Cambria" w:hAnsi="Cambria" w:cs="Arial"/>
          <w:color w:val="000000" w:themeColor="text1"/>
        </w:rPr>
        <w:t xml:space="preserve"> </w:t>
      </w:r>
      <w:r w:rsidR="007E2A0E" w:rsidRPr="00D774B4">
        <w:rPr>
          <w:rFonts w:ascii="Cambria" w:hAnsi="Cambria" w:cs="Arial"/>
          <w:color w:val="000000" w:themeColor="text1"/>
        </w:rPr>
        <w:t xml:space="preserve">for example </w:t>
      </w:r>
      <w:r w:rsidR="0002227D" w:rsidRPr="00D774B4">
        <w:rPr>
          <w:rFonts w:ascii="Cambria" w:hAnsi="Cambria" w:cs="Arial"/>
          <w:color w:val="000000" w:themeColor="text1"/>
        </w:rPr>
        <w:t>that survivors of institutional child sexual abuse take, on average, 24 years to disclose the crime.</w:t>
      </w:r>
      <w:r w:rsidR="0002227D" w:rsidRPr="00D774B4">
        <w:rPr>
          <w:rStyle w:val="FootnoteReference"/>
          <w:rFonts w:ascii="Cambria" w:eastAsiaTheme="minorEastAsia" w:hAnsi="Cambria" w:cs="Arial"/>
          <w:color w:val="000000" w:themeColor="text1"/>
        </w:rPr>
        <w:footnoteReference w:id="2"/>
      </w:r>
      <w:r w:rsidR="0002227D" w:rsidRPr="00D774B4">
        <w:rPr>
          <w:rFonts w:ascii="Cambria" w:hAnsi="Cambria" w:cs="Arial"/>
          <w:color w:val="000000" w:themeColor="text1"/>
        </w:rPr>
        <w:t xml:space="preserve"> As well, </w:t>
      </w:r>
      <w:proofErr w:type="spellStart"/>
      <w:r w:rsidR="0002227D" w:rsidRPr="00D774B4">
        <w:rPr>
          <w:rFonts w:ascii="Cambria" w:hAnsi="Cambria" w:cs="Arial"/>
          <w:i/>
          <w:color w:val="000000" w:themeColor="text1"/>
        </w:rPr>
        <w:t>knowmore</w:t>
      </w:r>
      <w:proofErr w:type="spellEnd"/>
      <w:r w:rsidR="0002227D" w:rsidRPr="00D774B4">
        <w:rPr>
          <w:rFonts w:ascii="Cambria" w:hAnsi="Cambria" w:cs="Arial"/>
          <w:color w:val="000000" w:themeColor="text1"/>
        </w:rPr>
        <w:t xml:space="preserve">, a nation-wide community </w:t>
      </w:r>
      <w:r w:rsidR="0002227D" w:rsidRPr="00D774B4">
        <w:rPr>
          <w:rFonts w:ascii="Cambria" w:hAnsi="Cambria" w:cs="Arial"/>
          <w:color w:val="000000" w:themeColor="text1"/>
        </w:rPr>
        <w:lastRenderedPageBreak/>
        <w:t>legal centre providing legal information</w:t>
      </w:r>
      <w:r w:rsidR="006B5FE9" w:rsidRPr="00D774B4">
        <w:rPr>
          <w:rFonts w:ascii="Cambria" w:hAnsi="Cambria" w:cs="Arial"/>
          <w:color w:val="000000" w:themeColor="text1"/>
        </w:rPr>
        <w:t>, advice and representation</w:t>
      </w:r>
      <w:r w:rsidR="0002227D" w:rsidRPr="00D774B4">
        <w:rPr>
          <w:rFonts w:ascii="Cambria" w:hAnsi="Cambria" w:cs="Arial"/>
          <w:color w:val="000000" w:themeColor="text1"/>
        </w:rPr>
        <w:t xml:space="preserve"> to survivors of child abuse, has </w:t>
      </w:r>
      <w:r w:rsidR="007E2A0E" w:rsidRPr="00D774B4">
        <w:rPr>
          <w:rFonts w:ascii="Cambria" w:hAnsi="Cambria" w:cs="Arial"/>
          <w:color w:val="000000" w:themeColor="text1"/>
        </w:rPr>
        <w:t xml:space="preserve">previously </w:t>
      </w:r>
      <w:r w:rsidR="0002227D" w:rsidRPr="00D774B4">
        <w:rPr>
          <w:rFonts w:ascii="Cambria" w:hAnsi="Cambria" w:cs="Arial"/>
          <w:color w:val="000000" w:themeColor="text1"/>
        </w:rPr>
        <w:t xml:space="preserve">reported that approximately </w:t>
      </w:r>
      <w:r w:rsidR="00D774B4">
        <w:rPr>
          <w:rFonts w:ascii="Cambria" w:hAnsi="Cambria" w:cs="Arial"/>
          <w:color w:val="000000" w:themeColor="text1"/>
        </w:rPr>
        <w:t>7</w:t>
      </w:r>
      <w:r w:rsidR="0002227D" w:rsidRPr="00D774B4">
        <w:rPr>
          <w:rFonts w:ascii="Cambria" w:hAnsi="Cambria" w:cs="Arial"/>
          <w:color w:val="000000" w:themeColor="text1"/>
        </w:rPr>
        <w:t>3 per cent of clients are 46 years of age or older.</w:t>
      </w:r>
      <w:r w:rsidR="0002227D" w:rsidRPr="00D774B4">
        <w:rPr>
          <w:rStyle w:val="FootnoteReference"/>
          <w:rFonts w:ascii="Cambria" w:eastAsiaTheme="minorEastAsia" w:hAnsi="Cambria" w:cs="Arial"/>
          <w:color w:val="000000" w:themeColor="text1"/>
        </w:rPr>
        <w:footnoteReference w:id="3"/>
      </w:r>
      <w:r w:rsidR="0002227D" w:rsidRPr="00D774B4">
        <w:rPr>
          <w:rFonts w:ascii="Cambria" w:hAnsi="Cambria" w:cs="Arial"/>
          <w:color w:val="000000" w:themeColor="text1"/>
        </w:rPr>
        <w:t xml:space="preserve"> </w:t>
      </w:r>
    </w:p>
    <w:p w14:paraId="31DE7F69" w14:textId="77777777" w:rsidR="00D17E94" w:rsidRPr="00D774B4" w:rsidRDefault="00D17E94" w:rsidP="00F5609C">
      <w:pPr>
        <w:ind w:right="-52"/>
        <w:jc w:val="both"/>
        <w:rPr>
          <w:rFonts w:ascii="Cambria" w:hAnsi="Cambria" w:cs="Arial"/>
          <w:color w:val="000000" w:themeColor="text1"/>
        </w:rPr>
      </w:pPr>
    </w:p>
    <w:p w14:paraId="1517D65F" w14:textId="0186DBFA" w:rsidR="0002227D" w:rsidRPr="00D774B4" w:rsidRDefault="006B5FE9" w:rsidP="00F5609C">
      <w:pPr>
        <w:ind w:right="-52"/>
        <w:jc w:val="both"/>
        <w:rPr>
          <w:rFonts w:ascii="Cambria" w:hAnsi="Cambria" w:cs="Arial"/>
          <w:color w:val="000000" w:themeColor="text1"/>
        </w:rPr>
      </w:pPr>
      <w:r w:rsidRPr="00D774B4">
        <w:rPr>
          <w:rFonts w:ascii="Cambria" w:hAnsi="Cambria" w:cs="Arial"/>
          <w:color w:val="000000" w:themeColor="text1"/>
        </w:rPr>
        <w:t>We strongly support t</w:t>
      </w:r>
      <w:r w:rsidR="0002227D" w:rsidRPr="00D774B4">
        <w:rPr>
          <w:rFonts w:ascii="Cambria" w:hAnsi="Cambria" w:cs="Arial"/>
          <w:color w:val="000000" w:themeColor="text1"/>
        </w:rPr>
        <w:t>he proposed amendments to the</w:t>
      </w:r>
      <w:r w:rsidR="0002227D" w:rsidRPr="00D774B4">
        <w:rPr>
          <w:rFonts w:ascii="Cambria" w:hAnsi="Cambria" w:cs="Arial"/>
          <w:bCs/>
          <w:color w:val="000000" w:themeColor="text1"/>
        </w:rPr>
        <w:t xml:space="preserve"> </w:t>
      </w:r>
      <w:r w:rsidR="0002227D" w:rsidRPr="00D774B4">
        <w:rPr>
          <w:rFonts w:ascii="Cambria" w:hAnsi="Cambria" w:cs="Arial"/>
          <w:bCs/>
          <w:i/>
          <w:color w:val="000000" w:themeColor="text1"/>
        </w:rPr>
        <w:t xml:space="preserve">Classification (Publications, Films and Computer Games) Enforcement Act 1995 </w:t>
      </w:r>
      <w:r w:rsidR="0002227D" w:rsidRPr="00D774B4">
        <w:rPr>
          <w:rFonts w:ascii="Cambria" w:hAnsi="Cambria" w:cs="Arial"/>
          <w:bCs/>
          <w:iCs/>
          <w:color w:val="000000" w:themeColor="text1"/>
        </w:rPr>
        <w:t xml:space="preserve">(Tas) </w:t>
      </w:r>
      <w:r w:rsidRPr="00D774B4">
        <w:rPr>
          <w:rFonts w:ascii="Cambria" w:hAnsi="Cambria" w:cs="Arial"/>
          <w:bCs/>
          <w:iCs/>
          <w:color w:val="000000" w:themeColor="text1"/>
        </w:rPr>
        <w:t xml:space="preserve">which will </w:t>
      </w:r>
      <w:r w:rsidR="00D17E94" w:rsidRPr="00D774B4">
        <w:rPr>
          <w:rFonts w:ascii="Cambria" w:hAnsi="Cambria" w:cs="Arial"/>
          <w:bCs/>
          <w:iCs/>
          <w:color w:val="000000" w:themeColor="text1"/>
        </w:rPr>
        <w:t>ensure</w:t>
      </w:r>
      <w:r w:rsidR="0002227D" w:rsidRPr="00D774B4">
        <w:rPr>
          <w:rFonts w:ascii="Cambria" w:hAnsi="Cambria" w:cs="Arial"/>
          <w:bCs/>
          <w:iCs/>
          <w:color w:val="000000" w:themeColor="text1"/>
        </w:rPr>
        <w:t xml:space="preserve"> consistency with </w:t>
      </w:r>
      <w:r w:rsidR="00D17E94" w:rsidRPr="00D774B4">
        <w:rPr>
          <w:rFonts w:ascii="Cambria" w:hAnsi="Cambria" w:cs="Arial"/>
          <w:bCs/>
          <w:iCs/>
          <w:color w:val="000000" w:themeColor="text1"/>
        </w:rPr>
        <w:t xml:space="preserve">the Royal Commission’s recommendations by removing the limitation period for all </w:t>
      </w:r>
      <w:r w:rsidR="0002227D" w:rsidRPr="00D774B4">
        <w:rPr>
          <w:rFonts w:ascii="Cambria" w:hAnsi="Cambria" w:cs="Arial"/>
          <w:bCs/>
          <w:iCs/>
          <w:color w:val="000000" w:themeColor="text1"/>
        </w:rPr>
        <w:t>Tasmanian child sexual abuse offence.</w:t>
      </w:r>
    </w:p>
    <w:p w14:paraId="44CEC43B" w14:textId="77777777" w:rsidR="0002227D" w:rsidRPr="00D774B4" w:rsidRDefault="0002227D" w:rsidP="00F5609C">
      <w:pPr>
        <w:ind w:right="-52"/>
        <w:rPr>
          <w:rFonts w:ascii="Cambria" w:hAnsi="Cambria"/>
          <w:color w:val="000000" w:themeColor="text1"/>
          <w:sz w:val="20"/>
          <w:szCs w:val="20"/>
        </w:rPr>
      </w:pPr>
    </w:p>
    <w:p w14:paraId="255748AE" w14:textId="2765ADF3" w:rsidR="0002227D" w:rsidRPr="00D774B4" w:rsidRDefault="00784EDC" w:rsidP="00F5609C">
      <w:pPr>
        <w:ind w:right="-52"/>
        <w:rPr>
          <w:rFonts w:ascii="Cambria" w:hAnsi="Cambria"/>
          <w:b/>
          <w:bCs/>
          <w:i/>
          <w:iCs/>
          <w:color w:val="000000" w:themeColor="text1"/>
        </w:rPr>
      </w:pPr>
      <w:r w:rsidRPr="00D774B4">
        <w:rPr>
          <w:rFonts w:ascii="Cambria" w:hAnsi="Cambria"/>
          <w:b/>
          <w:bCs/>
          <w:i/>
          <w:iCs/>
          <w:color w:val="000000" w:themeColor="text1"/>
        </w:rPr>
        <w:t>Failure to protect</w:t>
      </w:r>
    </w:p>
    <w:p w14:paraId="407CC77F" w14:textId="02629CBF" w:rsidR="00032DDF" w:rsidRPr="00D774B4" w:rsidRDefault="007E2A0E" w:rsidP="00032DDF">
      <w:pPr>
        <w:ind w:right="-52"/>
        <w:jc w:val="both"/>
        <w:rPr>
          <w:rFonts w:ascii="Cambria" w:hAnsi="Cambria"/>
          <w:color w:val="000000" w:themeColor="text1"/>
        </w:rPr>
      </w:pPr>
      <w:r w:rsidRPr="00D774B4">
        <w:rPr>
          <w:rFonts w:ascii="Cambria" w:hAnsi="Cambria"/>
          <w:color w:val="000000" w:themeColor="text1"/>
        </w:rPr>
        <w:t>Currently,</w:t>
      </w:r>
      <w:r w:rsidR="00032DDF" w:rsidRPr="00D774B4">
        <w:rPr>
          <w:rFonts w:ascii="Cambria" w:hAnsi="Cambria"/>
          <w:color w:val="000000" w:themeColor="text1"/>
        </w:rPr>
        <w:t xml:space="preserve"> </w:t>
      </w:r>
      <w:r w:rsidRPr="00D774B4">
        <w:rPr>
          <w:rFonts w:ascii="Cambria" w:hAnsi="Cambria"/>
          <w:color w:val="000000" w:themeColor="text1"/>
        </w:rPr>
        <w:t xml:space="preserve">Tasmania’s </w:t>
      </w:r>
      <w:r w:rsidR="00032DDF" w:rsidRPr="00D774B4">
        <w:rPr>
          <w:rFonts w:ascii="Cambria" w:hAnsi="Cambria"/>
          <w:i/>
          <w:iCs/>
          <w:color w:val="000000" w:themeColor="text1"/>
        </w:rPr>
        <w:t>Children, Young Persons and their Families Act 1997</w:t>
      </w:r>
      <w:r w:rsidR="00032DDF" w:rsidRPr="00D774B4">
        <w:rPr>
          <w:rFonts w:ascii="Cambria" w:hAnsi="Cambria"/>
          <w:color w:val="000000" w:themeColor="text1"/>
        </w:rPr>
        <w:t xml:space="preserve"> requires prescribed persons including teachers, doctors and police to report their suspicions that a child is being abused or neglected.</w:t>
      </w:r>
      <w:r w:rsidR="00032DDF" w:rsidRPr="00D774B4">
        <w:rPr>
          <w:rStyle w:val="FootnoteReference"/>
          <w:rFonts w:ascii="Cambria" w:hAnsi="Cambria"/>
          <w:color w:val="000000" w:themeColor="text1"/>
        </w:rPr>
        <w:footnoteReference w:id="4"/>
      </w:r>
      <w:r w:rsidR="00032DDF" w:rsidRPr="00D774B4">
        <w:rPr>
          <w:rFonts w:ascii="Cambria" w:hAnsi="Cambria"/>
          <w:color w:val="000000" w:themeColor="text1"/>
        </w:rPr>
        <w:t xml:space="preserve"> Tasmania is also </w:t>
      </w:r>
      <w:r w:rsidR="00A026C0" w:rsidRPr="00D774B4">
        <w:rPr>
          <w:rFonts w:ascii="Cambria" w:hAnsi="Cambria"/>
          <w:color w:val="000000" w:themeColor="text1"/>
        </w:rPr>
        <w:t xml:space="preserve">likely to </w:t>
      </w:r>
      <w:r w:rsidR="00032DDF" w:rsidRPr="00D774B4">
        <w:rPr>
          <w:rFonts w:ascii="Cambria" w:hAnsi="Cambria"/>
          <w:color w:val="000000" w:themeColor="text1"/>
        </w:rPr>
        <w:t>establish a reportable conduct scheme which allows for the reporting, investigation and independent oversight of a range of complaints and allegations made against employees and volunteers in certain government and non-government agencies.</w:t>
      </w:r>
      <w:r w:rsidR="00C25BB1" w:rsidRPr="00D774B4">
        <w:rPr>
          <w:rStyle w:val="FootnoteReference"/>
          <w:rFonts w:ascii="Cambria" w:hAnsi="Cambria"/>
          <w:color w:val="000000" w:themeColor="text1"/>
        </w:rPr>
        <w:footnoteReference w:id="5"/>
      </w:r>
      <w:r w:rsidR="00032DDF" w:rsidRPr="00D774B4">
        <w:rPr>
          <w:rFonts w:ascii="Cambria" w:hAnsi="Cambria"/>
          <w:color w:val="000000" w:themeColor="text1"/>
        </w:rPr>
        <w:t xml:space="preserve">   </w:t>
      </w:r>
    </w:p>
    <w:p w14:paraId="22FBDC84" w14:textId="334767BB" w:rsidR="00032DDF" w:rsidRPr="00D774B4" w:rsidRDefault="00032DDF" w:rsidP="00032DDF">
      <w:pPr>
        <w:ind w:right="-52"/>
        <w:jc w:val="both"/>
        <w:rPr>
          <w:rFonts w:ascii="Cambria" w:hAnsi="Cambria"/>
          <w:color w:val="000000" w:themeColor="text1"/>
        </w:rPr>
      </w:pPr>
    </w:p>
    <w:p w14:paraId="2BB304EE" w14:textId="561613BD" w:rsidR="008F5B75" w:rsidRPr="00D774B4" w:rsidRDefault="00032DDF" w:rsidP="00A51A7A">
      <w:pPr>
        <w:ind w:right="-52"/>
        <w:jc w:val="both"/>
        <w:rPr>
          <w:rFonts w:ascii="Cambria" w:hAnsi="Cambria"/>
          <w:color w:val="000000" w:themeColor="text1"/>
        </w:rPr>
      </w:pPr>
      <w:r w:rsidRPr="00D774B4">
        <w:rPr>
          <w:rFonts w:ascii="Cambria" w:hAnsi="Cambria"/>
          <w:color w:val="000000" w:themeColor="text1"/>
        </w:rPr>
        <w:t>However, both mandatory reporting and the reportable conduct scheme are reactive, requiring action to be taken after the child abuse has occurred.</w:t>
      </w:r>
      <w:r w:rsidR="00AD4380" w:rsidRPr="00D774B4">
        <w:rPr>
          <w:rFonts w:ascii="Cambria" w:hAnsi="Cambria"/>
          <w:color w:val="000000" w:themeColor="text1"/>
        </w:rPr>
        <w:t xml:space="preserve"> </w:t>
      </w:r>
      <w:r w:rsidRPr="00D774B4">
        <w:rPr>
          <w:rFonts w:ascii="Cambria" w:hAnsi="Cambria"/>
          <w:color w:val="000000" w:themeColor="text1"/>
        </w:rPr>
        <w:t>To prevent child sexual abuse from occurring in the first place, t</w:t>
      </w:r>
      <w:r w:rsidR="00F5609C" w:rsidRPr="00D774B4">
        <w:rPr>
          <w:rFonts w:ascii="Cambria" w:hAnsi="Cambria"/>
          <w:color w:val="000000" w:themeColor="text1"/>
        </w:rPr>
        <w:t xml:space="preserve">he Royal Commission recommended </w:t>
      </w:r>
      <w:r w:rsidR="00994D39" w:rsidRPr="00D774B4">
        <w:rPr>
          <w:rFonts w:ascii="Cambria" w:hAnsi="Cambria"/>
          <w:color w:val="000000" w:themeColor="text1"/>
        </w:rPr>
        <w:t>the introduction of a failure to protect offence which “could apply to action taken or not taken before it is known that an offence has been committed”.</w:t>
      </w:r>
      <w:r w:rsidR="00994D39" w:rsidRPr="00D774B4">
        <w:rPr>
          <w:rStyle w:val="FootnoteReference"/>
          <w:rFonts w:ascii="Cambria" w:hAnsi="Cambria"/>
          <w:color w:val="000000" w:themeColor="text1"/>
        </w:rPr>
        <w:footnoteReference w:id="6"/>
      </w:r>
    </w:p>
    <w:p w14:paraId="23376624" w14:textId="77777777" w:rsidR="008F5B75" w:rsidRPr="00D774B4" w:rsidRDefault="008F5B75" w:rsidP="00A51A7A">
      <w:pPr>
        <w:ind w:right="-52"/>
        <w:jc w:val="both"/>
        <w:rPr>
          <w:rFonts w:ascii="Cambria" w:hAnsi="Cambria"/>
          <w:color w:val="000000" w:themeColor="text1"/>
        </w:rPr>
      </w:pPr>
    </w:p>
    <w:p w14:paraId="1B730756" w14:textId="0DD0ED97" w:rsidR="00A51A7A" w:rsidRPr="00D774B4" w:rsidRDefault="00A51A7A" w:rsidP="00A51A7A">
      <w:pPr>
        <w:ind w:right="-52"/>
        <w:jc w:val="both"/>
        <w:rPr>
          <w:rFonts w:ascii="Cambria" w:hAnsi="Cambria"/>
          <w:color w:val="000000" w:themeColor="text1"/>
        </w:rPr>
      </w:pPr>
      <w:r w:rsidRPr="00D774B4">
        <w:rPr>
          <w:rFonts w:ascii="Cambria" w:hAnsi="Cambria"/>
          <w:color w:val="000000" w:themeColor="text1"/>
        </w:rPr>
        <w:t>As the Victorian Attorney-General has previously observed, the importance of a failure to protect offence is its promotion of cultural change within organisations to ensure that they are proactively dealing with the risk of child sexual abuse:</w:t>
      </w:r>
      <w:r w:rsidRPr="00D774B4">
        <w:rPr>
          <w:rStyle w:val="FootnoteReference"/>
          <w:rFonts w:ascii="Cambria" w:hAnsi="Cambria"/>
          <w:color w:val="000000" w:themeColor="text1"/>
        </w:rPr>
        <w:footnoteReference w:id="7"/>
      </w:r>
      <w:r w:rsidRPr="00D774B4">
        <w:rPr>
          <w:rFonts w:ascii="Cambria" w:hAnsi="Cambria"/>
          <w:color w:val="000000" w:themeColor="text1"/>
        </w:rPr>
        <w:t xml:space="preserve"> </w:t>
      </w:r>
    </w:p>
    <w:p w14:paraId="75134068" w14:textId="77777777" w:rsidR="00A51A7A" w:rsidRPr="00D774B4" w:rsidRDefault="00A51A7A" w:rsidP="00A51A7A">
      <w:pPr>
        <w:ind w:right="-52"/>
        <w:jc w:val="both"/>
        <w:rPr>
          <w:rFonts w:ascii="Cambria" w:hAnsi="Cambria"/>
          <w:color w:val="000000" w:themeColor="text1"/>
        </w:rPr>
      </w:pPr>
    </w:p>
    <w:p w14:paraId="736E202B" w14:textId="77777777" w:rsidR="008D0E98" w:rsidRDefault="00994D39" w:rsidP="008D0E98">
      <w:pPr>
        <w:ind w:left="567" w:right="798"/>
        <w:jc w:val="both"/>
        <w:rPr>
          <w:rFonts w:ascii="Cambria" w:hAnsi="Cambria"/>
          <w:color w:val="000000" w:themeColor="text1"/>
        </w:rPr>
      </w:pPr>
      <w:r w:rsidRPr="00D774B4">
        <w:rPr>
          <w:rFonts w:ascii="Cambria" w:hAnsi="Cambria"/>
          <w:color w:val="000000" w:themeColor="text1"/>
        </w:rPr>
        <w:t>All organisations having responsibility for children must take effective action against those within their organisation who pose a risk of child sexual abuse. In such cases, the law will make clear that it is not acceptable to put the interests of an adult or an organisation ahead of the interests of a child. The interests of the child must come first.</w:t>
      </w:r>
    </w:p>
    <w:p w14:paraId="2205A9D1" w14:textId="77777777" w:rsidR="008D0E98" w:rsidRDefault="008D0E98" w:rsidP="008D0E98">
      <w:pPr>
        <w:ind w:left="567" w:right="798"/>
        <w:jc w:val="both"/>
        <w:rPr>
          <w:rFonts w:ascii="Cambria" w:hAnsi="Cambria"/>
          <w:color w:val="000000" w:themeColor="text1"/>
        </w:rPr>
      </w:pPr>
    </w:p>
    <w:p w14:paraId="785A758A" w14:textId="77777777" w:rsidR="008D0E98" w:rsidRPr="00D774B4" w:rsidRDefault="008D0E98" w:rsidP="008D0E98">
      <w:pPr>
        <w:ind w:right="-52"/>
        <w:jc w:val="both"/>
        <w:rPr>
          <w:rFonts w:ascii="Cambria" w:hAnsi="Cambria"/>
          <w:color w:val="000000" w:themeColor="text1"/>
        </w:rPr>
      </w:pPr>
      <w:r w:rsidRPr="00D774B4">
        <w:rPr>
          <w:rFonts w:ascii="Cambria" w:hAnsi="Cambria"/>
          <w:color w:val="000000" w:themeColor="text1"/>
        </w:rPr>
        <w:t xml:space="preserve">We strongly support the Government’s intention to put children first by introducing a failure to protect offence focused on organisations and organisational failure. The offence will reinforce the importance of prevention by imposing criminal sanctions on organisations that fail to take steps to prevent abuse. </w:t>
      </w:r>
    </w:p>
    <w:p w14:paraId="415C3435" w14:textId="77777777" w:rsidR="008D0E98" w:rsidRPr="00D774B4" w:rsidRDefault="008D0E98" w:rsidP="008D0E98">
      <w:pPr>
        <w:ind w:right="-52"/>
        <w:jc w:val="both"/>
        <w:rPr>
          <w:rFonts w:ascii="Cambria" w:hAnsi="Cambria"/>
          <w:color w:val="000000" w:themeColor="text1"/>
        </w:rPr>
      </w:pPr>
      <w:r w:rsidRPr="00D774B4">
        <w:rPr>
          <w:rFonts w:ascii="Cambria" w:hAnsi="Cambria"/>
          <w:color w:val="000000" w:themeColor="text1"/>
        </w:rPr>
        <w:lastRenderedPageBreak/>
        <w:t>The Bill’s proposed failure to protect offence is consistent with the Royal Commission’s recommendation</w:t>
      </w:r>
      <w:r w:rsidRPr="00D774B4">
        <w:rPr>
          <w:rStyle w:val="FootnoteReference"/>
          <w:rFonts w:ascii="Cambria" w:hAnsi="Cambria"/>
          <w:color w:val="000000" w:themeColor="text1"/>
        </w:rPr>
        <w:footnoteReference w:id="8"/>
      </w:r>
      <w:r w:rsidRPr="00D774B4">
        <w:rPr>
          <w:rFonts w:ascii="Cambria" w:hAnsi="Cambria"/>
          <w:color w:val="000000" w:themeColor="text1"/>
        </w:rPr>
        <w:t xml:space="preserve"> and with provisions introduced in most other Australian jurisdictions.</w:t>
      </w:r>
      <w:r w:rsidRPr="00D774B4">
        <w:rPr>
          <w:rStyle w:val="FootnoteReference"/>
          <w:rFonts w:ascii="Cambria" w:hAnsi="Cambria"/>
          <w:color w:val="000000" w:themeColor="text1"/>
        </w:rPr>
        <w:footnoteReference w:id="9"/>
      </w:r>
      <w:r w:rsidRPr="00D774B4">
        <w:rPr>
          <w:rFonts w:ascii="Cambria" w:hAnsi="Cambria"/>
          <w:color w:val="000000" w:themeColor="text1"/>
        </w:rPr>
        <w:t xml:space="preserve"> In particular, we support the broad definition of ‘relevant organisation’ and endorse the inclusion of specific types of organisations likely to be captured by the proposed offence. Whilst we support the </w:t>
      </w:r>
      <w:proofErr w:type="spellStart"/>
      <w:r w:rsidRPr="00D774B4">
        <w:rPr>
          <w:rFonts w:ascii="Cambria" w:hAnsi="Cambria"/>
          <w:color w:val="000000" w:themeColor="text1"/>
        </w:rPr>
        <w:t>TasCOSS</w:t>
      </w:r>
      <w:proofErr w:type="spellEnd"/>
      <w:r w:rsidRPr="00D774B4">
        <w:rPr>
          <w:rFonts w:ascii="Cambria" w:hAnsi="Cambria"/>
          <w:color w:val="000000" w:themeColor="text1"/>
        </w:rPr>
        <w:t xml:space="preserve"> recommendation of excluding individual kinship and foster carers we note that the Royal Commission recommended the inclusion of foster and kinship care services. The Royal Commission’s rationale was explained as follows:</w:t>
      </w:r>
      <w:r w:rsidRPr="00D774B4">
        <w:rPr>
          <w:rStyle w:val="FootnoteReference"/>
          <w:rFonts w:ascii="Cambria" w:hAnsi="Cambria"/>
          <w:color w:val="000000" w:themeColor="text1"/>
        </w:rPr>
        <w:footnoteReference w:id="10"/>
      </w:r>
    </w:p>
    <w:p w14:paraId="666629B2" w14:textId="77777777" w:rsidR="008D0E98" w:rsidRDefault="008D0E98" w:rsidP="008D0E98">
      <w:pPr>
        <w:ind w:right="798"/>
        <w:jc w:val="both"/>
        <w:rPr>
          <w:rFonts w:ascii="Cambria" w:hAnsi="Cambria"/>
          <w:color w:val="000000" w:themeColor="text1"/>
        </w:rPr>
      </w:pPr>
    </w:p>
    <w:p w14:paraId="59411EC8" w14:textId="7D4F4DBC" w:rsidR="00321C38" w:rsidRPr="00D774B4" w:rsidRDefault="00321C38" w:rsidP="008D0E98">
      <w:pPr>
        <w:ind w:left="567" w:right="798"/>
        <w:jc w:val="both"/>
        <w:rPr>
          <w:rFonts w:ascii="Cambria" w:hAnsi="Cambria"/>
          <w:color w:val="000000" w:themeColor="text1"/>
        </w:rPr>
      </w:pPr>
      <w:r w:rsidRPr="00321C38">
        <w:rPr>
          <w:rFonts w:ascii="Cambria" w:hAnsi="Cambria"/>
          <w:color w:val="000000" w:themeColor="text1"/>
        </w:rPr>
        <w:t>We consider that it should be made clear that the offence cannot be committed by individual foster carers or kinship carers. While the offence should apply to those with the required knowledge and the power or responsibility to take action in the services that arrange or supervise foster care and kinship care, we do not consider that individual foster carers or kinship carers should be caught by the offence. Their position is not comparable to those who work within the services and including them would effectively extend the offence to domestic carers in a family setti</w:t>
      </w:r>
      <w:r w:rsidR="00D774B4" w:rsidRPr="00D774B4">
        <w:rPr>
          <w:rFonts w:ascii="Cambria" w:hAnsi="Cambria"/>
          <w:color w:val="000000" w:themeColor="text1"/>
        </w:rPr>
        <w:t xml:space="preserve">ng. </w:t>
      </w:r>
    </w:p>
    <w:p w14:paraId="2C9F2B00" w14:textId="77777777" w:rsidR="00AD4380" w:rsidRPr="00D774B4" w:rsidRDefault="00AD4380" w:rsidP="00321C38">
      <w:pPr>
        <w:ind w:right="-52"/>
        <w:jc w:val="both"/>
        <w:rPr>
          <w:rFonts w:ascii="Cambria" w:hAnsi="Cambria"/>
          <w:color w:val="000000" w:themeColor="text1"/>
        </w:rPr>
      </w:pPr>
    </w:p>
    <w:p w14:paraId="08499EAA" w14:textId="35C634F1" w:rsidR="00321C38" w:rsidRPr="00D774B4" w:rsidRDefault="00321C38" w:rsidP="00321C38">
      <w:pPr>
        <w:ind w:right="-52"/>
        <w:jc w:val="both"/>
        <w:rPr>
          <w:rFonts w:ascii="Cambria" w:hAnsi="Cambria"/>
          <w:color w:val="000000" w:themeColor="text1"/>
        </w:rPr>
      </w:pPr>
      <w:r w:rsidRPr="00D774B4">
        <w:rPr>
          <w:rFonts w:ascii="Cambria" w:hAnsi="Cambria"/>
          <w:color w:val="000000" w:themeColor="text1"/>
        </w:rPr>
        <w:t xml:space="preserve">To avoid doubt we therefore recommend that foster and kinship care services are included in the definition of ‘relevant organisation’ but individual foster or kinship carers are explicitly excluded. </w:t>
      </w:r>
    </w:p>
    <w:p w14:paraId="0FE9C3A4" w14:textId="16032600" w:rsidR="00D774B4" w:rsidRPr="00D774B4" w:rsidRDefault="00D774B4" w:rsidP="00321C38">
      <w:pPr>
        <w:ind w:right="-52"/>
        <w:jc w:val="both"/>
        <w:rPr>
          <w:rFonts w:ascii="Cambria" w:hAnsi="Cambria"/>
          <w:color w:val="000000" w:themeColor="text1"/>
        </w:rPr>
      </w:pPr>
    </w:p>
    <w:p w14:paraId="11D5830D" w14:textId="125837C4" w:rsidR="00D774B4" w:rsidRPr="00D774B4" w:rsidRDefault="00D774B4" w:rsidP="00321C38">
      <w:pPr>
        <w:ind w:right="-52"/>
        <w:jc w:val="both"/>
        <w:rPr>
          <w:rFonts w:ascii="Cambria" w:hAnsi="Cambria"/>
          <w:b/>
          <w:bCs/>
          <w:i/>
          <w:iCs/>
          <w:color w:val="000000" w:themeColor="text1"/>
        </w:rPr>
      </w:pPr>
      <w:r w:rsidRPr="00D774B4">
        <w:rPr>
          <w:rFonts w:ascii="Cambria" w:hAnsi="Cambria"/>
          <w:b/>
          <w:bCs/>
          <w:i/>
          <w:iCs/>
          <w:color w:val="000000" w:themeColor="text1"/>
        </w:rPr>
        <w:t>Effective implementation of failure to protect provision</w:t>
      </w:r>
    </w:p>
    <w:p w14:paraId="24D71875" w14:textId="251FA84B" w:rsidR="00D774B4" w:rsidRPr="00D774B4" w:rsidRDefault="00D774B4" w:rsidP="00D774B4">
      <w:pPr>
        <w:ind w:right="-52"/>
        <w:jc w:val="both"/>
        <w:rPr>
          <w:rFonts w:ascii="Cambria" w:hAnsi="Cambria"/>
          <w:color w:val="000000" w:themeColor="text1"/>
        </w:rPr>
      </w:pPr>
      <w:r w:rsidRPr="00D774B4">
        <w:rPr>
          <w:rFonts w:ascii="Cambria" w:hAnsi="Cambria"/>
          <w:color w:val="000000" w:themeColor="text1"/>
        </w:rPr>
        <w:t>The introduction of a failure to protect offence will require</w:t>
      </w:r>
      <w:r>
        <w:rPr>
          <w:rFonts w:ascii="Cambria" w:hAnsi="Cambria"/>
          <w:color w:val="000000" w:themeColor="text1"/>
        </w:rPr>
        <w:t xml:space="preserve"> </w:t>
      </w:r>
      <w:r w:rsidRPr="00D774B4">
        <w:rPr>
          <w:rFonts w:ascii="Cambria" w:hAnsi="Cambria"/>
          <w:color w:val="000000" w:themeColor="text1"/>
        </w:rPr>
        <w:t>a</w:t>
      </w:r>
      <w:r>
        <w:rPr>
          <w:rFonts w:ascii="Cambria" w:hAnsi="Cambria"/>
          <w:color w:val="000000" w:themeColor="text1"/>
        </w:rPr>
        <w:t xml:space="preserve"> public information </w:t>
      </w:r>
      <w:r w:rsidRPr="00D774B4">
        <w:rPr>
          <w:rFonts w:ascii="Cambria" w:hAnsi="Cambria"/>
          <w:color w:val="000000" w:themeColor="text1"/>
        </w:rPr>
        <w:t xml:space="preserve"> campaign to educate and inform organisations on the proactive steps they must take to effectively deal with the risk of child sexual abuse. In our opinion, it makes sense for the same organisation responsible for providing </w:t>
      </w:r>
      <w:r w:rsidRPr="00D774B4">
        <w:rPr>
          <w:rFonts w:ascii="Cambria" w:hAnsi="Cambria" w:cs="Calibri"/>
          <w:color w:val="000000" w:themeColor="text1"/>
        </w:rPr>
        <w:t xml:space="preserve">advice, training and assistance in relation to the Child and </w:t>
      </w:r>
      <w:r w:rsidRPr="00D774B4">
        <w:rPr>
          <w:rFonts w:ascii="Cambria" w:hAnsi="Cambria"/>
          <w:color w:val="000000" w:themeColor="text1"/>
        </w:rPr>
        <w:t xml:space="preserve">Youth Safe Standards and the reportable conduct scheme to also provide the same services in relation to the implementation of the failure to protect offence. </w:t>
      </w:r>
    </w:p>
    <w:p w14:paraId="17274C37" w14:textId="77777777" w:rsidR="00D774B4" w:rsidRPr="00D774B4" w:rsidRDefault="00D774B4" w:rsidP="00D774B4">
      <w:pPr>
        <w:ind w:right="-52"/>
        <w:jc w:val="both"/>
        <w:rPr>
          <w:rFonts w:ascii="Cambria" w:hAnsi="Cambria"/>
          <w:color w:val="000000" w:themeColor="text1"/>
        </w:rPr>
      </w:pPr>
    </w:p>
    <w:p w14:paraId="5C5DD927" w14:textId="3EDA41AB" w:rsidR="00663BEE" w:rsidRPr="00D774B4" w:rsidRDefault="00D774B4" w:rsidP="00F5609C">
      <w:pPr>
        <w:ind w:right="-52"/>
        <w:jc w:val="both"/>
        <w:rPr>
          <w:rFonts w:ascii="Cambria" w:hAnsi="Cambria"/>
          <w:color w:val="000000" w:themeColor="text1"/>
        </w:rPr>
      </w:pPr>
      <w:r w:rsidRPr="00D774B4">
        <w:rPr>
          <w:rFonts w:ascii="Cambria" w:hAnsi="Cambria" w:cs="Calibri"/>
          <w:color w:val="000000" w:themeColor="text1"/>
        </w:rPr>
        <w:t>However, the success of all of these child first practices will require appropriate resourcing not simply to provide oversight but to have the capacity to meaningfully engage</w:t>
      </w:r>
      <w:r w:rsidRPr="00D774B4">
        <w:rPr>
          <w:rFonts w:ascii="Cambria" w:hAnsi="Cambria" w:cs="Arial"/>
          <w:color w:val="000000" w:themeColor="text1"/>
        </w:rPr>
        <w:t xml:space="preserve"> in a community-wide education campaign that will increase public awareness of the importance of child and youth safety, ensure that organisations </w:t>
      </w:r>
      <w:r w:rsidRPr="00D774B4">
        <w:rPr>
          <w:rFonts w:ascii="Cambria" w:hAnsi="Cambria" w:cs="Calibri"/>
          <w:color w:val="000000" w:themeColor="text1"/>
        </w:rPr>
        <w:t xml:space="preserve">are able to better prevent, identify and respond to child sexual abuse and other forms of abuse, and foster an environment where all members of the community can expect and demand child safe institutions. </w:t>
      </w:r>
    </w:p>
    <w:p w14:paraId="11215054" w14:textId="46135D5D" w:rsidR="00D774B4" w:rsidRPr="00D774B4" w:rsidRDefault="00D774B4" w:rsidP="00F5609C">
      <w:pPr>
        <w:ind w:right="-52"/>
        <w:jc w:val="both"/>
        <w:rPr>
          <w:rFonts w:ascii="Cambria" w:hAnsi="Cambria"/>
          <w:color w:val="000000" w:themeColor="text1"/>
        </w:rPr>
      </w:pPr>
    </w:p>
    <w:p w14:paraId="5F14298F" w14:textId="77777777" w:rsidR="0055679C" w:rsidRPr="00D774B4" w:rsidRDefault="0055679C" w:rsidP="00F5609C">
      <w:pPr>
        <w:pStyle w:val="xmsonormal"/>
        <w:shd w:val="clear" w:color="auto" w:fill="FFFFFF"/>
        <w:spacing w:before="0" w:beforeAutospacing="0" w:after="0" w:afterAutospacing="0"/>
        <w:ind w:right="-52"/>
        <w:jc w:val="both"/>
        <w:rPr>
          <w:rFonts w:ascii="Cambria" w:hAnsi="Cambria"/>
          <w:color w:val="000000" w:themeColor="text1"/>
        </w:rPr>
      </w:pPr>
      <w:bookmarkStart w:id="0" w:name="OLE_LINK1"/>
      <w:r w:rsidRPr="00D774B4">
        <w:rPr>
          <w:rFonts w:ascii="Cambria" w:hAnsi="Cambria"/>
          <w:color w:val="000000" w:themeColor="text1"/>
        </w:rPr>
        <w:t xml:space="preserve">If you have any queries, or would like to discuss our submission further, please do not hesitate to contact us. </w:t>
      </w:r>
    </w:p>
    <w:p w14:paraId="238B4A3D" w14:textId="77777777" w:rsidR="0055679C" w:rsidRPr="00D774B4" w:rsidRDefault="0055679C" w:rsidP="00F5609C">
      <w:pPr>
        <w:ind w:right="-52"/>
        <w:rPr>
          <w:rFonts w:ascii="Cambria" w:hAnsi="Cambria"/>
          <w:color w:val="000000" w:themeColor="text1"/>
        </w:rPr>
      </w:pPr>
    </w:p>
    <w:p w14:paraId="31ABC03B" w14:textId="77777777" w:rsidR="0055679C" w:rsidRPr="00D774B4" w:rsidRDefault="0055679C" w:rsidP="00F5609C">
      <w:pPr>
        <w:ind w:right="-52"/>
        <w:rPr>
          <w:rFonts w:ascii="Cambria" w:hAnsi="Cambria"/>
          <w:color w:val="000000" w:themeColor="text1"/>
        </w:rPr>
      </w:pPr>
    </w:p>
    <w:p w14:paraId="24FA6882" w14:textId="77777777" w:rsidR="0055679C" w:rsidRPr="00D774B4" w:rsidRDefault="0055679C" w:rsidP="00F5609C">
      <w:pPr>
        <w:ind w:right="-52"/>
        <w:rPr>
          <w:rFonts w:ascii="Cambria" w:hAnsi="Cambria"/>
          <w:color w:val="000000" w:themeColor="text1"/>
        </w:rPr>
      </w:pPr>
      <w:r w:rsidRPr="00D774B4">
        <w:rPr>
          <w:rFonts w:ascii="Cambria" w:hAnsi="Cambria"/>
          <w:color w:val="000000" w:themeColor="text1"/>
        </w:rPr>
        <w:t>Yours faithfully,</w:t>
      </w:r>
    </w:p>
    <w:bookmarkEnd w:id="0"/>
    <w:p w14:paraId="35880B3C" w14:textId="77777777" w:rsidR="0055679C" w:rsidRPr="00D774B4" w:rsidRDefault="0055679C" w:rsidP="00F5609C">
      <w:pPr>
        <w:ind w:right="-52"/>
        <w:rPr>
          <w:rFonts w:ascii="Cambria" w:hAnsi="Cambria"/>
          <w:color w:val="000000" w:themeColor="text1"/>
        </w:rPr>
      </w:pPr>
    </w:p>
    <w:p w14:paraId="3F23C5A1" w14:textId="77777777" w:rsidR="0055679C" w:rsidRPr="00D774B4" w:rsidRDefault="0055679C" w:rsidP="00F5609C">
      <w:pPr>
        <w:ind w:right="-52"/>
        <w:rPr>
          <w:rFonts w:ascii="Cambria" w:hAnsi="Cambria"/>
          <w:color w:val="000000" w:themeColor="text1"/>
        </w:rPr>
      </w:pPr>
    </w:p>
    <w:p w14:paraId="5A617A3E" w14:textId="77777777" w:rsidR="0055679C" w:rsidRPr="00D774B4" w:rsidRDefault="0055679C" w:rsidP="00F5609C">
      <w:pPr>
        <w:ind w:right="-52"/>
        <w:rPr>
          <w:rFonts w:ascii="Cambria" w:hAnsi="Cambria"/>
          <w:color w:val="000000" w:themeColor="text1"/>
        </w:rPr>
      </w:pPr>
    </w:p>
    <w:p w14:paraId="689B84AC" w14:textId="77777777" w:rsidR="0055679C" w:rsidRPr="00D774B4" w:rsidRDefault="0055679C" w:rsidP="00F5609C">
      <w:pPr>
        <w:ind w:right="-52"/>
        <w:rPr>
          <w:rFonts w:ascii="Cambria" w:hAnsi="Cambria"/>
          <w:color w:val="000000" w:themeColor="text1"/>
        </w:rPr>
      </w:pPr>
      <w:r w:rsidRPr="00D774B4">
        <w:rPr>
          <w:rFonts w:ascii="Cambria" w:hAnsi="Cambria"/>
          <w:color w:val="000000" w:themeColor="text1"/>
        </w:rPr>
        <w:t>Benedict Bartl</w:t>
      </w:r>
    </w:p>
    <w:p w14:paraId="313DA6C2" w14:textId="77777777" w:rsidR="0055679C" w:rsidRPr="00D774B4" w:rsidRDefault="0055679C" w:rsidP="00F5609C">
      <w:pPr>
        <w:ind w:right="-52"/>
        <w:rPr>
          <w:rFonts w:ascii="Cambria" w:hAnsi="Cambria"/>
          <w:color w:val="000000" w:themeColor="text1"/>
        </w:rPr>
      </w:pPr>
      <w:r w:rsidRPr="00D774B4">
        <w:rPr>
          <w:rFonts w:ascii="Cambria" w:hAnsi="Cambria"/>
          <w:color w:val="000000" w:themeColor="text1"/>
        </w:rPr>
        <w:t>Policy Officer</w:t>
      </w:r>
    </w:p>
    <w:p w14:paraId="25332603" w14:textId="77777777" w:rsidR="0055679C" w:rsidRPr="00D774B4" w:rsidRDefault="0055679C" w:rsidP="00F5609C">
      <w:pPr>
        <w:pBdr>
          <w:bottom w:val="single" w:sz="6" w:space="1" w:color="auto"/>
        </w:pBdr>
        <w:ind w:right="-52"/>
        <w:rPr>
          <w:rFonts w:ascii="Cambria" w:hAnsi="Cambria"/>
          <w:b/>
          <w:bCs/>
          <w:color w:val="000000" w:themeColor="text1"/>
        </w:rPr>
      </w:pPr>
      <w:r w:rsidRPr="00D774B4">
        <w:rPr>
          <w:rFonts w:ascii="Cambria" w:hAnsi="Cambria"/>
          <w:b/>
          <w:bCs/>
          <w:color w:val="000000" w:themeColor="text1"/>
        </w:rPr>
        <w:t>Community Legal Centres Tasmania</w:t>
      </w:r>
    </w:p>
    <w:p w14:paraId="36460A25" w14:textId="77777777" w:rsidR="0055679C" w:rsidRPr="00D774B4" w:rsidRDefault="0055679C" w:rsidP="00F5609C">
      <w:pPr>
        <w:ind w:right="-52"/>
        <w:rPr>
          <w:rFonts w:ascii="Cambria" w:hAnsi="Cambria"/>
          <w:color w:val="000000" w:themeColor="text1"/>
        </w:rPr>
      </w:pPr>
    </w:p>
    <w:p w14:paraId="64FD5C07" w14:textId="77777777" w:rsidR="00E51780" w:rsidRPr="00D774B4" w:rsidRDefault="00E51780" w:rsidP="00F5609C">
      <w:pPr>
        <w:ind w:right="-52"/>
        <w:rPr>
          <w:color w:val="000000" w:themeColor="text1"/>
        </w:rPr>
      </w:pPr>
    </w:p>
    <w:sectPr w:rsidR="00E51780" w:rsidRPr="00D774B4">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9B71E" w14:textId="77777777" w:rsidR="00380EC3" w:rsidRDefault="00380EC3" w:rsidP="0055679C">
      <w:r>
        <w:separator/>
      </w:r>
    </w:p>
  </w:endnote>
  <w:endnote w:type="continuationSeparator" w:id="0">
    <w:p w14:paraId="78515F81" w14:textId="77777777" w:rsidR="00380EC3" w:rsidRDefault="00380EC3" w:rsidP="0055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1108557"/>
      <w:docPartObj>
        <w:docPartGallery w:val="Page Numbers (Bottom of Page)"/>
        <w:docPartUnique/>
      </w:docPartObj>
    </w:sdtPr>
    <w:sdtContent>
      <w:p w14:paraId="2BD77C2A" w14:textId="77777777" w:rsidR="002F6682" w:rsidRDefault="00FE40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C32364" w14:textId="77777777" w:rsidR="002F6682"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5691377"/>
      <w:docPartObj>
        <w:docPartGallery w:val="Page Numbers (Bottom of Page)"/>
        <w:docPartUnique/>
      </w:docPartObj>
    </w:sdtPr>
    <w:sdtContent>
      <w:p w14:paraId="78A6DC82" w14:textId="77777777" w:rsidR="002F6682" w:rsidRDefault="00FE40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6663FC" w14:textId="77777777" w:rsidR="002F6682" w:rsidRDefault="000000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EFA1F" w14:textId="77777777" w:rsidR="00380EC3" w:rsidRDefault="00380EC3" w:rsidP="0055679C">
      <w:r>
        <w:separator/>
      </w:r>
    </w:p>
  </w:footnote>
  <w:footnote w:type="continuationSeparator" w:id="0">
    <w:p w14:paraId="3ACA91D8" w14:textId="77777777" w:rsidR="00380EC3" w:rsidRDefault="00380EC3" w:rsidP="0055679C">
      <w:r>
        <w:continuationSeparator/>
      </w:r>
    </w:p>
  </w:footnote>
  <w:footnote w:id="1">
    <w:p w14:paraId="7C699A58" w14:textId="77777777" w:rsidR="0055679C" w:rsidRPr="00D774B4" w:rsidRDefault="0055679C" w:rsidP="0055679C">
      <w:pPr>
        <w:pStyle w:val="FootnoteText"/>
        <w:rPr>
          <w:rFonts w:ascii="Cambria" w:hAnsi="Cambria"/>
          <w:lang w:val="en-AU"/>
        </w:rPr>
      </w:pPr>
      <w:r w:rsidRPr="00D774B4">
        <w:rPr>
          <w:rStyle w:val="FootnoteReference"/>
          <w:rFonts w:ascii="Cambria" w:hAnsi="Cambria"/>
          <w:lang w:val="en-AU"/>
        </w:rPr>
        <w:footnoteRef/>
      </w:r>
      <w:r w:rsidRPr="00D774B4">
        <w:rPr>
          <w:rFonts w:ascii="Cambria" w:hAnsi="Cambria"/>
          <w:lang w:val="en-AU"/>
        </w:rPr>
        <w:t xml:space="preserve"> </w:t>
      </w:r>
      <w:r w:rsidRPr="00D774B4">
        <w:rPr>
          <w:rFonts w:ascii="Cambria" w:hAnsi="Cambria"/>
          <w:sz w:val="20"/>
          <w:szCs w:val="20"/>
          <w:lang w:val="en-AU"/>
        </w:rPr>
        <w:t xml:space="preserve">CLC Tas would like to acknowledge those persons and organisations who gave freely of their time in assisting with our submission. </w:t>
      </w:r>
    </w:p>
  </w:footnote>
  <w:footnote w:id="2">
    <w:p w14:paraId="2834599A" w14:textId="77777777" w:rsidR="0002227D" w:rsidRPr="00D774B4" w:rsidRDefault="0002227D" w:rsidP="0002227D">
      <w:pPr>
        <w:pStyle w:val="FootnoteText"/>
        <w:rPr>
          <w:rFonts w:ascii="Cambria" w:hAnsi="Cambria"/>
        </w:rPr>
      </w:pPr>
      <w:r w:rsidRPr="00D774B4">
        <w:rPr>
          <w:rStyle w:val="FootnoteReference"/>
          <w:rFonts w:ascii="Cambria" w:hAnsi="Cambria"/>
        </w:rPr>
        <w:footnoteRef/>
      </w:r>
      <w:r w:rsidRPr="00D774B4">
        <w:rPr>
          <w:rFonts w:ascii="Cambria" w:hAnsi="Cambria"/>
        </w:rPr>
        <w:t xml:space="preserve"> </w:t>
      </w:r>
      <w:r w:rsidRPr="00D774B4">
        <w:rPr>
          <w:rFonts w:ascii="Cambria" w:eastAsia="Times New Roman" w:hAnsi="Cambria" w:cs="Times New Roman"/>
          <w:sz w:val="20"/>
          <w:szCs w:val="20"/>
          <w:lang w:val="en-AU"/>
        </w:rPr>
        <w:t xml:space="preserve">Royal Commission into Institutional Responses to Child Sexual Abuse, </w:t>
      </w:r>
      <w:r w:rsidRPr="00D774B4">
        <w:rPr>
          <w:rFonts w:ascii="Cambria" w:eastAsia="Times New Roman" w:hAnsi="Cambria" w:cs="Times New Roman"/>
          <w:i/>
          <w:sz w:val="20"/>
          <w:szCs w:val="20"/>
          <w:lang w:val="en-AU"/>
        </w:rPr>
        <w:t>Final Report, Volume 4, Identifying and Disclosing Child Sexual Abuse</w:t>
      </w:r>
      <w:r w:rsidRPr="00D774B4">
        <w:rPr>
          <w:rFonts w:ascii="Cambria" w:eastAsia="Times New Roman" w:hAnsi="Cambria" w:cs="Times New Roman"/>
          <w:sz w:val="20"/>
          <w:szCs w:val="20"/>
          <w:lang w:val="en-AU"/>
        </w:rPr>
        <w:t xml:space="preserve"> (December 2017) at 9. </w:t>
      </w:r>
    </w:p>
  </w:footnote>
  <w:footnote w:id="3">
    <w:p w14:paraId="7B5E348B" w14:textId="227407AE" w:rsidR="0002227D" w:rsidRPr="00D774B4" w:rsidRDefault="0002227D" w:rsidP="0002227D">
      <w:pPr>
        <w:rPr>
          <w:rFonts w:ascii="Cambria" w:hAnsi="Cambria"/>
          <w:sz w:val="20"/>
          <w:szCs w:val="20"/>
        </w:rPr>
      </w:pPr>
      <w:r w:rsidRPr="00D774B4">
        <w:rPr>
          <w:rStyle w:val="FootnoteReference"/>
          <w:rFonts w:ascii="Cambria" w:eastAsiaTheme="minorEastAsia" w:hAnsi="Cambria"/>
        </w:rPr>
        <w:footnoteRef/>
      </w:r>
      <w:r w:rsidRPr="00D774B4">
        <w:rPr>
          <w:rFonts w:ascii="Cambria" w:hAnsi="Cambria"/>
        </w:rPr>
        <w:t xml:space="preserve"> </w:t>
      </w:r>
      <w:proofErr w:type="spellStart"/>
      <w:r w:rsidRPr="00D774B4">
        <w:rPr>
          <w:rFonts w:ascii="Cambria" w:hAnsi="Cambria"/>
          <w:sz w:val="20"/>
          <w:szCs w:val="20"/>
        </w:rPr>
        <w:t>Knowmore</w:t>
      </w:r>
      <w:proofErr w:type="spellEnd"/>
      <w:r w:rsidRPr="00D774B4">
        <w:rPr>
          <w:rFonts w:ascii="Cambria" w:hAnsi="Cambria"/>
          <w:sz w:val="20"/>
          <w:szCs w:val="20"/>
        </w:rPr>
        <w:t>,</w:t>
      </w:r>
      <w:r w:rsidR="00D774B4" w:rsidRPr="00D774B4">
        <w:rPr>
          <w:rFonts w:ascii="Cambria" w:hAnsi="Cambria"/>
          <w:sz w:val="20"/>
          <w:szCs w:val="20"/>
        </w:rPr>
        <w:t xml:space="preserve"> </w:t>
      </w:r>
      <w:r w:rsidRPr="00D774B4">
        <w:rPr>
          <w:rFonts w:ascii="Cambria" w:hAnsi="Cambria"/>
          <w:i/>
          <w:sz w:val="20"/>
          <w:szCs w:val="20"/>
        </w:rPr>
        <w:t>Infographic</w:t>
      </w:r>
      <w:r w:rsidR="00D774B4" w:rsidRPr="00D774B4">
        <w:rPr>
          <w:rFonts w:ascii="Cambria" w:hAnsi="Cambria"/>
          <w:i/>
          <w:sz w:val="20"/>
          <w:szCs w:val="20"/>
        </w:rPr>
        <w:t xml:space="preserve"> 1 July 2018 – 31 August 2022</w:t>
      </w:r>
      <w:r w:rsidRPr="00D774B4">
        <w:rPr>
          <w:rFonts w:ascii="Cambria" w:hAnsi="Cambria"/>
          <w:sz w:val="20"/>
          <w:szCs w:val="20"/>
        </w:rPr>
        <w:t xml:space="preserve">. As found at </w:t>
      </w:r>
      <w:hyperlink r:id="rId1" w:history="1">
        <w:r w:rsidR="00D774B4" w:rsidRPr="00D774B4">
          <w:rPr>
            <w:rStyle w:val="Hyperlink"/>
            <w:rFonts w:ascii="Cambria" w:hAnsi="Cambria"/>
            <w:sz w:val="20"/>
            <w:szCs w:val="20"/>
          </w:rPr>
          <w:t>https://knowmore.org.au/wp-content/uploads/2022/09/Infographic-August-2022.pdf</w:t>
        </w:r>
      </w:hyperlink>
      <w:r w:rsidR="00D774B4" w:rsidRPr="00D774B4">
        <w:rPr>
          <w:rFonts w:ascii="Cambria" w:hAnsi="Cambria"/>
          <w:sz w:val="20"/>
          <w:szCs w:val="20"/>
        </w:rPr>
        <w:t xml:space="preserve"> </w:t>
      </w:r>
      <w:r w:rsidRPr="00D774B4">
        <w:rPr>
          <w:rFonts w:ascii="Cambria" w:hAnsi="Cambria"/>
          <w:sz w:val="20"/>
          <w:szCs w:val="20"/>
        </w:rPr>
        <w:t xml:space="preserve">(Accessed </w:t>
      </w:r>
      <w:r w:rsidR="00D774B4" w:rsidRPr="00D774B4">
        <w:rPr>
          <w:rFonts w:ascii="Cambria" w:hAnsi="Cambria"/>
          <w:sz w:val="20"/>
          <w:szCs w:val="20"/>
        </w:rPr>
        <w:t>6 October 2022</w:t>
      </w:r>
      <w:r w:rsidRPr="00D774B4">
        <w:rPr>
          <w:rFonts w:ascii="Cambria" w:hAnsi="Cambria"/>
          <w:sz w:val="20"/>
          <w:szCs w:val="20"/>
        </w:rPr>
        <w:t xml:space="preserve">). </w:t>
      </w:r>
    </w:p>
  </w:footnote>
  <w:footnote w:id="4">
    <w:p w14:paraId="0DFE3705" w14:textId="77777777" w:rsidR="00032DDF" w:rsidRPr="00D774B4" w:rsidRDefault="00032DDF" w:rsidP="00032DDF">
      <w:pPr>
        <w:pStyle w:val="FootnoteText"/>
        <w:rPr>
          <w:rFonts w:ascii="Cambria" w:hAnsi="Cambria"/>
          <w:lang w:val="en-AU"/>
        </w:rPr>
      </w:pPr>
      <w:r w:rsidRPr="00D774B4">
        <w:rPr>
          <w:rStyle w:val="FootnoteReference"/>
          <w:rFonts w:ascii="Cambria" w:hAnsi="Cambria"/>
        </w:rPr>
        <w:footnoteRef/>
      </w:r>
      <w:r w:rsidRPr="00D774B4">
        <w:rPr>
          <w:rFonts w:ascii="Cambria" w:hAnsi="Cambria"/>
        </w:rPr>
        <w:t xml:space="preserve"> </w:t>
      </w:r>
      <w:r w:rsidRPr="00D774B4">
        <w:rPr>
          <w:rFonts w:ascii="Cambria" w:hAnsi="Cambria"/>
          <w:sz w:val="20"/>
          <w:szCs w:val="20"/>
          <w:lang w:val="en-AU"/>
        </w:rPr>
        <w:t xml:space="preserve">Section 14 of the </w:t>
      </w:r>
      <w:r w:rsidRPr="00D774B4">
        <w:rPr>
          <w:rFonts w:ascii="Cambria" w:hAnsi="Cambria"/>
          <w:i/>
          <w:iCs/>
          <w:sz w:val="20"/>
          <w:szCs w:val="20"/>
        </w:rPr>
        <w:t>Children, Young Persons and their Families Act 1997</w:t>
      </w:r>
      <w:r w:rsidRPr="00D774B4">
        <w:rPr>
          <w:rFonts w:ascii="Cambria" w:hAnsi="Cambria"/>
          <w:sz w:val="20"/>
          <w:szCs w:val="20"/>
        </w:rPr>
        <w:t xml:space="preserve"> (Tas).</w:t>
      </w:r>
      <w:r w:rsidRPr="00D774B4">
        <w:rPr>
          <w:rFonts w:ascii="Cambria" w:hAnsi="Cambria"/>
        </w:rPr>
        <w:t xml:space="preserve"> </w:t>
      </w:r>
      <w:r w:rsidRPr="00D774B4">
        <w:rPr>
          <w:rFonts w:ascii="Cambria" w:hAnsi="Cambria"/>
          <w:lang w:val="en-AU"/>
        </w:rPr>
        <w:t xml:space="preserve"> </w:t>
      </w:r>
    </w:p>
  </w:footnote>
  <w:footnote w:id="5">
    <w:p w14:paraId="1AF81E9B" w14:textId="222EECED" w:rsidR="00C25BB1" w:rsidRPr="00D774B4" w:rsidRDefault="00C25BB1">
      <w:pPr>
        <w:pStyle w:val="FootnoteText"/>
        <w:rPr>
          <w:rFonts w:ascii="Cambria" w:hAnsi="Cambria"/>
          <w:lang w:val="en-AU"/>
        </w:rPr>
      </w:pPr>
      <w:r w:rsidRPr="00D774B4">
        <w:rPr>
          <w:rStyle w:val="FootnoteReference"/>
          <w:rFonts w:ascii="Cambria" w:hAnsi="Cambria"/>
        </w:rPr>
        <w:footnoteRef/>
      </w:r>
      <w:r w:rsidRPr="00D774B4">
        <w:rPr>
          <w:rFonts w:ascii="Cambria" w:hAnsi="Cambria"/>
        </w:rPr>
        <w:t xml:space="preserve"> </w:t>
      </w:r>
      <w:r w:rsidRPr="00D774B4">
        <w:rPr>
          <w:rFonts w:ascii="Cambria" w:hAnsi="Cambria"/>
          <w:sz w:val="20"/>
          <w:szCs w:val="20"/>
          <w:lang w:val="en-AU"/>
        </w:rPr>
        <w:t xml:space="preserve">A draft </w:t>
      </w:r>
      <w:r w:rsidRPr="00D774B4">
        <w:rPr>
          <w:rFonts w:ascii="Cambria" w:hAnsi="Cambria"/>
          <w:i/>
          <w:iCs/>
          <w:sz w:val="20"/>
          <w:szCs w:val="20"/>
          <w:lang w:val="en-AU"/>
        </w:rPr>
        <w:t>Child and Youth Safe Organisations Bill 2022</w:t>
      </w:r>
      <w:r w:rsidRPr="00D774B4">
        <w:rPr>
          <w:rFonts w:ascii="Cambria" w:hAnsi="Cambria"/>
          <w:sz w:val="20"/>
          <w:szCs w:val="20"/>
          <w:lang w:val="en-AU"/>
        </w:rPr>
        <w:t xml:space="preserve"> was recently released for comment.</w:t>
      </w:r>
      <w:r w:rsidRPr="00D774B4">
        <w:rPr>
          <w:rFonts w:ascii="Cambria" w:hAnsi="Cambria"/>
          <w:lang w:val="en-AU"/>
        </w:rPr>
        <w:t xml:space="preserve"> </w:t>
      </w:r>
    </w:p>
  </w:footnote>
  <w:footnote w:id="6">
    <w:p w14:paraId="10BE0BF2" w14:textId="0B52EFDB" w:rsidR="00994D39" w:rsidRPr="00D774B4" w:rsidRDefault="00994D39" w:rsidP="00994D39">
      <w:pPr>
        <w:ind w:right="-52"/>
        <w:rPr>
          <w:rFonts w:ascii="Cambria" w:hAnsi="Cambria"/>
          <w:sz w:val="20"/>
          <w:szCs w:val="20"/>
        </w:rPr>
      </w:pPr>
      <w:r w:rsidRPr="00D774B4">
        <w:rPr>
          <w:rStyle w:val="FootnoteReference"/>
          <w:rFonts w:ascii="Cambria" w:hAnsi="Cambria"/>
        </w:rPr>
        <w:footnoteRef/>
      </w:r>
      <w:r w:rsidRPr="00D774B4">
        <w:rPr>
          <w:rFonts w:ascii="Cambria" w:hAnsi="Cambria"/>
        </w:rPr>
        <w:t xml:space="preserve"> </w:t>
      </w:r>
      <w:r w:rsidR="00D774B4" w:rsidRPr="00D774B4">
        <w:rPr>
          <w:rFonts w:ascii="Cambria" w:hAnsi="Cambria"/>
          <w:sz w:val="20"/>
          <w:szCs w:val="20"/>
        </w:rPr>
        <w:t xml:space="preserve">Royal Commission into Institutional Responses to Child Sexual Abuse, </w:t>
      </w:r>
      <w:r w:rsidR="00D774B4" w:rsidRPr="00D774B4">
        <w:rPr>
          <w:rFonts w:ascii="Cambria" w:hAnsi="Cambria"/>
          <w:i/>
          <w:iCs/>
          <w:sz w:val="20"/>
          <w:szCs w:val="20"/>
        </w:rPr>
        <w:t>Criminal Justice Report Parts III – VI</w:t>
      </w:r>
      <w:r w:rsidR="00D774B4" w:rsidRPr="00D774B4">
        <w:rPr>
          <w:rFonts w:ascii="Cambria" w:hAnsi="Cambria"/>
          <w:sz w:val="20"/>
          <w:szCs w:val="20"/>
        </w:rPr>
        <w:t xml:space="preserve"> (2017) at 234.</w:t>
      </w:r>
      <w:r w:rsidR="00D774B4" w:rsidRPr="00D774B4">
        <w:rPr>
          <w:rFonts w:ascii="Cambria" w:hAnsi="Cambria"/>
        </w:rPr>
        <w:t xml:space="preserve"> </w:t>
      </w:r>
    </w:p>
  </w:footnote>
  <w:footnote w:id="7">
    <w:p w14:paraId="438E26D2" w14:textId="60E8DE53" w:rsidR="00A51A7A" w:rsidRPr="00D774B4" w:rsidRDefault="00A51A7A" w:rsidP="00A51A7A">
      <w:pPr>
        <w:ind w:right="-52"/>
        <w:rPr>
          <w:rFonts w:ascii="Cambria" w:hAnsi="Cambria"/>
          <w:sz w:val="20"/>
          <w:szCs w:val="20"/>
        </w:rPr>
      </w:pPr>
      <w:r w:rsidRPr="00D774B4">
        <w:rPr>
          <w:rStyle w:val="FootnoteReference"/>
          <w:rFonts w:ascii="Cambria" w:hAnsi="Cambria"/>
        </w:rPr>
        <w:footnoteRef/>
      </w:r>
      <w:r w:rsidRPr="00D774B4">
        <w:rPr>
          <w:rFonts w:ascii="Cambria" w:hAnsi="Cambria"/>
        </w:rPr>
        <w:t xml:space="preserve"> </w:t>
      </w:r>
      <w:r w:rsidRPr="00D774B4">
        <w:rPr>
          <w:rFonts w:ascii="Cambria" w:hAnsi="Cambria"/>
          <w:sz w:val="20"/>
          <w:szCs w:val="20"/>
        </w:rPr>
        <w:t xml:space="preserve">Royal Commission into Institutional Responses to Child Sexual Abuse, </w:t>
      </w:r>
      <w:r w:rsidRPr="00D774B4">
        <w:rPr>
          <w:rFonts w:ascii="Cambria" w:hAnsi="Cambria"/>
          <w:i/>
          <w:iCs/>
          <w:sz w:val="20"/>
          <w:szCs w:val="20"/>
        </w:rPr>
        <w:t>Criminal Justice Report Parts III – VI</w:t>
      </w:r>
      <w:r w:rsidRPr="00D774B4">
        <w:rPr>
          <w:rFonts w:ascii="Cambria" w:hAnsi="Cambria"/>
          <w:sz w:val="20"/>
          <w:szCs w:val="20"/>
        </w:rPr>
        <w:t xml:space="preserve"> (2017) at 226.</w:t>
      </w:r>
      <w:r w:rsidRPr="00D774B4">
        <w:rPr>
          <w:rFonts w:ascii="Cambria" w:hAnsi="Cambria"/>
        </w:rPr>
        <w:t xml:space="preserve"> </w:t>
      </w:r>
    </w:p>
  </w:footnote>
  <w:footnote w:id="8">
    <w:p w14:paraId="094B9F83" w14:textId="77777777" w:rsidR="008D0E98" w:rsidRPr="00D774B4" w:rsidRDefault="008D0E98" w:rsidP="008D0E98">
      <w:pPr>
        <w:pStyle w:val="FootnoteText"/>
        <w:rPr>
          <w:rFonts w:ascii="Cambria" w:hAnsi="Cambria"/>
          <w:lang w:val="en-AU"/>
        </w:rPr>
      </w:pPr>
      <w:r w:rsidRPr="00D774B4">
        <w:rPr>
          <w:rStyle w:val="FootnoteReference"/>
          <w:rFonts w:ascii="Cambria" w:hAnsi="Cambria"/>
        </w:rPr>
        <w:footnoteRef/>
      </w:r>
      <w:r w:rsidRPr="00D774B4">
        <w:rPr>
          <w:rFonts w:ascii="Cambria" w:hAnsi="Cambria"/>
        </w:rPr>
        <w:t xml:space="preserve"> </w:t>
      </w:r>
      <w:r w:rsidRPr="00D774B4">
        <w:rPr>
          <w:rFonts w:ascii="Cambria" w:hAnsi="Cambria"/>
          <w:sz w:val="20"/>
          <w:szCs w:val="20"/>
        </w:rPr>
        <w:t xml:space="preserve">Royal Commission into Institutional Responses to Child Sexual Abuse, </w:t>
      </w:r>
      <w:r w:rsidRPr="00D774B4">
        <w:rPr>
          <w:rFonts w:ascii="Cambria" w:hAnsi="Cambria"/>
          <w:i/>
          <w:iCs/>
          <w:sz w:val="20"/>
          <w:szCs w:val="20"/>
        </w:rPr>
        <w:t xml:space="preserve">Criminal Justice Report Parts III – VI </w:t>
      </w:r>
      <w:r w:rsidRPr="00D774B4">
        <w:rPr>
          <w:rFonts w:ascii="Cambria" w:hAnsi="Cambria"/>
          <w:sz w:val="20"/>
          <w:szCs w:val="20"/>
        </w:rPr>
        <w:t>(2017) at 249.</w:t>
      </w:r>
    </w:p>
  </w:footnote>
  <w:footnote w:id="9">
    <w:p w14:paraId="3533184B" w14:textId="77777777" w:rsidR="008D0E98" w:rsidRPr="00D774B4" w:rsidRDefault="008D0E98" w:rsidP="008D0E98">
      <w:pPr>
        <w:pStyle w:val="FootnoteText"/>
        <w:rPr>
          <w:rFonts w:ascii="Cambria" w:hAnsi="Cambria"/>
          <w:b/>
          <w:bCs/>
          <w:sz w:val="20"/>
          <w:szCs w:val="20"/>
        </w:rPr>
      </w:pPr>
      <w:r w:rsidRPr="00D774B4">
        <w:rPr>
          <w:rStyle w:val="FootnoteReference"/>
          <w:rFonts w:ascii="Cambria" w:hAnsi="Cambria"/>
        </w:rPr>
        <w:footnoteRef/>
      </w:r>
      <w:r w:rsidRPr="00D774B4">
        <w:rPr>
          <w:rFonts w:ascii="Cambria" w:hAnsi="Cambria"/>
        </w:rPr>
        <w:t xml:space="preserve"> </w:t>
      </w:r>
      <w:r w:rsidRPr="00D774B4">
        <w:rPr>
          <w:rFonts w:ascii="Cambria" w:hAnsi="Cambria"/>
          <w:sz w:val="20"/>
          <w:szCs w:val="20"/>
        </w:rPr>
        <w:t xml:space="preserve">Section 273B.4 of the </w:t>
      </w:r>
      <w:r w:rsidRPr="00D774B4">
        <w:rPr>
          <w:rFonts w:ascii="Cambria" w:hAnsi="Cambria"/>
          <w:i/>
          <w:iCs/>
          <w:sz w:val="20"/>
          <w:szCs w:val="20"/>
        </w:rPr>
        <w:t>Criminal Code Act 1995</w:t>
      </w:r>
      <w:r w:rsidRPr="00D774B4">
        <w:rPr>
          <w:rFonts w:ascii="Cambria" w:hAnsi="Cambria"/>
          <w:sz w:val="20"/>
          <w:szCs w:val="20"/>
        </w:rPr>
        <w:t xml:space="preserve"> (</w:t>
      </w:r>
      <w:proofErr w:type="spellStart"/>
      <w:r w:rsidRPr="00D774B4">
        <w:rPr>
          <w:rFonts w:ascii="Cambria" w:hAnsi="Cambria"/>
          <w:sz w:val="20"/>
          <w:szCs w:val="20"/>
        </w:rPr>
        <w:t>Cth</w:t>
      </w:r>
      <w:proofErr w:type="spellEnd"/>
      <w:r w:rsidRPr="00D774B4">
        <w:rPr>
          <w:rFonts w:ascii="Cambria" w:hAnsi="Cambria"/>
          <w:sz w:val="20"/>
          <w:szCs w:val="20"/>
        </w:rPr>
        <w:t xml:space="preserve">); section 43B of the </w:t>
      </w:r>
      <w:r w:rsidRPr="00D774B4">
        <w:rPr>
          <w:rFonts w:ascii="Cambria" w:hAnsi="Cambria"/>
          <w:i/>
          <w:iCs/>
          <w:sz w:val="20"/>
          <w:szCs w:val="20"/>
        </w:rPr>
        <w:t>Crimes Act 1900</w:t>
      </w:r>
      <w:r w:rsidRPr="00D774B4">
        <w:rPr>
          <w:rFonts w:ascii="Cambria" w:hAnsi="Cambria"/>
          <w:sz w:val="20"/>
          <w:szCs w:val="20"/>
        </w:rPr>
        <w:t xml:space="preserve"> (NSW); section 49O of the </w:t>
      </w:r>
      <w:r w:rsidRPr="00D774B4">
        <w:rPr>
          <w:rFonts w:ascii="Cambria" w:hAnsi="Cambria"/>
          <w:i/>
          <w:iCs/>
          <w:sz w:val="20"/>
          <w:szCs w:val="20"/>
        </w:rPr>
        <w:t>Crimes Act 1958</w:t>
      </w:r>
      <w:r w:rsidRPr="00D774B4">
        <w:rPr>
          <w:rFonts w:ascii="Cambria" w:hAnsi="Cambria"/>
          <w:sz w:val="20"/>
          <w:szCs w:val="20"/>
        </w:rPr>
        <w:t xml:space="preserve"> (Vic); section 229BB of the </w:t>
      </w:r>
      <w:r w:rsidRPr="00D774B4">
        <w:rPr>
          <w:rFonts w:ascii="Cambria" w:hAnsi="Cambria"/>
          <w:i/>
          <w:iCs/>
          <w:sz w:val="20"/>
          <w:szCs w:val="20"/>
        </w:rPr>
        <w:t>Criminal Code Act 1899</w:t>
      </w:r>
      <w:r w:rsidRPr="00D774B4">
        <w:rPr>
          <w:rFonts w:ascii="Cambria" w:hAnsi="Cambria"/>
          <w:sz w:val="20"/>
          <w:szCs w:val="20"/>
        </w:rPr>
        <w:t xml:space="preserve"> (Qld); section 65 of the </w:t>
      </w:r>
      <w:r w:rsidRPr="00D774B4">
        <w:rPr>
          <w:rFonts w:ascii="Cambria" w:hAnsi="Cambria"/>
          <w:i/>
          <w:iCs/>
          <w:sz w:val="20"/>
          <w:szCs w:val="20"/>
        </w:rPr>
        <w:t>Criminal Law Consolidation Act 1935</w:t>
      </w:r>
      <w:r w:rsidRPr="00D774B4">
        <w:rPr>
          <w:rFonts w:ascii="Cambria" w:hAnsi="Cambria"/>
          <w:sz w:val="20"/>
          <w:szCs w:val="20"/>
        </w:rPr>
        <w:t xml:space="preserve"> (SA); section 66A of the </w:t>
      </w:r>
      <w:r w:rsidRPr="00D774B4">
        <w:rPr>
          <w:rFonts w:ascii="Cambria" w:hAnsi="Cambria"/>
          <w:i/>
          <w:iCs/>
          <w:sz w:val="20"/>
          <w:szCs w:val="20"/>
        </w:rPr>
        <w:t>Crimes Act 1900</w:t>
      </w:r>
      <w:r w:rsidRPr="00D774B4">
        <w:rPr>
          <w:rFonts w:ascii="Cambria" w:hAnsi="Cambria"/>
          <w:sz w:val="20"/>
          <w:szCs w:val="20"/>
        </w:rPr>
        <w:t xml:space="preserve"> (ACT). </w:t>
      </w:r>
    </w:p>
  </w:footnote>
  <w:footnote w:id="10">
    <w:p w14:paraId="0437B577" w14:textId="77777777" w:rsidR="008D0E98" w:rsidRPr="00D774B4" w:rsidRDefault="008D0E98" w:rsidP="008D0E98">
      <w:pPr>
        <w:pStyle w:val="FootnoteText"/>
        <w:rPr>
          <w:rFonts w:ascii="Cambria" w:hAnsi="Cambria"/>
          <w:lang w:val="en-AU"/>
        </w:rPr>
      </w:pPr>
      <w:r w:rsidRPr="00D774B4">
        <w:rPr>
          <w:rStyle w:val="FootnoteReference"/>
          <w:rFonts w:ascii="Cambria" w:hAnsi="Cambria"/>
        </w:rPr>
        <w:footnoteRef/>
      </w:r>
      <w:r w:rsidRPr="00D774B4">
        <w:rPr>
          <w:rFonts w:ascii="Cambria" w:hAnsi="Cambria"/>
        </w:rPr>
        <w:t xml:space="preserve"> </w:t>
      </w:r>
      <w:r w:rsidRPr="00D774B4">
        <w:rPr>
          <w:rFonts w:ascii="Cambria" w:hAnsi="Cambria"/>
          <w:sz w:val="20"/>
          <w:szCs w:val="20"/>
        </w:rPr>
        <w:t xml:space="preserve">Royal Commission into Institutional Responses to Child Sexual Abuse, </w:t>
      </w:r>
      <w:r w:rsidRPr="00D774B4">
        <w:rPr>
          <w:rFonts w:ascii="Cambria" w:hAnsi="Cambria"/>
          <w:i/>
          <w:iCs/>
          <w:sz w:val="20"/>
          <w:szCs w:val="20"/>
        </w:rPr>
        <w:t>Criminal Justice Report Parts III – VI</w:t>
      </w:r>
      <w:r w:rsidRPr="00D774B4">
        <w:rPr>
          <w:rFonts w:ascii="Cambria" w:hAnsi="Cambria"/>
          <w:sz w:val="20"/>
          <w:szCs w:val="20"/>
        </w:rPr>
        <w:t xml:space="preserve"> (2017) at 248.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5B01"/>
    <w:multiLevelType w:val="multilevel"/>
    <w:tmpl w:val="19D2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ED59AD"/>
    <w:multiLevelType w:val="multilevel"/>
    <w:tmpl w:val="362E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382245"/>
    <w:multiLevelType w:val="multilevel"/>
    <w:tmpl w:val="C248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CE41D0"/>
    <w:multiLevelType w:val="multilevel"/>
    <w:tmpl w:val="F510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BA540A"/>
    <w:multiLevelType w:val="multilevel"/>
    <w:tmpl w:val="73CA8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B66D81"/>
    <w:multiLevelType w:val="multilevel"/>
    <w:tmpl w:val="8524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582E75"/>
    <w:multiLevelType w:val="multilevel"/>
    <w:tmpl w:val="F47E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7379428">
    <w:abstractNumId w:val="3"/>
  </w:num>
  <w:num w:numId="2" w16cid:durableId="321279796">
    <w:abstractNumId w:val="4"/>
  </w:num>
  <w:num w:numId="3" w16cid:durableId="814878741">
    <w:abstractNumId w:val="6"/>
  </w:num>
  <w:num w:numId="4" w16cid:durableId="638656165">
    <w:abstractNumId w:val="2"/>
  </w:num>
  <w:num w:numId="5" w16cid:durableId="1182816459">
    <w:abstractNumId w:val="1"/>
  </w:num>
  <w:num w:numId="6" w16cid:durableId="919369277">
    <w:abstractNumId w:val="5"/>
  </w:num>
  <w:num w:numId="7" w16cid:durableId="1771512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9C"/>
    <w:rsid w:val="000068E5"/>
    <w:rsid w:val="0002227D"/>
    <w:rsid w:val="00024572"/>
    <w:rsid w:val="00032DDF"/>
    <w:rsid w:val="00167617"/>
    <w:rsid w:val="00215FCE"/>
    <w:rsid w:val="002243D3"/>
    <w:rsid w:val="00321C38"/>
    <w:rsid w:val="00380EC3"/>
    <w:rsid w:val="003C5103"/>
    <w:rsid w:val="00491E53"/>
    <w:rsid w:val="0055679C"/>
    <w:rsid w:val="00663BEE"/>
    <w:rsid w:val="006B5FE9"/>
    <w:rsid w:val="00702237"/>
    <w:rsid w:val="00784EDC"/>
    <w:rsid w:val="007B50A3"/>
    <w:rsid w:val="007E2A0E"/>
    <w:rsid w:val="00802E54"/>
    <w:rsid w:val="008C24D9"/>
    <w:rsid w:val="008D0E98"/>
    <w:rsid w:val="008F5B75"/>
    <w:rsid w:val="00994D39"/>
    <w:rsid w:val="009F7EED"/>
    <w:rsid w:val="00A026C0"/>
    <w:rsid w:val="00A10804"/>
    <w:rsid w:val="00A51A7A"/>
    <w:rsid w:val="00AD4380"/>
    <w:rsid w:val="00B613EC"/>
    <w:rsid w:val="00C25BB1"/>
    <w:rsid w:val="00C97301"/>
    <w:rsid w:val="00D17E94"/>
    <w:rsid w:val="00D774B4"/>
    <w:rsid w:val="00E51780"/>
    <w:rsid w:val="00F5609C"/>
    <w:rsid w:val="00FE40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6E3F87F"/>
  <w15:chartTrackingRefBased/>
  <w15:docId w15:val="{C2A4AAB1-864A-C34B-BE35-20A4C666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79C"/>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679C"/>
    <w:rPr>
      <w:color w:val="0563C1" w:themeColor="hyperlink"/>
      <w:u w:val="single"/>
    </w:rPr>
  </w:style>
  <w:style w:type="paragraph" w:styleId="FootnoteText">
    <w:name w:val="footnote text"/>
    <w:aliases w:val="Footnote,Text"/>
    <w:basedOn w:val="Normal"/>
    <w:link w:val="FootnoteTextChar"/>
    <w:unhideWhenUsed/>
    <w:rsid w:val="0055679C"/>
    <w:rPr>
      <w:rFonts w:asciiTheme="minorHAnsi" w:eastAsiaTheme="minorEastAsia" w:hAnsiTheme="minorHAnsi" w:cstheme="minorBidi"/>
      <w:lang w:val="en-US" w:eastAsia="en-US"/>
    </w:rPr>
  </w:style>
  <w:style w:type="character" w:customStyle="1" w:styleId="FootnoteTextChar">
    <w:name w:val="Footnote Text Char"/>
    <w:aliases w:val="Footnote Char,Text Char"/>
    <w:basedOn w:val="DefaultParagraphFont"/>
    <w:link w:val="FootnoteText"/>
    <w:rsid w:val="0055679C"/>
    <w:rPr>
      <w:rFonts w:eastAsiaTheme="minorEastAsia"/>
      <w:lang w:val="en-US"/>
    </w:rPr>
  </w:style>
  <w:style w:type="character" w:styleId="FootnoteReference">
    <w:name w:val="footnote reference"/>
    <w:aliases w:val="Ref,de nota al pie"/>
    <w:basedOn w:val="DefaultParagraphFont"/>
    <w:unhideWhenUsed/>
    <w:qFormat/>
    <w:rsid w:val="0055679C"/>
    <w:rPr>
      <w:vertAlign w:val="superscript"/>
    </w:rPr>
  </w:style>
  <w:style w:type="paragraph" w:styleId="NoSpacing">
    <w:name w:val="No Spacing"/>
    <w:uiPriority w:val="1"/>
    <w:qFormat/>
    <w:rsid w:val="0055679C"/>
    <w:rPr>
      <w:rFonts w:ascii="Times New Roman" w:eastAsia="Times New Roman" w:hAnsi="Times New Roman" w:cs="Times New Roman"/>
      <w:lang w:eastAsia="en-GB"/>
    </w:rPr>
  </w:style>
  <w:style w:type="paragraph" w:styleId="Footer">
    <w:name w:val="footer"/>
    <w:basedOn w:val="Normal"/>
    <w:link w:val="FooterChar"/>
    <w:uiPriority w:val="99"/>
    <w:unhideWhenUsed/>
    <w:rsid w:val="0055679C"/>
    <w:pPr>
      <w:tabs>
        <w:tab w:val="center" w:pos="4513"/>
        <w:tab w:val="right" w:pos="9026"/>
      </w:tabs>
    </w:pPr>
  </w:style>
  <w:style w:type="character" w:customStyle="1" w:styleId="FooterChar">
    <w:name w:val="Footer Char"/>
    <w:basedOn w:val="DefaultParagraphFont"/>
    <w:link w:val="Footer"/>
    <w:uiPriority w:val="99"/>
    <w:rsid w:val="0055679C"/>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55679C"/>
  </w:style>
  <w:style w:type="paragraph" w:customStyle="1" w:styleId="xmsonormal">
    <w:name w:val="x_msonormal"/>
    <w:basedOn w:val="Normal"/>
    <w:rsid w:val="0055679C"/>
    <w:pPr>
      <w:spacing w:before="100" w:beforeAutospacing="1" w:after="100" w:afterAutospacing="1"/>
    </w:pPr>
  </w:style>
  <w:style w:type="paragraph" w:styleId="NormalWeb">
    <w:name w:val="Normal (Web)"/>
    <w:basedOn w:val="Normal"/>
    <w:uiPriority w:val="99"/>
    <w:semiHidden/>
    <w:unhideWhenUsed/>
    <w:rsid w:val="0002227D"/>
    <w:pPr>
      <w:spacing w:before="100" w:beforeAutospacing="1" w:after="100" w:afterAutospacing="1"/>
    </w:pPr>
  </w:style>
  <w:style w:type="character" w:styleId="Emphasis">
    <w:name w:val="Emphasis"/>
    <w:basedOn w:val="DefaultParagraphFont"/>
    <w:uiPriority w:val="20"/>
    <w:qFormat/>
    <w:rsid w:val="00784EDC"/>
    <w:rPr>
      <w:i/>
      <w:iCs/>
    </w:rPr>
  </w:style>
  <w:style w:type="character" w:styleId="UnresolvedMention">
    <w:name w:val="Unresolved Mention"/>
    <w:basedOn w:val="DefaultParagraphFont"/>
    <w:uiPriority w:val="99"/>
    <w:semiHidden/>
    <w:unhideWhenUsed/>
    <w:rsid w:val="00784EDC"/>
    <w:rPr>
      <w:color w:val="605E5C"/>
      <w:shd w:val="clear" w:color="auto" w:fill="E1DFDD"/>
    </w:rPr>
  </w:style>
  <w:style w:type="paragraph" w:customStyle="1" w:styleId="KMBody1">
    <w:name w:val="KM Body 1"/>
    <w:link w:val="KMBody1Char"/>
    <w:qFormat/>
    <w:rsid w:val="00D774B4"/>
    <w:pPr>
      <w:tabs>
        <w:tab w:val="left" w:pos="284"/>
      </w:tabs>
      <w:spacing w:before="160" w:after="120"/>
    </w:pPr>
    <w:rPr>
      <w:rFonts w:cs="Times New Roman"/>
      <w:lang w:val="en-GB" w:eastAsia="zh-CN"/>
    </w:rPr>
  </w:style>
  <w:style w:type="character" w:customStyle="1" w:styleId="KMBody1Char">
    <w:name w:val="KM Body 1 Char"/>
    <w:basedOn w:val="DefaultParagraphFont"/>
    <w:link w:val="KMBody1"/>
    <w:rsid w:val="00D774B4"/>
    <w:rPr>
      <w:rFonts w:cs="Times New Roman"/>
      <w:lang w:val="en-GB" w:eastAsia="zh-CN"/>
    </w:rPr>
  </w:style>
  <w:style w:type="paragraph" w:customStyle="1" w:styleId="KMFootnoteText">
    <w:name w:val="KM Footnote Text"/>
    <w:basedOn w:val="FootnoteText"/>
    <w:uiPriority w:val="2"/>
    <w:qFormat/>
    <w:rsid w:val="00D774B4"/>
    <w:pPr>
      <w:widowControl w:val="0"/>
      <w:spacing w:after="80"/>
      <w:ind w:left="397" w:hanging="397"/>
    </w:pPr>
    <w:rPr>
      <w:rFonts w:eastAsiaTheme="minorHAnsi" w:cstheme="minorHAnsi"/>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974">
      <w:bodyDiv w:val="1"/>
      <w:marLeft w:val="0"/>
      <w:marRight w:val="0"/>
      <w:marTop w:val="0"/>
      <w:marBottom w:val="0"/>
      <w:divBdr>
        <w:top w:val="none" w:sz="0" w:space="0" w:color="auto"/>
        <w:left w:val="none" w:sz="0" w:space="0" w:color="auto"/>
        <w:bottom w:val="none" w:sz="0" w:space="0" w:color="auto"/>
        <w:right w:val="none" w:sz="0" w:space="0" w:color="auto"/>
      </w:divBdr>
    </w:div>
    <w:div w:id="68581441">
      <w:bodyDiv w:val="1"/>
      <w:marLeft w:val="0"/>
      <w:marRight w:val="0"/>
      <w:marTop w:val="0"/>
      <w:marBottom w:val="0"/>
      <w:divBdr>
        <w:top w:val="none" w:sz="0" w:space="0" w:color="auto"/>
        <w:left w:val="none" w:sz="0" w:space="0" w:color="auto"/>
        <w:bottom w:val="none" w:sz="0" w:space="0" w:color="auto"/>
        <w:right w:val="none" w:sz="0" w:space="0" w:color="auto"/>
      </w:divBdr>
    </w:div>
    <w:div w:id="248076061">
      <w:bodyDiv w:val="1"/>
      <w:marLeft w:val="0"/>
      <w:marRight w:val="0"/>
      <w:marTop w:val="0"/>
      <w:marBottom w:val="0"/>
      <w:divBdr>
        <w:top w:val="none" w:sz="0" w:space="0" w:color="auto"/>
        <w:left w:val="none" w:sz="0" w:space="0" w:color="auto"/>
        <w:bottom w:val="none" w:sz="0" w:space="0" w:color="auto"/>
        <w:right w:val="none" w:sz="0" w:space="0" w:color="auto"/>
      </w:divBdr>
    </w:div>
    <w:div w:id="256792611">
      <w:bodyDiv w:val="1"/>
      <w:marLeft w:val="0"/>
      <w:marRight w:val="0"/>
      <w:marTop w:val="0"/>
      <w:marBottom w:val="0"/>
      <w:divBdr>
        <w:top w:val="none" w:sz="0" w:space="0" w:color="auto"/>
        <w:left w:val="none" w:sz="0" w:space="0" w:color="auto"/>
        <w:bottom w:val="none" w:sz="0" w:space="0" w:color="auto"/>
        <w:right w:val="none" w:sz="0" w:space="0" w:color="auto"/>
      </w:divBdr>
    </w:div>
    <w:div w:id="263464228">
      <w:bodyDiv w:val="1"/>
      <w:marLeft w:val="0"/>
      <w:marRight w:val="0"/>
      <w:marTop w:val="0"/>
      <w:marBottom w:val="0"/>
      <w:divBdr>
        <w:top w:val="none" w:sz="0" w:space="0" w:color="auto"/>
        <w:left w:val="none" w:sz="0" w:space="0" w:color="auto"/>
        <w:bottom w:val="none" w:sz="0" w:space="0" w:color="auto"/>
        <w:right w:val="none" w:sz="0" w:space="0" w:color="auto"/>
      </w:divBdr>
    </w:div>
    <w:div w:id="279265662">
      <w:bodyDiv w:val="1"/>
      <w:marLeft w:val="0"/>
      <w:marRight w:val="0"/>
      <w:marTop w:val="0"/>
      <w:marBottom w:val="0"/>
      <w:divBdr>
        <w:top w:val="none" w:sz="0" w:space="0" w:color="auto"/>
        <w:left w:val="none" w:sz="0" w:space="0" w:color="auto"/>
        <w:bottom w:val="none" w:sz="0" w:space="0" w:color="auto"/>
        <w:right w:val="none" w:sz="0" w:space="0" w:color="auto"/>
      </w:divBdr>
    </w:div>
    <w:div w:id="453866041">
      <w:bodyDiv w:val="1"/>
      <w:marLeft w:val="0"/>
      <w:marRight w:val="0"/>
      <w:marTop w:val="0"/>
      <w:marBottom w:val="0"/>
      <w:divBdr>
        <w:top w:val="none" w:sz="0" w:space="0" w:color="auto"/>
        <w:left w:val="none" w:sz="0" w:space="0" w:color="auto"/>
        <w:bottom w:val="none" w:sz="0" w:space="0" w:color="auto"/>
        <w:right w:val="none" w:sz="0" w:space="0" w:color="auto"/>
      </w:divBdr>
    </w:div>
    <w:div w:id="524289852">
      <w:bodyDiv w:val="1"/>
      <w:marLeft w:val="0"/>
      <w:marRight w:val="0"/>
      <w:marTop w:val="0"/>
      <w:marBottom w:val="0"/>
      <w:divBdr>
        <w:top w:val="none" w:sz="0" w:space="0" w:color="auto"/>
        <w:left w:val="none" w:sz="0" w:space="0" w:color="auto"/>
        <w:bottom w:val="none" w:sz="0" w:space="0" w:color="auto"/>
        <w:right w:val="none" w:sz="0" w:space="0" w:color="auto"/>
      </w:divBdr>
    </w:div>
    <w:div w:id="741829286">
      <w:bodyDiv w:val="1"/>
      <w:marLeft w:val="0"/>
      <w:marRight w:val="0"/>
      <w:marTop w:val="0"/>
      <w:marBottom w:val="0"/>
      <w:divBdr>
        <w:top w:val="none" w:sz="0" w:space="0" w:color="auto"/>
        <w:left w:val="none" w:sz="0" w:space="0" w:color="auto"/>
        <w:bottom w:val="none" w:sz="0" w:space="0" w:color="auto"/>
        <w:right w:val="none" w:sz="0" w:space="0" w:color="auto"/>
      </w:divBdr>
    </w:div>
    <w:div w:id="882988414">
      <w:bodyDiv w:val="1"/>
      <w:marLeft w:val="0"/>
      <w:marRight w:val="0"/>
      <w:marTop w:val="0"/>
      <w:marBottom w:val="0"/>
      <w:divBdr>
        <w:top w:val="none" w:sz="0" w:space="0" w:color="auto"/>
        <w:left w:val="none" w:sz="0" w:space="0" w:color="auto"/>
        <w:bottom w:val="none" w:sz="0" w:space="0" w:color="auto"/>
        <w:right w:val="none" w:sz="0" w:space="0" w:color="auto"/>
      </w:divBdr>
    </w:div>
    <w:div w:id="893463226">
      <w:bodyDiv w:val="1"/>
      <w:marLeft w:val="0"/>
      <w:marRight w:val="0"/>
      <w:marTop w:val="0"/>
      <w:marBottom w:val="0"/>
      <w:divBdr>
        <w:top w:val="none" w:sz="0" w:space="0" w:color="auto"/>
        <w:left w:val="none" w:sz="0" w:space="0" w:color="auto"/>
        <w:bottom w:val="none" w:sz="0" w:space="0" w:color="auto"/>
        <w:right w:val="none" w:sz="0" w:space="0" w:color="auto"/>
      </w:divBdr>
    </w:div>
    <w:div w:id="1045982070">
      <w:bodyDiv w:val="1"/>
      <w:marLeft w:val="0"/>
      <w:marRight w:val="0"/>
      <w:marTop w:val="0"/>
      <w:marBottom w:val="0"/>
      <w:divBdr>
        <w:top w:val="none" w:sz="0" w:space="0" w:color="auto"/>
        <w:left w:val="none" w:sz="0" w:space="0" w:color="auto"/>
        <w:bottom w:val="none" w:sz="0" w:space="0" w:color="auto"/>
        <w:right w:val="none" w:sz="0" w:space="0" w:color="auto"/>
      </w:divBdr>
      <w:divsChild>
        <w:div w:id="703404225">
          <w:marLeft w:val="0"/>
          <w:marRight w:val="0"/>
          <w:marTop w:val="0"/>
          <w:marBottom w:val="0"/>
          <w:divBdr>
            <w:top w:val="none" w:sz="0" w:space="0" w:color="auto"/>
            <w:left w:val="none" w:sz="0" w:space="0" w:color="auto"/>
            <w:bottom w:val="none" w:sz="0" w:space="0" w:color="auto"/>
            <w:right w:val="none" w:sz="0" w:space="0" w:color="auto"/>
          </w:divBdr>
        </w:div>
        <w:div w:id="847330731">
          <w:marLeft w:val="0"/>
          <w:marRight w:val="0"/>
          <w:marTop w:val="0"/>
          <w:marBottom w:val="0"/>
          <w:divBdr>
            <w:top w:val="none" w:sz="0" w:space="0" w:color="auto"/>
            <w:left w:val="none" w:sz="0" w:space="0" w:color="auto"/>
            <w:bottom w:val="none" w:sz="0" w:space="0" w:color="auto"/>
            <w:right w:val="none" w:sz="0" w:space="0" w:color="auto"/>
          </w:divBdr>
        </w:div>
        <w:div w:id="1973369183">
          <w:marLeft w:val="0"/>
          <w:marRight w:val="0"/>
          <w:marTop w:val="0"/>
          <w:marBottom w:val="0"/>
          <w:divBdr>
            <w:top w:val="none" w:sz="0" w:space="0" w:color="auto"/>
            <w:left w:val="none" w:sz="0" w:space="0" w:color="auto"/>
            <w:bottom w:val="none" w:sz="0" w:space="0" w:color="auto"/>
            <w:right w:val="none" w:sz="0" w:space="0" w:color="auto"/>
          </w:divBdr>
        </w:div>
        <w:div w:id="2057267746">
          <w:marLeft w:val="0"/>
          <w:marRight w:val="0"/>
          <w:marTop w:val="0"/>
          <w:marBottom w:val="0"/>
          <w:divBdr>
            <w:top w:val="none" w:sz="0" w:space="0" w:color="auto"/>
            <w:left w:val="none" w:sz="0" w:space="0" w:color="auto"/>
            <w:bottom w:val="none" w:sz="0" w:space="0" w:color="auto"/>
            <w:right w:val="none" w:sz="0" w:space="0" w:color="auto"/>
          </w:divBdr>
        </w:div>
        <w:div w:id="1056976169">
          <w:marLeft w:val="0"/>
          <w:marRight w:val="0"/>
          <w:marTop w:val="0"/>
          <w:marBottom w:val="0"/>
          <w:divBdr>
            <w:top w:val="none" w:sz="0" w:space="0" w:color="auto"/>
            <w:left w:val="none" w:sz="0" w:space="0" w:color="auto"/>
            <w:bottom w:val="none" w:sz="0" w:space="0" w:color="auto"/>
            <w:right w:val="none" w:sz="0" w:space="0" w:color="auto"/>
          </w:divBdr>
        </w:div>
        <w:div w:id="561912428">
          <w:marLeft w:val="0"/>
          <w:marRight w:val="0"/>
          <w:marTop w:val="0"/>
          <w:marBottom w:val="0"/>
          <w:divBdr>
            <w:top w:val="none" w:sz="0" w:space="0" w:color="auto"/>
            <w:left w:val="none" w:sz="0" w:space="0" w:color="auto"/>
            <w:bottom w:val="none" w:sz="0" w:space="0" w:color="auto"/>
            <w:right w:val="none" w:sz="0" w:space="0" w:color="auto"/>
          </w:divBdr>
        </w:div>
        <w:div w:id="958954630">
          <w:marLeft w:val="0"/>
          <w:marRight w:val="0"/>
          <w:marTop w:val="0"/>
          <w:marBottom w:val="0"/>
          <w:divBdr>
            <w:top w:val="none" w:sz="0" w:space="0" w:color="auto"/>
            <w:left w:val="none" w:sz="0" w:space="0" w:color="auto"/>
            <w:bottom w:val="none" w:sz="0" w:space="0" w:color="auto"/>
            <w:right w:val="none" w:sz="0" w:space="0" w:color="auto"/>
          </w:divBdr>
        </w:div>
      </w:divsChild>
    </w:div>
    <w:div w:id="1355837338">
      <w:bodyDiv w:val="1"/>
      <w:marLeft w:val="0"/>
      <w:marRight w:val="0"/>
      <w:marTop w:val="0"/>
      <w:marBottom w:val="0"/>
      <w:divBdr>
        <w:top w:val="none" w:sz="0" w:space="0" w:color="auto"/>
        <w:left w:val="none" w:sz="0" w:space="0" w:color="auto"/>
        <w:bottom w:val="none" w:sz="0" w:space="0" w:color="auto"/>
        <w:right w:val="none" w:sz="0" w:space="0" w:color="auto"/>
      </w:divBdr>
    </w:div>
    <w:div w:id="1370566836">
      <w:bodyDiv w:val="1"/>
      <w:marLeft w:val="0"/>
      <w:marRight w:val="0"/>
      <w:marTop w:val="0"/>
      <w:marBottom w:val="0"/>
      <w:divBdr>
        <w:top w:val="none" w:sz="0" w:space="0" w:color="auto"/>
        <w:left w:val="none" w:sz="0" w:space="0" w:color="auto"/>
        <w:bottom w:val="none" w:sz="0" w:space="0" w:color="auto"/>
        <w:right w:val="none" w:sz="0" w:space="0" w:color="auto"/>
      </w:divBdr>
    </w:div>
    <w:div w:id="1383671996">
      <w:bodyDiv w:val="1"/>
      <w:marLeft w:val="0"/>
      <w:marRight w:val="0"/>
      <w:marTop w:val="0"/>
      <w:marBottom w:val="0"/>
      <w:divBdr>
        <w:top w:val="none" w:sz="0" w:space="0" w:color="auto"/>
        <w:left w:val="none" w:sz="0" w:space="0" w:color="auto"/>
        <w:bottom w:val="none" w:sz="0" w:space="0" w:color="auto"/>
        <w:right w:val="none" w:sz="0" w:space="0" w:color="auto"/>
      </w:divBdr>
    </w:div>
    <w:div w:id="1734235069">
      <w:bodyDiv w:val="1"/>
      <w:marLeft w:val="0"/>
      <w:marRight w:val="0"/>
      <w:marTop w:val="0"/>
      <w:marBottom w:val="0"/>
      <w:divBdr>
        <w:top w:val="none" w:sz="0" w:space="0" w:color="auto"/>
        <w:left w:val="none" w:sz="0" w:space="0" w:color="auto"/>
        <w:bottom w:val="none" w:sz="0" w:space="0" w:color="auto"/>
        <w:right w:val="none" w:sz="0" w:space="0" w:color="auto"/>
      </w:divBdr>
    </w:div>
    <w:div w:id="1907180189">
      <w:bodyDiv w:val="1"/>
      <w:marLeft w:val="0"/>
      <w:marRight w:val="0"/>
      <w:marTop w:val="0"/>
      <w:marBottom w:val="0"/>
      <w:divBdr>
        <w:top w:val="none" w:sz="0" w:space="0" w:color="auto"/>
        <w:left w:val="none" w:sz="0" w:space="0" w:color="auto"/>
        <w:bottom w:val="none" w:sz="0" w:space="0" w:color="auto"/>
        <w:right w:val="none" w:sz="0" w:space="0" w:color="auto"/>
      </w:divBdr>
    </w:div>
    <w:div w:id="2040741510">
      <w:bodyDiv w:val="1"/>
      <w:marLeft w:val="0"/>
      <w:marRight w:val="0"/>
      <w:marTop w:val="0"/>
      <w:marBottom w:val="0"/>
      <w:divBdr>
        <w:top w:val="none" w:sz="0" w:space="0" w:color="auto"/>
        <w:left w:val="none" w:sz="0" w:space="0" w:color="auto"/>
        <w:bottom w:val="none" w:sz="0" w:space="0" w:color="auto"/>
        <w:right w:val="none" w:sz="0" w:space="0" w:color="auto"/>
      </w:divBdr>
    </w:div>
    <w:div w:id="2072577232">
      <w:bodyDiv w:val="1"/>
      <w:marLeft w:val="0"/>
      <w:marRight w:val="0"/>
      <w:marTop w:val="0"/>
      <w:marBottom w:val="0"/>
      <w:divBdr>
        <w:top w:val="none" w:sz="0" w:space="0" w:color="auto"/>
        <w:left w:val="none" w:sz="0" w:space="0" w:color="auto"/>
        <w:bottom w:val="none" w:sz="0" w:space="0" w:color="auto"/>
        <w:right w:val="none" w:sz="0" w:space="0" w:color="auto"/>
      </w:divBdr>
    </w:div>
    <w:div w:id="2082746785">
      <w:bodyDiv w:val="1"/>
      <w:marLeft w:val="0"/>
      <w:marRight w:val="0"/>
      <w:marTop w:val="0"/>
      <w:marBottom w:val="0"/>
      <w:divBdr>
        <w:top w:val="none" w:sz="0" w:space="0" w:color="auto"/>
        <w:left w:val="none" w:sz="0" w:space="0" w:color="auto"/>
        <w:bottom w:val="none" w:sz="0" w:space="0" w:color="auto"/>
        <w:right w:val="none" w:sz="0" w:space="0" w:color="auto"/>
      </w:divBdr>
    </w:div>
    <w:div w:id="211544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veyoursay@justice.tas.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knowmore.org.au/wp-content/uploads/2022/09/Infographic-August-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2022-10-05T21:16:00Z</dcterms:created>
  <dcterms:modified xsi:type="dcterms:W3CDTF">2022-10-05T23:28:00Z</dcterms:modified>
</cp:coreProperties>
</file>