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A20E" w14:textId="77777777" w:rsidR="00B748FA" w:rsidRPr="00187347" w:rsidRDefault="00B748FA" w:rsidP="00B748FA">
      <w:pPr>
        <w:jc w:val="center"/>
      </w:pPr>
      <w:r w:rsidRPr="00187347">
        <w:rPr>
          <w:rFonts w:asciiTheme="minorHAnsi" w:hAnsiTheme="minorHAnsi"/>
          <w:noProof/>
          <w:sz w:val="20"/>
          <w:szCs w:val="20"/>
        </w:rPr>
        <w:drawing>
          <wp:inline distT="0" distB="0" distL="0" distR="0" wp14:anchorId="2D6D6BDA" wp14:editId="59CF52F3">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47E6ECB" w14:textId="77777777" w:rsidR="003172A8" w:rsidRPr="008B56B3" w:rsidRDefault="003172A8" w:rsidP="00B748FA">
      <w:pPr>
        <w:rPr>
          <w:rFonts w:ascii="Cambria" w:hAnsi="Cambria"/>
          <w:color w:val="000000" w:themeColor="text1"/>
        </w:rPr>
      </w:pPr>
    </w:p>
    <w:p w14:paraId="3C244116" w14:textId="07C3C429" w:rsidR="00B748FA" w:rsidRPr="008B56B3" w:rsidRDefault="00000C73" w:rsidP="00B748FA">
      <w:pPr>
        <w:rPr>
          <w:rFonts w:ascii="Cambria" w:hAnsi="Cambria"/>
          <w:color w:val="000000" w:themeColor="text1"/>
        </w:rPr>
      </w:pPr>
      <w:r>
        <w:rPr>
          <w:rFonts w:ascii="Cambria" w:hAnsi="Cambria"/>
          <w:color w:val="000000" w:themeColor="text1"/>
        </w:rPr>
        <w:t>3</w:t>
      </w:r>
      <w:r w:rsidR="00B748FA" w:rsidRPr="008B56B3">
        <w:rPr>
          <w:rFonts w:ascii="Cambria" w:hAnsi="Cambria"/>
          <w:color w:val="000000" w:themeColor="text1"/>
        </w:rPr>
        <w:t xml:space="preserve"> October 2022</w:t>
      </w:r>
    </w:p>
    <w:p w14:paraId="55E1C7DA" w14:textId="77777777" w:rsidR="00B748FA" w:rsidRPr="008B56B3" w:rsidRDefault="00B748FA" w:rsidP="00B748FA">
      <w:pPr>
        <w:rPr>
          <w:rFonts w:ascii="Cambria" w:hAnsi="Cambria"/>
        </w:rPr>
      </w:pPr>
    </w:p>
    <w:p w14:paraId="51BCCE63" w14:textId="77777777" w:rsidR="00B748FA" w:rsidRPr="008B56B3" w:rsidRDefault="00B748FA" w:rsidP="00B748FA">
      <w:pPr>
        <w:rPr>
          <w:rFonts w:ascii="Cambria" w:hAnsi="Cambria"/>
        </w:rPr>
      </w:pPr>
      <w:r w:rsidRPr="008B56B3">
        <w:rPr>
          <w:rFonts w:ascii="Cambria" w:hAnsi="Cambria"/>
        </w:rPr>
        <w:t>Department of Justice</w:t>
      </w:r>
    </w:p>
    <w:p w14:paraId="53467DC9" w14:textId="77777777" w:rsidR="00B748FA" w:rsidRPr="008B56B3" w:rsidRDefault="00B748FA" w:rsidP="00B748FA">
      <w:pPr>
        <w:rPr>
          <w:rFonts w:ascii="Cambria" w:hAnsi="Cambria"/>
        </w:rPr>
      </w:pPr>
      <w:r w:rsidRPr="008B56B3">
        <w:rPr>
          <w:rFonts w:ascii="Cambria" w:hAnsi="Cambria"/>
        </w:rPr>
        <w:t>Office of the Secretary</w:t>
      </w:r>
    </w:p>
    <w:p w14:paraId="52546F58" w14:textId="77777777" w:rsidR="00B748FA" w:rsidRPr="008B56B3" w:rsidRDefault="00B748FA" w:rsidP="00B748FA">
      <w:pPr>
        <w:rPr>
          <w:rFonts w:ascii="Cambria" w:hAnsi="Cambria"/>
        </w:rPr>
      </w:pPr>
      <w:r w:rsidRPr="008B56B3">
        <w:rPr>
          <w:rFonts w:ascii="Cambria" w:hAnsi="Cambria"/>
        </w:rPr>
        <w:t>GPO Box 825</w:t>
      </w:r>
    </w:p>
    <w:p w14:paraId="28436966" w14:textId="7C490819" w:rsidR="00B748FA" w:rsidRPr="00000C73" w:rsidRDefault="00B748FA" w:rsidP="00000C73">
      <w:pPr>
        <w:rPr>
          <w:rFonts w:ascii="Cambria" w:hAnsi="Cambria"/>
        </w:rPr>
      </w:pPr>
      <w:r w:rsidRPr="008B56B3">
        <w:rPr>
          <w:rFonts w:ascii="Cambria" w:hAnsi="Cambria"/>
        </w:rPr>
        <w:t>Hobart TAS 7001</w:t>
      </w:r>
      <w:r w:rsidRPr="008B56B3">
        <w:rPr>
          <w:rFonts w:ascii="Cambria" w:hAnsi="Cambria"/>
        </w:rPr>
        <w:tab/>
      </w:r>
      <w:r w:rsidRPr="008B56B3">
        <w:rPr>
          <w:rFonts w:ascii="Cambria" w:hAnsi="Cambria"/>
        </w:rPr>
        <w:tab/>
      </w:r>
    </w:p>
    <w:p w14:paraId="3D2F25BA" w14:textId="2141666C" w:rsidR="00B748FA" w:rsidRPr="008B56B3" w:rsidRDefault="00B748FA" w:rsidP="00B748FA">
      <w:pPr>
        <w:ind w:left="2880" w:firstLine="720"/>
        <w:rPr>
          <w:rFonts w:ascii="Cambria" w:hAnsi="Cambria"/>
        </w:rPr>
      </w:pPr>
      <w:r w:rsidRPr="008B56B3">
        <w:rPr>
          <w:rFonts w:ascii="Cambria" w:hAnsi="Cambria"/>
          <w:b/>
          <w:bCs/>
          <w:i/>
          <w:iCs/>
        </w:rPr>
        <w:t>via email:</w:t>
      </w:r>
      <w:r w:rsidRPr="008B56B3">
        <w:rPr>
          <w:rFonts w:ascii="Cambria" w:hAnsi="Cambria"/>
          <w:i/>
          <w:iCs/>
        </w:rPr>
        <w:t xml:space="preserve"> </w:t>
      </w:r>
      <w:hyperlink r:id="rId9" w:history="1">
        <w:r w:rsidRPr="008B56B3">
          <w:rPr>
            <w:rStyle w:val="Hyperlink"/>
            <w:rFonts w:ascii="Cambria" w:hAnsi="Cambria"/>
            <w:i/>
            <w:iCs/>
          </w:rPr>
          <w:t>haveyoursay@justice.tas.gov.au</w:t>
        </w:r>
      </w:hyperlink>
      <w:r w:rsidRPr="008B56B3">
        <w:rPr>
          <w:rFonts w:ascii="Cambria" w:hAnsi="Cambria"/>
          <w:i/>
          <w:iCs/>
        </w:rPr>
        <w:t xml:space="preserve"> </w:t>
      </w:r>
      <w:r w:rsidRPr="008B56B3">
        <w:rPr>
          <w:rFonts w:ascii="Cambria" w:hAnsi="Cambria"/>
        </w:rPr>
        <w:t xml:space="preserve"> </w:t>
      </w:r>
    </w:p>
    <w:p w14:paraId="54C728D6" w14:textId="77777777" w:rsidR="00B748FA" w:rsidRPr="008B56B3" w:rsidRDefault="00B748FA" w:rsidP="00B748FA">
      <w:pPr>
        <w:rPr>
          <w:rFonts w:ascii="Cambria" w:hAnsi="Cambria"/>
        </w:rPr>
      </w:pPr>
    </w:p>
    <w:p w14:paraId="77767287" w14:textId="1E0364D1" w:rsidR="00B748FA" w:rsidRPr="008B56B3" w:rsidRDefault="00B748FA" w:rsidP="00B748FA">
      <w:pPr>
        <w:jc w:val="both"/>
        <w:rPr>
          <w:rFonts w:ascii="Cambria" w:hAnsi="Cambria"/>
          <w:color w:val="000000" w:themeColor="text1"/>
        </w:rPr>
      </w:pPr>
      <w:r w:rsidRPr="008B56B3">
        <w:rPr>
          <w:rFonts w:ascii="Cambria" w:hAnsi="Cambria"/>
          <w:color w:val="000000" w:themeColor="text1"/>
        </w:rPr>
        <w:t xml:space="preserve">To the Department of Justice, </w:t>
      </w:r>
    </w:p>
    <w:p w14:paraId="1614AE9D" w14:textId="3732EA15" w:rsidR="00B748FA" w:rsidRPr="008B56B3" w:rsidRDefault="00B748FA" w:rsidP="00B748FA">
      <w:pPr>
        <w:pBdr>
          <w:bottom w:val="single" w:sz="6" w:space="1" w:color="auto"/>
        </w:pBdr>
        <w:jc w:val="both"/>
        <w:rPr>
          <w:rFonts w:ascii="Cambria" w:hAnsi="Cambria"/>
          <w:b/>
          <w:bCs/>
          <w:color w:val="000000" w:themeColor="text1"/>
        </w:rPr>
      </w:pPr>
      <w:r w:rsidRPr="008B56B3">
        <w:rPr>
          <w:rFonts w:ascii="Cambria" w:hAnsi="Cambria"/>
          <w:b/>
          <w:bCs/>
          <w:color w:val="000000" w:themeColor="text1"/>
        </w:rPr>
        <w:t xml:space="preserve">Re: </w:t>
      </w:r>
      <w:r w:rsidRPr="008B56B3">
        <w:rPr>
          <w:rFonts w:ascii="Cambria" w:hAnsi="Cambria"/>
          <w:b/>
          <w:bCs/>
          <w:i/>
          <w:iCs/>
          <w:color w:val="000000" w:themeColor="text1"/>
        </w:rPr>
        <w:t>Child and Youth Safe Organisations Bill 2022</w:t>
      </w:r>
    </w:p>
    <w:p w14:paraId="327B8365" w14:textId="77777777" w:rsidR="00B748FA" w:rsidRPr="008B56B3" w:rsidRDefault="00B748FA" w:rsidP="00B748FA">
      <w:pPr>
        <w:jc w:val="both"/>
        <w:rPr>
          <w:rFonts w:ascii="Cambria" w:hAnsi="Cambria"/>
          <w:color w:val="000000" w:themeColor="text1"/>
        </w:rPr>
      </w:pPr>
    </w:p>
    <w:p w14:paraId="61403BFE" w14:textId="713E5AEA" w:rsidR="005E647A" w:rsidRPr="008B56B3" w:rsidRDefault="00B748FA" w:rsidP="005E647A">
      <w:pPr>
        <w:pStyle w:val="NoSpacing"/>
        <w:shd w:val="clear" w:color="auto" w:fill="FFFFFF"/>
        <w:jc w:val="both"/>
        <w:rPr>
          <w:rFonts w:ascii="Cambria" w:hAnsi="Cambria"/>
          <w:color w:val="000000" w:themeColor="text1"/>
          <w:shd w:val="clear" w:color="auto" w:fill="FFFFFF"/>
        </w:rPr>
      </w:pPr>
      <w:r w:rsidRPr="008B56B3">
        <w:rPr>
          <w:rFonts w:ascii="Cambria" w:hAnsi="Cambria"/>
          <w:color w:val="000000" w:themeColor="text1"/>
          <w:bdr w:val="none" w:sz="0" w:space="0" w:color="auto" w:frame="1"/>
        </w:rPr>
        <w:t>Community Legal Centres Tasmania (CLC Tas) welcomes the opportunity to respond to the </w:t>
      </w:r>
      <w:r w:rsidRPr="008B56B3">
        <w:rPr>
          <w:rFonts w:ascii="Cambria" w:hAnsi="Cambria"/>
          <w:i/>
          <w:iCs/>
          <w:color w:val="000000" w:themeColor="text1"/>
        </w:rPr>
        <w:t>Child and Youth Safe Organisations Bill 2022</w:t>
      </w:r>
      <w:r w:rsidRPr="008B56B3">
        <w:rPr>
          <w:rFonts w:ascii="Cambria" w:hAnsi="Cambria"/>
          <w:color w:val="000000" w:themeColor="text1"/>
          <w:bdr w:val="none" w:sz="0" w:space="0" w:color="auto" w:frame="1"/>
        </w:rPr>
        <w:t xml:space="preserve"> (‘the Bill’).</w:t>
      </w:r>
      <w:r w:rsidRPr="008B56B3">
        <w:rPr>
          <w:rStyle w:val="FootnoteReference"/>
          <w:rFonts w:ascii="Cambria" w:hAnsi="Cambria"/>
          <w:color w:val="000000" w:themeColor="text1"/>
        </w:rPr>
        <w:footnoteReference w:id="1"/>
      </w:r>
      <w:r w:rsidRPr="008B56B3">
        <w:rPr>
          <w:rFonts w:ascii="Cambria" w:hAnsi="Cambria"/>
          <w:color w:val="000000" w:themeColor="text1"/>
          <w:bdr w:val="none" w:sz="0" w:space="0" w:color="auto" w:frame="1"/>
        </w:rPr>
        <w:t xml:space="preserve"> </w:t>
      </w:r>
    </w:p>
    <w:p w14:paraId="5851F34F" w14:textId="77777777" w:rsidR="005E647A" w:rsidRPr="008B56B3" w:rsidRDefault="005E647A" w:rsidP="005E647A">
      <w:pPr>
        <w:pStyle w:val="NoSpacing"/>
        <w:shd w:val="clear" w:color="auto" w:fill="FFFFFF"/>
        <w:jc w:val="both"/>
        <w:rPr>
          <w:rFonts w:ascii="Cambria" w:hAnsi="Cambria"/>
          <w:color w:val="000000" w:themeColor="text1"/>
          <w:shd w:val="clear" w:color="auto" w:fill="FFFFFF"/>
        </w:rPr>
      </w:pPr>
    </w:p>
    <w:p w14:paraId="079600D0" w14:textId="784A6001" w:rsidR="005E647A" w:rsidRPr="008B56B3" w:rsidRDefault="00B748FA" w:rsidP="005E647A">
      <w:pPr>
        <w:pStyle w:val="NoSpacing"/>
        <w:shd w:val="clear" w:color="auto" w:fill="FFFFFF"/>
        <w:jc w:val="both"/>
        <w:rPr>
          <w:rFonts w:ascii="Cambria" w:hAnsi="Cambria"/>
          <w:color w:val="000000" w:themeColor="text1"/>
          <w:shd w:val="clear" w:color="auto" w:fill="FFFFFF"/>
        </w:rPr>
      </w:pPr>
      <w:r w:rsidRPr="008B56B3">
        <w:rPr>
          <w:rFonts w:ascii="Cambria" w:hAnsi="Cambria" w:cs="Arial"/>
          <w:color w:val="000000" w:themeColor="text1"/>
          <w:lang w:eastAsia="en-AU"/>
        </w:rPr>
        <w:t xml:space="preserve">CLC Tas </w:t>
      </w:r>
      <w:r w:rsidRPr="008B56B3">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326DB6D2" w14:textId="77777777" w:rsidR="005E647A" w:rsidRPr="008B56B3" w:rsidRDefault="005E647A" w:rsidP="005E647A">
      <w:pPr>
        <w:pStyle w:val="NoSpacing"/>
        <w:shd w:val="clear" w:color="auto" w:fill="FFFFFF"/>
        <w:jc w:val="both"/>
        <w:rPr>
          <w:rFonts w:ascii="Cambria" w:hAnsi="Cambria" w:cs="Arial"/>
          <w:color w:val="000000" w:themeColor="text1"/>
        </w:rPr>
      </w:pPr>
    </w:p>
    <w:p w14:paraId="653803F1" w14:textId="56935DF1" w:rsidR="005976EB" w:rsidRPr="008B56B3" w:rsidRDefault="00132594" w:rsidP="005E647A">
      <w:pPr>
        <w:pStyle w:val="NoSpacing"/>
        <w:shd w:val="clear" w:color="auto" w:fill="FFFFFF"/>
        <w:jc w:val="both"/>
        <w:rPr>
          <w:rFonts w:ascii="Cambria" w:hAnsi="Cambria"/>
          <w:color w:val="000000" w:themeColor="text1"/>
          <w:shd w:val="clear" w:color="auto" w:fill="FFFFFF"/>
        </w:rPr>
      </w:pPr>
      <w:r w:rsidRPr="008B56B3">
        <w:rPr>
          <w:rFonts w:ascii="Cambria" w:hAnsi="Cambria" w:cs="Arial"/>
          <w:color w:val="000000" w:themeColor="text1"/>
        </w:rPr>
        <w:t>We are supportive of the Government’s intention to</w:t>
      </w:r>
      <w:r w:rsidR="005976EB" w:rsidRPr="008B56B3">
        <w:rPr>
          <w:rFonts w:ascii="Cambria" w:hAnsi="Cambria" w:cs="Arial"/>
          <w:color w:val="000000" w:themeColor="text1"/>
        </w:rPr>
        <w:t xml:space="preserve"> </w:t>
      </w:r>
      <w:r w:rsidR="005976EB" w:rsidRPr="008B56B3">
        <w:rPr>
          <w:rFonts w:ascii="Cambria" w:hAnsi="Cambria"/>
          <w:color w:val="000000" w:themeColor="text1"/>
          <w:shd w:val="clear" w:color="auto" w:fill="FFFFFF"/>
        </w:rPr>
        <w:t xml:space="preserve">introduce both Child and Youth Safe Standards and a Reportable Conduct Scheme. Both of these </w:t>
      </w:r>
      <w:r w:rsidR="009F4791" w:rsidRPr="008B56B3">
        <w:rPr>
          <w:rFonts w:ascii="Cambria" w:hAnsi="Cambria"/>
          <w:color w:val="000000" w:themeColor="text1"/>
          <w:shd w:val="clear" w:color="auto" w:fill="FFFFFF"/>
        </w:rPr>
        <w:t>reform</w:t>
      </w:r>
      <w:r w:rsidR="005976EB" w:rsidRPr="008B56B3">
        <w:rPr>
          <w:rFonts w:ascii="Cambria" w:hAnsi="Cambria"/>
          <w:color w:val="000000" w:themeColor="text1"/>
          <w:shd w:val="clear" w:color="auto" w:fill="FFFFFF"/>
        </w:rPr>
        <w:t xml:space="preserve">s were </w:t>
      </w:r>
      <w:r w:rsidR="005976EB" w:rsidRPr="008B56B3">
        <w:rPr>
          <w:rFonts w:ascii="Cambria" w:hAnsi="Cambria" w:cs="Arial"/>
          <w:color w:val="000000" w:themeColor="text1"/>
        </w:rPr>
        <w:t xml:space="preserve">recommendations from the </w:t>
      </w:r>
      <w:r w:rsidR="005976EB" w:rsidRPr="008B56B3">
        <w:rPr>
          <w:rFonts w:ascii="Cambria" w:hAnsi="Cambria" w:cs="Arial"/>
          <w:i/>
          <w:iCs/>
          <w:color w:val="000000" w:themeColor="text1"/>
        </w:rPr>
        <w:t>Royal Commission into Institutional Responses to Child Sexual Abus</w:t>
      </w:r>
      <w:r w:rsidR="009F4791" w:rsidRPr="008B56B3">
        <w:rPr>
          <w:rFonts w:ascii="Cambria" w:hAnsi="Cambria" w:cs="Arial"/>
          <w:i/>
          <w:iCs/>
          <w:color w:val="000000" w:themeColor="text1"/>
        </w:rPr>
        <w:t>e</w:t>
      </w:r>
      <w:r w:rsidR="005976EB" w:rsidRPr="008B56B3">
        <w:rPr>
          <w:rFonts w:ascii="Cambria" w:hAnsi="Cambria" w:cs="Arial"/>
          <w:color w:val="000000" w:themeColor="text1"/>
        </w:rPr>
        <w:t xml:space="preserve"> and </w:t>
      </w:r>
      <w:r w:rsidR="005976EB" w:rsidRPr="008B56B3">
        <w:rPr>
          <w:rFonts w:ascii="Cambria" w:hAnsi="Cambria"/>
          <w:color w:val="000000" w:themeColor="text1"/>
          <w:shd w:val="clear" w:color="auto" w:fill="FFFFFF"/>
        </w:rPr>
        <w:t>will require organisations that work with children and young people to take proactive steps to keep them safe and respond effectively where incidents of harm occur.</w:t>
      </w:r>
    </w:p>
    <w:p w14:paraId="513F5E4F" w14:textId="77777777" w:rsidR="005976EB" w:rsidRPr="008B56B3" w:rsidRDefault="005976EB" w:rsidP="005E647A">
      <w:pPr>
        <w:pStyle w:val="NoSpacing"/>
        <w:shd w:val="clear" w:color="auto" w:fill="FFFFFF"/>
        <w:jc w:val="both"/>
        <w:rPr>
          <w:rFonts w:ascii="Cambria" w:hAnsi="Cambria" w:cs="Arial"/>
          <w:color w:val="000000" w:themeColor="text1"/>
        </w:rPr>
      </w:pPr>
    </w:p>
    <w:p w14:paraId="2770E56C" w14:textId="6CC6DDAE" w:rsidR="005E647A" w:rsidRPr="008B56B3" w:rsidRDefault="005E647A" w:rsidP="005E647A">
      <w:pPr>
        <w:ind w:right="-347"/>
        <w:jc w:val="both"/>
        <w:rPr>
          <w:rFonts w:ascii="Cambria" w:hAnsi="Cambria"/>
          <w:b/>
          <w:bCs/>
          <w:color w:val="000000" w:themeColor="text1"/>
        </w:rPr>
      </w:pPr>
      <w:r w:rsidRPr="008B56B3">
        <w:rPr>
          <w:rFonts w:ascii="Cambria" w:hAnsi="Cambria" w:cs="Arial"/>
          <w:b/>
          <w:bCs/>
          <w:i/>
          <w:iCs/>
          <w:color w:val="000000" w:themeColor="text1"/>
        </w:rPr>
        <w:t>The Royal Commission into Institutional Responses to Child Sexual Abuse</w:t>
      </w:r>
      <w:r w:rsidRPr="008B56B3">
        <w:rPr>
          <w:rFonts w:ascii="Cambria" w:hAnsi="Cambria"/>
          <w:b/>
          <w:bCs/>
          <w:color w:val="000000" w:themeColor="text1"/>
        </w:rPr>
        <w:t xml:space="preserve"> </w:t>
      </w:r>
    </w:p>
    <w:p w14:paraId="5CEB2E6F" w14:textId="06FEF705" w:rsidR="005E647A" w:rsidRPr="008B56B3" w:rsidRDefault="003872E7" w:rsidP="005E647A">
      <w:pPr>
        <w:pStyle w:val="NoSpacing"/>
        <w:shd w:val="clear" w:color="auto" w:fill="FFFFFF"/>
        <w:jc w:val="both"/>
        <w:rPr>
          <w:rFonts w:ascii="Cambria" w:hAnsi="Cambria"/>
          <w:color w:val="000000" w:themeColor="text1"/>
        </w:rPr>
      </w:pPr>
      <w:r w:rsidRPr="008B56B3">
        <w:rPr>
          <w:rFonts w:ascii="Cambria" w:hAnsi="Cambria"/>
          <w:color w:val="000000" w:themeColor="text1"/>
        </w:rPr>
        <w:t>The Royal Commission</w:t>
      </w:r>
      <w:r w:rsidR="0003039F" w:rsidRPr="008B56B3">
        <w:rPr>
          <w:rFonts w:ascii="Cambria" w:hAnsi="Cambria"/>
          <w:color w:val="000000" w:themeColor="text1"/>
        </w:rPr>
        <w:t xml:space="preserve"> </w:t>
      </w:r>
      <w:r w:rsidR="0003039F" w:rsidRPr="008B56B3">
        <w:rPr>
          <w:rFonts w:ascii="Cambria" w:hAnsi="Cambria" w:cs="Arial"/>
          <w:color w:val="000000" w:themeColor="text1"/>
        </w:rPr>
        <w:t>into Institutional Responses to Child Sexual Abuse</w:t>
      </w:r>
      <w:r w:rsidRPr="008B56B3">
        <w:rPr>
          <w:rFonts w:ascii="Cambria" w:hAnsi="Cambria"/>
          <w:color w:val="000000" w:themeColor="text1"/>
        </w:rPr>
        <w:t xml:space="preserve"> </w:t>
      </w:r>
      <w:r w:rsidR="0003039F" w:rsidRPr="008B56B3">
        <w:rPr>
          <w:rFonts w:ascii="Cambria" w:hAnsi="Cambria"/>
          <w:color w:val="000000" w:themeColor="text1"/>
        </w:rPr>
        <w:t xml:space="preserve">(‘the Royal Commission’) </w:t>
      </w:r>
      <w:r w:rsidR="00EA4AFA" w:rsidRPr="008B56B3">
        <w:rPr>
          <w:rFonts w:ascii="Cambria" w:hAnsi="Cambria"/>
          <w:color w:val="000000" w:themeColor="text1"/>
        </w:rPr>
        <w:t>was contacted by more than 16,000 individuals</w:t>
      </w:r>
      <w:r w:rsidR="00DD7C0C" w:rsidRPr="008B56B3">
        <w:rPr>
          <w:rFonts w:ascii="Cambria" w:hAnsi="Cambria"/>
          <w:color w:val="000000" w:themeColor="text1"/>
        </w:rPr>
        <w:t xml:space="preserve">, </w:t>
      </w:r>
      <w:r w:rsidR="00EA4AFA" w:rsidRPr="008B56B3">
        <w:rPr>
          <w:rFonts w:ascii="Cambria" w:hAnsi="Cambria"/>
          <w:color w:val="000000" w:themeColor="text1"/>
        </w:rPr>
        <w:t>heard more than 8,000 personal stories</w:t>
      </w:r>
      <w:r w:rsidR="00DD7C0C" w:rsidRPr="008B56B3">
        <w:rPr>
          <w:rFonts w:ascii="Cambria" w:hAnsi="Cambria"/>
          <w:color w:val="000000" w:themeColor="text1"/>
        </w:rPr>
        <w:t xml:space="preserve"> and received written accounts from more than</w:t>
      </w:r>
      <w:r w:rsidR="00EA4AFA" w:rsidRPr="008B56B3">
        <w:rPr>
          <w:rFonts w:ascii="Cambria" w:hAnsi="Cambria"/>
          <w:color w:val="000000" w:themeColor="text1"/>
        </w:rPr>
        <w:t xml:space="preserve"> 1000 survivors.</w:t>
      </w:r>
      <w:r w:rsidR="00EA4AFA" w:rsidRPr="008B56B3">
        <w:rPr>
          <w:rStyle w:val="FootnoteReference"/>
          <w:rFonts w:ascii="Cambria" w:hAnsi="Cambria"/>
          <w:color w:val="000000" w:themeColor="text1"/>
        </w:rPr>
        <w:footnoteReference w:id="2"/>
      </w:r>
      <w:r w:rsidR="00EA4AFA" w:rsidRPr="008B56B3">
        <w:rPr>
          <w:rFonts w:ascii="Cambria" w:hAnsi="Cambria"/>
          <w:color w:val="000000" w:themeColor="text1"/>
        </w:rPr>
        <w:t xml:space="preserve"> </w:t>
      </w:r>
      <w:r w:rsidR="00B8433F" w:rsidRPr="008B56B3">
        <w:rPr>
          <w:rFonts w:ascii="Cambria" w:hAnsi="Cambria"/>
          <w:color w:val="000000" w:themeColor="text1"/>
        </w:rPr>
        <w:t>Importantly, t</w:t>
      </w:r>
      <w:r w:rsidR="00F81532" w:rsidRPr="008B56B3">
        <w:rPr>
          <w:rFonts w:ascii="Cambria" w:hAnsi="Cambria"/>
          <w:color w:val="000000" w:themeColor="text1"/>
        </w:rPr>
        <w:t>he</w:t>
      </w:r>
      <w:r w:rsidR="00DD7C0C" w:rsidRPr="008B56B3">
        <w:rPr>
          <w:rFonts w:ascii="Cambria" w:hAnsi="Cambria"/>
          <w:color w:val="000000" w:themeColor="text1"/>
        </w:rPr>
        <w:t xml:space="preserve"> Royal Commission</w:t>
      </w:r>
      <w:r w:rsidR="00B8433F" w:rsidRPr="008B56B3">
        <w:rPr>
          <w:rFonts w:ascii="Cambria" w:hAnsi="Cambria"/>
          <w:color w:val="000000" w:themeColor="text1"/>
        </w:rPr>
        <w:t xml:space="preserve"> observed</w:t>
      </w:r>
      <w:r w:rsidR="005D1310" w:rsidRPr="008B56B3">
        <w:rPr>
          <w:rFonts w:ascii="Cambria" w:hAnsi="Cambria"/>
          <w:color w:val="000000" w:themeColor="text1"/>
        </w:rPr>
        <w:t xml:space="preserve"> </w:t>
      </w:r>
      <w:r w:rsidR="00161352" w:rsidRPr="008B56B3">
        <w:rPr>
          <w:rFonts w:ascii="Cambria" w:hAnsi="Cambria"/>
          <w:color w:val="000000" w:themeColor="text1"/>
        </w:rPr>
        <w:t xml:space="preserve">that child abuse in institutional settings was not historical but </w:t>
      </w:r>
      <w:r w:rsidR="00F81532" w:rsidRPr="008B56B3">
        <w:rPr>
          <w:rFonts w:ascii="Cambria" w:hAnsi="Cambria"/>
          <w:color w:val="000000" w:themeColor="text1"/>
        </w:rPr>
        <w:t>“that institutional cultures and practices that allowed abuse to occur and inhibited detection and response continue to exist in contemporary institutions”</w:t>
      </w:r>
      <w:r w:rsidR="00DD7C0C" w:rsidRPr="008B56B3">
        <w:rPr>
          <w:rFonts w:ascii="Cambria" w:hAnsi="Cambria"/>
          <w:color w:val="000000" w:themeColor="text1"/>
        </w:rPr>
        <w:t>.</w:t>
      </w:r>
      <w:r w:rsidR="00DD7C0C" w:rsidRPr="008B56B3">
        <w:rPr>
          <w:rStyle w:val="FootnoteReference"/>
          <w:rFonts w:ascii="Cambria" w:hAnsi="Cambria"/>
          <w:color w:val="000000" w:themeColor="text1"/>
        </w:rPr>
        <w:footnoteReference w:id="3"/>
      </w:r>
      <w:r w:rsidR="00DD7C0C" w:rsidRPr="008B56B3">
        <w:rPr>
          <w:rFonts w:ascii="Cambria" w:hAnsi="Cambria"/>
          <w:color w:val="000000" w:themeColor="text1"/>
        </w:rPr>
        <w:t xml:space="preserve">  </w:t>
      </w:r>
    </w:p>
    <w:p w14:paraId="40CAB905" w14:textId="77777777" w:rsidR="005E647A" w:rsidRPr="008B56B3" w:rsidRDefault="005E647A" w:rsidP="005E647A">
      <w:pPr>
        <w:pStyle w:val="NoSpacing"/>
        <w:shd w:val="clear" w:color="auto" w:fill="FFFFFF"/>
        <w:jc w:val="both"/>
        <w:rPr>
          <w:rFonts w:ascii="Cambria" w:hAnsi="Cambria"/>
          <w:color w:val="000000" w:themeColor="text1"/>
        </w:rPr>
      </w:pPr>
    </w:p>
    <w:p w14:paraId="03B53E68" w14:textId="58E2FE3B" w:rsidR="005E647A" w:rsidRPr="008B56B3" w:rsidRDefault="005E647A" w:rsidP="005E647A">
      <w:pPr>
        <w:ind w:right="-347"/>
        <w:jc w:val="both"/>
        <w:rPr>
          <w:rFonts w:ascii="Cambria" w:hAnsi="Cambria"/>
          <w:b/>
          <w:bCs/>
          <w:i/>
          <w:iCs/>
          <w:color w:val="000000" w:themeColor="text1"/>
        </w:rPr>
      </w:pPr>
      <w:r w:rsidRPr="008B56B3">
        <w:rPr>
          <w:rFonts w:ascii="Cambria" w:hAnsi="Cambria"/>
          <w:b/>
          <w:bCs/>
          <w:i/>
          <w:iCs/>
          <w:color w:val="000000" w:themeColor="text1"/>
        </w:rPr>
        <w:lastRenderedPageBreak/>
        <w:t>Child and Youth Safe Standards</w:t>
      </w:r>
    </w:p>
    <w:p w14:paraId="25559FE4" w14:textId="5D317966" w:rsidR="00B8433F" w:rsidRPr="008B56B3" w:rsidRDefault="003872E7" w:rsidP="005E647A">
      <w:pPr>
        <w:pStyle w:val="NoSpacing"/>
        <w:shd w:val="clear" w:color="auto" w:fill="FFFFFF"/>
        <w:jc w:val="both"/>
        <w:rPr>
          <w:rFonts w:ascii="Cambria" w:hAnsi="Cambria"/>
          <w:color w:val="000000" w:themeColor="text1"/>
        </w:rPr>
      </w:pPr>
      <w:r w:rsidRPr="008B56B3">
        <w:rPr>
          <w:rFonts w:ascii="Cambria" w:hAnsi="Cambria"/>
          <w:color w:val="000000" w:themeColor="text1"/>
        </w:rPr>
        <w:t>The Royal Commission</w:t>
      </w:r>
      <w:r w:rsidR="001F4816" w:rsidRPr="008B56B3">
        <w:rPr>
          <w:rFonts w:ascii="Cambria" w:hAnsi="Cambria"/>
          <w:color w:val="000000" w:themeColor="text1"/>
        </w:rPr>
        <w:t xml:space="preserve"> recommended the introduction </w:t>
      </w:r>
      <w:r w:rsidR="005E647A" w:rsidRPr="008B56B3">
        <w:rPr>
          <w:rFonts w:ascii="Cambria" w:hAnsi="Cambria"/>
          <w:color w:val="000000" w:themeColor="text1"/>
        </w:rPr>
        <w:t xml:space="preserve">of nationally consistent </w:t>
      </w:r>
      <w:r w:rsidR="001F4816" w:rsidRPr="008B56B3">
        <w:rPr>
          <w:rFonts w:ascii="Cambria" w:hAnsi="Cambria"/>
          <w:color w:val="000000" w:themeColor="text1"/>
        </w:rPr>
        <w:t>Child Safe Standards</w:t>
      </w:r>
      <w:r w:rsidR="00CA1134" w:rsidRPr="008B56B3">
        <w:rPr>
          <w:rFonts w:ascii="Cambria" w:hAnsi="Cambria"/>
          <w:color w:val="000000" w:themeColor="text1"/>
        </w:rPr>
        <w:t xml:space="preserve"> which would </w:t>
      </w:r>
      <w:r w:rsidR="001F4816" w:rsidRPr="008B56B3">
        <w:rPr>
          <w:rFonts w:ascii="Cambria" w:hAnsi="Cambria"/>
          <w:color w:val="000000" w:themeColor="text1"/>
        </w:rPr>
        <w:t>“contribute most effectively to improve the safety of children in institutions”</w:t>
      </w:r>
      <w:r w:rsidR="00FC08AF" w:rsidRPr="008B56B3">
        <w:rPr>
          <w:rFonts w:ascii="Cambria" w:hAnsi="Cambria"/>
          <w:color w:val="000000" w:themeColor="text1"/>
        </w:rPr>
        <w:t>.</w:t>
      </w:r>
      <w:r w:rsidR="001F4816" w:rsidRPr="008B56B3">
        <w:rPr>
          <w:rStyle w:val="FootnoteReference"/>
          <w:rFonts w:ascii="Cambria" w:hAnsi="Cambria"/>
          <w:color w:val="000000" w:themeColor="text1"/>
        </w:rPr>
        <w:footnoteReference w:id="4"/>
      </w:r>
      <w:r w:rsidR="00976C8A" w:rsidRPr="008B56B3">
        <w:rPr>
          <w:rFonts w:ascii="Cambria" w:hAnsi="Cambria"/>
          <w:color w:val="000000" w:themeColor="text1"/>
        </w:rPr>
        <w:t xml:space="preserve"> </w:t>
      </w:r>
      <w:r w:rsidR="000B56C5" w:rsidRPr="008B56B3">
        <w:rPr>
          <w:rFonts w:ascii="Cambria" w:hAnsi="Cambria"/>
          <w:color w:val="000000" w:themeColor="text1"/>
        </w:rPr>
        <w:t xml:space="preserve">In response the Royal Commission’s recommendations, </w:t>
      </w:r>
      <w:r w:rsidR="00CA1134" w:rsidRPr="008B56B3">
        <w:rPr>
          <w:rFonts w:ascii="Cambria" w:hAnsi="Cambria"/>
          <w:color w:val="000000" w:themeColor="text1"/>
        </w:rPr>
        <w:t xml:space="preserve">the </w:t>
      </w:r>
      <w:r w:rsidR="00CA1134" w:rsidRPr="008B56B3">
        <w:rPr>
          <w:rFonts w:ascii="Cambria" w:hAnsi="Cambria"/>
          <w:i/>
          <w:iCs/>
          <w:color w:val="000000" w:themeColor="text1"/>
        </w:rPr>
        <w:t>National Principles for Child Safe Organisations</w:t>
      </w:r>
      <w:r w:rsidR="00CA1134" w:rsidRPr="008B56B3">
        <w:rPr>
          <w:rFonts w:ascii="Cambria" w:hAnsi="Cambria"/>
          <w:color w:val="000000" w:themeColor="text1"/>
        </w:rPr>
        <w:t xml:space="preserve"> </w:t>
      </w:r>
      <w:r w:rsidR="000B56C5" w:rsidRPr="008B56B3">
        <w:rPr>
          <w:rFonts w:ascii="Cambria" w:hAnsi="Cambria"/>
          <w:color w:val="000000" w:themeColor="text1"/>
        </w:rPr>
        <w:t xml:space="preserve">were developed in 2019 and endorsed by both the </w:t>
      </w:r>
      <w:r w:rsidR="00CA1134" w:rsidRPr="008B56B3">
        <w:rPr>
          <w:rFonts w:ascii="Cambria" w:hAnsi="Cambria"/>
          <w:color w:val="000000" w:themeColor="text1"/>
        </w:rPr>
        <w:t>Commonwealth Government and all States and Territories</w:t>
      </w:r>
      <w:r w:rsidR="000A6D5D" w:rsidRPr="008B56B3">
        <w:rPr>
          <w:rFonts w:ascii="Cambria" w:hAnsi="Cambria"/>
          <w:color w:val="000000" w:themeColor="text1"/>
        </w:rPr>
        <w:t>.</w:t>
      </w:r>
      <w:r w:rsidR="000A6D5D" w:rsidRPr="008B56B3">
        <w:rPr>
          <w:rStyle w:val="FootnoteReference"/>
          <w:rFonts w:ascii="Cambria" w:hAnsi="Cambria"/>
          <w:color w:val="000000" w:themeColor="text1"/>
        </w:rPr>
        <w:footnoteReference w:id="5"/>
      </w:r>
      <w:r w:rsidR="00CA1134" w:rsidRPr="008B56B3">
        <w:rPr>
          <w:rFonts w:ascii="Cambria" w:hAnsi="Cambria"/>
          <w:color w:val="000000" w:themeColor="text1"/>
        </w:rPr>
        <w:t xml:space="preserve"> </w:t>
      </w:r>
    </w:p>
    <w:p w14:paraId="1BA6B15C" w14:textId="77777777" w:rsidR="00B8433F" w:rsidRPr="008B56B3" w:rsidRDefault="00B8433F" w:rsidP="005E647A">
      <w:pPr>
        <w:pStyle w:val="NoSpacing"/>
        <w:shd w:val="clear" w:color="auto" w:fill="FFFFFF"/>
        <w:jc w:val="both"/>
        <w:rPr>
          <w:rFonts w:ascii="Cambria" w:hAnsi="Cambria"/>
          <w:color w:val="000000" w:themeColor="text1"/>
        </w:rPr>
      </w:pPr>
    </w:p>
    <w:p w14:paraId="289531E9" w14:textId="7F3C2E4C" w:rsidR="002A4087" w:rsidRPr="008B56B3" w:rsidRDefault="00B8433F" w:rsidP="005E647A">
      <w:pPr>
        <w:pStyle w:val="NoSpacing"/>
        <w:shd w:val="clear" w:color="auto" w:fill="FFFFFF"/>
        <w:jc w:val="both"/>
        <w:rPr>
          <w:rFonts w:ascii="Cambria" w:hAnsi="Cambria"/>
          <w:color w:val="000000" w:themeColor="text1"/>
        </w:rPr>
      </w:pPr>
      <w:r w:rsidRPr="008B56B3">
        <w:rPr>
          <w:rFonts w:ascii="Cambria" w:hAnsi="Cambria"/>
          <w:color w:val="000000" w:themeColor="text1"/>
        </w:rPr>
        <w:t>The</w:t>
      </w:r>
      <w:r w:rsidR="009F4791" w:rsidRPr="008B56B3">
        <w:rPr>
          <w:rFonts w:ascii="Cambria" w:hAnsi="Cambria"/>
          <w:color w:val="000000" w:themeColor="text1"/>
        </w:rPr>
        <w:t xml:space="preserve"> </w:t>
      </w:r>
      <w:r w:rsidRPr="008B56B3">
        <w:rPr>
          <w:rFonts w:ascii="Cambria" w:hAnsi="Cambria"/>
          <w:color w:val="000000" w:themeColor="text1"/>
        </w:rPr>
        <w:t xml:space="preserve">Child and Youth Safe Standards as set out in the Bill mirror the National Principles and are </w:t>
      </w:r>
      <w:r w:rsidR="009F4791" w:rsidRPr="008B56B3">
        <w:rPr>
          <w:rFonts w:ascii="Cambria" w:hAnsi="Cambria"/>
          <w:color w:val="000000" w:themeColor="text1"/>
        </w:rPr>
        <w:t xml:space="preserve">strongly </w:t>
      </w:r>
      <w:r w:rsidRPr="008B56B3">
        <w:rPr>
          <w:rFonts w:ascii="Cambria" w:hAnsi="Cambria"/>
          <w:color w:val="000000" w:themeColor="text1"/>
        </w:rPr>
        <w:t>supported. However, we</w:t>
      </w:r>
      <w:r w:rsidR="009F4791" w:rsidRPr="008B56B3">
        <w:rPr>
          <w:rFonts w:ascii="Cambria" w:hAnsi="Cambria"/>
          <w:color w:val="000000" w:themeColor="text1"/>
        </w:rPr>
        <w:t xml:space="preserve"> also agree with</w:t>
      </w:r>
      <w:r w:rsidRPr="008B56B3">
        <w:rPr>
          <w:rFonts w:ascii="Cambria" w:hAnsi="Cambria"/>
          <w:color w:val="000000" w:themeColor="text1"/>
        </w:rPr>
        <w:t xml:space="preserve"> the </w:t>
      </w:r>
      <w:proofErr w:type="spellStart"/>
      <w:r w:rsidRPr="008B56B3">
        <w:rPr>
          <w:rFonts w:ascii="Cambria" w:hAnsi="Cambria"/>
          <w:color w:val="000000" w:themeColor="text1"/>
        </w:rPr>
        <w:t>TasCOSS</w:t>
      </w:r>
      <w:proofErr w:type="spellEnd"/>
      <w:r w:rsidRPr="008B56B3">
        <w:rPr>
          <w:rFonts w:ascii="Cambria" w:hAnsi="Cambria"/>
          <w:color w:val="000000" w:themeColor="text1"/>
        </w:rPr>
        <w:t xml:space="preserve"> recommendation of including an additional </w:t>
      </w:r>
      <w:r w:rsidR="00E77E40">
        <w:rPr>
          <w:rFonts w:ascii="Cambria" w:hAnsi="Cambria"/>
          <w:color w:val="000000" w:themeColor="text1"/>
        </w:rPr>
        <w:t>standard</w:t>
      </w:r>
      <w:r w:rsidRPr="008B56B3">
        <w:rPr>
          <w:rFonts w:ascii="Cambria" w:hAnsi="Cambria"/>
          <w:color w:val="000000" w:themeColor="text1"/>
        </w:rPr>
        <w:t xml:space="preserve"> related to Aboriginal cultural safety</w:t>
      </w:r>
      <w:r w:rsidR="0009497B" w:rsidRPr="008B56B3">
        <w:rPr>
          <w:rFonts w:ascii="Cambria" w:hAnsi="Cambria"/>
          <w:color w:val="000000" w:themeColor="text1"/>
        </w:rPr>
        <w:t xml:space="preserve">, </w:t>
      </w:r>
      <w:r w:rsidR="008B56B3" w:rsidRPr="008B56B3">
        <w:rPr>
          <w:rFonts w:ascii="Cambria" w:hAnsi="Cambria"/>
          <w:color w:val="000000" w:themeColor="text1"/>
        </w:rPr>
        <w:t xml:space="preserve">which we believe will complement the </w:t>
      </w:r>
      <w:r w:rsidR="009866AC" w:rsidRPr="008B56B3">
        <w:rPr>
          <w:rFonts w:ascii="Cambria" w:hAnsi="Cambria"/>
          <w:color w:val="000000" w:themeColor="text1"/>
        </w:rPr>
        <w:t xml:space="preserve">State Government’s commitment to </w:t>
      </w:r>
      <w:r w:rsidR="002702BE" w:rsidRPr="008B56B3">
        <w:rPr>
          <w:rFonts w:ascii="Cambria" w:hAnsi="Cambria"/>
          <w:color w:val="000000" w:themeColor="text1"/>
        </w:rPr>
        <w:t>implementation of the Aboriginal and Torres Strait Islander Child Placement Principle across the child safety system</w:t>
      </w:r>
      <w:r w:rsidRPr="008B56B3">
        <w:rPr>
          <w:rFonts w:ascii="Cambria" w:hAnsi="Cambria"/>
          <w:color w:val="000000" w:themeColor="text1"/>
        </w:rPr>
        <w:t>.</w:t>
      </w:r>
      <w:r w:rsidR="00964004" w:rsidRPr="008B56B3">
        <w:rPr>
          <w:rStyle w:val="FootnoteReference"/>
          <w:rFonts w:ascii="Cambria" w:hAnsi="Cambria"/>
          <w:color w:val="000000" w:themeColor="text1"/>
        </w:rPr>
        <w:footnoteReference w:id="6"/>
      </w:r>
      <w:r w:rsidRPr="008B56B3">
        <w:rPr>
          <w:rFonts w:ascii="Cambria" w:hAnsi="Cambria"/>
          <w:color w:val="000000" w:themeColor="text1"/>
        </w:rPr>
        <w:t xml:space="preserve"> </w:t>
      </w:r>
      <w:r w:rsidR="002F49E8" w:rsidRPr="008B56B3">
        <w:rPr>
          <w:rFonts w:ascii="Cambria" w:hAnsi="Cambria"/>
          <w:color w:val="000000" w:themeColor="text1"/>
        </w:rPr>
        <w:t xml:space="preserve">As the </w:t>
      </w:r>
      <w:proofErr w:type="spellStart"/>
      <w:r w:rsidR="002F49E8" w:rsidRPr="008B56B3">
        <w:rPr>
          <w:rFonts w:ascii="Cambria" w:hAnsi="Cambria"/>
          <w:color w:val="000000" w:themeColor="text1"/>
        </w:rPr>
        <w:t>TasCOSS</w:t>
      </w:r>
      <w:proofErr w:type="spellEnd"/>
      <w:r w:rsidR="002F49E8" w:rsidRPr="008B56B3">
        <w:rPr>
          <w:rFonts w:ascii="Cambria" w:hAnsi="Cambria"/>
          <w:color w:val="000000" w:themeColor="text1"/>
        </w:rPr>
        <w:t xml:space="preserve"> submission observes, the</w:t>
      </w:r>
      <w:r w:rsidR="002A4087" w:rsidRPr="008B56B3">
        <w:rPr>
          <w:rFonts w:ascii="Cambria" w:hAnsi="Cambria"/>
          <w:color w:val="000000" w:themeColor="text1"/>
        </w:rPr>
        <w:t xml:space="preserve"> addition of a standard specifically addressing </w:t>
      </w:r>
      <w:r w:rsidR="002F49E8" w:rsidRPr="008B56B3">
        <w:rPr>
          <w:rFonts w:ascii="Cambria" w:hAnsi="Cambria"/>
          <w:color w:val="000000" w:themeColor="text1"/>
        </w:rPr>
        <w:t xml:space="preserve">cultural safety </w:t>
      </w:r>
      <w:r w:rsidR="002A4087" w:rsidRPr="008B56B3">
        <w:rPr>
          <w:rFonts w:ascii="Cambria" w:hAnsi="Cambria"/>
          <w:color w:val="000000" w:themeColor="text1"/>
        </w:rPr>
        <w:t xml:space="preserve">for Aboriginal children and young people </w:t>
      </w:r>
      <w:r w:rsidR="002F49E8" w:rsidRPr="008B56B3">
        <w:rPr>
          <w:rFonts w:ascii="Cambria" w:hAnsi="Cambria"/>
          <w:color w:val="000000" w:themeColor="text1"/>
        </w:rPr>
        <w:t xml:space="preserve">would align with </w:t>
      </w:r>
      <w:r w:rsidR="0009497B" w:rsidRPr="008B56B3">
        <w:rPr>
          <w:rFonts w:ascii="Cambria" w:hAnsi="Cambria"/>
          <w:color w:val="000000" w:themeColor="text1"/>
        </w:rPr>
        <w:t xml:space="preserve">the </w:t>
      </w:r>
      <w:r w:rsidR="002F49E8" w:rsidRPr="008B56B3">
        <w:rPr>
          <w:rFonts w:ascii="Cambria" w:hAnsi="Cambria"/>
          <w:color w:val="000000" w:themeColor="text1"/>
        </w:rPr>
        <w:t xml:space="preserve">Victorian </w:t>
      </w:r>
      <w:r w:rsidR="002A4087" w:rsidRPr="008B56B3">
        <w:rPr>
          <w:rFonts w:ascii="Cambria" w:hAnsi="Cambria"/>
          <w:color w:val="000000" w:themeColor="text1"/>
        </w:rPr>
        <w:t xml:space="preserve">Child Safe </w:t>
      </w:r>
      <w:r w:rsidR="002F49E8" w:rsidRPr="008B56B3">
        <w:rPr>
          <w:rFonts w:ascii="Cambria" w:hAnsi="Cambria"/>
          <w:color w:val="000000" w:themeColor="text1"/>
        </w:rPr>
        <w:t>Standards</w:t>
      </w:r>
      <w:r w:rsidR="002A4087" w:rsidRPr="008B56B3">
        <w:rPr>
          <w:rFonts w:ascii="Cambria" w:hAnsi="Cambria"/>
          <w:color w:val="000000" w:themeColor="text1"/>
        </w:rPr>
        <w:t xml:space="preserve"> which relevantly provides:</w:t>
      </w:r>
      <w:r w:rsidR="0009497B" w:rsidRPr="008B56B3">
        <w:rPr>
          <w:rStyle w:val="FootnoteReference"/>
          <w:rFonts w:ascii="Cambria" w:hAnsi="Cambria"/>
          <w:color w:val="000000" w:themeColor="text1"/>
        </w:rPr>
        <w:footnoteReference w:id="7"/>
      </w:r>
    </w:p>
    <w:p w14:paraId="5FFA75EE" w14:textId="268B23CC" w:rsidR="002A4087" w:rsidRPr="008B56B3" w:rsidRDefault="002A4087" w:rsidP="005E647A">
      <w:pPr>
        <w:pStyle w:val="NoSpacing"/>
        <w:shd w:val="clear" w:color="auto" w:fill="FFFFFF"/>
        <w:jc w:val="both"/>
        <w:rPr>
          <w:rFonts w:ascii="Cambria" w:hAnsi="Cambria"/>
          <w:color w:val="000000" w:themeColor="text1"/>
        </w:rPr>
      </w:pPr>
    </w:p>
    <w:p w14:paraId="6029D66A" w14:textId="77777777" w:rsidR="002A4087" w:rsidRPr="008B56B3" w:rsidRDefault="002A4087" w:rsidP="0009497B">
      <w:pPr>
        <w:pStyle w:val="NoSpacing"/>
        <w:ind w:firstLine="720"/>
        <w:rPr>
          <w:rFonts w:ascii="Cambria" w:hAnsi="Cambria"/>
          <w:b/>
          <w:bCs/>
          <w:i/>
          <w:iCs/>
          <w:color w:val="000000" w:themeColor="text1"/>
        </w:rPr>
      </w:pPr>
      <w:r w:rsidRPr="008B56B3">
        <w:rPr>
          <w:rFonts w:ascii="Cambria" w:hAnsi="Cambria"/>
          <w:b/>
          <w:bCs/>
          <w:i/>
          <w:iCs/>
          <w:color w:val="000000" w:themeColor="text1"/>
        </w:rPr>
        <w:t>Standard 1 </w:t>
      </w:r>
    </w:p>
    <w:p w14:paraId="40138F1A" w14:textId="77777777" w:rsidR="002A4087" w:rsidRPr="008B56B3" w:rsidRDefault="002A4087" w:rsidP="0009497B">
      <w:pPr>
        <w:pStyle w:val="NoSpacing"/>
        <w:ind w:left="720"/>
        <w:rPr>
          <w:rFonts w:ascii="Cambria" w:hAnsi="Cambria"/>
          <w:i/>
          <w:iCs/>
          <w:color w:val="000000" w:themeColor="text1"/>
        </w:rPr>
      </w:pPr>
      <w:r w:rsidRPr="008B56B3">
        <w:rPr>
          <w:rFonts w:ascii="Cambria" w:hAnsi="Cambria"/>
          <w:i/>
          <w:iCs/>
          <w:color w:val="000000" w:themeColor="text1"/>
        </w:rPr>
        <w:t>Organisations establish a culturally safe environment in which the diverse and unique identities and experiences of Aboriginal children and young people are respected and valued.</w:t>
      </w:r>
    </w:p>
    <w:p w14:paraId="7C62F62B" w14:textId="77777777" w:rsidR="0009497B" w:rsidRPr="008B56B3" w:rsidRDefault="0009497B" w:rsidP="005E647A">
      <w:pPr>
        <w:pStyle w:val="NoSpacing"/>
        <w:shd w:val="clear" w:color="auto" w:fill="FFFFFF"/>
        <w:jc w:val="both"/>
        <w:rPr>
          <w:rFonts w:ascii="Cambria" w:hAnsi="Cambria"/>
          <w:color w:val="000000" w:themeColor="text1"/>
        </w:rPr>
      </w:pPr>
    </w:p>
    <w:p w14:paraId="6652FBDF" w14:textId="07F37883" w:rsidR="009F4791" w:rsidRPr="008B56B3" w:rsidRDefault="000811DA" w:rsidP="00A53957">
      <w:pPr>
        <w:pStyle w:val="NoSpacing"/>
        <w:shd w:val="clear" w:color="auto" w:fill="FFFFFF"/>
        <w:jc w:val="both"/>
        <w:rPr>
          <w:rFonts w:ascii="Cambria" w:hAnsi="Cambria"/>
          <w:b/>
          <w:bCs/>
          <w:color w:val="000000" w:themeColor="text1"/>
        </w:rPr>
      </w:pPr>
      <w:r w:rsidRPr="008B56B3">
        <w:rPr>
          <w:rFonts w:ascii="Cambria" w:hAnsi="Cambria"/>
          <w:b/>
          <w:bCs/>
          <w:color w:val="000000" w:themeColor="text1"/>
        </w:rPr>
        <w:t>Reportable Conduct Scheme</w:t>
      </w:r>
    </w:p>
    <w:p w14:paraId="4D0D0FA9" w14:textId="1DEC55FA" w:rsidR="00C62286" w:rsidRPr="008B56B3" w:rsidRDefault="00A53957" w:rsidP="00A53957">
      <w:pPr>
        <w:pStyle w:val="NoSpacing"/>
        <w:shd w:val="clear" w:color="auto" w:fill="FFFFFF"/>
        <w:jc w:val="both"/>
        <w:rPr>
          <w:rFonts w:ascii="Cambria" w:hAnsi="Cambria" w:cs="Calibri"/>
          <w:color w:val="000000" w:themeColor="text1"/>
        </w:rPr>
      </w:pPr>
      <w:r w:rsidRPr="008B56B3">
        <w:rPr>
          <w:rFonts w:ascii="Cambria" w:hAnsi="Cambria"/>
          <w:color w:val="000000" w:themeColor="text1"/>
        </w:rPr>
        <w:t xml:space="preserve">In its final report, the </w:t>
      </w:r>
      <w:r w:rsidR="000811DA" w:rsidRPr="008B56B3">
        <w:rPr>
          <w:rFonts w:ascii="Cambria" w:hAnsi="Cambria"/>
          <w:color w:val="000000" w:themeColor="text1"/>
        </w:rPr>
        <w:t>Royal Commission observed that institutional child abuse is widely underreported to government authorities</w:t>
      </w:r>
      <w:r w:rsidRPr="008B56B3">
        <w:rPr>
          <w:rFonts w:ascii="Cambria" w:hAnsi="Cambria"/>
          <w:color w:val="000000" w:themeColor="text1"/>
        </w:rPr>
        <w:t xml:space="preserve"> and recommended the establishment of a</w:t>
      </w:r>
      <w:r w:rsidRPr="008B56B3">
        <w:rPr>
          <w:rFonts w:ascii="Cambria" w:hAnsi="Cambria" w:cs="Calibri"/>
          <w:color w:val="000000" w:themeColor="text1"/>
        </w:rPr>
        <w:t xml:space="preserve"> reportable conduct scheme</w:t>
      </w:r>
      <w:r w:rsidR="00D774B4" w:rsidRPr="008B56B3">
        <w:rPr>
          <w:rFonts w:ascii="Cambria" w:hAnsi="Cambria" w:cs="Calibri"/>
          <w:color w:val="000000" w:themeColor="text1"/>
        </w:rPr>
        <w:t xml:space="preserve"> which was</w:t>
      </w:r>
      <w:r w:rsidR="00404D5D" w:rsidRPr="008B56B3">
        <w:rPr>
          <w:rFonts w:ascii="Cambria" w:hAnsi="Cambria" w:cs="Calibri"/>
          <w:color w:val="000000" w:themeColor="text1"/>
        </w:rPr>
        <w:t xml:space="preserve"> defined </w:t>
      </w:r>
      <w:r w:rsidR="00404D5D" w:rsidRPr="008B56B3">
        <w:rPr>
          <w:rFonts w:ascii="Cambria" w:hAnsi="Cambria"/>
        </w:rPr>
        <w:t>as “a legislated scheme for the reporting, investigation and independent oversight of a range of complaints or allegations made against employees and volunteers in certain government and non-government agencies, which may include child abuse, child neglect, and child-related misconduct”.</w:t>
      </w:r>
      <w:r w:rsidR="00404D5D" w:rsidRPr="008B56B3">
        <w:rPr>
          <w:rStyle w:val="FootnoteReference"/>
          <w:rFonts w:ascii="Cambria" w:hAnsi="Cambria"/>
        </w:rPr>
        <w:footnoteReference w:id="8"/>
      </w:r>
    </w:p>
    <w:p w14:paraId="7A430972" w14:textId="77777777" w:rsidR="00C62286" w:rsidRPr="008B56B3" w:rsidRDefault="00C62286" w:rsidP="00A53957">
      <w:pPr>
        <w:pStyle w:val="NoSpacing"/>
        <w:shd w:val="clear" w:color="auto" w:fill="FFFFFF"/>
        <w:jc w:val="both"/>
        <w:rPr>
          <w:rFonts w:ascii="Cambria" w:hAnsi="Cambria" w:cs="Calibri"/>
          <w:color w:val="000000" w:themeColor="text1"/>
        </w:rPr>
      </w:pPr>
    </w:p>
    <w:p w14:paraId="708292F4" w14:textId="77777777" w:rsidR="00D774B4" w:rsidRPr="008B56B3" w:rsidRDefault="00A53957" w:rsidP="00A53957">
      <w:pPr>
        <w:pStyle w:val="NoSpacing"/>
        <w:shd w:val="clear" w:color="auto" w:fill="FFFFFF"/>
        <w:jc w:val="both"/>
        <w:rPr>
          <w:rFonts w:ascii="Cambria" w:hAnsi="Cambria" w:cs="Calibri"/>
          <w:color w:val="000000" w:themeColor="text1"/>
        </w:rPr>
      </w:pPr>
      <w:r w:rsidRPr="008B56B3">
        <w:rPr>
          <w:rFonts w:ascii="Cambria" w:hAnsi="Cambria" w:cs="Calibri"/>
          <w:color w:val="000000" w:themeColor="text1"/>
        </w:rPr>
        <w:t>We support the Government’s intention to establish a</w:t>
      </w:r>
      <w:r w:rsidR="00C62286" w:rsidRPr="008B56B3">
        <w:rPr>
          <w:rFonts w:ascii="Cambria" w:hAnsi="Cambria" w:cs="Calibri"/>
          <w:color w:val="000000" w:themeColor="text1"/>
        </w:rPr>
        <w:t xml:space="preserve"> </w:t>
      </w:r>
      <w:r w:rsidRPr="008B56B3">
        <w:rPr>
          <w:rFonts w:ascii="Cambria" w:hAnsi="Cambria" w:cs="Calibri"/>
          <w:color w:val="000000" w:themeColor="text1"/>
        </w:rPr>
        <w:t xml:space="preserve">reportable conduct scheme </w:t>
      </w:r>
      <w:r w:rsidR="00D774B4" w:rsidRPr="008B56B3">
        <w:rPr>
          <w:rFonts w:ascii="Cambria" w:hAnsi="Cambria" w:cs="Calibri"/>
          <w:color w:val="000000" w:themeColor="text1"/>
        </w:rPr>
        <w:t xml:space="preserve">(‘the Scheme’) </w:t>
      </w:r>
      <w:r w:rsidR="00C62286" w:rsidRPr="008B56B3">
        <w:rPr>
          <w:rFonts w:ascii="Cambria" w:hAnsi="Cambria" w:cs="Calibri"/>
          <w:color w:val="000000" w:themeColor="text1"/>
        </w:rPr>
        <w:t>that is nationally consistent and</w:t>
      </w:r>
      <w:r w:rsidRPr="008B56B3">
        <w:rPr>
          <w:rFonts w:ascii="Cambria" w:hAnsi="Cambria" w:cs="Calibri"/>
          <w:color w:val="000000" w:themeColor="text1"/>
        </w:rPr>
        <w:t xml:space="preserve"> applies to entities and organisations identified as having significant responsibilities for children and young people or engaging with children and young people in a way that places them at higher risk of harm. The proposed scheme will allow for concerns to be raised with the Regulator, as well as creating obligations for entities and o</w:t>
      </w:r>
      <w:r w:rsidR="009F4791" w:rsidRPr="008B56B3">
        <w:rPr>
          <w:rFonts w:ascii="Cambria" w:hAnsi="Cambria" w:cs="Calibri"/>
          <w:color w:val="000000" w:themeColor="text1"/>
        </w:rPr>
        <w:t>r</w:t>
      </w:r>
      <w:r w:rsidRPr="008B56B3">
        <w:rPr>
          <w:rFonts w:ascii="Cambria" w:hAnsi="Cambria" w:cs="Calibri"/>
          <w:color w:val="000000" w:themeColor="text1"/>
        </w:rPr>
        <w:t xml:space="preserve">ganisations to report and respond to concerns raised. </w:t>
      </w:r>
    </w:p>
    <w:p w14:paraId="0089F17B" w14:textId="77777777" w:rsidR="00D774B4" w:rsidRPr="008B56B3" w:rsidRDefault="00D774B4" w:rsidP="00A53957">
      <w:pPr>
        <w:pStyle w:val="NoSpacing"/>
        <w:shd w:val="clear" w:color="auto" w:fill="FFFFFF"/>
        <w:jc w:val="both"/>
        <w:rPr>
          <w:rFonts w:ascii="Cambria" w:hAnsi="Cambria" w:cs="Calibri"/>
          <w:color w:val="000000" w:themeColor="text1"/>
        </w:rPr>
      </w:pPr>
    </w:p>
    <w:p w14:paraId="5E503DAC" w14:textId="77777777" w:rsidR="008B56B3" w:rsidRPr="008B56B3" w:rsidRDefault="008B56B3" w:rsidP="008B56B3">
      <w:pPr>
        <w:pStyle w:val="NoSpacing"/>
        <w:shd w:val="clear" w:color="auto" w:fill="FFFFFF"/>
        <w:jc w:val="both"/>
        <w:rPr>
          <w:rFonts w:ascii="Cambria" w:hAnsi="Cambria" w:cs="Calibri"/>
          <w:color w:val="000000" w:themeColor="text1"/>
        </w:rPr>
      </w:pPr>
      <w:r w:rsidRPr="008B56B3">
        <w:rPr>
          <w:rFonts w:ascii="Cambria" w:hAnsi="Cambria" w:cs="Calibri"/>
          <w:color w:val="000000" w:themeColor="text1"/>
        </w:rPr>
        <w:lastRenderedPageBreak/>
        <w:t>A</w:t>
      </w:r>
      <w:r w:rsidR="00D774B4" w:rsidRPr="008B56B3">
        <w:rPr>
          <w:rFonts w:ascii="Cambria" w:hAnsi="Cambria" w:cs="Calibri"/>
          <w:color w:val="000000" w:themeColor="text1"/>
        </w:rPr>
        <w:t xml:space="preserve">t the commencement of the proposed ‘Part 4 – Reportable Conduct Scheme’  we strongly recommend the </w:t>
      </w:r>
      <w:r w:rsidR="00322C71" w:rsidRPr="008B56B3">
        <w:rPr>
          <w:rFonts w:ascii="Cambria" w:hAnsi="Cambria" w:cs="Calibri"/>
          <w:color w:val="000000" w:themeColor="text1"/>
        </w:rPr>
        <w:t>introduction</w:t>
      </w:r>
      <w:r w:rsidR="00D774B4" w:rsidRPr="008B56B3">
        <w:rPr>
          <w:rFonts w:ascii="Cambria" w:hAnsi="Cambria" w:cs="Calibri"/>
          <w:color w:val="000000" w:themeColor="text1"/>
        </w:rPr>
        <w:t xml:space="preserve"> of principles that will guide the operation of the Scheme, including actions taken, or decisions made under the Scheme, as is the case in section 16B of the </w:t>
      </w:r>
      <w:r w:rsidR="00D774B4" w:rsidRPr="008B56B3">
        <w:rPr>
          <w:rFonts w:ascii="Cambria" w:hAnsi="Cambria" w:cs="Calibri"/>
          <w:i/>
          <w:iCs/>
          <w:color w:val="000000" w:themeColor="text1"/>
        </w:rPr>
        <w:t xml:space="preserve">Child Wellbeing and Safety Act 2005 </w:t>
      </w:r>
      <w:r w:rsidR="00D774B4" w:rsidRPr="008B56B3">
        <w:rPr>
          <w:rFonts w:ascii="Cambria" w:hAnsi="Cambria" w:cs="Calibri"/>
          <w:color w:val="000000" w:themeColor="text1"/>
        </w:rPr>
        <w:t xml:space="preserve">(Vic). Importantly, the Victorian principles provide that the protection of children is the paramount consideration, whilst other principles relate to reporting criminal conduct to the police, maintaining the primacy of a police investigation, working collaboratively in relation to investigations, ensuring employees receive natural justice and information sharing. We believe that these principles will provide greater clarity about the intent of the Scheme and should be adopted.   </w:t>
      </w:r>
    </w:p>
    <w:p w14:paraId="05FAAC81" w14:textId="77777777" w:rsidR="008B56B3" w:rsidRPr="008B56B3" w:rsidRDefault="008B56B3" w:rsidP="008B56B3">
      <w:pPr>
        <w:pStyle w:val="NoSpacing"/>
        <w:shd w:val="clear" w:color="auto" w:fill="FFFFFF"/>
        <w:jc w:val="both"/>
        <w:rPr>
          <w:rFonts w:ascii="Cambria" w:hAnsi="Cambria" w:cs="Calibri"/>
          <w:color w:val="000000" w:themeColor="text1"/>
        </w:rPr>
      </w:pPr>
    </w:p>
    <w:p w14:paraId="4B164DAB" w14:textId="0DD60986" w:rsidR="008B56B3" w:rsidRPr="008B56B3" w:rsidRDefault="008B56B3" w:rsidP="008B56B3">
      <w:pPr>
        <w:ind w:right="-347"/>
        <w:jc w:val="both"/>
        <w:rPr>
          <w:rFonts w:ascii="Cambria" w:hAnsi="Cambria" w:cs="Arial"/>
          <w:b/>
          <w:i/>
          <w:iCs/>
          <w:color w:val="000000" w:themeColor="text1"/>
        </w:rPr>
      </w:pPr>
      <w:r w:rsidRPr="008B56B3">
        <w:rPr>
          <w:rFonts w:ascii="Cambria" w:hAnsi="Cambria" w:cs="Arial"/>
          <w:b/>
          <w:i/>
          <w:iCs/>
          <w:color w:val="000000" w:themeColor="text1"/>
        </w:rPr>
        <w:t xml:space="preserve">Commissioner for Children and Young People Tasmania </w:t>
      </w:r>
    </w:p>
    <w:p w14:paraId="652617D0" w14:textId="0748F15A" w:rsidR="008B56B3" w:rsidRPr="008B56B3" w:rsidRDefault="00161352" w:rsidP="008B56B3">
      <w:pPr>
        <w:pStyle w:val="NoSpacing"/>
        <w:shd w:val="clear" w:color="auto" w:fill="FFFFFF"/>
        <w:jc w:val="both"/>
        <w:rPr>
          <w:rFonts w:ascii="Cambria" w:hAnsi="Cambria" w:cs="Calibri"/>
          <w:color w:val="000000" w:themeColor="text1"/>
        </w:rPr>
      </w:pPr>
      <w:r w:rsidRPr="008B56B3">
        <w:rPr>
          <w:rFonts w:ascii="Cambria" w:hAnsi="Cambria" w:cs="Arial"/>
          <w:color w:val="000000" w:themeColor="text1"/>
        </w:rPr>
        <w:t xml:space="preserve">As the </w:t>
      </w:r>
      <w:r w:rsidRPr="008B56B3">
        <w:rPr>
          <w:rFonts w:ascii="Cambria" w:hAnsi="Cambria" w:cs="Calibri"/>
          <w:color w:val="000000" w:themeColor="text1"/>
        </w:rPr>
        <w:t xml:space="preserve">Commissioner for Children and Young People Tasmania </w:t>
      </w:r>
      <w:r w:rsidR="008B56B3">
        <w:rPr>
          <w:rFonts w:ascii="Cambria" w:hAnsi="Cambria" w:cs="Calibri"/>
          <w:color w:val="000000" w:themeColor="text1"/>
        </w:rPr>
        <w:t xml:space="preserve">(CCYP) </w:t>
      </w:r>
      <w:r w:rsidRPr="008B56B3">
        <w:rPr>
          <w:rFonts w:ascii="Cambria" w:hAnsi="Cambria" w:cs="Calibri"/>
          <w:color w:val="000000" w:themeColor="text1"/>
        </w:rPr>
        <w:t>has previously noted, whilst there are a range of organisations able to respond to child sexual abuse in institutional settings, there is no independent regulator.</w:t>
      </w:r>
      <w:r w:rsidRPr="008B56B3">
        <w:rPr>
          <w:rStyle w:val="FootnoteReference"/>
          <w:rFonts w:ascii="Cambria" w:hAnsi="Cambria" w:cs="Calibri"/>
          <w:color w:val="000000" w:themeColor="text1"/>
        </w:rPr>
        <w:footnoteReference w:id="9"/>
      </w:r>
      <w:r w:rsidR="00594698" w:rsidRPr="008B56B3">
        <w:rPr>
          <w:rFonts w:ascii="Cambria" w:hAnsi="Cambria" w:cs="Calibri"/>
          <w:color w:val="000000" w:themeColor="text1"/>
        </w:rPr>
        <w:t xml:space="preserve"> </w:t>
      </w:r>
      <w:r w:rsidR="00D774B4" w:rsidRPr="008B56B3">
        <w:rPr>
          <w:rFonts w:ascii="Cambria" w:hAnsi="Cambria" w:cs="Calibri"/>
          <w:color w:val="000000" w:themeColor="text1"/>
        </w:rPr>
        <w:t xml:space="preserve">We strongly support an independent entity </w:t>
      </w:r>
      <w:r w:rsidR="008B56B3" w:rsidRPr="008B56B3">
        <w:rPr>
          <w:rFonts w:ascii="Cambria" w:hAnsi="Cambria" w:cs="Calibri"/>
          <w:color w:val="000000" w:themeColor="text1"/>
        </w:rPr>
        <w:t xml:space="preserve">having responsibility for oversight, monitoring and enforcement </w:t>
      </w:r>
      <w:r w:rsidR="00322C71" w:rsidRPr="008B56B3">
        <w:rPr>
          <w:rFonts w:ascii="Cambria" w:hAnsi="Cambria" w:cs="Calibri"/>
          <w:color w:val="000000" w:themeColor="text1"/>
        </w:rPr>
        <w:t>as well as being appropriately resourced to provide advice, training and assistance</w:t>
      </w:r>
      <w:r w:rsidR="00B603C7" w:rsidRPr="008B56B3">
        <w:rPr>
          <w:rFonts w:ascii="Cambria" w:hAnsi="Cambria" w:cs="Calibri"/>
          <w:color w:val="000000" w:themeColor="text1"/>
        </w:rPr>
        <w:t xml:space="preserve"> in relation to the Child and </w:t>
      </w:r>
      <w:r w:rsidR="00B603C7" w:rsidRPr="008B56B3">
        <w:rPr>
          <w:rFonts w:ascii="Cambria" w:hAnsi="Cambria"/>
          <w:color w:val="000000" w:themeColor="text1"/>
        </w:rPr>
        <w:t>Youth Safe Standards and the reportable conduct scheme.</w:t>
      </w:r>
      <w:r w:rsidR="00B603C7" w:rsidRPr="008B56B3">
        <w:rPr>
          <w:rFonts w:ascii="Cambria" w:hAnsi="Cambria"/>
          <w:b/>
          <w:bCs/>
          <w:i/>
          <w:iCs/>
          <w:color w:val="000000" w:themeColor="text1"/>
        </w:rPr>
        <w:t xml:space="preserve"> </w:t>
      </w:r>
    </w:p>
    <w:p w14:paraId="36CF14AD" w14:textId="77777777" w:rsidR="008B56B3" w:rsidRPr="008B56B3" w:rsidRDefault="008B56B3" w:rsidP="008B56B3">
      <w:pPr>
        <w:pStyle w:val="NoSpacing"/>
        <w:shd w:val="clear" w:color="auto" w:fill="FFFFFF"/>
        <w:jc w:val="both"/>
        <w:rPr>
          <w:rFonts w:ascii="Cambria" w:hAnsi="Cambria"/>
          <w:b/>
          <w:bCs/>
          <w:color w:val="000000" w:themeColor="text1"/>
        </w:rPr>
      </w:pPr>
    </w:p>
    <w:p w14:paraId="11DAF9F1" w14:textId="77777777" w:rsidR="008B56B3" w:rsidRDefault="00322C71" w:rsidP="008B56B3">
      <w:pPr>
        <w:pStyle w:val="NoSpacing"/>
        <w:shd w:val="clear" w:color="auto" w:fill="FFFFFF"/>
        <w:jc w:val="both"/>
        <w:rPr>
          <w:rFonts w:ascii="Cambria" w:hAnsi="Cambria" w:cs="Calibri"/>
          <w:color w:val="000000" w:themeColor="text1"/>
        </w:rPr>
      </w:pPr>
      <w:r w:rsidRPr="008B56B3">
        <w:rPr>
          <w:rFonts w:ascii="Cambria" w:hAnsi="Cambria" w:cs="Calibri"/>
          <w:color w:val="000000" w:themeColor="text1"/>
        </w:rPr>
        <w:t xml:space="preserve">We strongly believe that the </w:t>
      </w:r>
      <w:r w:rsidR="008B56B3">
        <w:rPr>
          <w:rFonts w:ascii="Cambria" w:hAnsi="Cambria" w:cs="Calibri"/>
          <w:color w:val="000000" w:themeColor="text1"/>
        </w:rPr>
        <w:t>CCYP</w:t>
      </w:r>
      <w:r w:rsidRPr="008B56B3">
        <w:rPr>
          <w:rFonts w:ascii="Cambria" w:hAnsi="Cambria" w:cs="Calibri"/>
          <w:color w:val="000000" w:themeColor="text1"/>
        </w:rPr>
        <w:t xml:space="preserve"> is the most appropriate organisation to act in this role given that the wellbeing and best interests of children </w:t>
      </w:r>
      <w:r w:rsidR="00594698" w:rsidRPr="008B56B3">
        <w:rPr>
          <w:rFonts w:ascii="Cambria" w:hAnsi="Cambria" w:cs="Calibri"/>
          <w:color w:val="000000" w:themeColor="text1"/>
        </w:rPr>
        <w:t>is</w:t>
      </w:r>
      <w:r w:rsidRPr="008B56B3">
        <w:rPr>
          <w:rFonts w:ascii="Cambria" w:hAnsi="Cambria" w:cs="Calibri"/>
          <w:color w:val="000000" w:themeColor="text1"/>
        </w:rPr>
        <w:t xml:space="preserve"> its paramount consideration.</w:t>
      </w:r>
      <w:r w:rsidRPr="008B56B3">
        <w:rPr>
          <w:rStyle w:val="FootnoteReference"/>
          <w:rFonts w:ascii="Cambria" w:hAnsi="Cambria" w:cs="Calibri"/>
          <w:color w:val="000000" w:themeColor="text1"/>
        </w:rPr>
        <w:footnoteReference w:id="10"/>
      </w:r>
      <w:r w:rsidRPr="008B56B3">
        <w:rPr>
          <w:rFonts w:ascii="Cambria" w:hAnsi="Cambria" w:cs="Calibri"/>
          <w:color w:val="000000" w:themeColor="text1"/>
        </w:rPr>
        <w:t xml:space="preserve">  </w:t>
      </w:r>
      <w:r w:rsidR="00B603C7" w:rsidRPr="008B56B3">
        <w:rPr>
          <w:rFonts w:ascii="Cambria" w:hAnsi="Cambria" w:cs="Calibri"/>
          <w:color w:val="000000" w:themeColor="text1"/>
        </w:rPr>
        <w:t>Recognising that in many sectors</w:t>
      </w:r>
      <w:r w:rsidR="00594698" w:rsidRPr="008B56B3">
        <w:rPr>
          <w:rFonts w:ascii="Cambria" w:hAnsi="Cambria" w:cs="Calibri"/>
          <w:color w:val="000000" w:themeColor="text1"/>
        </w:rPr>
        <w:t xml:space="preserve"> organisations</w:t>
      </w:r>
      <w:r w:rsidR="00B603C7" w:rsidRPr="008B56B3">
        <w:rPr>
          <w:rFonts w:ascii="Cambria" w:hAnsi="Cambria" w:cs="Calibri"/>
          <w:color w:val="000000" w:themeColor="text1"/>
        </w:rPr>
        <w:t xml:space="preserve"> are</w:t>
      </w:r>
      <w:r w:rsidR="00594698" w:rsidRPr="008B56B3">
        <w:rPr>
          <w:rFonts w:ascii="Cambria" w:hAnsi="Cambria" w:cs="Calibri"/>
          <w:color w:val="000000" w:themeColor="text1"/>
        </w:rPr>
        <w:t xml:space="preserve"> already providing regulation</w:t>
      </w:r>
      <w:r w:rsidR="00B603C7" w:rsidRPr="008B56B3">
        <w:rPr>
          <w:rFonts w:ascii="Cambria" w:hAnsi="Cambria" w:cs="Calibri"/>
          <w:color w:val="000000" w:themeColor="text1"/>
        </w:rPr>
        <w:t>, we recommend</w:t>
      </w:r>
      <w:r w:rsidR="00594698" w:rsidRPr="008B56B3">
        <w:rPr>
          <w:rFonts w:ascii="Cambria" w:hAnsi="Cambria" w:cs="Calibri"/>
          <w:color w:val="000000" w:themeColor="text1"/>
        </w:rPr>
        <w:t xml:space="preserve"> </w:t>
      </w:r>
      <w:r w:rsidR="00B603C7" w:rsidRPr="008B56B3">
        <w:rPr>
          <w:rFonts w:ascii="Cambria" w:hAnsi="Cambria" w:cs="Calibri"/>
          <w:color w:val="000000" w:themeColor="text1"/>
        </w:rPr>
        <w:t>the implementation of a</w:t>
      </w:r>
      <w:r w:rsidR="00594698" w:rsidRPr="008B56B3">
        <w:rPr>
          <w:rFonts w:ascii="Cambria" w:hAnsi="Cambria" w:cs="Calibri"/>
          <w:color w:val="000000" w:themeColor="text1"/>
        </w:rPr>
        <w:t xml:space="preserve"> co-regulatory model</w:t>
      </w:r>
      <w:r w:rsidR="00B603C7" w:rsidRPr="008B56B3">
        <w:rPr>
          <w:rFonts w:ascii="Cambria" w:hAnsi="Cambria" w:cs="Calibri"/>
          <w:color w:val="000000" w:themeColor="text1"/>
        </w:rPr>
        <w:t xml:space="preserve">, </w:t>
      </w:r>
      <w:r w:rsidR="00594698" w:rsidRPr="008B56B3">
        <w:rPr>
          <w:rFonts w:ascii="Cambria" w:hAnsi="Cambria" w:cs="Calibri"/>
          <w:color w:val="000000" w:themeColor="text1"/>
        </w:rPr>
        <w:t xml:space="preserve">where these organisations are able to continue </w:t>
      </w:r>
      <w:r w:rsidR="00B603C7" w:rsidRPr="008B56B3">
        <w:rPr>
          <w:rFonts w:ascii="Cambria" w:hAnsi="Cambria" w:cs="Calibri"/>
          <w:color w:val="000000" w:themeColor="text1"/>
        </w:rPr>
        <w:t>their</w:t>
      </w:r>
      <w:r w:rsidR="00594698" w:rsidRPr="008B56B3">
        <w:rPr>
          <w:rFonts w:ascii="Cambria" w:hAnsi="Cambria" w:cs="Calibri"/>
          <w:color w:val="000000" w:themeColor="text1"/>
        </w:rPr>
        <w:t xml:space="preserve"> regulat</w:t>
      </w:r>
      <w:r w:rsidR="00B603C7" w:rsidRPr="008B56B3">
        <w:rPr>
          <w:rFonts w:ascii="Cambria" w:hAnsi="Cambria" w:cs="Calibri"/>
          <w:color w:val="000000" w:themeColor="text1"/>
        </w:rPr>
        <w:t>ory functions</w:t>
      </w:r>
      <w:r w:rsidR="00594698" w:rsidRPr="008B56B3">
        <w:rPr>
          <w:rFonts w:ascii="Cambria" w:hAnsi="Cambria" w:cs="Calibri"/>
          <w:color w:val="000000" w:themeColor="text1"/>
        </w:rPr>
        <w:t xml:space="preserve"> whilst the </w:t>
      </w:r>
      <w:r w:rsidR="008B56B3">
        <w:rPr>
          <w:rFonts w:ascii="Cambria" w:hAnsi="Cambria" w:cs="Calibri"/>
          <w:color w:val="000000" w:themeColor="text1"/>
        </w:rPr>
        <w:t>CCYP</w:t>
      </w:r>
      <w:r w:rsidR="00594698" w:rsidRPr="008B56B3">
        <w:rPr>
          <w:rFonts w:ascii="Cambria" w:hAnsi="Cambria" w:cs="Calibri"/>
          <w:color w:val="000000" w:themeColor="text1"/>
        </w:rPr>
        <w:t xml:space="preserve"> provides </w:t>
      </w:r>
      <w:r w:rsidR="00B603C7" w:rsidRPr="008B56B3">
        <w:rPr>
          <w:rFonts w:ascii="Cambria" w:hAnsi="Cambria" w:cs="Calibri"/>
          <w:color w:val="000000" w:themeColor="text1"/>
        </w:rPr>
        <w:t xml:space="preserve">the overarching </w:t>
      </w:r>
      <w:r w:rsidR="00594698" w:rsidRPr="008B56B3">
        <w:rPr>
          <w:rFonts w:ascii="Cambria" w:hAnsi="Cambria" w:cs="Calibri"/>
          <w:color w:val="000000" w:themeColor="text1"/>
        </w:rPr>
        <w:t xml:space="preserve">independent oversight.  </w:t>
      </w:r>
    </w:p>
    <w:p w14:paraId="3477BF57" w14:textId="77777777" w:rsidR="008B56B3" w:rsidRDefault="008B56B3" w:rsidP="008B56B3">
      <w:pPr>
        <w:pStyle w:val="NoSpacing"/>
        <w:shd w:val="clear" w:color="auto" w:fill="FFFFFF"/>
        <w:jc w:val="both"/>
        <w:rPr>
          <w:rFonts w:ascii="Cambria" w:hAnsi="Cambria" w:cs="Calibri"/>
          <w:color w:val="000000" w:themeColor="text1"/>
        </w:rPr>
      </w:pPr>
    </w:p>
    <w:p w14:paraId="4E7DE3CF" w14:textId="2CFE4F64" w:rsidR="008B56B3" w:rsidRDefault="008B56B3" w:rsidP="008B56B3">
      <w:pPr>
        <w:pStyle w:val="NoSpacing"/>
        <w:shd w:val="clear" w:color="auto" w:fill="FFFFFF"/>
        <w:jc w:val="both"/>
        <w:rPr>
          <w:rFonts w:ascii="Cambria" w:hAnsi="Cambria" w:cs="Calibri"/>
          <w:color w:val="000000" w:themeColor="text1"/>
        </w:rPr>
      </w:pPr>
      <w:r>
        <w:rPr>
          <w:rFonts w:ascii="Cambria" w:hAnsi="Cambria" w:cs="Calibri"/>
          <w:color w:val="000000" w:themeColor="text1"/>
        </w:rPr>
        <w:t>If the CCYP is to be the independent regulator it is critical that they are appropriately resourced not simply to provide oversight but to have the capacity to meaningfully engage</w:t>
      </w:r>
      <w:r w:rsidRPr="000B56C5">
        <w:rPr>
          <w:rFonts w:ascii="Cambria" w:hAnsi="Cambria" w:cs="Arial"/>
          <w:color w:val="000000" w:themeColor="text1"/>
        </w:rPr>
        <w:t xml:space="preserve"> </w:t>
      </w:r>
      <w:r>
        <w:rPr>
          <w:rFonts w:ascii="Cambria" w:hAnsi="Cambria" w:cs="Arial"/>
          <w:color w:val="000000" w:themeColor="text1"/>
        </w:rPr>
        <w:t xml:space="preserve">in a </w:t>
      </w:r>
      <w:r w:rsidRPr="000B56C5">
        <w:rPr>
          <w:rFonts w:ascii="Cambria" w:hAnsi="Cambria" w:cs="Arial"/>
          <w:color w:val="000000" w:themeColor="text1"/>
        </w:rPr>
        <w:t xml:space="preserve">community-wide education campaign </w:t>
      </w:r>
      <w:r>
        <w:rPr>
          <w:rFonts w:ascii="Cambria" w:hAnsi="Cambria" w:cs="Arial"/>
          <w:color w:val="000000" w:themeColor="text1"/>
        </w:rPr>
        <w:t xml:space="preserve">that </w:t>
      </w:r>
      <w:r w:rsidRPr="000B56C5">
        <w:rPr>
          <w:rFonts w:ascii="Cambria" w:hAnsi="Cambria" w:cs="Arial"/>
          <w:color w:val="000000" w:themeColor="text1"/>
        </w:rPr>
        <w:t xml:space="preserve">will increase public awareness of the importance of child and youth safety, ensure that organisations </w:t>
      </w:r>
      <w:r w:rsidRPr="000B56C5">
        <w:rPr>
          <w:rFonts w:ascii="Cambria" w:hAnsi="Cambria" w:cs="Calibri"/>
          <w:color w:val="000000" w:themeColor="text1"/>
        </w:rPr>
        <w:t xml:space="preserve">are able to better prevent, identify and respond to child sexual abuse and other forms of abuse, and foster an environment where all members of the community can expect and demand child safe institutions. </w:t>
      </w:r>
    </w:p>
    <w:p w14:paraId="3DF37A68" w14:textId="33B27F4A" w:rsidR="00B748FA" w:rsidRPr="008B56B3" w:rsidRDefault="00B748FA" w:rsidP="00B748FA">
      <w:pPr>
        <w:jc w:val="both"/>
        <w:rPr>
          <w:rFonts w:ascii="Cambria" w:hAnsi="Cambria"/>
        </w:rPr>
      </w:pPr>
      <w:bookmarkStart w:id="0" w:name="OLE_LINK1"/>
    </w:p>
    <w:p w14:paraId="40ABCA50" w14:textId="77777777" w:rsidR="00B748FA" w:rsidRPr="008B56B3" w:rsidRDefault="00B748FA" w:rsidP="00B748FA">
      <w:pPr>
        <w:pStyle w:val="xmsonormal"/>
        <w:shd w:val="clear" w:color="auto" w:fill="FFFFFF"/>
        <w:spacing w:before="0" w:beforeAutospacing="0" w:after="0" w:afterAutospacing="0"/>
        <w:jc w:val="both"/>
        <w:rPr>
          <w:rFonts w:ascii="Cambria" w:hAnsi="Cambria"/>
          <w:color w:val="000000"/>
        </w:rPr>
      </w:pPr>
      <w:r w:rsidRPr="008B56B3">
        <w:rPr>
          <w:rFonts w:ascii="Cambria" w:hAnsi="Cambria"/>
        </w:rPr>
        <w:t xml:space="preserve">If you have any queries, or would like to discuss our submission further, please do not hesitate to contact us. </w:t>
      </w:r>
    </w:p>
    <w:p w14:paraId="197D336F" w14:textId="77777777" w:rsidR="00B748FA" w:rsidRPr="008B56B3" w:rsidRDefault="00B748FA" w:rsidP="00B748FA">
      <w:pPr>
        <w:rPr>
          <w:rFonts w:ascii="Cambria" w:hAnsi="Cambria"/>
        </w:rPr>
      </w:pPr>
    </w:p>
    <w:p w14:paraId="732AF107" w14:textId="77777777" w:rsidR="00B748FA" w:rsidRPr="008B56B3" w:rsidRDefault="00B748FA" w:rsidP="00B748FA">
      <w:pPr>
        <w:rPr>
          <w:rFonts w:ascii="Cambria" w:hAnsi="Cambria"/>
        </w:rPr>
      </w:pPr>
    </w:p>
    <w:p w14:paraId="516D933A" w14:textId="77777777" w:rsidR="00B748FA" w:rsidRPr="008B56B3" w:rsidRDefault="00B748FA" w:rsidP="00B748FA">
      <w:pPr>
        <w:rPr>
          <w:rFonts w:ascii="Cambria" w:hAnsi="Cambria"/>
        </w:rPr>
      </w:pPr>
      <w:r w:rsidRPr="008B56B3">
        <w:rPr>
          <w:rFonts w:ascii="Cambria" w:hAnsi="Cambria"/>
        </w:rPr>
        <w:t>Yours faithfully,</w:t>
      </w:r>
    </w:p>
    <w:bookmarkEnd w:id="0"/>
    <w:p w14:paraId="73B5F14F" w14:textId="77777777" w:rsidR="00B748FA" w:rsidRPr="008B56B3" w:rsidRDefault="00B748FA" w:rsidP="00B748FA">
      <w:pPr>
        <w:rPr>
          <w:rFonts w:ascii="Cambria" w:hAnsi="Cambria"/>
        </w:rPr>
      </w:pPr>
    </w:p>
    <w:p w14:paraId="25F74A5A" w14:textId="77777777" w:rsidR="00B748FA" w:rsidRPr="008B56B3" w:rsidRDefault="00B748FA" w:rsidP="00B748FA">
      <w:pPr>
        <w:rPr>
          <w:rFonts w:ascii="Cambria" w:hAnsi="Cambria"/>
        </w:rPr>
      </w:pPr>
    </w:p>
    <w:p w14:paraId="1AEC32D8" w14:textId="77777777" w:rsidR="00B748FA" w:rsidRPr="008B56B3" w:rsidRDefault="00B748FA" w:rsidP="00B748FA">
      <w:pPr>
        <w:rPr>
          <w:rFonts w:ascii="Cambria" w:hAnsi="Cambria"/>
        </w:rPr>
      </w:pPr>
    </w:p>
    <w:p w14:paraId="72673B44" w14:textId="77777777" w:rsidR="00B748FA" w:rsidRPr="008B56B3" w:rsidRDefault="00B748FA" w:rsidP="00B748FA">
      <w:pPr>
        <w:rPr>
          <w:rFonts w:ascii="Cambria" w:hAnsi="Cambria"/>
        </w:rPr>
      </w:pPr>
      <w:r w:rsidRPr="008B56B3">
        <w:rPr>
          <w:rFonts w:ascii="Cambria" w:hAnsi="Cambria"/>
        </w:rPr>
        <w:t>Benedict Bartl</w:t>
      </w:r>
    </w:p>
    <w:p w14:paraId="7D59A5BF" w14:textId="77777777" w:rsidR="00B748FA" w:rsidRPr="008B56B3" w:rsidRDefault="00B748FA" w:rsidP="00B748FA">
      <w:pPr>
        <w:rPr>
          <w:rFonts w:ascii="Cambria" w:hAnsi="Cambria"/>
        </w:rPr>
      </w:pPr>
      <w:r w:rsidRPr="008B56B3">
        <w:rPr>
          <w:rFonts w:ascii="Cambria" w:hAnsi="Cambria"/>
        </w:rPr>
        <w:t>Policy Officer</w:t>
      </w:r>
    </w:p>
    <w:p w14:paraId="11925BED" w14:textId="18C8918F" w:rsidR="00776DD4" w:rsidRPr="00000C73" w:rsidRDefault="00B748FA" w:rsidP="00000C73">
      <w:pPr>
        <w:pBdr>
          <w:bottom w:val="single" w:sz="6" w:space="1" w:color="auto"/>
        </w:pBdr>
        <w:rPr>
          <w:rFonts w:ascii="Cambria" w:hAnsi="Cambria"/>
          <w:b/>
          <w:bCs/>
        </w:rPr>
      </w:pPr>
      <w:r w:rsidRPr="008B56B3">
        <w:rPr>
          <w:rFonts w:ascii="Cambria" w:hAnsi="Cambria"/>
          <w:b/>
          <w:bCs/>
        </w:rPr>
        <w:t>Community Legal Centres Tasmania</w:t>
      </w:r>
    </w:p>
    <w:sectPr w:rsidR="00776DD4" w:rsidRPr="00000C7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4138" w14:textId="77777777" w:rsidR="00CC48CA" w:rsidRDefault="00CC48CA" w:rsidP="00B748FA">
      <w:r>
        <w:separator/>
      </w:r>
    </w:p>
  </w:endnote>
  <w:endnote w:type="continuationSeparator" w:id="0">
    <w:p w14:paraId="02E6D267" w14:textId="77777777" w:rsidR="00CC48CA" w:rsidRDefault="00CC48CA" w:rsidP="00B7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108557"/>
      <w:docPartObj>
        <w:docPartGallery w:val="Page Numbers (Bottom of Page)"/>
        <w:docPartUnique/>
      </w:docPartObj>
    </w:sdtPr>
    <w:sdtContent>
      <w:p w14:paraId="2A7359C4" w14:textId="77777777" w:rsidR="002F6682" w:rsidRDefault="009162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7808F" w14:textId="77777777" w:rsidR="002F6682" w:rsidRDefault="002F6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691377"/>
      <w:docPartObj>
        <w:docPartGallery w:val="Page Numbers (Bottom of Page)"/>
        <w:docPartUnique/>
      </w:docPartObj>
    </w:sdtPr>
    <w:sdtContent>
      <w:p w14:paraId="5F93BE31" w14:textId="77777777" w:rsidR="002F6682" w:rsidRDefault="009162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F43551" w14:textId="77777777" w:rsidR="002F6682" w:rsidRDefault="002F6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5A22" w14:textId="77777777" w:rsidR="00CC48CA" w:rsidRDefault="00CC48CA" w:rsidP="00B748FA">
      <w:r>
        <w:separator/>
      </w:r>
    </w:p>
  </w:footnote>
  <w:footnote w:type="continuationSeparator" w:id="0">
    <w:p w14:paraId="46D537C8" w14:textId="77777777" w:rsidR="00CC48CA" w:rsidRDefault="00CC48CA" w:rsidP="00B748FA">
      <w:r>
        <w:continuationSeparator/>
      </w:r>
    </w:p>
  </w:footnote>
  <w:footnote w:id="1">
    <w:p w14:paraId="01AE1C6F" w14:textId="77777777" w:rsidR="00B748FA" w:rsidRPr="008B56B3" w:rsidRDefault="00B748FA" w:rsidP="00B748FA">
      <w:pPr>
        <w:pStyle w:val="FootnoteText"/>
        <w:rPr>
          <w:rFonts w:ascii="Cambria" w:hAnsi="Cambria"/>
          <w:lang w:val="en-AU"/>
        </w:rPr>
      </w:pPr>
      <w:r w:rsidRPr="008B56B3">
        <w:rPr>
          <w:rStyle w:val="FootnoteReference"/>
          <w:rFonts w:ascii="Cambria" w:hAnsi="Cambria"/>
          <w:lang w:val="en-AU"/>
        </w:rPr>
        <w:footnoteRef/>
      </w:r>
      <w:r w:rsidRPr="008B56B3">
        <w:rPr>
          <w:rFonts w:ascii="Cambria" w:hAnsi="Cambria"/>
          <w:lang w:val="en-AU"/>
        </w:rPr>
        <w:t xml:space="preserve"> </w:t>
      </w:r>
      <w:r w:rsidRPr="008B56B3">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3D6BBBF7" w14:textId="08C02086" w:rsidR="00EA4AFA" w:rsidRPr="008B56B3" w:rsidRDefault="00EA4AFA">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rPr>
        <w:t xml:space="preserve">Royal Commission into Institutional Responses to Child Sexual Abuse, Final Report: </w:t>
      </w:r>
      <w:r w:rsidR="00DD7C0C" w:rsidRPr="008B56B3">
        <w:rPr>
          <w:rFonts w:ascii="Cambria" w:hAnsi="Cambria"/>
          <w:i/>
          <w:iCs/>
          <w:sz w:val="20"/>
          <w:szCs w:val="20"/>
        </w:rPr>
        <w:t>Preface and executive summary</w:t>
      </w:r>
      <w:r w:rsidRPr="008B56B3">
        <w:rPr>
          <w:rFonts w:ascii="Cambria" w:hAnsi="Cambria"/>
          <w:sz w:val="20"/>
          <w:szCs w:val="20"/>
        </w:rPr>
        <w:t xml:space="preserve"> (Commonwealth of Australia: 2017) at 1.</w:t>
      </w:r>
    </w:p>
  </w:footnote>
  <w:footnote w:id="3">
    <w:p w14:paraId="777B3BD4" w14:textId="57D84B0B" w:rsidR="00DD7C0C" w:rsidRPr="008B56B3" w:rsidRDefault="00DD7C0C">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rPr>
        <w:t xml:space="preserve">Royal Commission into Institutional Responses to Child Sexual Abuse, </w:t>
      </w:r>
      <w:r w:rsidRPr="008B56B3">
        <w:rPr>
          <w:rFonts w:ascii="Cambria" w:hAnsi="Cambria"/>
          <w:i/>
          <w:iCs/>
          <w:sz w:val="20"/>
          <w:szCs w:val="20"/>
        </w:rPr>
        <w:t>Final Report: Volume 6</w:t>
      </w:r>
      <w:r w:rsidR="00F81532" w:rsidRPr="008B56B3">
        <w:rPr>
          <w:rFonts w:ascii="Cambria" w:hAnsi="Cambria"/>
          <w:i/>
          <w:iCs/>
          <w:sz w:val="20"/>
          <w:szCs w:val="20"/>
        </w:rPr>
        <w:t xml:space="preserve"> </w:t>
      </w:r>
      <w:r w:rsidRPr="008B56B3">
        <w:rPr>
          <w:rFonts w:ascii="Cambria" w:hAnsi="Cambria"/>
          <w:i/>
          <w:iCs/>
          <w:sz w:val="20"/>
          <w:szCs w:val="20"/>
        </w:rPr>
        <w:t>Making institutions child safe</w:t>
      </w:r>
      <w:r w:rsidRPr="008B56B3">
        <w:rPr>
          <w:rFonts w:ascii="Cambria" w:hAnsi="Cambria"/>
          <w:sz w:val="20"/>
          <w:szCs w:val="20"/>
        </w:rPr>
        <w:t xml:space="preserve"> (Commonwealth of Australia: 2017)</w:t>
      </w:r>
      <w:r w:rsidR="00F81532" w:rsidRPr="008B56B3">
        <w:rPr>
          <w:rFonts w:ascii="Cambria" w:hAnsi="Cambria"/>
          <w:sz w:val="20"/>
          <w:szCs w:val="20"/>
        </w:rPr>
        <w:t xml:space="preserve"> at </w:t>
      </w:r>
      <w:r w:rsidR="009F4791" w:rsidRPr="008B56B3">
        <w:rPr>
          <w:rFonts w:ascii="Cambria" w:hAnsi="Cambria"/>
          <w:sz w:val="20"/>
          <w:szCs w:val="20"/>
        </w:rPr>
        <w:t>14</w:t>
      </w:r>
      <w:r w:rsidRPr="008B56B3">
        <w:rPr>
          <w:rFonts w:ascii="Cambria" w:hAnsi="Cambria"/>
          <w:sz w:val="20"/>
          <w:szCs w:val="20"/>
        </w:rPr>
        <w:t>.</w:t>
      </w:r>
    </w:p>
  </w:footnote>
  <w:footnote w:id="4">
    <w:p w14:paraId="25BACAF9" w14:textId="7D658B18" w:rsidR="001F4816" w:rsidRPr="008B56B3" w:rsidRDefault="001F4816">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rPr>
        <w:t xml:space="preserve">Royal Commission into Institutional Responses to Child Sexual Abuse, </w:t>
      </w:r>
      <w:r w:rsidRPr="008B56B3">
        <w:rPr>
          <w:rFonts w:ascii="Cambria" w:hAnsi="Cambria"/>
          <w:i/>
          <w:iCs/>
          <w:sz w:val="20"/>
          <w:szCs w:val="20"/>
        </w:rPr>
        <w:t>Final Report: Volume 6 Making institutions child safe</w:t>
      </w:r>
      <w:r w:rsidRPr="008B56B3">
        <w:rPr>
          <w:rFonts w:ascii="Cambria" w:hAnsi="Cambria"/>
          <w:sz w:val="20"/>
          <w:szCs w:val="20"/>
        </w:rPr>
        <w:t xml:space="preserve"> (Commonwealth of Australia: 2017) at 12.</w:t>
      </w:r>
    </w:p>
  </w:footnote>
  <w:footnote w:id="5">
    <w:p w14:paraId="1394DCE7" w14:textId="388F6661" w:rsidR="000A6D5D" w:rsidRPr="008B56B3" w:rsidRDefault="000A6D5D">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rPr>
        <w:t xml:space="preserve">National Office for Child Safety, ‘National Principles for Child Safe </w:t>
      </w:r>
      <w:proofErr w:type="spellStart"/>
      <w:r w:rsidRPr="008B56B3">
        <w:rPr>
          <w:rFonts w:ascii="Cambria" w:hAnsi="Cambria"/>
          <w:sz w:val="20"/>
          <w:szCs w:val="20"/>
        </w:rPr>
        <w:t>Organisations</w:t>
      </w:r>
      <w:proofErr w:type="spellEnd"/>
      <w:r w:rsidRPr="008B56B3">
        <w:rPr>
          <w:rFonts w:ascii="Cambria" w:hAnsi="Cambria"/>
          <w:sz w:val="20"/>
          <w:szCs w:val="20"/>
        </w:rPr>
        <w:t xml:space="preserve">’. </w:t>
      </w:r>
      <w:r w:rsidRPr="008B56B3">
        <w:rPr>
          <w:rFonts w:ascii="Cambria" w:hAnsi="Cambria"/>
          <w:sz w:val="20"/>
          <w:szCs w:val="20"/>
          <w:lang w:val="en-AU"/>
        </w:rPr>
        <w:t xml:space="preserve">As found at </w:t>
      </w:r>
      <w:hyperlink r:id="rId1" w:history="1">
        <w:r w:rsidRPr="008B56B3">
          <w:rPr>
            <w:rStyle w:val="Hyperlink"/>
            <w:rFonts w:ascii="Cambria" w:hAnsi="Cambria"/>
            <w:sz w:val="20"/>
            <w:szCs w:val="20"/>
            <w:lang w:val="en-AU"/>
          </w:rPr>
          <w:t>https://childsafety.pmc.gov.au/what-we-do/national-principles-child-safe-organisations</w:t>
        </w:r>
      </w:hyperlink>
      <w:r w:rsidRPr="008B56B3">
        <w:rPr>
          <w:rFonts w:ascii="Cambria" w:hAnsi="Cambria"/>
          <w:sz w:val="20"/>
          <w:szCs w:val="20"/>
          <w:lang w:val="en-AU"/>
        </w:rPr>
        <w:t xml:space="preserve"> (Accessed 27 September 2022).</w:t>
      </w:r>
      <w:r w:rsidRPr="008B56B3">
        <w:rPr>
          <w:rFonts w:ascii="Cambria" w:hAnsi="Cambria"/>
          <w:lang w:val="en-AU"/>
        </w:rPr>
        <w:t xml:space="preserve"> </w:t>
      </w:r>
    </w:p>
  </w:footnote>
  <w:footnote w:id="6">
    <w:p w14:paraId="74B611BE" w14:textId="59D2F929" w:rsidR="00964004" w:rsidRPr="008B56B3" w:rsidRDefault="00964004">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002702BE" w:rsidRPr="008B56B3">
        <w:rPr>
          <w:rFonts w:ascii="Cambria" w:hAnsi="Cambria" w:cs="Calibri"/>
          <w:color w:val="000000" w:themeColor="text1"/>
          <w:sz w:val="20"/>
          <w:szCs w:val="20"/>
        </w:rPr>
        <w:t xml:space="preserve">Commissioner for Children and Young People Tasmania, </w:t>
      </w:r>
      <w:r w:rsidR="002702BE" w:rsidRPr="008B56B3">
        <w:rPr>
          <w:rFonts w:ascii="Cambria" w:hAnsi="Cambria" w:cs="Calibri"/>
          <w:i/>
          <w:iCs/>
          <w:color w:val="000000" w:themeColor="text1"/>
          <w:sz w:val="20"/>
          <w:szCs w:val="20"/>
        </w:rPr>
        <w:t>Commission of Inquiry into the Tasmanian Government’s Responses to Child Sexual Abuse in Institutional Settings</w:t>
      </w:r>
      <w:r w:rsidR="002702BE" w:rsidRPr="008B56B3">
        <w:rPr>
          <w:rFonts w:ascii="Cambria" w:hAnsi="Cambria" w:cs="Calibri"/>
          <w:color w:val="000000" w:themeColor="text1"/>
          <w:sz w:val="20"/>
          <w:szCs w:val="20"/>
        </w:rPr>
        <w:t xml:space="preserve"> (July 2021) at 12.</w:t>
      </w:r>
    </w:p>
  </w:footnote>
  <w:footnote w:id="7">
    <w:p w14:paraId="2DD87D91" w14:textId="7B9C2BDE" w:rsidR="0009497B" w:rsidRPr="008B56B3" w:rsidRDefault="0009497B">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lang w:val="en-AU"/>
        </w:rPr>
        <w:t xml:space="preserve">Commission for Children and Young People. ‘The 11 Child Safe Standards’. As found at </w:t>
      </w:r>
      <w:hyperlink r:id="rId2" w:history="1">
        <w:r w:rsidRPr="008B56B3">
          <w:rPr>
            <w:rStyle w:val="Hyperlink"/>
            <w:rFonts w:ascii="Cambria" w:hAnsi="Cambria"/>
            <w:sz w:val="20"/>
            <w:szCs w:val="20"/>
            <w:lang w:val="en-AU"/>
          </w:rPr>
          <w:t>https://ccyp.vic.gov.au/child-safe-standards/the-11-child-safe-standards/</w:t>
        </w:r>
      </w:hyperlink>
      <w:r w:rsidRPr="008B56B3">
        <w:rPr>
          <w:rFonts w:ascii="Cambria" w:hAnsi="Cambria"/>
          <w:sz w:val="20"/>
          <w:szCs w:val="20"/>
          <w:lang w:val="en-AU"/>
        </w:rPr>
        <w:t xml:space="preserve"> (accessed 27 September 2022).</w:t>
      </w:r>
      <w:r w:rsidRPr="008B56B3">
        <w:rPr>
          <w:rFonts w:ascii="Cambria" w:hAnsi="Cambria"/>
          <w:lang w:val="en-AU"/>
        </w:rPr>
        <w:t xml:space="preserve"> </w:t>
      </w:r>
    </w:p>
  </w:footnote>
  <w:footnote w:id="8">
    <w:p w14:paraId="2C19A58D" w14:textId="65C13647" w:rsidR="00404D5D" w:rsidRPr="008B56B3" w:rsidRDefault="00404D5D" w:rsidP="00C62286">
      <w:pPr>
        <w:rPr>
          <w:rFonts w:ascii="Cambria" w:hAnsi="Cambria"/>
          <w:sz w:val="20"/>
          <w:szCs w:val="20"/>
        </w:rPr>
      </w:pPr>
      <w:r w:rsidRPr="008B56B3">
        <w:rPr>
          <w:rStyle w:val="FootnoteReference"/>
          <w:rFonts w:ascii="Cambria" w:hAnsi="Cambria"/>
        </w:rPr>
        <w:footnoteRef/>
      </w:r>
      <w:r w:rsidRPr="008B56B3">
        <w:rPr>
          <w:rFonts w:ascii="Cambria" w:hAnsi="Cambria"/>
        </w:rPr>
        <w:t xml:space="preserve"> </w:t>
      </w:r>
      <w:r w:rsidR="00C62286" w:rsidRPr="008B56B3">
        <w:rPr>
          <w:rFonts w:ascii="Cambria" w:hAnsi="Cambria"/>
          <w:sz w:val="20"/>
          <w:szCs w:val="20"/>
        </w:rPr>
        <w:t xml:space="preserve">Royal Commission into Institutional Responses to Child Sexual Abuse, Final Report: Volume 7 </w:t>
      </w:r>
      <w:r w:rsidR="00C62286" w:rsidRPr="008B56B3">
        <w:rPr>
          <w:rFonts w:ascii="Cambria" w:hAnsi="Cambria"/>
          <w:i/>
          <w:iCs/>
          <w:sz w:val="20"/>
          <w:szCs w:val="20"/>
        </w:rPr>
        <w:t>Improving institutional responding and reporting</w:t>
      </w:r>
      <w:r w:rsidR="00C62286" w:rsidRPr="008B56B3">
        <w:rPr>
          <w:rFonts w:ascii="Cambria" w:hAnsi="Cambria"/>
          <w:sz w:val="20"/>
          <w:szCs w:val="20"/>
        </w:rPr>
        <w:t xml:space="preserve"> (Commonwealth of Australia: 2017) </w:t>
      </w:r>
      <w:r w:rsidRPr="008B56B3">
        <w:rPr>
          <w:rFonts w:ascii="Cambria" w:hAnsi="Cambria"/>
          <w:sz w:val="20"/>
          <w:szCs w:val="20"/>
        </w:rPr>
        <w:t xml:space="preserve">at </w:t>
      </w:r>
      <w:r w:rsidR="00C62286" w:rsidRPr="008B56B3">
        <w:rPr>
          <w:rFonts w:ascii="Cambria" w:hAnsi="Cambria"/>
          <w:sz w:val="20"/>
          <w:szCs w:val="20"/>
        </w:rPr>
        <w:t>51</w:t>
      </w:r>
      <w:r w:rsidRPr="008B56B3">
        <w:rPr>
          <w:rFonts w:ascii="Cambria" w:hAnsi="Cambria"/>
          <w:sz w:val="20"/>
          <w:szCs w:val="20"/>
        </w:rPr>
        <w:t>.</w:t>
      </w:r>
    </w:p>
  </w:footnote>
  <w:footnote w:id="9">
    <w:p w14:paraId="2E85A7F5" w14:textId="77777777" w:rsidR="00161352" w:rsidRPr="008B56B3" w:rsidRDefault="00161352" w:rsidP="00161352">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cs="Calibri"/>
          <w:color w:val="000000" w:themeColor="text1"/>
          <w:sz w:val="20"/>
          <w:szCs w:val="20"/>
        </w:rPr>
        <w:t xml:space="preserve">Commissioner for Children and Young People Tasmania, </w:t>
      </w:r>
      <w:r w:rsidRPr="008B56B3">
        <w:rPr>
          <w:rFonts w:ascii="Cambria" w:hAnsi="Cambria" w:cs="Calibri"/>
          <w:i/>
          <w:iCs/>
          <w:color w:val="000000" w:themeColor="text1"/>
          <w:sz w:val="20"/>
          <w:szCs w:val="20"/>
        </w:rPr>
        <w:t>Commission of Inquiry into the Tasmanian Government’s Responses to Child Sexual Abuse in Institutional Settings</w:t>
      </w:r>
      <w:r w:rsidRPr="008B56B3">
        <w:rPr>
          <w:rFonts w:ascii="Cambria" w:hAnsi="Cambria" w:cs="Calibri"/>
          <w:color w:val="000000" w:themeColor="text1"/>
          <w:sz w:val="20"/>
          <w:szCs w:val="20"/>
        </w:rPr>
        <w:t xml:space="preserve"> (July 2021) at 5-7.</w:t>
      </w:r>
    </w:p>
  </w:footnote>
  <w:footnote w:id="10">
    <w:p w14:paraId="2673393A" w14:textId="102A3B28" w:rsidR="00322C71" w:rsidRPr="008B56B3" w:rsidRDefault="00322C71">
      <w:pPr>
        <w:pStyle w:val="FootnoteText"/>
        <w:rPr>
          <w:rFonts w:ascii="Cambria" w:hAnsi="Cambria"/>
          <w:lang w:val="en-AU"/>
        </w:rPr>
      </w:pPr>
      <w:r w:rsidRPr="008B56B3">
        <w:rPr>
          <w:rStyle w:val="FootnoteReference"/>
          <w:rFonts w:ascii="Cambria" w:hAnsi="Cambria"/>
        </w:rPr>
        <w:footnoteRef/>
      </w:r>
      <w:r w:rsidRPr="008B56B3">
        <w:rPr>
          <w:rFonts w:ascii="Cambria" w:hAnsi="Cambria"/>
        </w:rPr>
        <w:t xml:space="preserve"> </w:t>
      </w:r>
      <w:r w:rsidRPr="008B56B3">
        <w:rPr>
          <w:rFonts w:ascii="Cambria" w:hAnsi="Cambria"/>
          <w:sz w:val="20"/>
          <w:szCs w:val="20"/>
          <w:lang w:val="en-AU"/>
        </w:rPr>
        <w:t xml:space="preserve">Section 3 of the </w:t>
      </w:r>
      <w:r w:rsidRPr="008B56B3">
        <w:rPr>
          <w:rFonts w:ascii="Cambria" w:hAnsi="Cambria"/>
          <w:i/>
          <w:iCs/>
          <w:sz w:val="20"/>
          <w:szCs w:val="20"/>
          <w:lang w:val="en-AU"/>
        </w:rPr>
        <w:t>Commissioner for Children and Young People Act 2016</w:t>
      </w:r>
      <w:r w:rsidRPr="008B56B3">
        <w:rPr>
          <w:rFonts w:ascii="Cambria" w:hAnsi="Cambria"/>
          <w:sz w:val="20"/>
          <w:szCs w:val="20"/>
          <w:lang w:val="en-AU"/>
        </w:rPr>
        <w:t xml:space="preserve"> (Tas).</w:t>
      </w:r>
      <w:r w:rsidRPr="008B56B3">
        <w:rPr>
          <w:rFonts w:ascii="Cambria" w:hAnsi="Cambria"/>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447"/>
    <w:multiLevelType w:val="multilevel"/>
    <w:tmpl w:val="C550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D59AD"/>
    <w:multiLevelType w:val="multilevel"/>
    <w:tmpl w:val="362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82245"/>
    <w:multiLevelType w:val="multilevel"/>
    <w:tmpl w:val="C24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CE41D0"/>
    <w:multiLevelType w:val="multilevel"/>
    <w:tmpl w:val="F51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30C11"/>
    <w:multiLevelType w:val="hybridMultilevel"/>
    <w:tmpl w:val="3118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A540A"/>
    <w:multiLevelType w:val="multilevel"/>
    <w:tmpl w:val="73CA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B66D81"/>
    <w:multiLevelType w:val="multilevel"/>
    <w:tmpl w:val="852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582E75"/>
    <w:multiLevelType w:val="multilevel"/>
    <w:tmpl w:val="F47E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090456">
    <w:abstractNumId w:val="4"/>
  </w:num>
  <w:num w:numId="2" w16cid:durableId="1852837367">
    <w:abstractNumId w:val="3"/>
  </w:num>
  <w:num w:numId="3" w16cid:durableId="2144539641">
    <w:abstractNumId w:val="5"/>
  </w:num>
  <w:num w:numId="4" w16cid:durableId="236481113">
    <w:abstractNumId w:val="7"/>
  </w:num>
  <w:num w:numId="5" w16cid:durableId="395783246">
    <w:abstractNumId w:val="2"/>
  </w:num>
  <w:num w:numId="6" w16cid:durableId="2058119469">
    <w:abstractNumId w:val="1"/>
  </w:num>
  <w:num w:numId="7" w16cid:durableId="703404224">
    <w:abstractNumId w:val="6"/>
  </w:num>
  <w:num w:numId="8" w16cid:durableId="196426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FA"/>
    <w:rsid w:val="00000C73"/>
    <w:rsid w:val="0003039F"/>
    <w:rsid w:val="00076E5B"/>
    <w:rsid w:val="000811DA"/>
    <w:rsid w:val="0009497B"/>
    <w:rsid w:val="000A6D5D"/>
    <w:rsid w:val="000B56C5"/>
    <w:rsid w:val="000F721F"/>
    <w:rsid w:val="00116D1E"/>
    <w:rsid w:val="00132594"/>
    <w:rsid w:val="00161352"/>
    <w:rsid w:val="001823F5"/>
    <w:rsid w:val="001A27B9"/>
    <w:rsid w:val="001E5E96"/>
    <w:rsid w:val="001F4816"/>
    <w:rsid w:val="00241351"/>
    <w:rsid w:val="00253423"/>
    <w:rsid w:val="002702BE"/>
    <w:rsid w:val="002A4087"/>
    <w:rsid w:val="002C7227"/>
    <w:rsid w:val="002F49E8"/>
    <w:rsid w:val="002F6682"/>
    <w:rsid w:val="003172A8"/>
    <w:rsid w:val="00322C71"/>
    <w:rsid w:val="00323094"/>
    <w:rsid w:val="0037625E"/>
    <w:rsid w:val="003872E7"/>
    <w:rsid w:val="003E449B"/>
    <w:rsid w:val="00404D5D"/>
    <w:rsid w:val="004545EB"/>
    <w:rsid w:val="0047443B"/>
    <w:rsid w:val="005466B6"/>
    <w:rsid w:val="00594698"/>
    <w:rsid w:val="005976EB"/>
    <w:rsid w:val="005D1310"/>
    <w:rsid w:val="005E647A"/>
    <w:rsid w:val="005F2A3D"/>
    <w:rsid w:val="0064245C"/>
    <w:rsid w:val="006B419D"/>
    <w:rsid w:val="007364F2"/>
    <w:rsid w:val="00776DD4"/>
    <w:rsid w:val="00803F14"/>
    <w:rsid w:val="008043BD"/>
    <w:rsid w:val="00872FA6"/>
    <w:rsid w:val="008B46F4"/>
    <w:rsid w:val="008B56B3"/>
    <w:rsid w:val="009162DF"/>
    <w:rsid w:val="00964004"/>
    <w:rsid w:val="00976C8A"/>
    <w:rsid w:val="009866AC"/>
    <w:rsid w:val="009F4791"/>
    <w:rsid w:val="00A37D90"/>
    <w:rsid w:val="00A53957"/>
    <w:rsid w:val="00AB0037"/>
    <w:rsid w:val="00AC09B5"/>
    <w:rsid w:val="00AC6BC0"/>
    <w:rsid w:val="00B147EF"/>
    <w:rsid w:val="00B603C7"/>
    <w:rsid w:val="00B748FA"/>
    <w:rsid w:val="00B8433F"/>
    <w:rsid w:val="00BD759C"/>
    <w:rsid w:val="00BE72C8"/>
    <w:rsid w:val="00C62286"/>
    <w:rsid w:val="00CA1134"/>
    <w:rsid w:val="00CC48CA"/>
    <w:rsid w:val="00D774B4"/>
    <w:rsid w:val="00DC50CA"/>
    <w:rsid w:val="00DD7C0C"/>
    <w:rsid w:val="00E77E40"/>
    <w:rsid w:val="00EA4AFA"/>
    <w:rsid w:val="00F81532"/>
    <w:rsid w:val="00F873D9"/>
    <w:rsid w:val="00FC08AF"/>
    <w:rsid w:val="00FD6B4F"/>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24B696"/>
  <w15:docId w15:val="{5D144E58-D705-2E43-9EBF-2CA53694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71"/>
    <w:rPr>
      <w:rFonts w:ascii="Times New Roman" w:eastAsia="Times New Roman" w:hAnsi="Times New Roman" w:cs="Times New Roman"/>
      <w:lang w:eastAsia="en-GB"/>
    </w:rPr>
  </w:style>
  <w:style w:type="paragraph" w:styleId="Heading3">
    <w:name w:val="heading 3"/>
    <w:basedOn w:val="Normal"/>
    <w:link w:val="Heading3Char"/>
    <w:uiPriority w:val="9"/>
    <w:qFormat/>
    <w:rsid w:val="002A40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FA"/>
    <w:rPr>
      <w:color w:val="0563C1" w:themeColor="hyperlink"/>
      <w:u w:val="single"/>
    </w:rPr>
  </w:style>
  <w:style w:type="paragraph" w:styleId="FootnoteText">
    <w:name w:val="footnote text"/>
    <w:aliases w:val="Footnote,Text"/>
    <w:basedOn w:val="Normal"/>
    <w:link w:val="FootnoteTextChar"/>
    <w:unhideWhenUsed/>
    <w:rsid w:val="00B748FA"/>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B748FA"/>
    <w:rPr>
      <w:rFonts w:eastAsiaTheme="minorEastAsia"/>
      <w:lang w:val="en-US"/>
    </w:rPr>
  </w:style>
  <w:style w:type="character" w:styleId="FootnoteReference">
    <w:name w:val="footnote reference"/>
    <w:aliases w:val="Ref,de nota al pie"/>
    <w:basedOn w:val="DefaultParagraphFont"/>
    <w:unhideWhenUsed/>
    <w:qFormat/>
    <w:rsid w:val="00B748FA"/>
    <w:rPr>
      <w:vertAlign w:val="superscript"/>
    </w:rPr>
  </w:style>
  <w:style w:type="paragraph" w:styleId="NoSpacing">
    <w:name w:val="No Spacing"/>
    <w:uiPriority w:val="1"/>
    <w:qFormat/>
    <w:rsid w:val="00B748FA"/>
    <w:rPr>
      <w:rFonts w:ascii="Times New Roman" w:eastAsia="Times New Roman" w:hAnsi="Times New Roman" w:cs="Times New Roman"/>
      <w:lang w:eastAsia="en-GB"/>
    </w:rPr>
  </w:style>
  <w:style w:type="paragraph" w:styleId="Footer">
    <w:name w:val="footer"/>
    <w:basedOn w:val="Normal"/>
    <w:link w:val="FooterChar"/>
    <w:uiPriority w:val="99"/>
    <w:unhideWhenUsed/>
    <w:rsid w:val="00B748FA"/>
    <w:pPr>
      <w:tabs>
        <w:tab w:val="center" w:pos="4513"/>
        <w:tab w:val="right" w:pos="9026"/>
      </w:tabs>
    </w:pPr>
  </w:style>
  <w:style w:type="character" w:customStyle="1" w:styleId="FooterChar">
    <w:name w:val="Footer Char"/>
    <w:basedOn w:val="DefaultParagraphFont"/>
    <w:link w:val="Footer"/>
    <w:uiPriority w:val="99"/>
    <w:rsid w:val="00B748F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748FA"/>
  </w:style>
  <w:style w:type="paragraph" w:customStyle="1" w:styleId="xmsonormal">
    <w:name w:val="x_msonormal"/>
    <w:basedOn w:val="Normal"/>
    <w:rsid w:val="00B748FA"/>
    <w:pPr>
      <w:spacing w:before="100" w:beforeAutospacing="1" w:after="100" w:afterAutospacing="1"/>
    </w:pPr>
  </w:style>
  <w:style w:type="paragraph" w:styleId="ListParagraph">
    <w:name w:val="List Paragraph"/>
    <w:basedOn w:val="Normal"/>
    <w:uiPriority w:val="34"/>
    <w:qFormat/>
    <w:rsid w:val="00B748FA"/>
    <w:pPr>
      <w:tabs>
        <w:tab w:val="left" w:pos="567"/>
        <w:tab w:val="left" w:pos="1134"/>
        <w:tab w:val="left" w:pos="1701"/>
      </w:tabs>
      <w:spacing w:after="140" w:line="300" w:lineRule="exact"/>
      <w:contextualSpacing/>
    </w:pPr>
    <w:rPr>
      <w:rFonts w:asciiTheme="minorHAnsi" w:eastAsiaTheme="minorHAnsi" w:hAnsiTheme="minorHAnsi" w:cs="Times New Roman (Body CS)"/>
      <w:sz w:val="22"/>
      <w:lang w:eastAsia="en-US"/>
    </w:rPr>
  </w:style>
  <w:style w:type="character" w:styleId="UnresolvedMention">
    <w:name w:val="Unresolved Mention"/>
    <w:basedOn w:val="DefaultParagraphFont"/>
    <w:uiPriority w:val="99"/>
    <w:semiHidden/>
    <w:unhideWhenUsed/>
    <w:rsid w:val="00B748FA"/>
    <w:rPr>
      <w:color w:val="605E5C"/>
      <w:shd w:val="clear" w:color="auto" w:fill="E1DFDD"/>
    </w:rPr>
  </w:style>
  <w:style w:type="paragraph" w:styleId="NormalWeb">
    <w:name w:val="Normal (Web)"/>
    <w:basedOn w:val="Normal"/>
    <w:uiPriority w:val="99"/>
    <w:semiHidden/>
    <w:unhideWhenUsed/>
    <w:rsid w:val="003172A8"/>
    <w:pPr>
      <w:spacing w:before="100" w:beforeAutospacing="1" w:after="100" w:afterAutospacing="1"/>
    </w:pPr>
  </w:style>
  <w:style w:type="character" w:customStyle="1" w:styleId="Heading3Char">
    <w:name w:val="Heading 3 Char"/>
    <w:basedOn w:val="DefaultParagraphFont"/>
    <w:link w:val="Heading3"/>
    <w:uiPriority w:val="9"/>
    <w:rsid w:val="002A408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A4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817">
      <w:bodyDiv w:val="1"/>
      <w:marLeft w:val="0"/>
      <w:marRight w:val="0"/>
      <w:marTop w:val="0"/>
      <w:marBottom w:val="0"/>
      <w:divBdr>
        <w:top w:val="none" w:sz="0" w:space="0" w:color="auto"/>
        <w:left w:val="none" w:sz="0" w:space="0" w:color="auto"/>
        <w:bottom w:val="none" w:sz="0" w:space="0" w:color="auto"/>
        <w:right w:val="none" w:sz="0" w:space="0" w:color="auto"/>
      </w:divBdr>
    </w:div>
    <w:div w:id="57635780">
      <w:bodyDiv w:val="1"/>
      <w:marLeft w:val="0"/>
      <w:marRight w:val="0"/>
      <w:marTop w:val="0"/>
      <w:marBottom w:val="0"/>
      <w:divBdr>
        <w:top w:val="none" w:sz="0" w:space="0" w:color="auto"/>
        <w:left w:val="none" w:sz="0" w:space="0" w:color="auto"/>
        <w:bottom w:val="none" w:sz="0" w:space="0" w:color="auto"/>
        <w:right w:val="none" w:sz="0" w:space="0" w:color="auto"/>
      </w:divBdr>
    </w:div>
    <w:div w:id="63846139">
      <w:bodyDiv w:val="1"/>
      <w:marLeft w:val="0"/>
      <w:marRight w:val="0"/>
      <w:marTop w:val="0"/>
      <w:marBottom w:val="0"/>
      <w:divBdr>
        <w:top w:val="none" w:sz="0" w:space="0" w:color="auto"/>
        <w:left w:val="none" w:sz="0" w:space="0" w:color="auto"/>
        <w:bottom w:val="none" w:sz="0" w:space="0" w:color="auto"/>
        <w:right w:val="none" w:sz="0" w:space="0" w:color="auto"/>
      </w:divBdr>
      <w:divsChild>
        <w:div w:id="1459227762">
          <w:marLeft w:val="0"/>
          <w:marRight w:val="0"/>
          <w:marTop w:val="0"/>
          <w:marBottom w:val="0"/>
          <w:divBdr>
            <w:top w:val="none" w:sz="0" w:space="0" w:color="auto"/>
            <w:left w:val="none" w:sz="0" w:space="0" w:color="auto"/>
            <w:bottom w:val="none" w:sz="0" w:space="0" w:color="auto"/>
            <w:right w:val="none" w:sz="0" w:space="0" w:color="auto"/>
          </w:divBdr>
          <w:divsChild>
            <w:div w:id="978537066">
              <w:marLeft w:val="0"/>
              <w:marRight w:val="0"/>
              <w:marTop w:val="0"/>
              <w:marBottom w:val="0"/>
              <w:divBdr>
                <w:top w:val="none" w:sz="0" w:space="0" w:color="auto"/>
                <w:left w:val="none" w:sz="0" w:space="0" w:color="auto"/>
                <w:bottom w:val="none" w:sz="0" w:space="0" w:color="auto"/>
                <w:right w:val="none" w:sz="0" w:space="0" w:color="auto"/>
              </w:divBdr>
              <w:divsChild>
                <w:div w:id="2659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0422">
      <w:bodyDiv w:val="1"/>
      <w:marLeft w:val="0"/>
      <w:marRight w:val="0"/>
      <w:marTop w:val="0"/>
      <w:marBottom w:val="0"/>
      <w:divBdr>
        <w:top w:val="none" w:sz="0" w:space="0" w:color="auto"/>
        <w:left w:val="none" w:sz="0" w:space="0" w:color="auto"/>
        <w:bottom w:val="none" w:sz="0" w:space="0" w:color="auto"/>
        <w:right w:val="none" w:sz="0" w:space="0" w:color="auto"/>
      </w:divBdr>
      <w:divsChild>
        <w:div w:id="1604144804">
          <w:marLeft w:val="0"/>
          <w:marRight w:val="0"/>
          <w:marTop w:val="0"/>
          <w:marBottom w:val="0"/>
          <w:divBdr>
            <w:top w:val="none" w:sz="0" w:space="0" w:color="auto"/>
            <w:left w:val="none" w:sz="0" w:space="0" w:color="auto"/>
            <w:bottom w:val="none" w:sz="0" w:space="0" w:color="auto"/>
            <w:right w:val="none" w:sz="0" w:space="0" w:color="auto"/>
          </w:divBdr>
          <w:divsChild>
            <w:div w:id="1545016908">
              <w:marLeft w:val="0"/>
              <w:marRight w:val="0"/>
              <w:marTop w:val="0"/>
              <w:marBottom w:val="0"/>
              <w:divBdr>
                <w:top w:val="none" w:sz="0" w:space="0" w:color="auto"/>
                <w:left w:val="none" w:sz="0" w:space="0" w:color="auto"/>
                <w:bottom w:val="none" w:sz="0" w:space="0" w:color="auto"/>
                <w:right w:val="none" w:sz="0" w:space="0" w:color="auto"/>
              </w:divBdr>
              <w:divsChild>
                <w:div w:id="20602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7201">
      <w:bodyDiv w:val="1"/>
      <w:marLeft w:val="0"/>
      <w:marRight w:val="0"/>
      <w:marTop w:val="0"/>
      <w:marBottom w:val="0"/>
      <w:divBdr>
        <w:top w:val="none" w:sz="0" w:space="0" w:color="auto"/>
        <w:left w:val="none" w:sz="0" w:space="0" w:color="auto"/>
        <w:bottom w:val="none" w:sz="0" w:space="0" w:color="auto"/>
        <w:right w:val="none" w:sz="0" w:space="0" w:color="auto"/>
      </w:divBdr>
      <w:divsChild>
        <w:div w:id="998271877">
          <w:marLeft w:val="0"/>
          <w:marRight w:val="0"/>
          <w:marTop w:val="0"/>
          <w:marBottom w:val="0"/>
          <w:divBdr>
            <w:top w:val="none" w:sz="0" w:space="0" w:color="auto"/>
            <w:left w:val="none" w:sz="0" w:space="0" w:color="auto"/>
            <w:bottom w:val="none" w:sz="0" w:space="0" w:color="auto"/>
            <w:right w:val="none" w:sz="0" w:space="0" w:color="auto"/>
          </w:divBdr>
          <w:divsChild>
            <w:div w:id="2092266516">
              <w:marLeft w:val="0"/>
              <w:marRight w:val="0"/>
              <w:marTop w:val="0"/>
              <w:marBottom w:val="0"/>
              <w:divBdr>
                <w:top w:val="none" w:sz="0" w:space="0" w:color="auto"/>
                <w:left w:val="none" w:sz="0" w:space="0" w:color="auto"/>
                <w:bottom w:val="none" w:sz="0" w:space="0" w:color="auto"/>
                <w:right w:val="none" w:sz="0" w:space="0" w:color="auto"/>
              </w:divBdr>
              <w:divsChild>
                <w:div w:id="5709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9011">
      <w:bodyDiv w:val="1"/>
      <w:marLeft w:val="0"/>
      <w:marRight w:val="0"/>
      <w:marTop w:val="0"/>
      <w:marBottom w:val="0"/>
      <w:divBdr>
        <w:top w:val="none" w:sz="0" w:space="0" w:color="auto"/>
        <w:left w:val="none" w:sz="0" w:space="0" w:color="auto"/>
        <w:bottom w:val="none" w:sz="0" w:space="0" w:color="auto"/>
        <w:right w:val="none" w:sz="0" w:space="0" w:color="auto"/>
      </w:divBdr>
    </w:div>
    <w:div w:id="243955331">
      <w:bodyDiv w:val="1"/>
      <w:marLeft w:val="0"/>
      <w:marRight w:val="0"/>
      <w:marTop w:val="0"/>
      <w:marBottom w:val="0"/>
      <w:divBdr>
        <w:top w:val="none" w:sz="0" w:space="0" w:color="auto"/>
        <w:left w:val="none" w:sz="0" w:space="0" w:color="auto"/>
        <w:bottom w:val="none" w:sz="0" w:space="0" w:color="auto"/>
        <w:right w:val="none" w:sz="0" w:space="0" w:color="auto"/>
      </w:divBdr>
      <w:divsChild>
        <w:div w:id="752167452">
          <w:marLeft w:val="0"/>
          <w:marRight w:val="0"/>
          <w:marTop w:val="0"/>
          <w:marBottom w:val="0"/>
          <w:divBdr>
            <w:top w:val="none" w:sz="0" w:space="0" w:color="auto"/>
            <w:left w:val="none" w:sz="0" w:space="0" w:color="auto"/>
            <w:bottom w:val="none" w:sz="0" w:space="0" w:color="auto"/>
            <w:right w:val="none" w:sz="0" w:space="0" w:color="auto"/>
          </w:divBdr>
          <w:divsChild>
            <w:div w:id="1223370696">
              <w:marLeft w:val="0"/>
              <w:marRight w:val="0"/>
              <w:marTop w:val="0"/>
              <w:marBottom w:val="0"/>
              <w:divBdr>
                <w:top w:val="none" w:sz="0" w:space="0" w:color="auto"/>
                <w:left w:val="none" w:sz="0" w:space="0" w:color="auto"/>
                <w:bottom w:val="none" w:sz="0" w:space="0" w:color="auto"/>
                <w:right w:val="none" w:sz="0" w:space="0" w:color="auto"/>
              </w:divBdr>
              <w:divsChild>
                <w:div w:id="89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6869">
      <w:bodyDiv w:val="1"/>
      <w:marLeft w:val="0"/>
      <w:marRight w:val="0"/>
      <w:marTop w:val="0"/>
      <w:marBottom w:val="0"/>
      <w:divBdr>
        <w:top w:val="none" w:sz="0" w:space="0" w:color="auto"/>
        <w:left w:val="none" w:sz="0" w:space="0" w:color="auto"/>
        <w:bottom w:val="none" w:sz="0" w:space="0" w:color="auto"/>
        <w:right w:val="none" w:sz="0" w:space="0" w:color="auto"/>
      </w:divBdr>
    </w:div>
    <w:div w:id="415983071">
      <w:bodyDiv w:val="1"/>
      <w:marLeft w:val="0"/>
      <w:marRight w:val="0"/>
      <w:marTop w:val="0"/>
      <w:marBottom w:val="0"/>
      <w:divBdr>
        <w:top w:val="none" w:sz="0" w:space="0" w:color="auto"/>
        <w:left w:val="none" w:sz="0" w:space="0" w:color="auto"/>
        <w:bottom w:val="none" w:sz="0" w:space="0" w:color="auto"/>
        <w:right w:val="none" w:sz="0" w:space="0" w:color="auto"/>
      </w:divBdr>
    </w:div>
    <w:div w:id="425227854">
      <w:bodyDiv w:val="1"/>
      <w:marLeft w:val="0"/>
      <w:marRight w:val="0"/>
      <w:marTop w:val="0"/>
      <w:marBottom w:val="0"/>
      <w:divBdr>
        <w:top w:val="none" w:sz="0" w:space="0" w:color="auto"/>
        <w:left w:val="none" w:sz="0" w:space="0" w:color="auto"/>
        <w:bottom w:val="none" w:sz="0" w:space="0" w:color="auto"/>
        <w:right w:val="none" w:sz="0" w:space="0" w:color="auto"/>
      </w:divBdr>
      <w:divsChild>
        <w:div w:id="1723140618">
          <w:marLeft w:val="0"/>
          <w:marRight w:val="0"/>
          <w:marTop w:val="0"/>
          <w:marBottom w:val="0"/>
          <w:divBdr>
            <w:top w:val="none" w:sz="0" w:space="0" w:color="auto"/>
            <w:left w:val="none" w:sz="0" w:space="0" w:color="auto"/>
            <w:bottom w:val="none" w:sz="0" w:space="0" w:color="auto"/>
            <w:right w:val="none" w:sz="0" w:space="0" w:color="auto"/>
          </w:divBdr>
          <w:divsChild>
            <w:div w:id="582646091">
              <w:marLeft w:val="0"/>
              <w:marRight w:val="0"/>
              <w:marTop w:val="0"/>
              <w:marBottom w:val="0"/>
              <w:divBdr>
                <w:top w:val="none" w:sz="0" w:space="0" w:color="auto"/>
                <w:left w:val="none" w:sz="0" w:space="0" w:color="auto"/>
                <w:bottom w:val="none" w:sz="0" w:space="0" w:color="auto"/>
                <w:right w:val="none" w:sz="0" w:space="0" w:color="auto"/>
              </w:divBdr>
              <w:divsChild>
                <w:div w:id="17874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39121">
      <w:bodyDiv w:val="1"/>
      <w:marLeft w:val="0"/>
      <w:marRight w:val="0"/>
      <w:marTop w:val="0"/>
      <w:marBottom w:val="0"/>
      <w:divBdr>
        <w:top w:val="none" w:sz="0" w:space="0" w:color="auto"/>
        <w:left w:val="none" w:sz="0" w:space="0" w:color="auto"/>
        <w:bottom w:val="none" w:sz="0" w:space="0" w:color="auto"/>
        <w:right w:val="none" w:sz="0" w:space="0" w:color="auto"/>
      </w:divBdr>
      <w:divsChild>
        <w:div w:id="180573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83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4184964">
      <w:bodyDiv w:val="1"/>
      <w:marLeft w:val="0"/>
      <w:marRight w:val="0"/>
      <w:marTop w:val="0"/>
      <w:marBottom w:val="0"/>
      <w:divBdr>
        <w:top w:val="none" w:sz="0" w:space="0" w:color="auto"/>
        <w:left w:val="none" w:sz="0" w:space="0" w:color="auto"/>
        <w:bottom w:val="none" w:sz="0" w:space="0" w:color="auto"/>
        <w:right w:val="none" w:sz="0" w:space="0" w:color="auto"/>
      </w:divBdr>
    </w:div>
    <w:div w:id="814685044">
      <w:bodyDiv w:val="1"/>
      <w:marLeft w:val="0"/>
      <w:marRight w:val="0"/>
      <w:marTop w:val="0"/>
      <w:marBottom w:val="0"/>
      <w:divBdr>
        <w:top w:val="none" w:sz="0" w:space="0" w:color="auto"/>
        <w:left w:val="none" w:sz="0" w:space="0" w:color="auto"/>
        <w:bottom w:val="none" w:sz="0" w:space="0" w:color="auto"/>
        <w:right w:val="none" w:sz="0" w:space="0" w:color="auto"/>
      </w:divBdr>
    </w:div>
    <w:div w:id="832262397">
      <w:bodyDiv w:val="1"/>
      <w:marLeft w:val="0"/>
      <w:marRight w:val="0"/>
      <w:marTop w:val="0"/>
      <w:marBottom w:val="0"/>
      <w:divBdr>
        <w:top w:val="none" w:sz="0" w:space="0" w:color="auto"/>
        <w:left w:val="none" w:sz="0" w:space="0" w:color="auto"/>
        <w:bottom w:val="none" w:sz="0" w:space="0" w:color="auto"/>
        <w:right w:val="none" w:sz="0" w:space="0" w:color="auto"/>
      </w:divBdr>
      <w:divsChild>
        <w:div w:id="1043291821">
          <w:marLeft w:val="0"/>
          <w:marRight w:val="0"/>
          <w:marTop w:val="0"/>
          <w:marBottom w:val="0"/>
          <w:divBdr>
            <w:top w:val="none" w:sz="0" w:space="0" w:color="auto"/>
            <w:left w:val="none" w:sz="0" w:space="0" w:color="auto"/>
            <w:bottom w:val="none" w:sz="0" w:space="0" w:color="auto"/>
            <w:right w:val="none" w:sz="0" w:space="0" w:color="auto"/>
          </w:divBdr>
          <w:divsChild>
            <w:div w:id="1558786236">
              <w:marLeft w:val="0"/>
              <w:marRight w:val="0"/>
              <w:marTop w:val="0"/>
              <w:marBottom w:val="0"/>
              <w:divBdr>
                <w:top w:val="none" w:sz="0" w:space="0" w:color="auto"/>
                <w:left w:val="none" w:sz="0" w:space="0" w:color="auto"/>
                <w:bottom w:val="none" w:sz="0" w:space="0" w:color="auto"/>
                <w:right w:val="none" w:sz="0" w:space="0" w:color="auto"/>
              </w:divBdr>
              <w:divsChild>
                <w:div w:id="21434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3975">
      <w:bodyDiv w:val="1"/>
      <w:marLeft w:val="0"/>
      <w:marRight w:val="0"/>
      <w:marTop w:val="0"/>
      <w:marBottom w:val="0"/>
      <w:divBdr>
        <w:top w:val="none" w:sz="0" w:space="0" w:color="auto"/>
        <w:left w:val="none" w:sz="0" w:space="0" w:color="auto"/>
        <w:bottom w:val="none" w:sz="0" w:space="0" w:color="auto"/>
        <w:right w:val="none" w:sz="0" w:space="0" w:color="auto"/>
      </w:divBdr>
      <w:divsChild>
        <w:div w:id="980957776">
          <w:marLeft w:val="0"/>
          <w:marRight w:val="0"/>
          <w:marTop w:val="0"/>
          <w:marBottom w:val="0"/>
          <w:divBdr>
            <w:top w:val="none" w:sz="0" w:space="0" w:color="auto"/>
            <w:left w:val="none" w:sz="0" w:space="0" w:color="auto"/>
            <w:bottom w:val="none" w:sz="0" w:space="0" w:color="auto"/>
            <w:right w:val="none" w:sz="0" w:space="0" w:color="auto"/>
          </w:divBdr>
          <w:divsChild>
            <w:div w:id="1584297960">
              <w:marLeft w:val="0"/>
              <w:marRight w:val="0"/>
              <w:marTop w:val="0"/>
              <w:marBottom w:val="0"/>
              <w:divBdr>
                <w:top w:val="none" w:sz="0" w:space="0" w:color="auto"/>
                <w:left w:val="none" w:sz="0" w:space="0" w:color="auto"/>
                <w:bottom w:val="none" w:sz="0" w:space="0" w:color="auto"/>
                <w:right w:val="none" w:sz="0" w:space="0" w:color="auto"/>
              </w:divBdr>
              <w:divsChild>
                <w:div w:id="17875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6156">
      <w:bodyDiv w:val="1"/>
      <w:marLeft w:val="0"/>
      <w:marRight w:val="0"/>
      <w:marTop w:val="0"/>
      <w:marBottom w:val="0"/>
      <w:divBdr>
        <w:top w:val="none" w:sz="0" w:space="0" w:color="auto"/>
        <w:left w:val="none" w:sz="0" w:space="0" w:color="auto"/>
        <w:bottom w:val="none" w:sz="0" w:space="0" w:color="auto"/>
        <w:right w:val="none" w:sz="0" w:space="0" w:color="auto"/>
      </w:divBdr>
    </w:div>
    <w:div w:id="1384524451">
      <w:bodyDiv w:val="1"/>
      <w:marLeft w:val="0"/>
      <w:marRight w:val="0"/>
      <w:marTop w:val="0"/>
      <w:marBottom w:val="0"/>
      <w:divBdr>
        <w:top w:val="none" w:sz="0" w:space="0" w:color="auto"/>
        <w:left w:val="none" w:sz="0" w:space="0" w:color="auto"/>
        <w:bottom w:val="none" w:sz="0" w:space="0" w:color="auto"/>
        <w:right w:val="none" w:sz="0" w:space="0" w:color="auto"/>
      </w:divBdr>
      <w:divsChild>
        <w:div w:id="1010790256">
          <w:marLeft w:val="0"/>
          <w:marRight w:val="0"/>
          <w:marTop w:val="0"/>
          <w:marBottom w:val="0"/>
          <w:divBdr>
            <w:top w:val="none" w:sz="0" w:space="0" w:color="auto"/>
            <w:left w:val="none" w:sz="0" w:space="0" w:color="auto"/>
            <w:bottom w:val="none" w:sz="0" w:space="0" w:color="auto"/>
            <w:right w:val="none" w:sz="0" w:space="0" w:color="auto"/>
          </w:divBdr>
          <w:divsChild>
            <w:div w:id="1213806067">
              <w:marLeft w:val="0"/>
              <w:marRight w:val="0"/>
              <w:marTop w:val="0"/>
              <w:marBottom w:val="0"/>
              <w:divBdr>
                <w:top w:val="none" w:sz="0" w:space="0" w:color="auto"/>
                <w:left w:val="none" w:sz="0" w:space="0" w:color="auto"/>
                <w:bottom w:val="none" w:sz="0" w:space="0" w:color="auto"/>
                <w:right w:val="none" w:sz="0" w:space="0" w:color="auto"/>
              </w:divBdr>
              <w:divsChild>
                <w:div w:id="14248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37">
      <w:bodyDiv w:val="1"/>
      <w:marLeft w:val="0"/>
      <w:marRight w:val="0"/>
      <w:marTop w:val="0"/>
      <w:marBottom w:val="0"/>
      <w:divBdr>
        <w:top w:val="none" w:sz="0" w:space="0" w:color="auto"/>
        <w:left w:val="none" w:sz="0" w:space="0" w:color="auto"/>
        <w:bottom w:val="none" w:sz="0" w:space="0" w:color="auto"/>
        <w:right w:val="none" w:sz="0" w:space="0" w:color="auto"/>
      </w:divBdr>
    </w:div>
    <w:div w:id="1462385494">
      <w:bodyDiv w:val="1"/>
      <w:marLeft w:val="0"/>
      <w:marRight w:val="0"/>
      <w:marTop w:val="0"/>
      <w:marBottom w:val="0"/>
      <w:divBdr>
        <w:top w:val="none" w:sz="0" w:space="0" w:color="auto"/>
        <w:left w:val="none" w:sz="0" w:space="0" w:color="auto"/>
        <w:bottom w:val="none" w:sz="0" w:space="0" w:color="auto"/>
        <w:right w:val="none" w:sz="0" w:space="0" w:color="auto"/>
      </w:divBdr>
    </w:div>
    <w:div w:id="1464036531">
      <w:bodyDiv w:val="1"/>
      <w:marLeft w:val="0"/>
      <w:marRight w:val="0"/>
      <w:marTop w:val="0"/>
      <w:marBottom w:val="0"/>
      <w:divBdr>
        <w:top w:val="none" w:sz="0" w:space="0" w:color="auto"/>
        <w:left w:val="none" w:sz="0" w:space="0" w:color="auto"/>
        <w:bottom w:val="none" w:sz="0" w:space="0" w:color="auto"/>
        <w:right w:val="none" w:sz="0" w:space="0" w:color="auto"/>
      </w:divBdr>
    </w:div>
    <w:div w:id="1523276575">
      <w:bodyDiv w:val="1"/>
      <w:marLeft w:val="0"/>
      <w:marRight w:val="0"/>
      <w:marTop w:val="0"/>
      <w:marBottom w:val="0"/>
      <w:divBdr>
        <w:top w:val="none" w:sz="0" w:space="0" w:color="auto"/>
        <w:left w:val="none" w:sz="0" w:space="0" w:color="auto"/>
        <w:bottom w:val="none" w:sz="0" w:space="0" w:color="auto"/>
        <w:right w:val="none" w:sz="0" w:space="0" w:color="auto"/>
      </w:divBdr>
    </w:div>
    <w:div w:id="1691174834">
      <w:bodyDiv w:val="1"/>
      <w:marLeft w:val="0"/>
      <w:marRight w:val="0"/>
      <w:marTop w:val="0"/>
      <w:marBottom w:val="0"/>
      <w:divBdr>
        <w:top w:val="none" w:sz="0" w:space="0" w:color="auto"/>
        <w:left w:val="none" w:sz="0" w:space="0" w:color="auto"/>
        <w:bottom w:val="none" w:sz="0" w:space="0" w:color="auto"/>
        <w:right w:val="none" w:sz="0" w:space="0" w:color="auto"/>
      </w:divBdr>
    </w:div>
    <w:div w:id="1770542577">
      <w:bodyDiv w:val="1"/>
      <w:marLeft w:val="0"/>
      <w:marRight w:val="0"/>
      <w:marTop w:val="0"/>
      <w:marBottom w:val="0"/>
      <w:divBdr>
        <w:top w:val="none" w:sz="0" w:space="0" w:color="auto"/>
        <w:left w:val="none" w:sz="0" w:space="0" w:color="auto"/>
        <w:bottom w:val="none" w:sz="0" w:space="0" w:color="auto"/>
        <w:right w:val="none" w:sz="0" w:space="0" w:color="auto"/>
      </w:divBdr>
    </w:div>
    <w:div w:id="1899583205">
      <w:bodyDiv w:val="1"/>
      <w:marLeft w:val="0"/>
      <w:marRight w:val="0"/>
      <w:marTop w:val="0"/>
      <w:marBottom w:val="0"/>
      <w:divBdr>
        <w:top w:val="none" w:sz="0" w:space="0" w:color="auto"/>
        <w:left w:val="none" w:sz="0" w:space="0" w:color="auto"/>
        <w:bottom w:val="none" w:sz="0" w:space="0" w:color="auto"/>
        <w:right w:val="none" w:sz="0" w:space="0" w:color="auto"/>
      </w:divBdr>
      <w:divsChild>
        <w:div w:id="1269004896">
          <w:marLeft w:val="0"/>
          <w:marRight w:val="0"/>
          <w:marTop w:val="0"/>
          <w:marBottom w:val="0"/>
          <w:divBdr>
            <w:top w:val="none" w:sz="0" w:space="0" w:color="auto"/>
            <w:left w:val="none" w:sz="0" w:space="0" w:color="auto"/>
            <w:bottom w:val="none" w:sz="0" w:space="0" w:color="auto"/>
            <w:right w:val="none" w:sz="0" w:space="0" w:color="auto"/>
          </w:divBdr>
          <w:divsChild>
            <w:div w:id="751045581">
              <w:marLeft w:val="0"/>
              <w:marRight w:val="0"/>
              <w:marTop w:val="0"/>
              <w:marBottom w:val="0"/>
              <w:divBdr>
                <w:top w:val="none" w:sz="0" w:space="0" w:color="auto"/>
                <w:left w:val="none" w:sz="0" w:space="0" w:color="auto"/>
                <w:bottom w:val="none" w:sz="0" w:space="0" w:color="auto"/>
                <w:right w:val="none" w:sz="0" w:space="0" w:color="auto"/>
              </w:divBdr>
              <w:divsChild>
                <w:div w:id="1128932629">
                  <w:marLeft w:val="0"/>
                  <w:marRight w:val="0"/>
                  <w:marTop w:val="0"/>
                  <w:marBottom w:val="0"/>
                  <w:divBdr>
                    <w:top w:val="none" w:sz="0" w:space="0" w:color="auto"/>
                    <w:left w:val="none" w:sz="0" w:space="0" w:color="auto"/>
                    <w:bottom w:val="none" w:sz="0" w:space="0" w:color="auto"/>
                    <w:right w:val="none" w:sz="0" w:space="0" w:color="auto"/>
                  </w:divBdr>
                  <w:divsChild>
                    <w:div w:id="15354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94832">
      <w:bodyDiv w:val="1"/>
      <w:marLeft w:val="0"/>
      <w:marRight w:val="0"/>
      <w:marTop w:val="0"/>
      <w:marBottom w:val="0"/>
      <w:divBdr>
        <w:top w:val="none" w:sz="0" w:space="0" w:color="auto"/>
        <w:left w:val="none" w:sz="0" w:space="0" w:color="auto"/>
        <w:bottom w:val="none" w:sz="0" w:space="0" w:color="auto"/>
        <w:right w:val="none" w:sz="0" w:space="0" w:color="auto"/>
      </w:divBdr>
    </w:div>
    <w:div w:id="1940521784">
      <w:bodyDiv w:val="1"/>
      <w:marLeft w:val="0"/>
      <w:marRight w:val="0"/>
      <w:marTop w:val="0"/>
      <w:marBottom w:val="0"/>
      <w:divBdr>
        <w:top w:val="none" w:sz="0" w:space="0" w:color="auto"/>
        <w:left w:val="none" w:sz="0" w:space="0" w:color="auto"/>
        <w:bottom w:val="none" w:sz="0" w:space="0" w:color="auto"/>
        <w:right w:val="none" w:sz="0" w:space="0" w:color="auto"/>
      </w:divBdr>
    </w:div>
    <w:div w:id="2099136295">
      <w:bodyDiv w:val="1"/>
      <w:marLeft w:val="0"/>
      <w:marRight w:val="0"/>
      <w:marTop w:val="0"/>
      <w:marBottom w:val="0"/>
      <w:divBdr>
        <w:top w:val="none" w:sz="0" w:space="0" w:color="auto"/>
        <w:left w:val="none" w:sz="0" w:space="0" w:color="auto"/>
        <w:bottom w:val="none" w:sz="0" w:space="0" w:color="auto"/>
        <w:right w:val="none" w:sz="0" w:space="0" w:color="auto"/>
      </w:divBdr>
      <w:divsChild>
        <w:div w:id="67504485">
          <w:marLeft w:val="0"/>
          <w:marRight w:val="0"/>
          <w:marTop w:val="0"/>
          <w:marBottom w:val="0"/>
          <w:divBdr>
            <w:top w:val="none" w:sz="0" w:space="0" w:color="auto"/>
            <w:left w:val="none" w:sz="0" w:space="0" w:color="auto"/>
            <w:bottom w:val="none" w:sz="0" w:space="0" w:color="auto"/>
            <w:right w:val="none" w:sz="0" w:space="0" w:color="auto"/>
          </w:divBdr>
        </w:div>
      </w:divsChild>
    </w:div>
    <w:div w:id="212607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veyoursay@justice.ta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cyp.vic.gov.au/child-safe-standards/the-11-child-safe-standards/" TargetMode="External"/><Relationship Id="rId1" Type="http://schemas.openxmlformats.org/officeDocument/2006/relationships/hyperlink" Target="https://childsafety.pmc.gov.au/what-we-do/national-principles-child-safe-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2586-CE69-5242-9AEC-5EC0543F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2022-10-02T23:35:00Z</cp:lastPrinted>
  <dcterms:created xsi:type="dcterms:W3CDTF">2022-10-02T22:45:00Z</dcterms:created>
  <dcterms:modified xsi:type="dcterms:W3CDTF">2022-10-02T23:38:00Z</dcterms:modified>
</cp:coreProperties>
</file>