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4DF5" w14:textId="77777777" w:rsidR="007144F1" w:rsidRPr="00187347" w:rsidRDefault="007144F1" w:rsidP="007144F1">
      <w:pPr>
        <w:jc w:val="center"/>
      </w:pPr>
      <w:r w:rsidRPr="00187347">
        <w:rPr>
          <w:rFonts w:asciiTheme="minorHAnsi" w:hAnsiTheme="minorHAnsi"/>
          <w:noProof/>
          <w:sz w:val="20"/>
          <w:szCs w:val="20"/>
        </w:rPr>
        <w:drawing>
          <wp:inline distT="0" distB="0" distL="0" distR="0" wp14:anchorId="45FBA0BC" wp14:editId="615231D3">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4376A544" w14:textId="77777777" w:rsidR="007144F1" w:rsidRPr="00950363" w:rsidRDefault="007144F1" w:rsidP="007144F1">
      <w:pPr>
        <w:rPr>
          <w:rFonts w:ascii="Cambria" w:hAnsi="Cambria"/>
        </w:rPr>
      </w:pPr>
    </w:p>
    <w:p w14:paraId="39AF05E2" w14:textId="2C159D64" w:rsidR="007144F1" w:rsidRPr="000B5C4B" w:rsidRDefault="007144F1" w:rsidP="007144F1">
      <w:pPr>
        <w:rPr>
          <w:rFonts w:ascii="Cambria" w:hAnsi="Cambria"/>
          <w:color w:val="000000" w:themeColor="text1"/>
        </w:rPr>
      </w:pPr>
      <w:r w:rsidRPr="000B5C4B">
        <w:rPr>
          <w:rFonts w:ascii="Cambria" w:hAnsi="Cambria"/>
          <w:color w:val="000000" w:themeColor="text1"/>
        </w:rPr>
        <w:t>1</w:t>
      </w:r>
      <w:r w:rsidR="00950363" w:rsidRPr="000B5C4B">
        <w:rPr>
          <w:rFonts w:ascii="Cambria" w:hAnsi="Cambria"/>
          <w:color w:val="000000" w:themeColor="text1"/>
        </w:rPr>
        <w:t>9</w:t>
      </w:r>
      <w:r w:rsidRPr="000B5C4B">
        <w:rPr>
          <w:rFonts w:ascii="Cambria" w:hAnsi="Cambria"/>
          <w:color w:val="000000" w:themeColor="text1"/>
        </w:rPr>
        <w:t xml:space="preserve"> September 2022</w:t>
      </w:r>
    </w:p>
    <w:p w14:paraId="0A818353" w14:textId="77777777" w:rsidR="007144F1" w:rsidRPr="000B5C4B" w:rsidRDefault="007144F1" w:rsidP="007144F1">
      <w:pPr>
        <w:rPr>
          <w:rFonts w:ascii="Cambria" w:hAnsi="Cambria"/>
        </w:rPr>
      </w:pPr>
    </w:p>
    <w:p w14:paraId="2597C0ED" w14:textId="77777777" w:rsidR="007144F1" w:rsidRPr="000B5C4B" w:rsidRDefault="007144F1" w:rsidP="007144F1">
      <w:pPr>
        <w:rPr>
          <w:rFonts w:ascii="Cambria" w:hAnsi="Cambria"/>
        </w:rPr>
      </w:pPr>
      <w:r w:rsidRPr="000B5C4B">
        <w:rPr>
          <w:rFonts w:ascii="Cambria" w:hAnsi="Cambria"/>
        </w:rPr>
        <w:t>Department of Justice</w:t>
      </w:r>
    </w:p>
    <w:p w14:paraId="49D0F94C" w14:textId="77777777" w:rsidR="007144F1" w:rsidRPr="000B5C4B" w:rsidRDefault="007144F1" w:rsidP="007144F1">
      <w:pPr>
        <w:rPr>
          <w:rFonts w:ascii="Cambria" w:hAnsi="Cambria"/>
        </w:rPr>
      </w:pPr>
      <w:r w:rsidRPr="000B5C4B">
        <w:rPr>
          <w:rFonts w:ascii="Cambria" w:hAnsi="Cambria"/>
        </w:rPr>
        <w:t>Office of the Secretary</w:t>
      </w:r>
    </w:p>
    <w:p w14:paraId="70F8B119" w14:textId="77777777" w:rsidR="007144F1" w:rsidRPr="000B5C4B" w:rsidRDefault="007144F1" w:rsidP="007144F1">
      <w:pPr>
        <w:rPr>
          <w:rFonts w:ascii="Cambria" w:hAnsi="Cambria"/>
        </w:rPr>
      </w:pPr>
      <w:r w:rsidRPr="000B5C4B">
        <w:rPr>
          <w:rFonts w:ascii="Cambria" w:hAnsi="Cambria"/>
        </w:rPr>
        <w:t>GPO Box 825</w:t>
      </w:r>
    </w:p>
    <w:p w14:paraId="0FAEF9C8" w14:textId="77777777" w:rsidR="007144F1" w:rsidRPr="000B5C4B" w:rsidRDefault="007144F1" w:rsidP="007144F1">
      <w:pPr>
        <w:rPr>
          <w:rFonts w:ascii="Cambria" w:hAnsi="Cambria"/>
        </w:rPr>
      </w:pPr>
      <w:r w:rsidRPr="000B5C4B">
        <w:rPr>
          <w:rFonts w:ascii="Cambria" w:hAnsi="Cambria"/>
        </w:rPr>
        <w:t>Hobart TAS 7001</w:t>
      </w:r>
    </w:p>
    <w:p w14:paraId="46B11E23" w14:textId="163522B3" w:rsidR="007144F1" w:rsidRPr="000B5C4B" w:rsidRDefault="007144F1" w:rsidP="007144F1">
      <w:pPr>
        <w:rPr>
          <w:rFonts w:ascii="Cambria" w:hAnsi="Cambria"/>
        </w:rPr>
      </w:pPr>
      <w:proofErr w:type="spellStart"/>
      <w:r w:rsidRPr="000B5C4B">
        <w:rPr>
          <w:rFonts w:ascii="Cambria" w:hAnsi="Cambria"/>
        </w:rPr>
        <w:t>attn:</w:t>
      </w:r>
      <w:proofErr w:type="spellEnd"/>
      <w:r w:rsidRPr="000B5C4B">
        <w:rPr>
          <w:rFonts w:ascii="Cambria" w:hAnsi="Cambria"/>
        </w:rPr>
        <w:t xml:space="preserve"> Acting Director, Strategic Legislation and Policy </w:t>
      </w:r>
      <w:r w:rsidRPr="000B5C4B">
        <w:rPr>
          <w:rFonts w:ascii="Cambria" w:hAnsi="Cambria"/>
        </w:rPr>
        <w:tab/>
      </w:r>
      <w:r w:rsidRPr="000B5C4B">
        <w:rPr>
          <w:rFonts w:ascii="Cambria" w:hAnsi="Cambria"/>
        </w:rPr>
        <w:tab/>
      </w:r>
    </w:p>
    <w:p w14:paraId="601190F0" w14:textId="77777777" w:rsidR="007144F1" w:rsidRPr="000B5C4B" w:rsidRDefault="007144F1" w:rsidP="007144F1">
      <w:pPr>
        <w:ind w:left="2880" w:firstLine="720"/>
        <w:rPr>
          <w:rFonts w:ascii="Cambria" w:hAnsi="Cambria"/>
          <w:b/>
          <w:bCs/>
          <w:i/>
          <w:iCs/>
        </w:rPr>
      </w:pPr>
    </w:p>
    <w:p w14:paraId="13DDEC33" w14:textId="0F80ED05" w:rsidR="007144F1" w:rsidRPr="000B5C4B" w:rsidRDefault="007144F1" w:rsidP="007144F1">
      <w:pPr>
        <w:ind w:left="2880" w:firstLine="720"/>
        <w:rPr>
          <w:rFonts w:ascii="Cambria" w:hAnsi="Cambria"/>
        </w:rPr>
      </w:pPr>
      <w:r w:rsidRPr="000B5C4B">
        <w:rPr>
          <w:rFonts w:ascii="Cambria" w:hAnsi="Cambria"/>
          <w:b/>
          <w:bCs/>
          <w:i/>
          <w:iCs/>
        </w:rPr>
        <w:t>via email:</w:t>
      </w:r>
      <w:r w:rsidRPr="000B5C4B">
        <w:rPr>
          <w:rFonts w:ascii="Cambria" w:hAnsi="Cambria"/>
          <w:i/>
          <w:iCs/>
        </w:rPr>
        <w:t xml:space="preserve"> </w:t>
      </w:r>
      <w:hyperlink r:id="rId9" w:history="1">
        <w:r w:rsidRPr="000B5C4B">
          <w:rPr>
            <w:rStyle w:val="Hyperlink"/>
            <w:rFonts w:ascii="Cambria" w:hAnsi="Cambria"/>
            <w:i/>
            <w:iCs/>
          </w:rPr>
          <w:t>haveyoursay@justice.tas.gov.au</w:t>
        </w:r>
      </w:hyperlink>
      <w:r w:rsidRPr="000B5C4B">
        <w:rPr>
          <w:rFonts w:ascii="Cambria" w:hAnsi="Cambria"/>
          <w:i/>
          <w:iCs/>
        </w:rPr>
        <w:t xml:space="preserve"> </w:t>
      </w:r>
      <w:r w:rsidRPr="000B5C4B">
        <w:rPr>
          <w:rFonts w:ascii="Cambria" w:hAnsi="Cambria"/>
        </w:rPr>
        <w:t xml:space="preserve"> </w:t>
      </w:r>
    </w:p>
    <w:p w14:paraId="43BB1EF1" w14:textId="77777777" w:rsidR="007144F1" w:rsidRPr="000B5C4B" w:rsidRDefault="007144F1" w:rsidP="007144F1">
      <w:pPr>
        <w:rPr>
          <w:rFonts w:ascii="Cambria" w:hAnsi="Cambria"/>
        </w:rPr>
      </w:pPr>
    </w:p>
    <w:p w14:paraId="7C9EE926" w14:textId="23B0E2D9" w:rsidR="007144F1" w:rsidRPr="000B5C4B" w:rsidRDefault="007144F1" w:rsidP="00147270">
      <w:pPr>
        <w:jc w:val="both"/>
        <w:rPr>
          <w:rFonts w:ascii="Cambria" w:hAnsi="Cambria"/>
          <w:color w:val="000000" w:themeColor="text1"/>
        </w:rPr>
      </w:pPr>
      <w:r w:rsidRPr="000B5C4B">
        <w:rPr>
          <w:rFonts w:ascii="Cambria" w:hAnsi="Cambria"/>
          <w:color w:val="000000" w:themeColor="text1"/>
        </w:rPr>
        <w:t xml:space="preserve">Dear Bruce Paterson, </w:t>
      </w:r>
    </w:p>
    <w:p w14:paraId="776362B1" w14:textId="14E85CEF" w:rsidR="007144F1" w:rsidRPr="000B5C4B" w:rsidRDefault="007144F1" w:rsidP="00147270">
      <w:pPr>
        <w:pBdr>
          <w:bottom w:val="single" w:sz="6" w:space="1" w:color="auto"/>
        </w:pBdr>
        <w:jc w:val="both"/>
        <w:rPr>
          <w:rFonts w:ascii="Cambria" w:hAnsi="Cambria"/>
          <w:b/>
          <w:bCs/>
          <w:color w:val="000000" w:themeColor="text1"/>
        </w:rPr>
      </w:pPr>
      <w:r w:rsidRPr="000B5C4B">
        <w:rPr>
          <w:rFonts w:ascii="Cambria" w:hAnsi="Cambria"/>
          <w:b/>
          <w:bCs/>
          <w:color w:val="000000" w:themeColor="text1"/>
        </w:rPr>
        <w:t xml:space="preserve">Re: </w:t>
      </w:r>
      <w:r w:rsidRPr="000B5C4B">
        <w:rPr>
          <w:rFonts w:ascii="Cambria" w:hAnsi="Cambria"/>
          <w:b/>
          <w:bCs/>
          <w:i/>
          <w:iCs/>
          <w:color w:val="000000" w:themeColor="text1"/>
        </w:rPr>
        <w:t xml:space="preserve">Justice and Related </w:t>
      </w:r>
      <w:r w:rsidR="007119D9" w:rsidRPr="000B5C4B">
        <w:rPr>
          <w:rFonts w:ascii="Cambria" w:hAnsi="Cambria"/>
          <w:b/>
          <w:bCs/>
          <w:i/>
          <w:iCs/>
          <w:color w:val="000000" w:themeColor="text1"/>
        </w:rPr>
        <w:t>L</w:t>
      </w:r>
      <w:r w:rsidRPr="000B5C4B">
        <w:rPr>
          <w:rFonts w:ascii="Cambria" w:hAnsi="Cambria"/>
          <w:b/>
          <w:bCs/>
          <w:i/>
          <w:iCs/>
          <w:color w:val="000000" w:themeColor="text1"/>
        </w:rPr>
        <w:t>egislation Miscellaneous Amendments Bill 2022</w:t>
      </w:r>
    </w:p>
    <w:p w14:paraId="3ACE254D" w14:textId="77777777" w:rsidR="007144F1" w:rsidRPr="000B5C4B" w:rsidRDefault="007144F1" w:rsidP="00147270">
      <w:pPr>
        <w:jc w:val="both"/>
        <w:rPr>
          <w:rFonts w:ascii="Cambria" w:hAnsi="Cambria"/>
          <w:color w:val="000000" w:themeColor="text1"/>
        </w:rPr>
      </w:pPr>
    </w:p>
    <w:p w14:paraId="34B80FD0" w14:textId="08C26C59" w:rsidR="007F79A8" w:rsidRPr="000B5C4B" w:rsidRDefault="007144F1" w:rsidP="002C3429">
      <w:pPr>
        <w:pStyle w:val="NoSpacing"/>
        <w:shd w:val="clear" w:color="auto" w:fill="FFFFFF"/>
        <w:jc w:val="both"/>
        <w:rPr>
          <w:rFonts w:ascii="Cambria" w:hAnsi="Cambria"/>
          <w:color w:val="000000" w:themeColor="text1"/>
          <w:shd w:val="clear" w:color="auto" w:fill="FFFFFF"/>
        </w:rPr>
      </w:pPr>
      <w:r w:rsidRPr="000B5C4B">
        <w:rPr>
          <w:rFonts w:ascii="Cambria" w:hAnsi="Cambria"/>
          <w:color w:val="000000" w:themeColor="text1"/>
          <w:bdr w:val="none" w:sz="0" w:space="0" w:color="auto" w:frame="1"/>
        </w:rPr>
        <w:t>Community Legal Centres Tasmania (CLC Tas) welcomes the opportunity to respond to the </w:t>
      </w:r>
      <w:r w:rsidRPr="000B5C4B">
        <w:rPr>
          <w:rFonts w:ascii="Cambria" w:hAnsi="Cambria"/>
          <w:i/>
          <w:iCs/>
          <w:color w:val="000000" w:themeColor="text1"/>
        </w:rPr>
        <w:t xml:space="preserve">Justice and Related </w:t>
      </w:r>
      <w:r w:rsidR="007119D9" w:rsidRPr="000B5C4B">
        <w:rPr>
          <w:rFonts w:ascii="Cambria" w:hAnsi="Cambria"/>
          <w:i/>
          <w:iCs/>
          <w:color w:val="000000" w:themeColor="text1"/>
        </w:rPr>
        <w:t>L</w:t>
      </w:r>
      <w:r w:rsidRPr="000B5C4B">
        <w:rPr>
          <w:rFonts w:ascii="Cambria" w:hAnsi="Cambria"/>
          <w:i/>
          <w:iCs/>
          <w:color w:val="000000" w:themeColor="text1"/>
        </w:rPr>
        <w:t>egislation Miscellaneous Amendments Bill 2022</w:t>
      </w:r>
      <w:r w:rsidRPr="000B5C4B">
        <w:rPr>
          <w:rFonts w:ascii="Cambria" w:hAnsi="Cambria"/>
          <w:color w:val="000000" w:themeColor="text1"/>
          <w:bdr w:val="none" w:sz="0" w:space="0" w:color="auto" w:frame="1"/>
        </w:rPr>
        <w:t xml:space="preserve"> (‘the Bill’).</w:t>
      </w:r>
      <w:r w:rsidRPr="000B5C4B">
        <w:rPr>
          <w:rStyle w:val="FootnoteReference"/>
          <w:rFonts w:ascii="Cambria" w:hAnsi="Cambria"/>
          <w:color w:val="000000" w:themeColor="text1"/>
        </w:rPr>
        <w:footnoteReference w:id="1"/>
      </w:r>
      <w:r w:rsidR="002C3429" w:rsidRPr="000B5C4B">
        <w:rPr>
          <w:rFonts w:ascii="Cambria" w:hAnsi="Cambria"/>
          <w:color w:val="000000" w:themeColor="text1"/>
          <w:bdr w:val="none" w:sz="0" w:space="0" w:color="auto" w:frame="1"/>
        </w:rPr>
        <w:t xml:space="preserve"> </w:t>
      </w:r>
      <w:r w:rsidR="002C3429" w:rsidRPr="000B5C4B">
        <w:rPr>
          <w:rFonts w:ascii="Cambria" w:hAnsi="Cambria"/>
          <w:color w:val="000000" w:themeColor="text1"/>
          <w:shd w:val="clear" w:color="auto" w:fill="FFFFFF"/>
        </w:rPr>
        <w:t>We support the Government’s intent to clarify the crime of bestiality, the Long Title in the </w:t>
      </w:r>
      <w:r w:rsidR="002C3429" w:rsidRPr="000B5C4B">
        <w:rPr>
          <w:rFonts w:ascii="Cambria" w:hAnsi="Cambria"/>
          <w:i/>
          <w:iCs/>
          <w:color w:val="000000" w:themeColor="text1"/>
          <w:shd w:val="clear" w:color="auto" w:fill="FFFFFF"/>
        </w:rPr>
        <w:t>Births, Deaths and Marriages Registration Act 1999</w:t>
      </w:r>
      <w:r w:rsidR="002C3429" w:rsidRPr="000B5C4B">
        <w:rPr>
          <w:rFonts w:ascii="Cambria" w:hAnsi="Cambria"/>
          <w:color w:val="000000" w:themeColor="text1"/>
          <w:shd w:val="clear" w:color="auto" w:fill="FFFFFF"/>
        </w:rPr>
        <w:t xml:space="preserve"> (Tas) and </w:t>
      </w:r>
      <w:r w:rsidR="007F79A8" w:rsidRPr="000B5C4B">
        <w:rPr>
          <w:rFonts w:ascii="Cambria" w:hAnsi="Cambria"/>
          <w:color w:val="000000" w:themeColor="text1"/>
          <w:shd w:val="clear" w:color="auto" w:fill="FFFFFF"/>
        </w:rPr>
        <w:t xml:space="preserve">the procedures the Coroner will adopt </w:t>
      </w:r>
      <w:r w:rsidR="002C3429" w:rsidRPr="000B5C4B">
        <w:rPr>
          <w:rFonts w:ascii="Cambria" w:hAnsi="Cambria"/>
          <w:color w:val="000000" w:themeColor="text1"/>
          <w:shd w:val="clear" w:color="auto" w:fill="FFFFFF"/>
        </w:rPr>
        <w:t>when investigating a death</w:t>
      </w:r>
      <w:r w:rsidR="007F79A8" w:rsidRPr="000B5C4B">
        <w:rPr>
          <w:rFonts w:ascii="Cambria" w:hAnsi="Cambria"/>
          <w:color w:val="000000" w:themeColor="text1"/>
          <w:shd w:val="clear" w:color="auto" w:fill="FFFFFF"/>
        </w:rPr>
        <w:t xml:space="preserve"> pursuant to the </w:t>
      </w:r>
      <w:r w:rsidR="007F79A8" w:rsidRPr="000B5C4B">
        <w:rPr>
          <w:rFonts w:ascii="Cambria" w:hAnsi="Cambria"/>
          <w:i/>
          <w:iCs/>
          <w:color w:val="000000" w:themeColor="text1"/>
          <w:shd w:val="clear" w:color="auto" w:fill="FFFFFF"/>
        </w:rPr>
        <w:t>Coroners Act 1995</w:t>
      </w:r>
      <w:r w:rsidR="007F79A8" w:rsidRPr="000B5C4B">
        <w:rPr>
          <w:rFonts w:ascii="Cambria" w:hAnsi="Cambria"/>
          <w:color w:val="000000" w:themeColor="text1"/>
          <w:shd w:val="clear" w:color="auto" w:fill="FFFFFF"/>
        </w:rPr>
        <w:t xml:space="preserve"> (Tas)</w:t>
      </w:r>
      <w:r w:rsidR="002C3429" w:rsidRPr="000B5C4B">
        <w:rPr>
          <w:rFonts w:ascii="Cambria" w:hAnsi="Cambria"/>
          <w:color w:val="000000" w:themeColor="text1"/>
          <w:shd w:val="clear" w:color="auto" w:fill="FFFFFF"/>
        </w:rPr>
        <w:t>. Howev</w:t>
      </w:r>
      <w:r w:rsidR="007F79A8" w:rsidRPr="000B5C4B">
        <w:rPr>
          <w:rFonts w:ascii="Cambria" w:hAnsi="Cambria"/>
          <w:color w:val="000000" w:themeColor="text1"/>
          <w:shd w:val="clear" w:color="auto" w:fill="FFFFFF"/>
        </w:rPr>
        <w:t xml:space="preserve">er, we believe some additional amendments to the </w:t>
      </w:r>
      <w:r w:rsidR="007F79A8" w:rsidRPr="000B5C4B">
        <w:rPr>
          <w:rFonts w:ascii="Cambria" w:hAnsi="Cambria"/>
          <w:i/>
          <w:iCs/>
          <w:color w:val="000000" w:themeColor="text1"/>
          <w:shd w:val="clear" w:color="auto" w:fill="FFFFFF"/>
        </w:rPr>
        <w:t>Coroners Act 1995</w:t>
      </w:r>
      <w:r w:rsidR="007F79A8" w:rsidRPr="000B5C4B">
        <w:rPr>
          <w:rFonts w:ascii="Cambria" w:hAnsi="Cambria"/>
          <w:color w:val="000000" w:themeColor="text1"/>
          <w:shd w:val="clear" w:color="auto" w:fill="FFFFFF"/>
        </w:rPr>
        <w:t xml:space="preserve"> (Tas) should be included as they will further strengthen the rights of the senior next of kin.  </w:t>
      </w:r>
    </w:p>
    <w:p w14:paraId="3E5A4FB0" w14:textId="77777777" w:rsidR="00950363" w:rsidRPr="000B5C4B" w:rsidRDefault="00950363" w:rsidP="00147270">
      <w:pPr>
        <w:pStyle w:val="NoSpacing"/>
        <w:shd w:val="clear" w:color="auto" w:fill="FFFFFF"/>
        <w:jc w:val="both"/>
        <w:rPr>
          <w:rFonts w:ascii="Cambria" w:hAnsi="Cambria"/>
          <w:color w:val="000000" w:themeColor="text1"/>
          <w:bdr w:val="none" w:sz="0" w:space="0" w:color="auto" w:frame="1"/>
        </w:rPr>
      </w:pPr>
    </w:p>
    <w:p w14:paraId="1D461CFD" w14:textId="763A8702" w:rsidR="007144F1" w:rsidRPr="000B5C4B" w:rsidRDefault="007144F1" w:rsidP="00147270">
      <w:pPr>
        <w:pStyle w:val="NoSpacing"/>
        <w:shd w:val="clear" w:color="auto" w:fill="FFFFFF"/>
        <w:jc w:val="both"/>
        <w:rPr>
          <w:rFonts w:ascii="Cambria" w:hAnsi="Cambria"/>
          <w:color w:val="000000" w:themeColor="text1"/>
          <w:bdr w:val="none" w:sz="0" w:space="0" w:color="auto" w:frame="1"/>
        </w:rPr>
      </w:pPr>
      <w:r w:rsidRPr="000B5C4B">
        <w:rPr>
          <w:rFonts w:ascii="Cambria" w:hAnsi="Cambria" w:cs="Arial"/>
          <w:color w:val="000000" w:themeColor="text1"/>
          <w:lang w:eastAsia="en-AU"/>
        </w:rPr>
        <w:t xml:space="preserve">CLC Tas </w:t>
      </w:r>
      <w:r w:rsidRPr="000B5C4B">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25D2E6D6" w14:textId="77777777" w:rsidR="007144F1" w:rsidRPr="000B5C4B" w:rsidRDefault="007144F1" w:rsidP="00147270">
      <w:pPr>
        <w:pStyle w:val="NoSpacing"/>
        <w:jc w:val="both"/>
        <w:rPr>
          <w:rFonts w:ascii="Cambria" w:hAnsi="Cambria"/>
          <w:color w:val="000000" w:themeColor="text1"/>
        </w:rPr>
      </w:pPr>
    </w:p>
    <w:p w14:paraId="26EE59D0" w14:textId="18B8E520" w:rsidR="007144F1" w:rsidRPr="000B5C4B" w:rsidRDefault="00950363" w:rsidP="00147270">
      <w:pPr>
        <w:pStyle w:val="NoSpacing"/>
        <w:jc w:val="both"/>
        <w:rPr>
          <w:rFonts w:ascii="Cambria" w:hAnsi="Cambria"/>
          <w:b/>
          <w:bCs/>
          <w:color w:val="000000" w:themeColor="text1"/>
        </w:rPr>
      </w:pPr>
      <w:r w:rsidRPr="000B5C4B">
        <w:rPr>
          <w:rFonts w:ascii="Cambria" w:hAnsi="Cambria"/>
          <w:b/>
          <w:bCs/>
          <w:i/>
          <w:iCs/>
          <w:color w:val="000000" w:themeColor="text1"/>
        </w:rPr>
        <w:t>Criminal Code Act 1924</w:t>
      </w:r>
      <w:r w:rsidRPr="000B5C4B">
        <w:rPr>
          <w:rFonts w:ascii="Cambria" w:hAnsi="Cambria"/>
          <w:b/>
          <w:bCs/>
          <w:color w:val="000000" w:themeColor="text1"/>
        </w:rPr>
        <w:t xml:space="preserve"> (Tas)</w:t>
      </w:r>
    </w:p>
    <w:p w14:paraId="1C8220CE" w14:textId="1C03C512" w:rsidR="00950363" w:rsidRPr="000B5C4B" w:rsidRDefault="00950363" w:rsidP="00147270">
      <w:pPr>
        <w:pStyle w:val="NoSpacing"/>
        <w:jc w:val="both"/>
        <w:rPr>
          <w:rFonts w:ascii="Cambria" w:hAnsi="Cambria"/>
          <w:color w:val="000000" w:themeColor="text1"/>
        </w:rPr>
      </w:pPr>
      <w:r w:rsidRPr="000B5C4B">
        <w:rPr>
          <w:rFonts w:ascii="Cambria" w:hAnsi="Cambria"/>
          <w:color w:val="000000" w:themeColor="text1"/>
        </w:rPr>
        <w:t xml:space="preserve">The </w:t>
      </w:r>
      <w:r w:rsidRPr="000B5C4B">
        <w:rPr>
          <w:rFonts w:ascii="Cambria" w:hAnsi="Cambria"/>
          <w:i/>
          <w:iCs/>
          <w:color w:val="000000" w:themeColor="text1"/>
        </w:rPr>
        <w:t>Criminal Code Amendment (Sexual Assault) Act 2017</w:t>
      </w:r>
      <w:r w:rsidRPr="000B5C4B">
        <w:rPr>
          <w:rFonts w:ascii="Cambria" w:hAnsi="Cambria"/>
          <w:color w:val="000000" w:themeColor="text1"/>
        </w:rPr>
        <w:t xml:space="preserve"> (Tas) amended section 122 of the </w:t>
      </w:r>
      <w:r w:rsidRPr="000B5C4B">
        <w:rPr>
          <w:rFonts w:ascii="Cambria" w:hAnsi="Cambria"/>
          <w:i/>
          <w:iCs/>
          <w:color w:val="000000" w:themeColor="text1"/>
        </w:rPr>
        <w:t>Criminal Code Act 1924</w:t>
      </w:r>
      <w:r w:rsidRPr="000B5C4B">
        <w:rPr>
          <w:rFonts w:ascii="Cambria" w:hAnsi="Cambria"/>
          <w:color w:val="000000" w:themeColor="text1"/>
        </w:rPr>
        <w:t xml:space="preserve"> (Tas) (the Code) by replacing the crime of “unnatural crimes” with the crime of “bestiality”. The Amending Act also broadened the definition of “sexual intercourse” to provide as follows:</w:t>
      </w:r>
    </w:p>
    <w:p w14:paraId="525E7771" w14:textId="77777777" w:rsidR="00950363" w:rsidRPr="000B5C4B" w:rsidRDefault="00950363" w:rsidP="00147270">
      <w:pPr>
        <w:pStyle w:val="NoSpacing"/>
        <w:jc w:val="both"/>
        <w:rPr>
          <w:rFonts w:ascii="Cambria" w:hAnsi="Cambria"/>
          <w:color w:val="000000" w:themeColor="text1"/>
        </w:rPr>
      </w:pPr>
    </w:p>
    <w:p w14:paraId="47313F93" w14:textId="201B4CCF"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2B Sexual intercourse</w:t>
      </w:r>
    </w:p>
    <w:p w14:paraId="4760C1D8" w14:textId="77777777"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(1) In this Code –</w:t>
      </w:r>
    </w:p>
    <w:p w14:paraId="65F95455" w14:textId="77777777"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sexual intercourse means –</w:t>
      </w:r>
    </w:p>
    <w:p w14:paraId="29252B0E" w14:textId="77777777"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(a) the penetration, to the least degree, of a person's vagina, genitalia, anus or mouth by a penis; or</w:t>
      </w:r>
    </w:p>
    <w:p w14:paraId="11F17A53" w14:textId="77777777"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lastRenderedPageBreak/>
        <w:t>(b) the penetration, to the least degree, of a person's vagina, genitalia or anus by a body part of a person other than a penis; or</w:t>
      </w:r>
    </w:p>
    <w:p w14:paraId="06D817EC" w14:textId="77777777"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(c) the penetration, to the least degree, of a person's vagina, genitalia or anus by an object held or manipulated by, or attached to, another person; or</w:t>
      </w:r>
    </w:p>
    <w:p w14:paraId="156ACD66" w14:textId="1F75D77A"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(d) the continuation of an act of penetration referred to in paragraph (a), (b) or (c) of this definition.</w:t>
      </w:r>
    </w:p>
    <w:p w14:paraId="141BAEFA" w14:textId="77777777" w:rsidR="00950363" w:rsidRPr="000B5C4B" w:rsidRDefault="00950363" w:rsidP="00147270">
      <w:pPr>
        <w:pStyle w:val="NoSpacing"/>
        <w:ind w:left="720"/>
        <w:jc w:val="both"/>
        <w:rPr>
          <w:rFonts w:ascii="Cambria" w:hAnsi="Cambria"/>
          <w:i/>
          <w:iCs/>
          <w:color w:val="000000" w:themeColor="text1"/>
        </w:rPr>
      </w:pPr>
    </w:p>
    <w:p w14:paraId="3D568D82" w14:textId="0D190684"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(2) In this section –</w:t>
      </w:r>
    </w:p>
    <w:p w14:paraId="3C7F8AB2" w14:textId="021CB277" w:rsidR="00950363" w:rsidRPr="000B5C4B" w:rsidRDefault="00950363" w:rsidP="00147270">
      <w:pPr>
        <w:pStyle w:val="NoSpacing"/>
        <w:ind w:left="720"/>
        <w:jc w:val="both"/>
        <w:rPr>
          <w:rFonts w:ascii="Cambria" w:hAnsi="Cambria"/>
          <w:color w:val="000000" w:themeColor="text1"/>
        </w:rPr>
      </w:pPr>
      <w:r w:rsidRPr="000B5C4B">
        <w:rPr>
          <w:rFonts w:ascii="Cambria" w:hAnsi="Cambria"/>
          <w:i/>
          <w:iCs/>
          <w:color w:val="000000" w:themeColor="text1"/>
        </w:rPr>
        <w:t>penetration does not include penetration carried out for a proper medical purpose, for the purposes of hygiene or for any purpose that is authorised by law.</w:t>
      </w:r>
    </w:p>
    <w:p w14:paraId="32A74368" w14:textId="77777777" w:rsidR="00950363" w:rsidRPr="000B5C4B" w:rsidRDefault="00950363" w:rsidP="00147270">
      <w:pPr>
        <w:pStyle w:val="NoSpacing"/>
        <w:jc w:val="both"/>
        <w:rPr>
          <w:rFonts w:ascii="Cambria" w:hAnsi="Cambria"/>
          <w:color w:val="000000" w:themeColor="text1"/>
        </w:rPr>
      </w:pPr>
    </w:p>
    <w:p w14:paraId="03F899AC" w14:textId="48D2C468" w:rsidR="00950363" w:rsidRPr="000B5C4B" w:rsidRDefault="00147270" w:rsidP="00147270">
      <w:pPr>
        <w:pStyle w:val="NoSpacing"/>
        <w:jc w:val="both"/>
        <w:rPr>
          <w:rFonts w:ascii="Cambria" w:hAnsi="Cambria"/>
          <w:color w:val="000000" w:themeColor="text1"/>
        </w:rPr>
      </w:pPr>
      <w:r w:rsidRPr="000B5C4B">
        <w:rPr>
          <w:rFonts w:ascii="Cambria" w:hAnsi="Cambria"/>
          <w:color w:val="000000" w:themeColor="text1"/>
        </w:rPr>
        <w:t>However, in</w:t>
      </w:r>
      <w:r w:rsidR="00950363" w:rsidRPr="000B5C4B">
        <w:rPr>
          <w:rFonts w:ascii="Cambria" w:hAnsi="Cambria"/>
          <w:color w:val="000000" w:themeColor="text1"/>
        </w:rPr>
        <w:t xml:space="preserve"> the recent case of </w:t>
      </w:r>
      <w:proofErr w:type="spellStart"/>
      <w:r w:rsidR="00950363" w:rsidRPr="000B5C4B">
        <w:rPr>
          <w:rFonts w:ascii="Cambria" w:hAnsi="Cambria"/>
          <w:i/>
          <w:iCs/>
          <w:color w:val="000000" w:themeColor="text1"/>
        </w:rPr>
        <w:t>Elnami</w:t>
      </w:r>
      <w:proofErr w:type="spellEnd"/>
      <w:r w:rsidR="00950363" w:rsidRPr="000B5C4B">
        <w:rPr>
          <w:rFonts w:ascii="Cambria" w:hAnsi="Cambria"/>
          <w:i/>
          <w:iCs/>
          <w:color w:val="000000" w:themeColor="text1"/>
        </w:rPr>
        <w:t xml:space="preserve"> v Tasmania</w:t>
      </w:r>
      <w:r w:rsidR="00950363" w:rsidRPr="000B5C4B">
        <w:rPr>
          <w:rStyle w:val="FootnoteReference"/>
          <w:rFonts w:ascii="Cambria" w:hAnsi="Cambria"/>
          <w:color w:val="000000" w:themeColor="text1"/>
        </w:rPr>
        <w:footnoteReference w:id="2"/>
      </w:r>
      <w:r w:rsidR="00950363" w:rsidRPr="000B5C4B">
        <w:rPr>
          <w:rFonts w:ascii="Cambria" w:hAnsi="Cambria"/>
          <w:color w:val="000000" w:themeColor="text1"/>
        </w:rPr>
        <w:t xml:space="preserve"> </w:t>
      </w:r>
      <w:r w:rsidRPr="000B5C4B">
        <w:rPr>
          <w:rFonts w:ascii="Cambria" w:hAnsi="Cambria"/>
          <w:color w:val="000000" w:themeColor="text1"/>
        </w:rPr>
        <w:t xml:space="preserve">the intention of Parliament in seeking to clarify the crime of bestiality was called into question. In that case, </w:t>
      </w:r>
      <w:r w:rsidR="00950363" w:rsidRPr="000B5C4B">
        <w:rPr>
          <w:rFonts w:ascii="Cambria" w:hAnsi="Cambria"/>
          <w:color w:val="000000" w:themeColor="text1"/>
        </w:rPr>
        <w:t>the accused was indicted for the crime of</w:t>
      </w:r>
      <w:r w:rsidRPr="000B5C4B">
        <w:rPr>
          <w:rFonts w:ascii="Cambria" w:hAnsi="Cambria"/>
          <w:color w:val="000000" w:themeColor="text1"/>
        </w:rPr>
        <w:t xml:space="preserve"> </w:t>
      </w:r>
      <w:r w:rsidR="00950363" w:rsidRPr="000B5C4B">
        <w:rPr>
          <w:rFonts w:ascii="Cambria" w:hAnsi="Cambria"/>
          <w:color w:val="000000" w:themeColor="text1"/>
        </w:rPr>
        <w:t>bestiality,</w:t>
      </w:r>
      <w:r w:rsidRPr="000B5C4B">
        <w:rPr>
          <w:rFonts w:ascii="Cambria" w:hAnsi="Cambria"/>
          <w:color w:val="000000" w:themeColor="text1"/>
        </w:rPr>
        <w:t xml:space="preserve"> </w:t>
      </w:r>
      <w:r w:rsidR="00950363" w:rsidRPr="000B5C4B">
        <w:rPr>
          <w:rFonts w:ascii="Cambria" w:hAnsi="Cambria"/>
          <w:color w:val="000000" w:themeColor="text1"/>
        </w:rPr>
        <w:t>particularised as follows:</w:t>
      </w:r>
    </w:p>
    <w:p w14:paraId="6AD79DC7" w14:textId="77777777" w:rsidR="00950363" w:rsidRPr="000B5C4B" w:rsidRDefault="00950363" w:rsidP="00147270">
      <w:pPr>
        <w:pStyle w:val="NoSpacing"/>
        <w:jc w:val="both"/>
        <w:rPr>
          <w:rFonts w:ascii="Cambria" w:hAnsi="Cambria"/>
          <w:i/>
          <w:iCs/>
          <w:color w:val="000000" w:themeColor="text1"/>
        </w:rPr>
      </w:pPr>
    </w:p>
    <w:p w14:paraId="732C0824" w14:textId="55D1C0A0" w:rsidR="00950363" w:rsidRPr="000B5C4B" w:rsidRDefault="00950363" w:rsidP="00147270">
      <w:pPr>
        <w:pStyle w:val="NoSpacing"/>
        <w:ind w:left="720"/>
        <w:jc w:val="both"/>
        <w:rPr>
          <w:rFonts w:ascii="Cambria" w:hAnsi="Cambria"/>
          <w:i/>
          <w:iCs/>
          <w:color w:val="000000" w:themeColor="text1"/>
        </w:rPr>
      </w:pPr>
      <w:r w:rsidRPr="000B5C4B">
        <w:rPr>
          <w:rFonts w:ascii="Cambria" w:hAnsi="Cambria"/>
          <w:i/>
          <w:iCs/>
          <w:color w:val="000000" w:themeColor="text1"/>
        </w:rPr>
        <w:t>“[The accused] at Hobart on or about the 15th day of September 2019 engaged in sexual activity with a dog, namely by inserting his finger into the dog’s anus on multiple occasions, touching and attempting to masturbate the dog’s penis on multiple occasions, touching the dog’s anus, attempting to induce the dog to lick his penis and attempting to penetrate the dog’s anus with his penis”.</w:t>
      </w:r>
    </w:p>
    <w:p w14:paraId="07A64490" w14:textId="77777777" w:rsidR="00950363" w:rsidRPr="000B5C4B" w:rsidRDefault="00950363" w:rsidP="00147270">
      <w:pPr>
        <w:pStyle w:val="NoSpacing"/>
        <w:jc w:val="both"/>
        <w:rPr>
          <w:rFonts w:ascii="Cambria" w:hAnsi="Cambria"/>
          <w:color w:val="000000" w:themeColor="text1"/>
        </w:rPr>
      </w:pPr>
    </w:p>
    <w:p w14:paraId="77AA837D" w14:textId="7F14D5BA" w:rsidR="00950363" w:rsidRPr="000B5C4B" w:rsidRDefault="00950363" w:rsidP="00147270">
      <w:pPr>
        <w:pStyle w:val="NoSpacing"/>
        <w:jc w:val="both"/>
        <w:rPr>
          <w:rFonts w:ascii="Cambria" w:hAnsi="Cambria"/>
          <w:color w:val="000000" w:themeColor="text1"/>
        </w:rPr>
      </w:pPr>
      <w:r w:rsidRPr="000B5C4B">
        <w:rPr>
          <w:rFonts w:ascii="Cambria" w:hAnsi="Cambria"/>
          <w:color w:val="000000" w:themeColor="text1"/>
        </w:rPr>
        <w:t xml:space="preserve">The accused sought an order that he be discharged from that indictment on the basis that the crime of bestiality was only committed if there was penetration with a penis by, or of, an animal. In his judgment Justice Estcourt found that because Parliament had not expressed a clear intention that “bestiality” be construed to mean anything other than </w:t>
      </w:r>
      <w:r w:rsidR="00147270" w:rsidRPr="000B5C4B">
        <w:rPr>
          <w:rFonts w:ascii="Cambria" w:hAnsi="Cambria"/>
          <w:color w:val="000000" w:themeColor="text1"/>
        </w:rPr>
        <w:t>as penetration with a penis by, or of, an animal</w:t>
      </w:r>
      <w:r w:rsidRPr="000B5C4B">
        <w:rPr>
          <w:rFonts w:ascii="Cambria" w:hAnsi="Cambria"/>
          <w:color w:val="000000" w:themeColor="text1"/>
        </w:rPr>
        <w:t xml:space="preserve">, the 2017 amendment was inconsequential. </w:t>
      </w:r>
    </w:p>
    <w:p w14:paraId="40753DD0" w14:textId="77777777" w:rsidR="00950363" w:rsidRPr="000B5C4B" w:rsidRDefault="00950363" w:rsidP="00147270">
      <w:pPr>
        <w:pStyle w:val="NoSpacing"/>
        <w:jc w:val="both"/>
        <w:rPr>
          <w:rFonts w:ascii="Cambria" w:hAnsi="Cambria"/>
          <w:color w:val="000000" w:themeColor="text1"/>
        </w:rPr>
      </w:pPr>
    </w:p>
    <w:p w14:paraId="2696C754" w14:textId="3A73F9D1" w:rsidR="00950363" w:rsidRPr="000B5C4B" w:rsidRDefault="00147270" w:rsidP="00147270">
      <w:pPr>
        <w:pStyle w:val="NoSpacing"/>
        <w:jc w:val="both"/>
        <w:rPr>
          <w:rFonts w:ascii="Cambria" w:hAnsi="Cambria"/>
          <w:color w:val="000000" w:themeColor="text1"/>
        </w:rPr>
      </w:pPr>
      <w:r w:rsidRPr="000B5C4B">
        <w:rPr>
          <w:rFonts w:ascii="Cambria" w:hAnsi="Cambria"/>
          <w:color w:val="000000" w:themeColor="text1"/>
        </w:rPr>
        <w:t>T</w:t>
      </w:r>
      <w:r w:rsidR="00950363" w:rsidRPr="000B5C4B">
        <w:rPr>
          <w:rFonts w:ascii="Cambria" w:hAnsi="Cambria"/>
          <w:color w:val="000000" w:themeColor="text1"/>
        </w:rPr>
        <w:t>he amendment proposed in the Bill is supported because it clarifies</w:t>
      </w:r>
      <w:r w:rsidRPr="000B5C4B">
        <w:rPr>
          <w:rFonts w:ascii="Cambria" w:hAnsi="Cambria"/>
          <w:color w:val="000000" w:themeColor="text1"/>
        </w:rPr>
        <w:t xml:space="preserve"> Parliament’s intention </w:t>
      </w:r>
      <w:r w:rsidR="00950363" w:rsidRPr="000B5C4B">
        <w:rPr>
          <w:rFonts w:ascii="Cambria" w:hAnsi="Cambria"/>
          <w:color w:val="000000" w:themeColor="text1"/>
        </w:rPr>
        <w:t xml:space="preserve">that sexual activity of any kind between a human being and an animal that is not for a genuine veterinary, agricultural or scientific research purpose will amount to bestiality. </w:t>
      </w:r>
    </w:p>
    <w:p w14:paraId="233C2D8A" w14:textId="77777777" w:rsidR="007144F1" w:rsidRPr="000B5C4B" w:rsidRDefault="007144F1" w:rsidP="00147270">
      <w:pPr>
        <w:pStyle w:val="xmsonormal"/>
        <w:shd w:val="clear" w:color="auto" w:fill="FFFFFF"/>
        <w:spacing w:before="0" w:beforeAutospacing="0" w:after="0" w:afterAutospacing="0"/>
        <w:jc w:val="both"/>
        <w:rPr>
          <w:rFonts w:ascii="Cambria" w:hAnsi="Cambria"/>
          <w:b/>
          <w:bCs/>
          <w:color w:val="000000" w:themeColor="text1"/>
          <w:bdr w:val="none" w:sz="0" w:space="0" w:color="auto" w:frame="1"/>
        </w:rPr>
      </w:pPr>
    </w:p>
    <w:p w14:paraId="56ABCFE3" w14:textId="3FB3DD6E" w:rsidR="007144F1" w:rsidRPr="000B5C4B" w:rsidRDefault="00950363" w:rsidP="00147270">
      <w:pPr>
        <w:pStyle w:val="xmsonormal"/>
        <w:shd w:val="clear" w:color="auto" w:fill="FFFFFF"/>
        <w:spacing w:before="0" w:beforeAutospacing="0" w:after="0" w:afterAutospacing="0"/>
        <w:jc w:val="both"/>
        <w:rPr>
          <w:rFonts w:ascii="Cambria" w:hAnsi="Cambria"/>
          <w:b/>
          <w:bCs/>
          <w:color w:val="000000" w:themeColor="text1"/>
          <w:bdr w:val="none" w:sz="0" w:space="0" w:color="auto" w:frame="1"/>
        </w:rPr>
      </w:pPr>
      <w:r w:rsidRPr="000B5C4B">
        <w:rPr>
          <w:rFonts w:ascii="Cambria" w:hAnsi="Cambria"/>
          <w:b/>
          <w:bCs/>
          <w:i/>
          <w:iCs/>
          <w:color w:val="000000" w:themeColor="text1"/>
          <w:bdr w:val="none" w:sz="0" w:space="0" w:color="auto" w:frame="1"/>
        </w:rPr>
        <w:t>Births, Deaths and Marriages Registration Act 1999</w:t>
      </w:r>
      <w:r w:rsidRPr="000B5C4B">
        <w:rPr>
          <w:rFonts w:ascii="Cambria" w:hAnsi="Cambria"/>
          <w:b/>
          <w:bCs/>
          <w:color w:val="000000" w:themeColor="text1"/>
          <w:bdr w:val="none" w:sz="0" w:space="0" w:color="auto" w:frame="1"/>
        </w:rPr>
        <w:t xml:space="preserve"> (Tas)</w:t>
      </w:r>
    </w:p>
    <w:p w14:paraId="51107990" w14:textId="46C098F0" w:rsidR="007144F1" w:rsidRPr="000B5C4B" w:rsidRDefault="00950363" w:rsidP="00147270">
      <w:pPr>
        <w:pStyle w:val="xmsonormal"/>
        <w:shd w:val="clear" w:color="auto" w:fill="FFFFFF"/>
        <w:spacing w:before="0" w:beforeAutospacing="0" w:after="0" w:afterAutospacing="0"/>
        <w:jc w:val="both"/>
        <w:rPr>
          <w:rFonts w:ascii="Cambria" w:hAnsi="Cambria"/>
          <w:color w:val="000000" w:themeColor="text1"/>
          <w:bdr w:val="none" w:sz="0" w:space="0" w:color="auto" w:frame="1"/>
        </w:rPr>
      </w:pPr>
      <w:r w:rsidRPr="000B5C4B">
        <w:rPr>
          <w:rFonts w:ascii="Cambria" w:hAnsi="Cambria"/>
          <w:color w:val="000000" w:themeColor="text1"/>
          <w:bdr w:val="none" w:sz="0" w:space="0" w:color="auto" w:frame="1"/>
        </w:rPr>
        <w:t xml:space="preserve">The Bill seeks to amend the Long Title by omitting “uniform legislation in relation to the registration of births, deaths and marriages and to provide for the rights of persons who have undergone gender reassignment surgery” and to substitute “the registration of births, deaths and marriages and to provide legal recognition for trans and gender-diverse Tasmanians and those with intersex variations of sex characteristics”. </w:t>
      </w:r>
    </w:p>
    <w:p w14:paraId="65B81683" w14:textId="62448BEF" w:rsidR="00950363" w:rsidRPr="000B5C4B" w:rsidRDefault="00950363" w:rsidP="00147270">
      <w:pPr>
        <w:pStyle w:val="xmsonormal"/>
        <w:shd w:val="clear" w:color="auto" w:fill="FFFFFF"/>
        <w:spacing w:before="0" w:beforeAutospacing="0" w:after="0" w:afterAutospacing="0"/>
        <w:jc w:val="both"/>
        <w:rPr>
          <w:rFonts w:ascii="Cambria" w:hAnsi="Cambria"/>
          <w:color w:val="000000" w:themeColor="text1"/>
          <w:bdr w:val="none" w:sz="0" w:space="0" w:color="auto" w:frame="1"/>
        </w:rPr>
      </w:pPr>
    </w:p>
    <w:p w14:paraId="68EBB1C5" w14:textId="77777777" w:rsidR="007F79A8" w:rsidRPr="000B5C4B" w:rsidRDefault="00950363" w:rsidP="007F79A8">
      <w:pPr>
        <w:pStyle w:val="xmsonormal"/>
        <w:shd w:val="clear" w:color="auto" w:fill="FFFFFF"/>
        <w:spacing w:before="0" w:beforeAutospacing="0" w:after="0" w:afterAutospacing="0"/>
        <w:jc w:val="both"/>
        <w:rPr>
          <w:rFonts w:ascii="Cambria" w:hAnsi="Cambria"/>
          <w:color w:val="000000" w:themeColor="text1"/>
          <w:bdr w:val="none" w:sz="0" w:space="0" w:color="auto" w:frame="1"/>
        </w:rPr>
      </w:pPr>
      <w:r w:rsidRPr="000B5C4B">
        <w:rPr>
          <w:rFonts w:ascii="Cambria" w:hAnsi="Cambria"/>
          <w:color w:val="000000" w:themeColor="text1"/>
          <w:bdr w:val="none" w:sz="0" w:space="0" w:color="auto" w:frame="1"/>
        </w:rPr>
        <w:t xml:space="preserve">We </w:t>
      </w:r>
      <w:r w:rsidR="00147270" w:rsidRPr="000B5C4B">
        <w:rPr>
          <w:rFonts w:ascii="Cambria" w:hAnsi="Cambria"/>
          <w:color w:val="000000" w:themeColor="text1"/>
          <w:bdr w:val="none" w:sz="0" w:space="0" w:color="auto" w:frame="1"/>
        </w:rPr>
        <w:t xml:space="preserve">strongly </w:t>
      </w:r>
      <w:r w:rsidRPr="000B5C4B">
        <w:rPr>
          <w:rFonts w:ascii="Cambria" w:hAnsi="Cambria"/>
          <w:color w:val="000000" w:themeColor="text1"/>
          <w:bdr w:val="none" w:sz="0" w:space="0" w:color="auto" w:frame="1"/>
        </w:rPr>
        <w:t xml:space="preserve">support the joint </w:t>
      </w:r>
      <w:proofErr w:type="spellStart"/>
      <w:r w:rsidRPr="000B5C4B">
        <w:rPr>
          <w:rFonts w:ascii="Cambria" w:hAnsi="Cambria"/>
          <w:color w:val="000000" w:themeColor="text1"/>
          <w:bdr w:val="none" w:sz="0" w:space="0" w:color="auto" w:frame="1"/>
        </w:rPr>
        <w:t>TasCOSS</w:t>
      </w:r>
      <w:proofErr w:type="spellEnd"/>
      <w:r w:rsidRPr="000B5C4B">
        <w:rPr>
          <w:rFonts w:ascii="Cambria" w:hAnsi="Cambria"/>
          <w:color w:val="000000" w:themeColor="text1"/>
          <w:bdr w:val="none" w:sz="0" w:space="0" w:color="auto" w:frame="1"/>
        </w:rPr>
        <w:t>, Intersex Peer Support Australia and Equality Tasmania submission that recommends replacing “those with intersex variations of sex characteristics” with “those with innate variations of sex characteristics”. As the</w:t>
      </w:r>
      <w:r w:rsidR="00147270" w:rsidRPr="000B5C4B">
        <w:rPr>
          <w:rFonts w:ascii="Cambria" w:hAnsi="Cambria"/>
          <w:color w:val="000000" w:themeColor="text1"/>
          <w:bdr w:val="none" w:sz="0" w:space="0" w:color="auto" w:frame="1"/>
        </w:rPr>
        <w:t xml:space="preserve"> authors </w:t>
      </w:r>
      <w:r w:rsidRPr="000B5C4B">
        <w:rPr>
          <w:rFonts w:ascii="Cambria" w:hAnsi="Cambria"/>
          <w:color w:val="000000" w:themeColor="text1"/>
          <w:bdr w:val="none" w:sz="0" w:space="0" w:color="auto" w:frame="1"/>
        </w:rPr>
        <w:t xml:space="preserve">note in their submission “the term ‘intersex’ is an umbrella term used to describe a wide range of innate bodily variations in sex characteristics. Hence it is redundant to use the term ‘intersex’ in combination with ‘variations of sex characteristics’”.   </w:t>
      </w:r>
    </w:p>
    <w:p w14:paraId="35A93FB4" w14:textId="77777777" w:rsidR="007F79A8" w:rsidRPr="000B5C4B" w:rsidRDefault="007F79A8" w:rsidP="007F79A8">
      <w:pPr>
        <w:pStyle w:val="xmsonormal"/>
        <w:shd w:val="clear" w:color="auto" w:fill="FFFFFF"/>
        <w:spacing w:before="0" w:beforeAutospacing="0" w:after="0" w:afterAutospacing="0"/>
        <w:jc w:val="both"/>
        <w:rPr>
          <w:rFonts w:ascii="Cambria" w:hAnsi="Cambria"/>
          <w:color w:val="000000" w:themeColor="text1"/>
          <w:bdr w:val="none" w:sz="0" w:space="0" w:color="auto" w:frame="1"/>
        </w:rPr>
      </w:pPr>
    </w:p>
    <w:p w14:paraId="7789EF82" w14:textId="77777777" w:rsidR="007F79A8" w:rsidRPr="000B5C4B" w:rsidRDefault="007F79A8" w:rsidP="007F79A8">
      <w:pPr>
        <w:pStyle w:val="xmsonormal"/>
        <w:shd w:val="clear" w:color="auto" w:fill="FFFFFF"/>
        <w:spacing w:before="0" w:beforeAutospacing="0" w:after="0" w:afterAutospacing="0"/>
        <w:jc w:val="both"/>
        <w:rPr>
          <w:rFonts w:ascii="Cambria" w:hAnsi="Cambria"/>
          <w:color w:val="000000" w:themeColor="text1"/>
          <w:bdr w:val="none" w:sz="0" w:space="0" w:color="auto" w:frame="1"/>
        </w:rPr>
      </w:pPr>
    </w:p>
    <w:p w14:paraId="00147B82" w14:textId="38FDB15C" w:rsidR="007144F1" w:rsidRPr="000B5C4B" w:rsidRDefault="00950363" w:rsidP="007F79A8">
      <w:pPr>
        <w:pStyle w:val="xmsonormal"/>
        <w:shd w:val="clear" w:color="auto" w:fill="FFFFFF"/>
        <w:spacing w:before="0" w:beforeAutospacing="0" w:after="0" w:afterAutospacing="0"/>
        <w:jc w:val="both"/>
        <w:rPr>
          <w:rFonts w:ascii="Cambria" w:hAnsi="Cambria"/>
          <w:color w:val="000000" w:themeColor="text1"/>
          <w:bdr w:val="none" w:sz="0" w:space="0" w:color="auto" w:frame="1"/>
        </w:rPr>
      </w:pPr>
      <w:r w:rsidRPr="000B5C4B">
        <w:rPr>
          <w:rFonts w:ascii="Cambria" w:hAnsi="Cambria"/>
          <w:b/>
          <w:bCs/>
          <w:i/>
          <w:iCs/>
        </w:rPr>
        <w:lastRenderedPageBreak/>
        <w:t>Coroners Act 1997</w:t>
      </w:r>
      <w:r w:rsidRPr="000B5C4B">
        <w:rPr>
          <w:rFonts w:ascii="Cambria" w:hAnsi="Cambria"/>
          <w:b/>
          <w:bCs/>
        </w:rPr>
        <w:t xml:space="preserve"> (Tas)</w:t>
      </w:r>
    </w:p>
    <w:p w14:paraId="68B8DADF" w14:textId="42C45EEC" w:rsidR="00BC6269" w:rsidRPr="000B5C4B" w:rsidRDefault="00950363" w:rsidP="00BC6269">
      <w:pPr>
        <w:jc w:val="both"/>
        <w:rPr>
          <w:rFonts w:ascii="Cambria" w:hAnsi="Cambria"/>
        </w:rPr>
      </w:pPr>
      <w:r w:rsidRPr="000B5C4B">
        <w:rPr>
          <w:rFonts w:ascii="Cambria" w:hAnsi="Cambria"/>
        </w:rPr>
        <w:t xml:space="preserve">The case of </w:t>
      </w:r>
      <w:proofErr w:type="spellStart"/>
      <w:r w:rsidRPr="000B5C4B">
        <w:rPr>
          <w:rFonts w:ascii="Cambria" w:hAnsi="Cambria"/>
          <w:i/>
          <w:iCs/>
        </w:rPr>
        <w:t>Jago</w:t>
      </w:r>
      <w:proofErr w:type="spellEnd"/>
      <w:r w:rsidRPr="000B5C4B">
        <w:rPr>
          <w:rFonts w:ascii="Cambria" w:hAnsi="Cambria"/>
          <w:i/>
          <w:iCs/>
        </w:rPr>
        <w:t xml:space="preserve"> v Anti-Discrimination Tribunal</w:t>
      </w:r>
      <w:r w:rsidRPr="000B5C4B">
        <w:rPr>
          <w:rStyle w:val="FootnoteReference"/>
          <w:rFonts w:ascii="Cambria" w:hAnsi="Cambria"/>
        </w:rPr>
        <w:footnoteReference w:id="3"/>
      </w:r>
      <w:r w:rsidRPr="000B5C4B">
        <w:rPr>
          <w:rFonts w:ascii="Cambria" w:hAnsi="Cambria"/>
        </w:rPr>
        <w:t xml:space="preserve"> was concerned with Benjamin </w:t>
      </w:r>
      <w:proofErr w:type="spellStart"/>
      <w:r w:rsidRPr="000B5C4B">
        <w:rPr>
          <w:rFonts w:ascii="Cambria" w:hAnsi="Cambria"/>
        </w:rPr>
        <w:t>Jago</w:t>
      </w:r>
      <w:proofErr w:type="spellEnd"/>
      <w:r w:rsidRPr="000B5C4B">
        <w:rPr>
          <w:rFonts w:ascii="Cambria" w:hAnsi="Cambria"/>
        </w:rPr>
        <w:t xml:space="preserve"> a homosexual man who despite being in a relationship for five years was not recognised by the Coroner as his deceased partner’s senior</w:t>
      </w:r>
      <w:r w:rsidR="00147270" w:rsidRPr="000B5C4B">
        <w:rPr>
          <w:rFonts w:ascii="Cambria" w:hAnsi="Cambria"/>
        </w:rPr>
        <w:t xml:space="preserve"> </w:t>
      </w:r>
      <w:r w:rsidRPr="000B5C4B">
        <w:rPr>
          <w:rFonts w:ascii="Cambria" w:hAnsi="Cambria"/>
        </w:rPr>
        <w:t>next</w:t>
      </w:r>
      <w:r w:rsidR="00147270" w:rsidRPr="000B5C4B">
        <w:rPr>
          <w:rFonts w:ascii="Cambria" w:hAnsi="Cambria"/>
        </w:rPr>
        <w:t xml:space="preserve"> </w:t>
      </w:r>
      <w:r w:rsidRPr="000B5C4B">
        <w:rPr>
          <w:rFonts w:ascii="Cambria" w:hAnsi="Cambria"/>
        </w:rPr>
        <w:t>of</w:t>
      </w:r>
      <w:r w:rsidR="00147270" w:rsidRPr="000B5C4B">
        <w:rPr>
          <w:rFonts w:ascii="Cambria" w:hAnsi="Cambria"/>
        </w:rPr>
        <w:t xml:space="preserve"> </w:t>
      </w:r>
      <w:r w:rsidRPr="000B5C4B">
        <w:rPr>
          <w:rFonts w:ascii="Cambria" w:hAnsi="Cambria"/>
        </w:rPr>
        <w:t>kin</w:t>
      </w:r>
      <w:r w:rsidR="00850D69" w:rsidRPr="000B5C4B">
        <w:rPr>
          <w:rFonts w:ascii="Cambria" w:hAnsi="Cambria"/>
        </w:rPr>
        <w:t xml:space="preserve"> in the days after his partner’s death</w:t>
      </w:r>
      <w:r w:rsidRPr="000B5C4B">
        <w:rPr>
          <w:rFonts w:ascii="Cambria" w:hAnsi="Cambria"/>
        </w:rPr>
        <w:t>. The complaint of discrimination was dismissed by the Anti-Discrimination Tribunal and then the Supreme Court on the basis that the Coroner was immune from legal proceedings.</w:t>
      </w:r>
      <w:r w:rsidR="00BC6269" w:rsidRPr="000B5C4B">
        <w:rPr>
          <w:rStyle w:val="FootnoteReference"/>
          <w:rFonts w:ascii="Cambria" w:hAnsi="Cambria"/>
        </w:rPr>
        <w:footnoteReference w:id="4"/>
      </w:r>
      <w:r w:rsidRPr="000B5C4B">
        <w:rPr>
          <w:rFonts w:ascii="Cambria" w:hAnsi="Cambria"/>
        </w:rPr>
        <w:t xml:space="preserve"> </w:t>
      </w:r>
    </w:p>
    <w:p w14:paraId="2AACAA5A" w14:textId="77777777" w:rsidR="00BC6269" w:rsidRPr="000B5C4B" w:rsidRDefault="00BC6269" w:rsidP="00147270">
      <w:pPr>
        <w:jc w:val="both"/>
        <w:rPr>
          <w:rFonts w:ascii="Cambria" w:hAnsi="Cambria"/>
        </w:rPr>
      </w:pPr>
    </w:p>
    <w:p w14:paraId="74BA9B88" w14:textId="027A58C8" w:rsidR="00147270" w:rsidRPr="000B5C4B" w:rsidRDefault="00950363" w:rsidP="00147270">
      <w:pPr>
        <w:jc w:val="both"/>
        <w:rPr>
          <w:rFonts w:ascii="Cambria" w:hAnsi="Cambria"/>
        </w:rPr>
      </w:pPr>
      <w:r w:rsidRPr="000B5C4B">
        <w:rPr>
          <w:rFonts w:ascii="Cambria" w:hAnsi="Cambria"/>
        </w:rPr>
        <w:t xml:space="preserve">We strongly support the </w:t>
      </w:r>
      <w:r w:rsidR="00147270" w:rsidRPr="000B5C4B">
        <w:rPr>
          <w:rFonts w:ascii="Cambria" w:hAnsi="Cambria"/>
        </w:rPr>
        <w:t xml:space="preserve">Government’s </w:t>
      </w:r>
      <w:r w:rsidRPr="000B5C4B">
        <w:rPr>
          <w:rFonts w:ascii="Cambria" w:hAnsi="Cambria"/>
        </w:rPr>
        <w:t xml:space="preserve">intention </w:t>
      </w:r>
      <w:r w:rsidR="00147270" w:rsidRPr="000B5C4B">
        <w:rPr>
          <w:rFonts w:ascii="Cambria" w:hAnsi="Cambria"/>
        </w:rPr>
        <w:t xml:space="preserve">to ensure that Benjamin </w:t>
      </w:r>
      <w:proofErr w:type="spellStart"/>
      <w:r w:rsidR="00147270" w:rsidRPr="000B5C4B">
        <w:rPr>
          <w:rFonts w:ascii="Cambria" w:hAnsi="Cambria"/>
        </w:rPr>
        <w:t>Jago’s</w:t>
      </w:r>
      <w:proofErr w:type="spellEnd"/>
      <w:r w:rsidR="00147270" w:rsidRPr="000B5C4B">
        <w:rPr>
          <w:rFonts w:ascii="Cambria" w:hAnsi="Cambria"/>
        </w:rPr>
        <w:t xml:space="preserve"> experience with the Coroner’s Office does not occur again. T</w:t>
      </w:r>
      <w:r w:rsidRPr="000B5C4B">
        <w:rPr>
          <w:rFonts w:ascii="Cambria" w:hAnsi="Cambria"/>
        </w:rPr>
        <w:t xml:space="preserve">he Bill </w:t>
      </w:r>
      <w:r w:rsidR="00147270" w:rsidRPr="000B5C4B">
        <w:rPr>
          <w:rFonts w:ascii="Cambria" w:hAnsi="Cambria"/>
        </w:rPr>
        <w:t>seeks to achieve this aim by</w:t>
      </w:r>
      <w:r w:rsidRPr="000B5C4B">
        <w:rPr>
          <w:rFonts w:ascii="Cambria" w:hAnsi="Cambria"/>
        </w:rPr>
        <w:t xml:space="preserve"> clarify</w:t>
      </w:r>
      <w:r w:rsidR="00147270" w:rsidRPr="000B5C4B">
        <w:rPr>
          <w:rFonts w:ascii="Cambria" w:hAnsi="Cambria"/>
        </w:rPr>
        <w:t>ing</w:t>
      </w:r>
      <w:r w:rsidRPr="000B5C4B">
        <w:rPr>
          <w:rFonts w:ascii="Cambria" w:hAnsi="Cambria"/>
        </w:rPr>
        <w:t xml:space="preserve"> that</w:t>
      </w:r>
      <w:r w:rsidR="00147270" w:rsidRPr="000B5C4B">
        <w:rPr>
          <w:rFonts w:ascii="Cambria" w:hAnsi="Cambria"/>
        </w:rPr>
        <w:t xml:space="preserve"> upon the investigation into a death the Coroner will provide information to the senior next of kin and any other person who has an interest in the investigation. </w:t>
      </w:r>
      <w:r w:rsidR="00B351B2" w:rsidRPr="000B5C4B">
        <w:rPr>
          <w:rFonts w:ascii="Cambria" w:hAnsi="Cambria"/>
        </w:rPr>
        <w:t xml:space="preserve">The Bill sets out that “any general, or specific, information that is specified in the regulations” will be provided to both the senior next of kin and other persons with an interest in the investigation. </w:t>
      </w:r>
      <w:r w:rsidR="00147270" w:rsidRPr="000B5C4B">
        <w:rPr>
          <w:rFonts w:ascii="Cambria" w:hAnsi="Cambria"/>
        </w:rPr>
        <w:t>Information that we believe should be included in the regulations includes the purpose of the coronial investigation, applying for senior next of kin</w:t>
      </w:r>
      <w:r w:rsidR="00BC6269" w:rsidRPr="000B5C4B">
        <w:rPr>
          <w:rFonts w:ascii="Cambria" w:hAnsi="Cambria"/>
        </w:rPr>
        <w:t xml:space="preserve"> </w:t>
      </w:r>
      <w:r w:rsidR="00147270" w:rsidRPr="000B5C4B">
        <w:rPr>
          <w:rFonts w:ascii="Cambria" w:hAnsi="Cambria"/>
        </w:rPr>
        <w:t>and the rights of the senior next of kin.</w:t>
      </w:r>
      <w:r w:rsidR="00147270" w:rsidRPr="000B5C4B">
        <w:rPr>
          <w:rStyle w:val="FootnoteReference"/>
          <w:rFonts w:ascii="Cambria" w:hAnsi="Cambria"/>
        </w:rPr>
        <w:footnoteReference w:id="5"/>
      </w:r>
      <w:r w:rsidR="00147270" w:rsidRPr="000B5C4B">
        <w:rPr>
          <w:rFonts w:ascii="Cambria" w:hAnsi="Cambria"/>
        </w:rPr>
        <w:t xml:space="preserve"> </w:t>
      </w:r>
    </w:p>
    <w:p w14:paraId="77500870" w14:textId="77777777" w:rsidR="00147270" w:rsidRPr="000B5C4B" w:rsidRDefault="00147270" w:rsidP="00147270">
      <w:pPr>
        <w:jc w:val="both"/>
        <w:rPr>
          <w:rFonts w:ascii="Cambria" w:hAnsi="Cambria"/>
        </w:rPr>
      </w:pPr>
    </w:p>
    <w:p w14:paraId="3C278C99" w14:textId="0D321F2E" w:rsidR="00BC6269" w:rsidRPr="000B5C4B" w:rsidRDefault="00147270" w:rsidP="00BC6269">
      <w:pPr>
        <w:jc w:val="both"/>
        <w:rPr>
          <w:rFonts w:ascii="Cambria" w:hAnsi="Cambria"/>
        </w:rPr>
      </w:pPr>
      <w:r w:rsidRPr="000B5C4B">
        <w:rPr>
          <w:rFonts w:ascii="Cambria" w:hAnsi="Cambria"/>
        </w:rPr>
        <w:t xml:space="preserve">However, we strongly recommend </w:t>
      </w:r>
      <w:r w:rsidR="00B351B2" w:rsidRPr="000B5C4B">
        <w:rPr>
          <w:rFonts w:ascii="Cambria" w:hAnsi="Cambria"/>
        </w:rPr>
        <w:t>that</w:t>
      </w:r>
      <w:r w:rsidRPr="000B5C4B">
        <w:rPr>
          <w:rFonts w:ascii="Cambria" w:hAnsi="Cambria"/>
        </w:rPr>
        <w:t xml:space="preserve"> the </w:t>
      </w:r>
      <w:r w:rsidRPr="000B5C4B">
        <w:rPr>
          <w:rFonts w:ascii="Cambria" w:hAnsi="Cambria"/>
          <w:i/>
          <w:iCs/>
        </w:rPr>
        <w:t>Coroners Act 1995</w:t>
      </w:r>
      <w:r w:rsidRPr="000B5C4B">
        <w:rPr>
          <w:rFonts w:ascii="Cambria" w:hAnsi="Cambria"/>
        </w:rPr>
        <w:t xml:space="preserve"> (Tas)</w:t>
      </w:r>
      <w:r w:rsidR="00850D69" w:rsidRPr="000B5C4B">
        <w:rPr>
          <w:rFonts w:ascii="Cambria" w:hAnsi="Cambria"/>
        </w:rPr>
        <w:t>(‘the Act’)</w:t>
      </w:r>
      <w:r w:rsidRPr="000B5C4B">
        <w:rPr>
          <w:rFonts w:ascii="Cambria" w:hAnsi="Cambria"/>
        </w:rPr>
        <w:t xml:space="preserve"> </w:t>
      </w:r>
      <w:r w:rsidR="00B351B2" w:rsidRPr="000B5C4B">
        <w:rPr>
          <w:rFonts w:ascii="Cambria" w:hAnsi="Cambria"/>
        </w:rPr>
        <w:t>is further</w:t>
      </w:r>
      <w:r w:rsidRPr="000B5C4B">
        <w:rPr>
          <w:rFonts w:ascii="Cambria" w:hAnsi="Cambria"/>
        </w:rPr>
        <w:t xml:space="preserve"> amended, to explicitly make clear that a party aggrieved by the senior next of kin decision may appeal to the Supreme Court.</w:t>
      </w:r>
      <w:r w:rsidR="00BC6269" w:rsidRPr="000B5C4B">
        <w:rPr>
          <w:rFonts w:ascii="Cambria" w:hAnsi="Cambria"/>
        </w:rPr>
        <w:t xml:space="preserve"> Currently, the Act clearly sets out that persons who have a sufficient interest in the findings of the coronial investigation can appeal to the Supreme Court: </w:t>
      </w:r>
    </w:p>
    <w:p w14:paraId="5449A033" w14:textId="77777777" w:rsidR="00BC6269" w:rsidRPr="000B5C4B" w:rsidRDefault="00BC6269" w:rsidP="00BC6269">
      <w:pPr>
        <w:jc w:val="both"/>
        <w:rPr>
          <w:rFonts w:ascii="Cambria" w:hAnsi="Cambria"/>
        </w:rPr>
      </w:pPr>
    </w:p>
    <w:p w14:paraId="27939D78"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seeking the reopening of an investigation;</w:t>
      </w:r>
      <w:r w:rsidRPr="000B5C4B">
        <w:rPr>
          <w:rStyle w:val="FootnoteReference"/>
          <w:rFonts w:ascii="Cambria" w:hAnsi="Cambria"/>
          <w:sz w:val="24"/>
        </w:rPr>
        <w:footnoteReference w:id="6"/>
      </w:r>
      <w:r w:rsidRPr="000B5C4B">
        <w:rPr>
          <w:rFonts w:ascii="Cambria" w:hAnsi="Cambria"/>
          <w:sz w:val="24"/>
        </w:rPr>
        <w:t xml:space="preserve"> and </w:t>
      </w:r>
    </w:p>
    <w:p w14:paraId="650CCF5F"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that an inquest be held;</w:t>
      </w:r>
      <w:r w:rsidRPr="000B5C4B">
        <w:rPr>
          <w:rStyle w:val="FootnoteReference"/>
          <w:rFonts w:ascii="Cambria" w:hAnsi="Cambria"/>
          <w:sz w:val="24"/>
        </w:rPr>
        <w:footnoteReference w:id="7"/>
      </w:r>
      <w:r w:rsidRPr="000B5C4B">
        <w:rPr>
          <w:rFonts w:ascii="Cambria" w:hAnsi="Cambria"/>
          <w:sz w:val="24"/>
        </w:rPr>
        <w:t xml:space="preserve"> and </w:t>
      </w:r>
    </w:p>
    <w:p w14:paraId="377C53FE"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that an autopsy be performed;</w:t>
      </w:r>
      <w:r w:rsidRPr="000B5C4B">
        <w:rPr>
          <w:rStyle w:val="FootnoteReference"/>
          <w:rFonts w:ascii="Cambria" w:hAnsi="Cambria"/>
          <w:sz w:val="24"/>
        </w:rPr>
        <w:footnoteReference w:id="8"/>
      </w:r>
      <w:r w:rsidRPr="000B5C4B">
        <w:rPr>
          <w:rFonts w:ascii="Cambria" w:hAnsi="Cambria"/>
          <w:sz w:val="24"/>
        </w:rPr>
        <w:t xml:space="preserve"> and </w:t>
      </w:r>
    </w:p>
    <w:p w14:paraId="37AF0101"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that an autopsy not be performed;</w:t>
      </w:r>
      <w:r w:rsidRPr="000B5C4B">
        <w:rPr>
          <w:rStyle w:val="FootnoteReference"/>
          <w:rFonts w:ascii="Cambria" w:hAnsi="Cambria"/>
          <w:sz w:val="24"/>
        </w:rPr>
        <w:footnoteReference w:id="9"/>
      </w:r>
      <w:r w:rsidRPr="000B5C4B">
        <w:rPr>
          <w:rFonts w:ascii="Cambria" w:hAnsi="Cambria"/>
          <w:sz w:val="24"/>
        </w:rPr>
        <w:t xml:space="preserve"> and </w:t>
      </w:r>
    </w:p>
    <w:p w14:paraId="4FC65303"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that the body of the deceased person not be exhumed;</w:t>
      </w:r>
      <w:r w:rsidRPr="000B5C4B">
        <w:rPr>
          <w:rStyle w:val="FootnoteReference"/>
          <w:rFonts w:ascii="Cambria" w:hAnsi="Cambria"/>
          <w:sz w:val="24"/>
        </w:rPr>
        <w:footnoteReference w:id="10"/>
      </w:r>
      <w:r w:rsidRPr="000B5C4B">
        <w:rPr>
          <w:rFonts w:ascii="Cambria" w:hAnsi="Cambria"/>
          <w:sz w:val="24"/>
        </w:rPr>
        <w:t xml:space="preserve"> and </w:t>
      </w:r>
    </w:p>
    <w:p w14:paraId="066B7728"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that there be an inquest in relation to a fire or explosion;</w:t>
      </w:r>
      <w:r w:rsidRPr="000B5C4B">
        <w:rPr>
          <w:rStyle w:val="FootnoteReference"/>
          <w:rFonts w:ascii="Cambria" w:hAnsi="Cambria"/>
          <w:sz w:val="24"/>
        </w:rPr>
        <w:footnoteReference w:id="11"/>
      </w:r>
      <w:r w:rsidRPr="000B5C4B">
        <w:rPr>
          <w:rFonts w:ascii="Cambria" w:hAnsi="Cambria"/>
          <w:sz w:val="24"/>
        </w:rPr>
        <w:t xml:space="preserve"> and </w:t>
      </w:r>
    </w:p>
    <w:p w14:paraId="34D7BD68" w14:textId="77777777"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that there be an order that all or any of the findings of an inquest are void;</w:t>
      </w:r>
      <w:r w:rsidRPr="000B5C4B">
        <w:rPr>
          <w:rStyle w:val="FootnoteReference"/>
          <w:rFonts w:ascii="Cambria" w:hAnsi="Cambria"/>
          <w:sz w:val="24"/>
        </w:rPr>
        <w:footnoteReference w:id="12"/>
      </w:r>
      <w:r w:rsidRPr="000B5C4B">
        <w:rPr>
          <w:rFonts w:ascii="Cambria" w:hAnsi="Cambria"/>
          <w:sz w:val="24"/>
        </w:rPr>
        <w:t xml:space="preserve"> and </w:t>
      </w:r>
    </w:p>
    <w:p w14:paraId="4E30AB46" w14:textId="7066DA75" w:rsidR="00BC6269" w:rsidRPr="000B5C4B" w:rsidRDefault="00BC6269" w:rsidP="00BC6269">
      <w:pPr>
        <w:pStyle w:val="ListParagraph"/>
        <w:numPr>
          <w:ilvl w:val="0"/>
          <w:numId w:val="7"/>
        </w:numPr>
        <w:jc w:val="both"/>
        <w:rPr>
          <w:rFonts w:ascii="Cambria" w:hAnsi="Cambria"/>
          <w:sz w:val="24"/>
        </w:rPr>
      </w:pPr>
      <w:r w:rsidRPr="000B5C4B">
        <w:rPr>
          <w:rFonts w:ascii="Cambria" w:hAnsi="Cambria"/>
          <w:sz w:val="24"/>
        </w:rPr>
        <w:t>the return of an “article, substance or thing” in the legal custody of the Coroner.</w:t>
      </w:r>
      <w:r w:rsidRPr="000B5C4B">
        <w:rPr>
          <w:rStyle w:val="FootnoteReference"/>
          <w:rFonts w:ascii="Cambria" w:hAnsi="Cambria"/>
          <w:sz w:val="24"/>
        </w:rPr>
        <w:footnoteReference w:id="13"/>
      </w:r>
      <w:r w:rsidRPr="000B5C4B">
        <w:rPr>
          <w:rFonts w:ascii="Cambria" w:hAnsi="Cambria"/>
          <w:sz w:val="24"/>
        </w:rPr>
        <w:t xml:space="preserve">  </w:t>
      </w:r>
    </w:p>
    <w:p w14:paraId="18A360ED" w14:textId="77777777" w:rsidR="00BC6269" w:rsidRPr="000B5C4B" w:rsidRDefault="00BC6269" w:rsidP="00BC6269">
      <w:pPr>
        <w:jc w:val="both"/>
        <w:rPr>
          <w:rFonts w:ascii="Cambria" w:hAnsi="Cambria"/>
        </w:rPr>
      </w:pPr>
    </w:p>
    <w:p w14:paraId="78A2E7C0" w14:textId="40A01A34" w:rsidR="002C3429" w:rsidRPr="000B5C4B" w:rsidRDefault="00147270" w:rsidP="002C3429">
      <w:pPr>
        <w:jc w:val="both"/>
        <w:rPr>
          <w:rFonts w:ascii="Cambria" w:hAnsi="Cambria"/>
        </w:rPr>
      </w:pPr>
      <w:r w:rsidRPr="000B5C4B">
        <w:rPr>
          <w:rFonts w:ascii="Cambria" w:hAnsi="Cambria"/>
        </w:rPr>
        <w:lastRenderedPageBreak/>
        <w:t xml:space="preserve">Whilst </w:t>
      </w:r>
      <w:r w:rsidR="00B351B2" w:rsidRPr="000B5C4B">
        <w:rPr>
          <w:rFonts w:ascii="Cambria" w:hAnsi="Cambria"/>
        </w:rPr>
        <w:t xml:space="preserve">it is </w:t>
      </w:r>
      <w:r w:rsidR="00BD5BF1" w:rsidRPr="000B5C4B">
        <w:rPr>
          <w:rFonts w:ascii="Cambria" w:hAnsi="Cambria"/>
        </w:rPr>
        <w:t xml:space="preserve">acknowledged </w:t>
      </w:r>
      <w:r w:rsidR="00B351B2" w:rsidRPr="000B5C4B">
        <w:rPr>
          <w:rFonts w:ascii="Cambria" w:hAnsi="Cambria"/>
        </w:rPr>
        <w:t xml:space="preserve">that </w:t>
      </w:r>
      <w:r w:rsidRPr="000B5C4B">
        <w:rPr>
          <w:rFonts w:ascii="Cambria" w:hAnsi="Cambria"/>
        </w:rPr>
        <w:t>parties are able to appeal senior next of kin status to the Supreme Court, the</w:t>
      </w:r>
      <w:r w:rsidR="00850D69" w:rsidRPr="000B5C4B">
        <w:rPr>
          <w:rFonts w:ascii="Cambria" w:hAnsi="Cambria"/>
        </w:rPr>
        <w:t xml:space="preserve"> Act </w:t>
      </w:r>
      <w:r w:rsidRPr="000B5C4B">
        <w:rPr>
          <w:rFonts w:ascii="Cambria" w:hAnsi="Cambria"/>
        </w:rPr>
        <w:t xml:space="preserve">is silent and parties would only be aware of their right </w:t>
      </w:r>
      <w:r w:rsidR="00BD5BF1" w:rsidRPr="000B5C4B">
        <w:rPr>
          <w:rFonts w:ascii="Cambria" w:hAnsi="Cambria"/>
        </w:rPr>
        <w:t>to</w:t>
      </w:r>
      <w:r w:rsidRPr="000B5C4B">
        <w:rPr>
          <w:rFonts w:ascii="Cambria" w:hAnsi="Cambria"/>
        </w:rPr>
        <w:t xml:space="preserve"> appeal </w:t>
      </w:r>
      <w:r w:rsidR="00BD5BF1" w:rsidRPr="000B5C4B">
        <w:rPr>
          <w:rFonts w:ascii="Cambria" w:hAnsi="Cambria"/>
        </w:rPr>
        <w:t xml:space="preserve">under </w:t>
      </w:r>
      <w:r w:rsidRPr="000B5C4B">
        <w:rPr>
          <w:rFonts w:ascii="Cambria" w:hAnsi="Cambria"/>
        </w:rPr>
        <w:t xml:space="preserve">the </w:t>
      </w:r>
      <w:r w:rsidRPr="000B5C4B">
        <w:rPr>
          <w:rFonts w:ascii="Cambria" w:hAnsi="Cambria"/>
          <w:i/>
          <w:iCs/>
        </w:rPr>
        <w:t>Judicial Review Act 2000</w:t>
      </w:r>
      <w:r w:rsidRPr="000B5C4B">
        <w:rPr>
          <w:rFonts w:ascii="Cambria" w:hAnsi="Cambria"/>
        </w:rPr>
        <w:t xml:space="preserve"> (Tas) if they had engaged a lawyer. Given the heightened emotional state of persons grieving the loss of a loved one</w:t>
      </w:r>
      <w:r w:rsidR="00B351B2" w:rsidRPr="000B5C4B">
        <w:rPr>
          <w:rFonts w:ascii="Cambria" w:hAnsi="Cambria"/>
        </w:rPr>
        <w:t xml:space="preserve"> whilst the coronial investigation takes place</w:t>
      </w:r>
      <w:r w:rsidRPr="000B5C4B">
        <w:rPr>
          <w:rFonts w:ascii="Cambria" w:hAnsi="Cambria"/>
        </w:rPr>
        <w:t xml:space="preserve">, </w:t>
      </w:r>
      <w:r w:rsidR="00BC6269" w:rsidRPr="000B5C4B">
        <w:rPr>
          <w:rFonts w:ascii="Cambria" w:hAnsi="Cambria"/>
        </w:rPr>
        <w:t xml:space="preserve">and the rights of appeal already set out in the Act for other decisions of the Coroner, </w:t>
      </w:r>
      <w:r w:rsidR="00B351B2" w:rsidRPr="000B5C4B">
        <w:rPr>
          <w:rFonts w:ascii="Cambria" w:hAnsi="Cambria"/>
        </w:rPr>
        <w:t xml:space="preserve">it is imperative that parties are made aware </w:t>
      </w:r>
      <w:r w:rsidR="00850D69" w:rsidRPr="000B5C4B">
        <w:rPr>
          <w:rFonts w:ascii="Cambria" w:hAnsi="Cambria"/>
        </w:rPr>
        <w:t xml:space="preserve">through the Act </w:t>
      </w:r>
      <w:r w:rsidR="00B351B2" w:rsidRPr="000B5C4B">
        <w:rPr>
          <w:rFonts w:ascii="Cambria" w:hAnsi="Cambria"/>
        </w:rPr>
        <w:t>of their right to appeal.</w:t>
      </w:r>
      <w:r w:rsidR="00BC6269" w:rsidRPr="000B5C4B">
        <w:rPr>
          <w:rFonts w:ascii="Cambria" w:hAnsi="Cambria"/>
        </w:rPr>
        <w:t xml:space="preserve"> We therefore recommend that section 3A of the Act is amended to clarify that an aggrieved person may appeal the senior next of kin decision to the Supreme Court.</w:t>
      </w:r>
    </w:p>
    <w:p w14:paraId="01E05476" w14:textId="77777777" w:rsidR="002C3429" w:rsidRPr="000B5C4B" w:rsidRDefault="002C3429" w:rsidP="002C3429">
      <w:pPr>
        <w:jc w:val="both"/>
        <w:rPr>
          <w:rFonts w:ascii="Cambria" w:hAnsi="Cambria"/>
          <w:color w:val="000000" w:themeColor="text1"/>
        </w:rPr>
      </w:pPr>
    </w:p>
    <w:p w14:paraId="498CE7AC" w14:textId="04A78381" w:rsidR="002C3429" w:rsidRPr="000B5C4B" w:rsidRDefault="002C3429" w:rsidP="002C3429">
      <w:pPr>
        <w:jc w:val="both"/>
        <w:rPr>
          <w:rFonts w:ascii="Cambria" w:hAnsi="Cambria"/>
          <w:color w:val="000000" w:themeColor="text1"/>
        </w:rPr>
      </w:pPr>
      <w:r w:rsidRPr="000B5C4B">
        <w:rPr>
          <w:rFonts w:ascii="Cambria" w:hAnsi="Cambria"/>
          <w:color w:val="000000" w:themeColor="text1"/>
        </w:rPr>
        <w:t xml:space="preserve">To ensure that discriminatory conduct is minimised in future, we also recommend that the definition of “spouse” in the Act is amended to </w:t>
      </w:r>
      <w:r w:rsidR="007F79A8" w:rsidRPr="000B5C4B">
        <w:rPr>
          <w:rFonts w:ascii="Cambria" w:hAnsi="Cambria"/>
          <w:color w:val="000000" w:themeColor="text1"/>
        </w:rPr>
        <w:t xml:space="preserve">emphasise </w:t>
      </w:r>
      <w:r w:rsidRPr="000B5C4B">
        <w:rPr>
          <w:rFonts w:ascii="Cambria" w:hAnsi="Cambria"/>
          <w:color w:val="000000" w:themeColor="text1"/>
        </w:rPr>
        <w:t xml:space="preserve">that de-facto relationships include both those registered under the </w:t>
      </w:r>
      <w:r w:rsidRPr="000B5C4B">
        <w:rPr>
          <w:rFonts w:ascii="Cambria" w:hAnsi="Cambria"/>
          <w:i/>
          <w:iCs/>
          <w:color w:val="000000" w:themeColor="text1"/>
        </w:rPr>
        <w:t>Relationships Act 2003</w:t>
      </w:r>
      <w:r w:rsidRPr="000B5C4B">
        <w:rPr>
          <w:rFonts w:ascii="Cambria" w:hAnsi="Cambria"/>
          <w:color w:val="000000" w:themeColor="text1"/>
        </w:rPr>
        <w:t xml:space="preserve"> (Tas) and those not registered. The </w:t>
      </w:r>
      <w:r w:rsidR="00BD5BF1" w:rsidRPr="000B5C4B">
        <w:rPr>
          <w:rFonts w:ascii="Cambria" w:hAnsi="Cambria"/>
          <w:color w:val="000000" w:themeColor="text1"/>
        </w:rPr>
        <w:t xml:space="preserve">suggested </w:t>
      </w:r>
      <w:r w:rsidRPr="000B5C4B">
        <w:rPr>
          <w:rFonts w:ascii="Cambria" w:hAnsi="Cambria"/>
          <w:color w:val="000000" w:themeColor="text1"/>
        </w:rPr>
        <w:t>amendment to the definition of “spouse” is underlined:</w:t>
      </w:r>
    </w:p>
    <w:p w14:paraId="529AC5FF" w14:textId="77777777" w:rsidR="002C3429" w:rsidRPr="000B5C4B" w:rsidRDefault="002C3429" w:rsidP="002C3429">
      <w:pPr>
        <w:jc w:val="both"/>
        <w:rPr>
          <w:rFonts w:ascii="Cambria" w:hAnsi="Cambria"/>
          <w:color w:val="000000" w:themeColor="text1"/>
        </w:rPr>
      </w:pPr>
    </w:p>
    <w:p w14:paraId="6583FECC" w14:textId="3DA08854" w:rsidR="002C3429" w:rsidRPr="000B5C4B" w:rsidRDefault="002C3429" w:rsidP="00BD5BF1">
      <w:pPr>
        <w:ind w:left="720" w:right="798"/>
        <w:jc w:val="both"/>
        <w:rPr>
          <w:rFonts w:ascii="Cambria" w:hAnsi="Cambria"/>
          <w:color w:val="000000" w:themeColor="text1"/>
        </w:rPr>
      </w:pPr>
      <w:r w:rsidRPr="000B5C4B">
        <w:rPr>
          <w:rFonts w:ascii="Cambria" w:hAnsi="Cambria"/>
          <w:b/>
          <w:bCs/>
          <w:i/>
          <w:iCs/>
          <w:color w:val="000000" w:themeColor="text1"/>
          <w:shd w:val="clear" w:color="auto" w:fill="FFFFFF"/>
        </w:rPr>
        <w:t>spouse</w:t>
      </w:r>
      <w:r w:rsidRPr="000B5C4B">
        <w:rPr>
          <w:rFonts w:ascii="Cambria" w:hAnsi="Cambria"/>
          <w:color w:val="000000" w:themeColor="text1"/>
          <w:shd w:val="clear" w:color="auto" w:fill="FFFFFF"/>
        </w:rPr>
        <w:t xml:space="preserve"> includes the other party to a significant relationship </w:t>
      </w:r>
      <w:r w:rsidRPr="000B5C4B">
        <w:rPr>
          <w:rFonts w:ascii="Cambria" w:hAnsi="Cambria"/>
          <w:color w:val="000000" w:themeColor="text1"/>
          <w:u w:val="single"/>
        </w:rPr>
        <w:t>whether or not the relationship is registered</w:t>
      </w:r>
      <w:r w:rsidRPr="000B5C4B">
        <w:rPr>
          <w:rFonts w:ascii="Cambria" w:hAnsi="Cambria"/>
          <w:color w:val="000000" w:themeColor="text1"/>
          <w:shd w:val="clear" w:color="auto" w:fill="FFFFFF"/>
        </w:rPr>
        <w:t xml:space="preserve">, within the meaning of the </w:t>
      </w:r>
      <w:r w:rsidRPr="000B5C4B">
        <w:rPr>
          <w:rFonts w:ascii="Cambria" w:hAnsi="Cambria"/>
          <w:i/>
          <w:iCs/>
          <w:color w:val="000000" w:themeColor="text1"/>
          <w:shd w:val="clear" w:color="auto" w:fill="FFFFFF"/>
        </w:rPr>
        <w:t>Relationships Act 2003</w:t>
      </w:r>
      <w:r w:rsidRPr="000B5C4B">
        <w:rPr>
          <w:rFonts w:ascii="Cambria" w:hAnsi="Cambria"/>
          <w:color w:val="000000" w:themeColor="text1"/>
          <w:shd w:val="clear" w:color="auto" w:fill="FFFFFF"/>
        </w:rPr>
        <w:t>;</w:t>
      </w:r>
    </w:p>
    <w:p w14:paraId="4DB8D7B5" w14:textId="5D4799FA" w:rsidR="002C3429" w:rsidRPr="000B5C4B" w:rsidRDefault="002C3429" w:rsidP="00850D69">
      <w:pPr>
        <w:jc w:val="both"/>
        <w:rPr>
          <w:rFonts w:ascii="Cambria" w:hAnsi="Cambria"/>
          <w:color w:val="000000" w:themeColor="text1"/>
        </w:rPr>
      </w:pPr>
      <w:r w:rsidRPr="000B5C4B">
        <w:rPr>
          <w:rFonts w:ascii="Cambria" w:hAnsi="Cambria"/>
          <w:color w:val="000000" w:themeColor="text1"/>
        </w:rPr>
        <w:t xml:space="preserve"> </w:t>
      </w:r>
    </w:p>
    <w:p w14:paraId="20CC5730" w14:textId="306DB824" w:rsidR="002C3429" w:rsidRPr="000B5C4B" w:rsidRDefault="002C3429" w:rsidP="002C3429">
      <w:pPr>
        <w:jc w:val="both"/>
        <w:rPr>
          <w:rFonts w:ascii="Cambria" w:hAnsi="Cambria"/>
          <w:color w:val="000000" w:themeColor="text1"/>
        </w:rPr>
      </w:pPr>
      <w:r w:rsidRPr="000B5C4B">
        <w:rPr>
          <w:rFonts w:ascii="Cambria" w:hAnsi="Cambria"/>
          <w:color w:val="000000" w:themeColor="text1"/>
        </w:rPr>
        <w:t xml:space="preserve">Finally, as a result of the  </w:t>
      </w:r>
      <w:proofErr w:type="spellStart"/>
      <w:r w:rsidRPr="000B5C4B">
        <w:rPr>
          <w:rFonts w:ascii="Cambria" w:hAnsi="Cambria"/>
          <w:i/>
          <w:iCs/>
          <w:color w:val="000000" w:themeColor="text1"/>
        </w:rPr>
        <w:t>Jago</w:t>
      </w:r>
      <w:proofErr w:type="spellEnd"/>
      <w:r w:rsidRPr="000B5C4B">
        <w:rPr>
          <w:rFonts w:ascii="Cambria" w:hAnsi="Cambria"/>
          <w:i/>
          <w:iCs/>
          <w:color w:val="000000" w:themeColor="text1"/>
        </w:rPr>
        <w:t xml:space="preserve"> v Anti-Discrimination Tribunal</w:t>
      </w:r>
      <w:r w:rsidRPr="000B5C4B">
        <w:rPr>
          <w:rFonts w:ascii="Cambria" w:hAnsi="Cambria"/>
          <w:color w:val="000000" w:themeColor="text1"/>
        </w:rPr>
        <w:t xml:space="preserve"> decision and the finding that the Coroner is immune from legal proceedings, some LGBTIQ</w:t>
      </w:r>
      <w:r w:rsidR="000B5C4B" w:rsidRPr="000B5C4B">
        <w:rPr>
          <w:rFonts w:ascii="Cambria" w:hAnsi="Cambria"/>
          <w:color w:val="000000" w:themeColor="text1"/>
        </w:rPr>
        <w:t>A</w:t>
      </w:r>
      <w:r w:rsidRPr="000B5C4B">
        <w:rPr>
          <w:rFonts w:ascii="Cambria" w:hAnsi="Cambria"/>
          <w:color w:val="000000" w:themeColor="text1"/>
        </w:rPr>
        <w:t xml:space="preserve">+ couples may have a heightened sense of anxiety about how their relationship will be judged. To allay any concerns, we also recommend that section 3A of the Act expressly provide that senior next of kin will be assessed “regardless of sex, sexual orientation, gender, gender identity or innate variations of sex characteristics”. </w:t>
      </w:r>
    </w:p>
    <w:p w14:paraId="1A2BB167" w14:textId="61DFAE4D" w:rsidR="007144F1" w:rsidRPr="000B5C4B" w:rsidRDefault="002C3429" w:rsidP="002C3429">
      <w:pPr>
        <w:jc w:val="both"/>
        <w:rPr>
          <w:rFonts w:ascii="Cambria" w:hAnsi="Cambria"/>
        </w:rPr>
      </w:pPr>
      <w:r w:rsidRPr="000B5C4B">
        <w:rPr>
          <w:rFonts w:ascii="Cambria" w:hAnsi="Cambria"/>
        </w:rPr>
        <w:t xml:space="preserve"> </w:t>
      </w:r>
      <w:bookmarkStart w:id="0" w:name="OLE_LINK1"/>
    </w:p>
    <w:p w14:paraId="19418F11" w14:textId="77777777" w:rsidR="007144F1" w:rsidRPr="000B5C4B" w:rsidRDefault="007144F1" w:rsidP="007144F1">
      <w:pPr>
        <w:pStyle w:val="xmsonormal"/>
        <w:shd w:val="clear" w:color="auto" w:fill="FFFFFF"/>
        <w:spacing w:before="0" w:beforeAutospacing="0" w:after="0" w:afterAutospacing="0"/>
        <w:jc w:val="both"/>
        <w:rPr>
          <w:rFonts w:ascii="Cambria" w:hAnsi="Cambria"/>
          <w:color w:val="000000"/>
        </w:rPr>
      </w:pPr>
      <w:r w:rsidRPr="000B5C4B">
        <w:rPr>
          <w:rFonts w:ascii="Cambria" w:hAnsi="Cambria"/>
        </w:rPr>
        <w:t xml:space="preserve">If you have any queries, or would like to discuss our submission further, please do not hesitate to contact us. </w:t>
      </w:r>
    </w:p>
    <w:p w14:paraId="031A4011" w14:textId="77777777" w:rsidR="007144F1" w:rsidRPr="000B5C4B" w:rsidRDefault="007144F1" w:rsidP="007144F1">
      <w:pPr>
        <w:rPr>
          <w:rFonts w:ascii="Cambria" w:hAnsi="Cambria"/>
        </w:rPr>
      </w:pPr>
    </w:p>
    <w:p w14:paraId="21188B31" w14:textId="77777777" w:rsidR="007144F1" w:rsidRPr="000B5C4B" w:rsidRDefault="007144F1" w:rsidP="007144F1">
      <w:pPr>
        <w:rPr>
          <w:rFonts w:ascii="Cambria" w:hAnsi="Cambria"/>
        </w:rPr>
      </w:pPr>
    </w:p>
    <w:p w14:paraId="45A0A76D" w14:textId="77777777" w:rsidR="007144F1" w:rsidRPr="000B5C4B" w:rsidRDefault="007144F1" w:rsidP="007144F1">
      <w:pPr>
        <w:rPr>
          <w:rFonts w:ascii="Cambria" w:hAnsi="Cambria"/>
        </w:rPr>
      </w:pPr>
      <w:r w:rsidRPr="000B5C4B">
        <w:rPr>
          <w:rFonts w:ascii="Cambria" w:hAnsi="Cambria"/>
        </w:rPr>
        <w:t>Yours faithfully,</w:t>
      </w:r>
    </w:p>
    <w:bookmarkEnd w:id="0"/>
    <w:p w14:paraId="3F43DC29" w14:textId="77777777" w:rsidR="007144F1" w:rsidRPr="000B5C4B" w:rsidRDefault="007144F1" w:rsidP="007144F1">
      <w:pPr>
        <w:rPr>
          <w:rFonts w:ascii="Cambria" w:hAnsi="Cambria"/>
        </w:rPr>
      </w:pPr>
    </w:p>
    <w:p w14:paraId="2961E963" w14:textId="77777777" w:rsidR="007144F1" w:rsidRPr="000B5C4B" w:rsidRDefault="007144F1" w:rsidP="007144F1">
      <w:pPr>
        <w:rPr>
          <w:rFonts w:ascii="Cambria" w:hAnsi="Cambria"/>
        </w:rPr>
      </w:pPr>
    </w:p>
    <w:p w14:paraId="1005D1C1" w14:textId="77777777" w:rsidR="00A2231B" w:rsidRPr="000B5C4B" w:rsidRDefault="00A2231B" w:rsidP="007144F1">
      <w:pPr>
        <w:rPr>
          <w:rFonts w:ascii="Cambria" w:hAnsi="Cambria"/>
        </w:rPr>
      </w:pPr>
    </w:p>
    <w:p w14:paraId="2C43424C" w14:textId="55AAAEEE" w:rsidR="007144F1" w:rsidRPr="000B5C4B" w:rsidRDefault="007144F1" w:rsidP="007144F1">
      <w:pPr>
        <w:rPr>
          <w:rFonts w:ascii="Cambria" w:hAnsi="Cambria"/>
        </w:rPr>
      </w:pPr>
      <w:r w:rsidRPr="000B5C4B">
        <w:rPr>
          <w:rFonts w:ascii="Cambria" w:hAnsi="Cambria"/>
        </w:rPr>
        <w:t xml:space="preserve">Benedict </w:t>
      </w:r>
      <w:proofErr w:type="spellStart"/>
      <w:r w:rsidRPr="000B5C4B">
        <w:rPr>
          <w:rFonts w:ascii="Cambria" w:hAnsi="Cambria"/>
        </w:rPr>
        <w:t>Bartl</w:t>
      </w:r>
      <w:proofErr w:type="spellEnd"/>
    </w:p>
    <w:p w14:paraId="2B533474" w14:textId="77777777" w:rsidR="007144F1" w:rsidRPr="000B5C4B" w:rsidRDefault="007144F1" w:rsidP="007144F1">
      <w:pPr>
        <w:rPr>
          <w:rFonts w:ascii="Cambria" w:hAnsi="Cambria"/>
        </w:rPr>
      </w:pPr>
      <w:r w:rsidRPr="000B5C4B">
        <w:rPr>
          <w:rFonts w:ascii="Cambria" w:hAnsi="Cambria"/>
        </w:rPr>
        <w:t>Policy Officer</w:t>
      </w:r>
    </w:p>
    <w:p w14:paraId="32100DA0" w14:textId="77777777" w:rsidR="007144F1" w:rsidRPr="000B5C4B" w:rsidRDefault="007144F1" w:rsidP="007144F1">
      <w:pPr>
        <w:pBdr>
          <w:bottom w:val="single" w:sz="6" w:space="1" w:color="auto"/>
        </w:pBdr>
        <w:rPr>
          <w:rFonts w:ascii="Cambria" w:hAnsi="Cambria"/>
          <w:b/>
          <w:bCs/>
        </w:rPr>
      </w:pPr>
      <w:r w:rsidRPr="000B5C4B">
        <w:rPr>
          <w:rFonts w:ascii="Cambria" w:hAnsi="Cambria"/>
          <w:b/>
          <w:bCs/>
        </w:rPr>
        <w:t>Community Legal Centres Tasmania</w:t>
      </w:r>
    </w:p>
    <w:p w14:paraId="2CE7718B" w14:textId="77777777" w:rsidR="007144F1" w:rsidRPr="000B5C4B" w:rsidRDefault="007144F1" w:rsidP="007144F1">
      <w:pPr>
        <w:rPr>
          <w:rFonts w:ascii="Cambria" w:hAnsi="Cambria"/>
        </w:rPr>
      </w:pPr>
    </w:p>
    <w:p w14:paraId="0D3C4F88" w14:textId="77777777" w:rsidR="00AC6BC0" w:rsidRPr="000B5C4B" w:rsidRDefault="00AC6BC0">
      <w:pPr>
        <w:rPr>
          <w:rFonts w:ascii="Cambria" w:hAnsi="Cambria"/>
        </w:rPr>
      </w:pPr>
    </w:p>
    <w:sectPr w:rsidR="00AC6BC0" w:rsidRPr="000B5C4B" w:rsidSect="00215FCE">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9C31" w14:textId="77777777" w:rsidR="004E7D72" w:rsidRDefault="004E7D72" w:rsidP="007144F1">
      <w:r>
        <w:separator/>
      </w:r>
    </w:p>
  </w:endnote>
  <w:endnote w:type="continuationSeparator" w:id="0">
    <w:p w14:paraId="61A0BDC4" w14:textId="77777777" w:rsidR="004E7D72" w:rsidRDefault="004E7D72" w:rsidP="0071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108557"/>
      <w:docPartObj>
        <w:docPartGallery w:val="Page Numbers (Bottom of Page)"/>
        <w:docPartUnique/>
      </w:docPartObj>
    </w:sdtPr>
    <w:sdtContent>
      <w:p w14:paraId="7BC93DC1" w14:textId="77777777" w:rsidR="00B90B1A" w:rsidRDefault="00B04A24"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31D55" w14:textId="77777777" w:rsidR="00B90B1A" w:rsidRDefault="00000000" w:rsidP="00B9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5691377"/>
      <w:docPartObj>
        <w:docPartGallery w:val="Page Numbers (Bottom of Page)"/>
        <w:docPartUnique/>
      </w:docPartObj>
    </w:sdtPr>
    <w:sdtContent>
      <w:p w14:paraId="03B01898" w14:textId="77777777" w:rsidR="00B90B1A" w:rsidRDefault="00B04A24" w:rsidP="001B5A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AC279C" w14:textId="77777777" w:rsidR="00B90B1A" w:rsidRDefault="00000000" w:rsidP="00B90B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E175" w14:textId="77777777" w:rsidR="004E7D72" w:rsidRDefault="004E7D72" w:rsidP="007144F1">
      <w:r>
        <w:separator/>
      </w:r>
    </w:p>
  </w:footnote>
  <w:footnote w:type="continuationSeparator" w:id="0">
    <w:p w14:paraId="742CC20D" w14:textId="77777777" w:rsidR="004E7D72" w:rsidRDefault="004E7D72" w:rsidP="007144F1">
      <w:r>
        <w:continuationSeparator/>
      </w:r>
    </w:p>
  </w:footnote>
  <w:footnote w:id="1">
    <w:p w14:paraId="294E4A37" w14:textId="77777777" w:rsidR="007144F1" w:rsidRPr="00BC6269" w:rsidRDefault="007144F1" w:rsidP="007144F1">
      <w:pPr>
        <w:pStyle w:val="FootnoteText"/>
        <w:rPr>
          <w:rFonts w:ascii="Cambria" w:hAnsi="Cambria"/>
          <w:lang w:val="en-AU"/>
        </w:rPr>
      </w:pPr>
      <w:r w:rsidRPr="00BC6269">
        <w:rPr>
          <w:rStyle w:val="FootnoteReference"/>
          <w:rFonts w:ascii="Cambria" w:hAnsi="Cambria"/>
          <w:lang w:val="en-AU"/>
        </w:rPr>
        <w:footnoteRef/>
      </w:r>
      <w:r w:rsidRPr="00BC6269">
        <w:rPr>
          <w:rFonts w:ascii="Cambria" w:hAnsi="Cambria"/>
          <w:lang w:val="en-AU"/>
        </w:rPr>
        <w:t xml:space="preserve"> </w:t>
      </w:r>
      <w:r w:rsidRPr="00BC6269">
        <w:rPr>
          <w:rFonts w:ascii="Cambria" w:hAnsi="Cambria"/>
          <w:sz w:val="20"/>
          <w:szCs w:val="20"/>
          <w:lang w:val="en-AU"/>
        </w:rPr>
        <w:t xml:space="preserve">CLC Tas would like to acknowledge those persons and organisations who gave freely of their time in assisting with our submission. </w:t>
      </w:r>
    </w:p>
  </w:footnote>
  <w:footnote w:id="2">
    <w:p w14:paraId="086F8CAA" w14:textId="6C55B72C" w:rsidR="00950363" w:rsidRPr="00BC6269" w:rsidRDefault="00950363">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rPr>
        <w:t>[2020] TASSC 54.</w:t>
      </w:r>
    </w:p>
  </w:footnote>
  <w:footnote w:id="3">
    <w:p w14:paraId="087BFD7F" w14:textId="6220DAB7" w:rsidR="00950363" w:rsidRPr="00BC6269" w:rsidRDefault="00950363">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[2021] TASSC 10.</w:t>
      </w:r>
    </w:p>
  </w:footnote>
  <w:footnote w:id="4">
    <w:p w14:paraId="270D674A" w14:textId="1419BA9B" w:rsidR="00BC6269" w:rsidRPr="00BC6269" w:rsidRDefault="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The immunities are found in section 67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 and section 10A of the </w:t>
      </w:r>
      <w:r w:rsidRPr="00BC6269">
        <w:rPr>
          <w:rFonts w:ascii="Cambria" w:hAnsi="Cambria"/>
          <w:i/>
          <w:iCs/>
          <w:sz w:val="20"/>
          <w:szCs w:val="20"/>
          <w:lang w:val="en-AU"/>
        </w:rPr>
        <w:t>Magistrates Court Act 1987</w:t>
      </w:r>
      <w:r w:rsidRPr="00BC6269">
        <w:rPr>
          <w:rFonts w:ascii="Cambria" w:hAnsi="Cambria"/>
          <w:sz w:val="20"/>
          <w:szCs w:val="20"/>
          <w:lang w:val="en-AU"/>
        </w:rPr>
        <w:t xml:space="preserve"> (Tas). See also </w:t>
      </w:r>
      <w:proofErr w:type="spellStart"/>
      <w:r w:rsidRPr="00BC6269">
        <w:rPr>
          <w:rFonts w:ascii="Cambria" w:hAnsi="Cambria"/>
          <w:i/>
          <w:iCs/>
          <w:sz w:val="20"/>
          <w:szCs w:val="20"/>
          <w:lang w:val="en-AU"/>
        </w:rPr>
        <w:t>Jago</w:t>
      </w:r>
      <w:proofErr w:type="spellEnd"/>
      <w:r w:rsidRPr="00BC6269">
        <w:rPr>
          <w:rFonts w:ascii="Cambria" w:hAnsi="Cambria"/>
          <w:i/>
          <w:iCs/>
          <w:sz w:val="20"/>
          <w:szCs w:val="20"/>
          <w:lang w:val="en-AU"/>
        </w:rPr>
        <w:t xml:space="preserve"> v Magistrates Court of Tasmania (Coronial Division)</w:t>
      </w:r>
      <w:r w:rsidRPr="00BC6269">
        <w:rPr>
          <w:rFonts w:ascii="Cambria" w:hAnsi="Cambria"/>
          <w:sz w:val="20"/>
          <w:szCs w:val="20"/>
          <w:lang w:val="en-AU"/>
        </w:rPr>
        <w:t xml:space="preserve"> [2018] TASADT 7. </w:t>
      </w:r>
      <w:r w:rsidRPr="00BC6269">
        <w:rPr>
          <w:rFonts w:ascii="Cambria" w:hAnsi="Cambria"/>
          <w:lang w:val="en-AU"/>
        </w:rPr>
        <w:t xml:space="preserve"> </w:t>
      </w:r>
    </w:p>
  </w:footnote>
  <w:footnote w:id="5">
    <w:p w14:paraId="64EFF39D" w14:textId="3E8176BB" w:rsidR="00147270" w:rsidRPr="00BC6269" w:rsidRDefault="00147270" w:rsidP="00147270">
      <w:pPr>
        <w:pStyle w:val="NoSpacing"/>
        <w:rPr>
          <w:rFonts w:ascii="Cambria" w:hAnsi="Cambria"/>
          <w:lang w:val="de-DE"/>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rPr>
        <w:t xml:space="preserve">These rights include objecting to an autopsy or exhumation, being notified of a coroner’s decision not to hold an inquest and requesting that a coroner not hold an inquest into a workplace death: sections 26, 26A, 38, 39 of the </w:t>
      </w:r>
      <w:r w:rsidRPr="00BC6269">
        <w:rPr>
          <w:rFonts w:ascii="Cambria" w:hAnsi="Cambria"/>
          <w:i/>
          <w:iCs/>
          <w:sz w:val="20"/>
          <w:szCs w:val="20"/>
        </w:rPr>
        <w:t>Coroners Act 1995</w:t>
      </w:r>
      <w:r w:rsidRPr="00BC6269">
        <w:rPr>
          <w:rFonts w:ascii="Cambria" w:hAnsi="Cambria"/>
          <w:sz w:val="20"/>
          <w:szCs w:val="20"/>
        </w:rPr>
        <w:t xml:space="preserve"> (Tas).</w:t>
      </w:r>
      <w:r w:rsidRPr="00BC6269">
        <w:rPr>
          <w:rFonts w:ascii="Cambria" w:hAnsi="Cambria"/>
        </w:rPr>
        <w:t xml:space="preserve"> </w:t>
      </w:r>
    </w:p>
  </w:footnote>
  <w:footnote w:id="6">
    <w:p w14:paraId="2BD3E7F8"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58(7)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r w:rsidRPr="00BC6269">
        <w:rPr>
          <w:rFonts w:ascii="Cambria" w:hAnsi="Cambria"/>
          <w:lang w:val="en-AU"/>
        </w:rPr>
        <w:t xml:space="preserve"> </w:t>
      </w:r>
    </w:p>
  </w:footnote>
  <w:footnote w:id="7">
    <w:p w14:paraId="7B76E2DE"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Sections 26(2) and 27(3)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 w:id="8">
    <w:p w14:paraId="1AEA4D52"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37(3)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 w:id="9">
    <w:p w14:paraId="29A50135"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38(3)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 w:id="10">
    <w:p w14:paraId="3A2C0D7E"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39(4)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 w:id="11">
    <w:p w14:paraId="470E804D"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44(2)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 w:id="12">
    <w:p w14:paraId="125CE889"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58A(1)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 w:id="13">
    <w:p w14:paraId="11518C17" w14:textId="77777777" w:rsidR="00BC6269" w:rsidRPr="00BC6269" w:rsidRDefault="00BC6269" w:rsidP="00BC6269">
      <w:pPr>
        <w:pStyle w:val="FootnoteText"/>
        <w:rPr>
          <w:rFonts w:ascii="Cambria" w:hAnsi="Cambria"/>
          <w:lang w:val="en-AU"/>
        </w:rPr>
      </w:pPr>
      <w:r w:rsidRPr="00BC6269">
        <w:rPr>
          <w:rStyle w:val="FootnoteReference"/>
          <w:rFonts w:ascii="Cambria" w:hAnsi="Cambria"/>
        </w:rPr>
        <w:footnoteRef/>
      </w:r>
      <w:r w:rsidRPr="00BC6269">
        <w:rPr>
          <w:rFonts w:ascii="Cambria" w:hAnsi="Cambria"/>
        </w:rPr>
        <w:t xml:space="preserve"> </w:t>
      </w:r>
      <w:r w:rsidRPr="00BC6269">
        <w:rPr>
          <w:rFonts w:ascii="Cambria" w:hAnsi="Cambria"/>
          <w:sz w:val="20"/>
          <w:szCs w:val="20"/>
          <w:lang w:val="en-AU"/>
        </w:rPr>
        <w:t xml:space="preserve">Section 63 of the </w:t>
      </w:r>
      <w:r w:rsidRPr="00BC6269">
        <w:rPr>
          <w:rFonts w:ascii="Cambria" w:hAnsi="Cambria"/>
          <w:i/>
          <w:iCs/>
          <w:sz w:val="20"/>
          <w:szCs w:val="20"/>
          <w:lang w:val="en-AU"/>
        </w:rPr>
        <w:t>Coroners Act 1995</w:t>
      </w:r>
      <w:r w:rsidRPr="00BC6269">
        <w:rPr>
          <w:rFonts w:ascii="Cambria" w:hAnsi="Cambria"/>
          <w:sz w:val="20"/>
          <w:szCs w:val="20"/>
          <w:lang w:val="en-AU"/>
        </w:rPr>
        <w:t xml:space="preserve"> (Tas).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D75"/>
    <w:multiLevelType w:val="multilevel"/>
    <w:tmpl w:val="9DB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2125F7"/>
    <w:multiLevelType w:val="hybridMultilevel"/>
    <w:tmpl w:val="E5662F88"/>
    <w:lvl w:ilvl="0" w:tplc="88687E32">
      <w:start w:val="2019"/>
      <w:numFmt w:val="bullet"/>
      <w:lvlText w:val=""/>
      <w:lvlJc w:val="left"/>
      <w:pPr>
        <w:ind w:left="720" w:hanging="360"/>
      </w:pPr>
      <w:rPr>
        <w:rFonts w:ascii="Symbol" w:eastAsiaTheme="minorHAnsi" w:hAnsi="Symbol"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230C11"/>
    <w:multiLevelType w:val="hybridMultilevel"/>
    <w:tmpl w:val="3118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2648F"/>
    <w:multiLevelType w:val="multilevel"/>
    <w:tmpl w:val="2216F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333B2A"/>
    <w:multiLevelType w:val="hybridMultilevel"/>
    <w:tmpl w:val="E4481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747324">
    <w:abstractNumId w:val="1"/>
  </w:num>
  <w:num w:numId="2" w16cid:durableId="2106075466">
    <w:abstractNumId w:val="3"/>
    <w:lvlOverride w:ilvl="0">
      <w:startOverride w:val="1"/>
    </w:lvlOverride>
  </w:num>
  <w:num w:numId="3" w16cid:durableId="2106075466">
    <w:abstractNumId w:val="3"/>
    <w:lvlOverride w:ilvl="0">
      <w:startOverride w:val="2"/>
    </w:lvlOverride>
  </w:num>
  <w:num w:numId="4" w16cid:durableId="787892579">
    <w:abstractNumId w:val="0"/>
    <w:lvlOverride w:ilvl="0">
      <w:startOverride w:val="1"/>
    </w:lvlOverride>
  </w:num>
  <w:num w:numId="5" w16cid:durableId="787892579">
    <w:abstractNumId w:val="0"/>
    <w:lvlOverride w:ilvl="0">
      <w:startOverride w:val="2"/>
    </w:lvlOverride>
  </w:num>
  <w:num w:numId="6" w16cid:durableId="2080246413">
    <w:abstractNumId w:val="4"/>
  </w:num>
  <w:num w:numId="7" w16cid:durableId="1596669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F1"/>
    <w:rsid w:val="000B5C4B"/>
    <w:rsid w:val="00147270"/>
    <w:rsid w:val="001C6BD4"/>
    <w:rsid w:val="001D026F"/>
    <w:rsid w:val="0027478C"/>
    <w:rsid w:val="002C3429"/>
    <w:rsid w:val="003775B8"/>
    <w:rsid w:val="004E7D72"/>
    <w:rsid w:val="005B212A"/>
    <w:rsid w:val="005D2C42"/>
    <w:rsid w:val="005E0C47"/>
    <w:rsid w:val="007119D9"/>
    <w:rsid w:val="007144F1"/>
    <w:rsid w:val="00732E22"/>
    <w:rsid w:val="007F79A8"/>
    <w:rsid w:val="00811754"/>
    <w:rsid w:val="00850D69"/>
    <w:rsid w:val="00936519"/>
    <w:rsid w:val="00950363"/>
    <w:rsid w:val="00A2231B"/>
    <w:rsid w:val="00AC6BC0"/>
    <w:rsid w:val="00B04A24"/>
    <w:rsid w:val="00B159B6"/>
    <w:rsid w:val="00B351B2"/>
    <w:rsid w:val="00BC6269"/>
    <w:rsid w:val="00BD5BF1"/>
    <w:rsid w:val="00C02BB5"/>
    <w:rsid w:val="00C3223C"/>
    <w:rsid w:val="00CF253A"/>
    <w:rsid w:val="00D65BCB"/>
    <w:rsid w:val="00E2702B"/>
    <w:rsid w:val="00FE5E71"/>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36F3"/>
  <w15:chartTrackingRefBased/>
  <w15:docId w15:val="{ACDF0BA1-4164-4642-AF21-D3C31260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2"/>
    <w:rPr>
      <w:rFonts w:ascii="Times New Roman" w:eastAsia="Times New Roman" w:hAnsi="Times New Roman" w:cs="Times New Roman"/>
      <w:lang w:eastAsia="en-GB"/>
    </w:rPr>
  </w:style>
  <w:style w:type="paragraph" w:styleId="Heading4">
    <w:name w:val="heading 4"/>
    <w:basedOn w:val="Normal"/>
    <w:link w:val="Heading4Char"/>
    <w:uiPriority w:val="9"/>
    <w:qFormat/>
    <w:rsid w:val="0014727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4F1"/>
    <w:rPr>
      <w:color w:val="0563C1" w:themeColor="hyperlink"/>
      <w:u w:val="single"/>
    </w:rPr>
  </w:style>
  <w:style w:type="table" w:styleId="TableGrid">
    <w:name w:val="Table Grid"/>
    <w:basedOn w:val="TableNormal"/>
    <w:uiPriority w:val="39"/>
    <w:rsid w:val="0071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Text"/>
    <w:basedOn w:val="Normal"/>
    <w:link w:val="FootnoteTextChar"/>
    <w:uiPriority w:val="99"/>
    <w:unhideWhenUsed/>
    <w:rsid w:val="007144F1"/>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uiPriority w:val="99"/>
    <w:rsid w:val="007144F1"/>
    <w:rPr>
      <w:rFonts w:eastAsiaTheme="minorEastAsia"/>
      <w:lang w:val="en-US"/>
    </w:rPr>
  </w:style>
  <w:style w:type="character" w:styleId="FootnoteReference">
    <w:name w:val="footnote reference"/>
    <w:aliases w:val="Ref,de nota al pie"/>
    <w:basedOn w:val="DefaultParagraphFont"/>
    <w:uiPriority w:val="99"/>
    <w:unhideWhenUsed/>
    <w:qFormat/>
    <w:rsid w:val="007144F1"/>
    <w:rPr>
      <w:vertAlign w:val="superscript"/>
    </w:rPr>
  </w:style>
  <w:style w:type="paragraph" w:styleId="NoSpacing">
    <w:name w:val="No Spacing"/>
    <w:uiPriority w:val="1"/>
    <w:qFormat/>
    <w:rsid w:val="007144F1"/>
    <w:rPr>
      <w:rFonts w:ascii="Times New Roman" w:eastAsia="Times New Roman" w:hAnsi="Times New Roman" w:cs="Times New Roman"/>
      <w:lang w:eastAsia="en-GB"/>
    </w:rPr>
  </w:style>
  <w:style w:type="paragraph" w:styleId="Footer">
    <w:name w:val="footer"/>
    <w:basedOn w:val="Normal"/>
    <w:link w:val="FooterChar"/>
    <w:uiPriority w:val="99"/>
    <w:unhideWhenUsed/>
    <w:rsid w:val="007144F1"/>
    <w:pPr>
      <w:tabs>
        <w:tab w:val="center" w:pos="4513"/>
        <w:tab w:val="right" w:pos="9026"/>
      </w:tabs>
    </w:pPr>
  </w:style>
  <w:style w:type="character" w:customStyle="1" w:styleId="FooterChar">
    <w:name w:val="Footer Char"/>
    <w:basedOn w:val="DefaultParagraphFont"/>
    <w:link w:val="Footer"/>
    <w:uiPriority w:val="99"/>
    <w:rsid w:val="007144F1"/>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7144F1"/>
  </w:style>
  <w:style w:type="paragraph" w:customStyle="1" w:styleId="xmsonormal">
    <w:name w:val="x_msonormal"/>
    <w:basedOn w:val="Normal"/>
    <w:rsid w:val="007144F1"/>
    <w:pPr>
      <w:spacing w:before="100" w:beforeAutospacing="1" w:after="100" w:afterAutospacing="1"/>
    </w:pPr>
  </w:style>
  <w:style w:type="paragraph" w:styleId="ListParagraph">
    <w:name w:val="List Paragraph"/>
    <w:basedOn w:val="Normal"/>
    <w:uiPriority w:val="34"/>
    <w:qFormat/>
    <w:rsid w:val="007144F1"/>
    <w:pPr>
      <w:tabs>
        <w:tab w:val="left" w:pos="567"/>
        <w:tab w:val="left" w:pos="1134"/>
        <w:tab w:val="left" w:pos="1701"/>
      </w:tabs>
      <w:spacing w:after="140" w:line="300" w:lineRule="exact"/>
      <w:contextualSpacing/>
    </w:pPr>
    <w:rPr>
      <w:rFonts w:asciiTheme="minorHAnsi" w:eastAsiaTheme="minorHAnsi" w:hAnsiTheme="minorHAnsi" w:cs="Times New Roman (Body CS)"/>
      <w:sz w:val="22"/>
      <w:lang w:eastAsia="en-US"/>
    </w:rPr>
  </w:style>
  <w:style w:type="paragraph" w:styleId="NormalWeb">
    <w:name w:val="Normal (Web)"/>
    <w:basedOn w:val="Normal"/>
    <w:uiPriority w:val="99"/>
    <w:unhideWhenUsed/>
    <w:rsid w:val="00950363"/>
    <w:pPr>
      <w:spacing w:before="100" w:beforeAutospacing="1" w:after="100" w:afterAutospacing="1"/>
    </w:pPr>
  </w:style>
  <w:style w:type="character" w:customStyle="1" w:styleId="Heading4Char">
    <w:name w:val="Heading 4 Char"/>
    <w:basedOn w:val="DefaultParagraphFont"/>
    <w:link w:val="Heading4"/>
    <w:uiPriority w:val="9"/>
    <w:rsid w:val="00147270"/>
    <w:rPr>
      <w:rFonts w:ascii="Times New Roman" w:eastAsia="Times New Roman" w:hAnsi="Times New Roman" w:cs="Times New Roman"/>
      <w:b/>
      <w:bCs/>
      <w:lang w:eastAsia="en-GB"/>
    </w:rPr>
  </w:style>
  <w:style w:type="paragraph" w:customStyle="1" w:styleId="clause">
    <w:name w:val="clause"/>
    <w:basedOn w:val="Normal"/>
    <w:rsid w:val="001472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600">
      <w:bodyDiv w:val="1"/>
      <w:marLeft w:val="0"/>
      <w:marRight w:val="0"/>
      <w:marTop w:val="0"/>
      <w:marBottom w:val="0"/>
      <w:divBdr>
        <w:top w:val="none" w:sz="0" w:space="0" w:color="auto"/>
        <w:left w:val="none" w:sz="0" w:space="0" w:color="auto"/>
        <w:bottom w:val="none" w:sz="0" w:space="0" w:color="auto"/>
        <w:right w:val="none" w:sz="0" w:space="0" w:color="auto"/>
      </w:divBdr>
    </w:div>
    <w:div w:id="370153435">
      <w:bodyDiv w:val="1"/>
      <w:marLeft w:val="0"/>
      <w:marRight w:val="0"/>
      <w:marTop w:val="0"/>
      <w:marBottom w:val="0"/>
      <w:divBdr>
        <w:top w:val="none" w:sz="0" w:space="0" w:color="auto"/>
        <w:left w:val="none" w:sz="0" w:space="0" w:color="auto"/>
        <w:bottom w:val="none" w:sz="0" w:space="0" w:color="auto"/>
        <w:right w:val="none" w:sz="0" w:space="0" w:color="auto"/>
      </w:divBdr>
    </w:div>
    <w:div w:id="373240832">
      <w:bodyDiv w:val="1"/>
      <w:marLeft w:val="0"/>
      <w:marRight w:val="0"/>
      <w:marTop w:val="0"/>
      <w:marBottom w:val="0"/>
      <w:divBdr>
        <w:top w:val="none" w:sz="0" w:space="0" w:color="auto"/>
        <w:left w:val="none" w:sz="0" w:space="0" w:color="auto"/>
        <w:bottom w:val="none" w:sz="0" w:space="0" w:color="auto"/>
        <w:right w:val="none" w:sz="0" w:space="0" w:color="auto"/>
      </w:divBdr>
    </w:div>
    <w:div w:id="762457822">
      <w:bodyDiv w:val="1"/>
      <w:marLeft w:val="0"/>
      <w:marRight w:val="0"/>
      <w:marTop w:val="0"/>
      <w:marBottom w:val="0"/>
      <w:divBdr>
        <w:top w:val="none" w:sz="0" w:space="0" w:color="auto"/>
        <w:left w:val="none" w:sz="0" w:space="0" w:color="auto"/>
        <w:bottom w:val="none" w:sz="0" w:space="0" w:color="auto"/>
        <w:right w:val="none" w:sz="0" w:space="0" w:color="auto"/>
      </w:divBdr>
    </w:div>
    <w:div w:id="821387814">
      <w:bodyDiv w:val="1"/>
      <w:marLeft w:val="0"/>
      <w:marRight w:val="0"/>
      <w:marTop w:val="0"/>
      <w:marBottom w:val="0"/>
      <w:divBdr>
        <w:top w:val="none" w:sz="0" w:space="0" w:color="auto"/>
        <w:left w:val="none" w:sz="0" w:space="0" w:color="auto"/>
        <w:bottom w:val="none" w:sz="0" w:space="0" w:color="auto"/>
        <w:right w:val="none" w:sz="0" w:space="0" w:color="auto"/>
      </w:divBdr>
    </w:div>
    <w:div w:id="984352346">
      <w:bodyDiv w:val="1"/>
      <w:marLeft w:val="0"/>
      <w:marRight w:val="0"/>
      <w:marTop w:val="0"/>
      <w:marBottom w:val="0"/>
      <w:divBdr>
        <w:top w:val="none" w:sz="0" w:space="0" w:color="auto"/>
        <w:left w:val="none" w:sz="0" w:space="0" w:color="auto"/>
        <w:bottom w:val="none" w:sz="0" w:space="0" w:color="auto"/>
        <w:right w:val="none" w:sz="0" w:space="0" w:color="auto"/>
      </w:divBdr>
      <w:divsChild>
        <w:div w:id="9700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3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44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908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46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40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21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63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3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022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5308226">
      <w:bodyDiv w:val="1"/>
      <w:marLeft w:val="0"/>
      <w:marRight w:val="0"/>
      <w:marTop w:val="0"/>
      <w:marBottom w:val="0"/>
      <w:divBdr>
        <w:top w:val="none" w:sz="0" w:space="0" w:color="auto"/>
        <w:left w:val="none" w:sz="0" w:space="0" w:color="auto"/>
        <w:bottom w:val="none" w:sz="0" w:space="0" w:color="auto"/>
        <w:right w:val="none" w:sz="0" w:space="0" w:color="auto"/>
      </w:divBdr>
      <w:divsChild>
        <w:div w:id="562833820">
          <w:marLeft w:val="0"/>
          <w:marRight w:val="0"/>
          <w:marTop w:val="0"/>
          <w:marBottom w:val="0"/>
          <w:divBdr>
            <w:top w:val="none" w:sz="0" w:space="0" w:color="auto"/>
            <w:left w:val="none" w:sz="0" w:space="0" w:color="auto"/>
            <w:bottom w:val="none" w:sz="0" w:space="0" w:color="auto"/>
            <w:right w:val="none" w:sz="0" w:space="0" w:color="auto"/>
          </w:divBdr>
          <w:divsChild>
            <w:div w:id="253636856">
              <w:marLeft w:val="0"/>
              <w:marRight w:val="0"/>
              <w:marTop w:val="0"/>
              <w:marBottom w:val="0"/>
              <w:divBdr>
                <w:top w:val="none" w:sz="0" w:space="0" w:color="auto"/>
                <w:left w:val="none" w:sz="0" w:space="0" w:color="auto"/>
                <w:bottom w:val="none" w:sz="0" w:space="0" w:color="auto"/>
                <w:right w:val="none" w:sz="0" w:space="0" w:color="auto"/>
              </w:divBdr>
              <w:divsChild>
                <w:div w:id="2065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1936">
      <w:bodyDiv w:val="1"/>
      <w:marLeft w:val="0"/>
      <w:marRight w:val="0"/>
      <w:marTop w:val="0"/>
      <w:marBottom w:val="0"/>
      <w:divBdr>
        <w:top w:val="none" w:sz="0" w:space="0" w:color="auto"/>
        <w:left w:val="none" w:sz="0" w:space="0" w:color="auto"/>
        <w:bottom w:val="none" w:sz="0" w:space="0" w:color="auto"/>
        <w:right w:val="none" w:sz="0" w:space="0" w:color="auto"/>
      </w:divBdr>
    </w:div>
    <w:div w:id="1876190912">
      <w:bodyDiv w:val="1"/>
      <w:marLeft w:val="0"/>
      <w:marRight w:val="0"/>
      <w:marTop w:val="0"/>
      <w:marBottom w:val="0"/>
      <w:divBdr>
        <w:top w:val="none" w:sz="0" w:space="0" w:color="auto"/>
        <w:left w:val="none" w:sz="0" w:space="0" w:color="auto"/>
        <w:bottom w:val="none" w:sz="0" w:space="0" w:color="auto"/>
        <w:right w:val="none" w:sz="0" w:space="0" w:color="auto"/>
      </w:divBdr>
      <w:divsChild>
        <w:div w:id="693698826">
          <w:marLeft w:val="0"/>
          <w:marRight w:val="0"/>
          <w:marTop w:val="0"/>
          <w:marBottom w:val="0"/>
          <w:divBdr>
            <w:top w:val="none" w:sz="0" w:space="0" w:color="auto"/>
            <w:left w:val="none" w:sz="0" w:space="0" w:color="auto"/>
            <w:bottom w:val="none" w:sz="0" w:space="0" w:color="auto"/>
            <w:right w:val="none" w:sz="0" w:space="0" w:color="auto"/>
          </w:divBdr>
          <w:divsChild>
            <w:div w:id="694423657">
              <w:marLeft w:val="0"/>
              <w:marRight w:val="0"/>
              <w:marTop w:val="0"/>
              <w:marBottom w:val="0"/>
              <w:divBdr>
                <w:top w:val="none" w:sz="0" w:space="0" w:color="auto"/>
                <w:left w:val="none" w:sz="0" w:space="0" w:color="auto"/>
                <w:bottom w:val="none" w:sz="0" w:space="0" w:color="auto"/>
                <w:right w:val="none" w:sz="0" w:space="0" w:color="auto"/>
              </w:divBdr>
              <w:divsChild>
                <w:div w:id="1460344408">
                  <w:marLeft w:val="0"/>
                  <w:marRight w:val="0"/>
                  <w:marTop w:val="0"/>
                  <w:marBottom w:val="0"/>
                  <w:divBdr>
                    <w:top w:val="none" w:sz="0" w:space="0" w:color="auto"/>
                    <w:left w:val="none" w:sz="0" w:space="0" w:color="auto"/>
                    <w:bottom w:val="none" w:sz="0" w:space="0" w:color="auto"/>
                    <w:right w:val="none" w:sz="0" w:space="0" w:color="auto"/>
                  </w:divBdr>
                </w:div>
                <w:div w:id="1279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veyoursay@justice.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74EA-8FA0-6F43-A6FD-40E86715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2022-09-19T03:25:00Z</cp:lastPrinted>
  <dcterms:created xsi:type="dcterms:W3CDTF">2022-09-19T22:17:00Z</dcterms:created>
  <dcterms:modified xsi:type="dcterms:W3CDTF">2022-09-19T22:17:00Z</dcterms:modified>
</cp:coreProperties>
</file>