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F3C5" w14:textId="77777777" w:rsidR="0026512B" w:rsidRPr="00187347" w:rsidRDefault="0026512B" w:rsidP="0026512B">
      <w:pPr>
        <w:jc w:val="center"/>
      </w:pPr>
      <w:r w:rsidRPr="00187347">
        <w:rPr>
          <w:rFonts w:asciiTheme="minorHAnsi" w:hAnsiTheme="minorHAnsi"/>
          <w:noProof/>
          <w:sz w:val="20"/>
          <w:szCs w:val="20"/>
        </w:rPr>
        <w:drawing>
          <wp:inline distT="0" distB="0" distL="0" distR="0" wp14:anchorId="0B62D98E" wp14:editId="6A40CEEF">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A6B0569" w14:textId="42D5970F" w:rsidR="00EC7FD1" w:rsidRPr="00824CCE" w:rsidRDefault="00EC7FD1" w:rsidP="0026512B">
      <w:pPr>
        <w:rPr>
          <w:rFonts w:ascii="Cambria" w:hAnsi="Cambria"/>
        </w:rPr>
      </w:pPr>
    </w:p>
    <w:p w14:paraId="1710EA53" w14:textId="77777777" w:rsidR="00EC7FD1" w:rsidRPr="00824CCE" w:rsidRDefault="00EC7FD1" w:rsidP="0026512B">
      <w:pPr>
        <w:rPr>
          <w:rFonts w:ascii="Cambria" w:hAnsi="Cambria"/>
          <w:color w:val="000000" w:themeColor="text1"/>
        </w:rPr>
      </w:pPr>
    </w:p>
    <w:p w14:paraId="3870CF52" w14:textId="1BD525BD" w:rsidR="0026512B" w:rsidRPr="00824CCE" w:rsidRDefault="004F24DE" w:rsidP="0026512B">
      <w:pPr>
        <w:rPr>
          <w:rFonts w:ascii="Cambria" w:hAnsi="Cambria"/>
          <w:color w:val="000000" w:themeColor="text1"/>
        </w:rPr>
      </w:pPr>
      <w:r>
        <w:rPr>
          <w:rFonts w:ascii="Cambria" w:hAnsi="Cambria"/>
          <w:color w:val="000000" w:themeColor="text1"/>
        </w:rPr>
        <w:t>15</w:t>
      </w:r>
      <w:r w:rsidR="0026512B" w:rsidRPr="00824CCE">
        <w:rPr>
          <w:rFonts w:ascii="Cambria" w:hAnsi="Cambria"/>
          <w:color w:val="000000" w:themeColor="text1"/>
        </w:rPr>
        <w:t xml:space="preserve"> July 2022</w:t>
      </w:r>
    </w:p>
    <w:p w14:paraId="5ACE428C" w14:textId="77777777" w:rsidR="0026512B" w:rsidRPr="00824CCE" w:rsidRDefault="0026512B" w:rsidP="0026512B">
      <w:pPr>
        <w:rPr>
          <w:rFonts w:ascii="Cambria" w:hAnsi="Cambria"/>
          <w:color w:val="000000" w:themeColor="text1"/>
        </w:rPr>
      </w:pPr>
    </w:p>
    <w:p w14:paraId="35DBD2D2" w14:textId="3904814F" w:rsidR="0026512B" w:rsidRPr="00824CCE" w:rsidRDefault="0026512B" w:rsidP="0026512B">
      <w:pPr>
        <w:rPr>
          <w:rFonts w:ascii="Cambria" w:hAnsi="Cambria"/>
        </w:rPr>
      </w:pPr>
      <w:r w:rsidRPr="00824CCE">
        <w:rPr>
          <w:rFonts w:ascii="Cambria" w:hAnsi="Cambria"/>
        </w:rPr>
        <w:t>Department of Health</w:t>
      </w:r>
    </w:p>
    <w:p w14:paraId="4D339396" w14:textId="77777777" w:rsidR="0026512B" w:rsidRPr="00824CCE" w:rsidRDefault="0026512B" w:rsidP="0026512B">
      <w:pPr>
        <w:rPr>
          <w:rFonts w:ascii="Cambria" w:hAnsi="Cambria"/>
        </w:rPr>
      </w:pPr>
      <w:r w:rsidRPr="00824CCE">
        <w:rPr>
          <w:rFonts w:ascii="Cambria" w:hAnsi="Cambria"/>
        </w:rPr>
        <w:t>Office of the Secretary</w:t>
      </w:r>
    </w:p>
    <w:p w14:paraId="4EB1BE67" w14:textId="70BE1E4E" w:rsidR="0026512B" w:rsidRPr="00824CCE" w:rsidRDefault="0026512B" w:rsidP="0026512B">
      <w:pPr>
        <w:rPr>
          <w:rFonts w:ascii="Cambria" w:hAnsi="Cambria"/>
        </w:rPr>
      </w:pPr>
      <w:r w:rsidRPr="00824CCE">
        <w:rPr>
          <w:rFonts w:ascii="Cambria" w:hAnsi="Cambria"/>
        </w:rPr>
        <w:t>GPO Box 125</w:t>
      </w:r>
    </w:p>
    <w:p w14:paraId="13E25840" w14:textId="77777777" w:rsidR="0026512B" w:rsidRPr="00824CCE" w:rsidRDefault="0026512B" w:rsidP="0026512B">
      <w:pPr>
        <w:rPr>
          <w:rFonts w:ascii="Cambria" w:hAnsi="Cambria"/>
        </w:rPr>
      </w:pPr>
      <w:r w:rsidRPr="00824CCE">
        <w:rPr>
          <w:rFonts w:ascii="Cambria" w:hAnsi="Cambria"/>
        </w:rPr>
        <w:t>Hobart TAS 7001</w:t>
      </w:r>
    </w:p>
    <w:p w14:paraId="6D605920" w14:textId="243C2E50" w:rsidR="0026512B" w:rsidRPr="00824CCE" w:rsidRDefault="0026512B" w:rsidP="0026512B">
      <w:pPr>
        <w:rPr>
          <w:rFonts w:ascii="Cambria" w:hAnsi="Cambria"/>
        </w:rPr>
      </w:pPr>
      <w:proofErr w:type="spellStart"/>
      <w:r w:rsidRPr="00824CCE">
        <w:rPr>
          <w:rFonts w:ascii="Cambria" w:hAnsi="Cambria"/>
        </w:rPr>
        <w:t>attn:</w:t>
      </w:r>
      <w:proofErr w:type="spellEnd"/>
      <w:r w:rsidRPr="00824CCE">
        <w:rPr>
          <w:rFonts w:ascii="Cambria" w:hAnsi="Cambria"/>
        </w:rPr>
        <w:t xml:space="preserve"> Dr Robyn Greaves </w:t>
      </w:r>
      <w:r w:rsidRPr="00824CCE">
        <w:rPr>
          <w:rFonts w:ascii="Cambria" w:hAnsi="Cambria"/>
        </w:rPr>
        <w:tab/>
      </w:r>
      <w:r w:rsidRPr="00824CCE">
        <w:rPr>
          <w:rFonts w:ascii="Cambria" w:hAnsi="Cambria"/>
        </w:rPr>
        <w:tab/>
      </w:r>
    </w:p>
    <w:p w14:paraId="24482493" w14:textId="46814DAA" w:rsidR="0026512B" w:rsidRPr="00824CCE" w:rsidRDefault="0026512B" w:rsidP="0026512B">
      <w:pPr>
        <w:ind w:left="2880" w:firstLine="720"/>
        <w:rPr>
          <w:rFonts w:ascii="Cambria" w:hAnsi="Cambria"/>
        </w:rPr>
      </w:pPr>
      <w:r w:rsidRPr="00824CCE">
        <w:rPr>
          <w:rFonts w:ascii="Cambria" w:hAnsi="Cambria"/>
          <w:b/>
          <w:bCs/>
          <w:i/>
          <w:iCs/>
        </w:rPr>
        <w:t>via email:</w:t>
      </w:r>
      <w:r w:rsidRPr="00824CCE">
        <w:rPr>
          <w:rFonts w:ascii="Cambria" w:hAnsi="Cambria"/>
          <w:i/>
          <w:iCs/>
        </w:rPr>
        <w:t xml:space="preserve"> </w:t>
      </w:r>
      <w:hyperlink r:id="rId8" w:history="1">
        <w:r w:rsidRPr="00824CCE">
          <w:rPr>
            <w:rStyle w:val="Hyperlink"/>
            <w:rFonts w:ascii="Cambria" w:hAnsi="Cambria"/>
            <w:i/>
            <w:iCs/>
          </w:rPr>
          <w:t>mhadd@health.tas.gov.au</w:t>
        </w:r>
      </w:hyperlink>
      <w:r w:rsidRPr="00824CCE">
        <w:rPr>
          <w:rFonts w:ascii="Cambria" w:hAnsi="Cambria"/>
          <w:i/>
          <w:iCs/>
        </w:rPr>
        <w:t xml:space="preserve"> </w:t>
      </w:r>
      <w:r w:rsidRPr="00824CCE">
        <w:rPr>
          <w:rFonts w:ascii="Cambria" w:hAnsi="Cambria"/>
        </w:rPr>
        <w:t xml:space="preserve"> </w:t>
      </w:r>
    </w:p>
    <w:p w14:paraId="7EAFF04B" w14:textId="77777777" w:rsidR="0026512B" w:rsidRPr="00C47C36" w:rsidRDefault="0026512B" w:rsidP="0026512B">
      <w:pPr>
        <w:rPr>
          <w:rFonts w:ascii="Cambria" w:hAnsi="Cambria"/>
          <w:color w:val="000000" w:themeColor="text1"/>
        </w:rPr>
      </w:pPr>
    </w:p>
    <w:p w14:paraId="3EA265BB" w14:textId="1417EAEB" w:rsidR="0026512B" w:rsidRPr="00C47C36" w:rsidRDefault="0026512B" w:rsidP="0026512B">
      <w:pPr>
        <w:rPr>
          <w:rFonts w:ascii="Cambria" w:hAnsi="Cambria"/>
          <w:color w:val="000000" w:themeColor="text1"/>
        </w:rPr>
      </w:pPr>
      <w:r w:rsidRPr="00C47C36">
        <w:rPr>
          <w:rFonts w:ascii="Cambria" w:hAnsi="Cambria"/>
          <w:color w:val="000000" w:themeColor="text1"/>
        </w:rPr>
        <w:t xml:space="preserve">Dear Dr Greaves, </w:t>
      </w:r>
    </w:p>
    <w:p w14:paraId="772593C4" w14:textId="68BFC63C" w:rsidR="0026512B" w:rsidRPr="00C47C36" w:rsidRDefault="0026512B" w:rsidP="0026512B">
      <w:pPr>
        <w:pBdr>
          <w:bottom w:val="single" w:sz="6" w:space="1" w:color="auto"/>
        </w:pBdr>
        <w:rPr>
          <w:rFonts w:ascii="Cambria" w:hAnsi="Cambria"/>
          <w:b/>
          <w:bCs/>
          <w:color w:val="000000" w:themeColor="text1"/>
        </w:rPr>
      </w:pPr>
      <w:r w:rsidRPr="00C47C36">
        <w:rPr>
          <w:rFonts w:ascii="Cambria" w:hAnsi="Cambria"/>
          <w:b/>
          <w:bCs/>
          <w:color w:val="000000" w:themeColor="text1"/>
        </w:rPr>
        <w:t xml:space="preserve">Re: </w:t>
      </w:r>
      <w:r w:rsidRPr="00C47C36">
        <w:rPr>
          <w:rFonts w:ascii="Cambria" w:hAnsi="Cambria"/>
          <w:b/>
          <w:bCs/>
          <w:i/>
          <w:iCs/>
          <w:color w:val="000000" w:themeColor="text1"/>
        </w:rPr>
        <w:t>Tasmanian Drug Strategy 2022-2027</w:t>
      </w:r>
    </w:p>
    <w:p w14:paraId="77A2C86D" w14:textId="77777777" w:rsidR="0026512B" w:rsidRPr="00C47C36" w:rsidRDefault="0026512B" w:rsidP="0026512B">
      <w:pPr>
        <w:rPr>
          <w:rFonts w:ascii="Cambria" w:hAnsi="Cambria"/>
          <w:color w:val="000000" w:themeColor="text1"/>
        </w:rPr>
      </w:pPr>
    </w:p>
    <w:p w14:paraId="7B8535D4" w14:textId="5E3059FE" w:rsidR="00B12429" w:rsidRPr="00C47C36" w:rsidRDefault="0026512B" w:rsidP="0026512B">
      <w:pPr>
        <w:pStyle w:val="NoSpacing"/>
        <w:shd w:val="clear" w:color="auto" w:fill="FFFFFF"/>
        <w:jc w:val="both"/>
        <w:rPr>
          <w:rFonts w:ascii="Cambria" w:hAnsi="Cambria" w:cs="Calibri"/>
          <w:color w:val="000000" w:themeColor="text1"/>
          <w:shd w:val="clear" w:color="auto" w:fill="FFFFFF"/>
        </w:rPr>
      </w:pPr>
      <w:r w:rsidRPr="00C47C36">
        <w:rPr>
          <w:rFonts w:ascii="Cambria" w:hAnsi="Cambria"/>
          <w:color w:val="000000" w:themeColor="text1"/>
          <w:bdr w:val="none" w:sz="0" w:space="0" w:color="auto" w:frame="1"/>
        </w:rPr>
        <w:t>Community Legal Centres Tasmania (CLC Tas) welcomes the opportunity to respond to the draft </w:t>
      </w:r>
      <w:r w:rsidRPr="00C47C36">
        <w:rPr>
          <w:rFonts w:ascii="Cambria" w:hAnsi="Cambria"/>
          <w:i/>
          <w:iCs/>
          <w:color w:val="000000" w:themeColor="text1"/>
          <w:bdr w:val="none" w:sz="0" w:space="0" w:color="auto" w:frame="1"/>
        </w:rPr>
        <w:t>Tasmanian Drug Strategy 2022-2027</w:t>
      </w:r>
      <w:r w:rsidR="00B12429" w:rsidRPr="00C47C36">
        <w:rPr>
          <w:rFonts w:ascii="Cambria" w:hAnsi="Cambria"/>
          <w:i/>
          <w:iCs/>
          <w:color w:val="000000" w:themeColor="text1"/>
          <w:bdr w:val="none" w:sz="0" w:space="0" w:color="auto" w:frame="1"/>
        </w:rPr>
        <w:t xml:space="preserve"> </w:t>
      </w:r>
      <w:r w:rsidR="00B12429" w:rsidRPr="00C47C36">
        <w:rPr>
          <w:rFonts w:ascii="Cambria" w:hAnsi="Cambria"/>
          <w:color w:val="000000" w:themeColor="text1"/>
          <w:bdr w:val="none" w:sz="0" w:space="0" w:color="auto" w:frame="1"/>
        </w:rPr>
        <w:t>(‘the Strategy’)</w:t>
      </w:r>
      <w:r w:rsidRPr="00C47C36">
        <w:rPr>
          <w:rFonts w:ascii="Cambria" w:hAnsi="Cambria"/>
          <w:color w:val="000000" w:themeColor="text1"/>
          <w:bdr w:val="none" w:sz="0" w:space="0" w:color="auto" w:frame="1"/>
        </w:rPr>
        <w:t>.</w:t>
      </w:r>
      <w:r w:rsidRPr="00C47C36">
        <w:rPr>
          <w:rStyle w:val="FootnoteReference"/>
          <w:rFonts w:ascii="Cambria" w:hAnsi="Cambria"/>
          <w:color w:val="000000" w:themeColor="text1"/>
        </w:rPr>
        <w:footnoteReference w:id="1"/>
      </w:r>
      <w:r w:rsidRPr="00C47C36">
        <w:rPr>
          <w:rFonts w:ascii="Cambria" w:hAnsi="Cambria"/>
          <w:color w:val="000000" w:themeColor="text1"/>
          <w:bdr w:val="none" w:sz="0" w:space="0" w:color="auto" w:frame="1"/>
        </w:rPr>
        <w:t xml:space="preserve"> We strongly support the Government’s aim “to prevent the health, economic and social costs and harmful effects of alcohol, tobacco and other drug use in Tasmania”.</w:t>
      </w:r>
      <w:r w:rsidR="00B12429" w:rsidRPr="00C47C36">
        <w:rPr>
          <w:rFonts w:ascii="Cambria" w:hAnsi="Cambria"/>
          <w:color w:val="000000" w:themeColor="text1"/>
          <w:bdr w:val="none" w:sz="0" w:space="0" w:color="auto" w:frame="1"/>
        </w:rPr>
        <w:t xml:space="preserve"> </w:t>
      </w:r>
      <w:r w:rsidRPr="00C47C36">
        <w:rPr>
          <w:rFonts w:ascii="Cambria" w:hAnsi="Cambria"/>
          <w:color w:val="000000" w:themeColor="text1"/>
          <w:bdr w:val="none" w:sz="0" w:space="0" w:color="auto" w:frame="1"/>
        </w:rPr>
        <w:t>However,</w:t>
      </w:r>
      <w:r w:rsidR="00B12429" w:rsidRPr="00C47C36">
        <w:rPr>
          <w:rFonts w:ascii="Cambria" w:hAnsi="Cambria"/>
          <w:color w:val="000000" w:themeColor="text1"/>
          <w:bdr w:val="none" w:sz="0" w:space="0" w:color="auto" w:frame="1"/>
        </w:rPr>
        <w:t xml:space="preserve"> </w:t>
      </w:r>
      <w:r w:rsidR="00B12429" w:rsidRPr="00B12429">
        <w:rPr>
          <w:rFonts w:ascii="Cambria" w:hAnsi="Cambria" w:cs="Calibri"/>
          <w:color w:val="000000" w:themeColor="text1"/>
          <w:shd w:val="clear" w:color="auto" w:fill="FFFFFF"/>
        </w:rPr>
        <w:t xml:space="preserve">we share the concerns of those organisations working on a day-to-day basis in the </w:t>
      </w:r>
      <w:r w:rsidR="00B12429" w:rsidRPr="00C47C36">
        <w:rPr>
          <w:rFonts w:ascii="Cambria" w:hAnsi="Cambria" w:cs="Calibri"/>
          <w:color w:val="000000" w:themeColor="text1"/>
          <w:shd w:val="clear" w:color="auto" w:fill="FFFFFF"/>
        </w:rPr>
        <w:t>alcohol, tobacco and other drugs</w:t>
      </w:r>
      <w:r w:rsidR="00B12429" w:rsidRPr="00B12429">
        <w:rPr>
          <w:rFonts w:ascii="Cambria" w:hAnsi="Cambria" w:cs="Calibri"/>
          <w:color w:val="000000" w:themeColor="text1"/>
          <w:shd w:val="clear" w:color="auto" w:fill="FFFFFF"/>
        </w:rPr>
        <w:t xml:space="preserve"> sector </w:t>
      </w:r>
      <w:r w:rsidR="00774573" w:rsidRPr="00C47C36">
        <w:rPr>
          <w:rFonts w:ascii="Cambria" w:hAnsi="Cambria" w:cs="Calibri"/>
          <w:color w:val="000000" w:themeColor="text1"/>
          <w:shd w:val="clear" w:color="auto" w:fill="FFFFFF"/>
        </w:rPr>
        <w:t xml:space="preserve">including the Alcohol, Tobacco and Other Drugs Council of Tasmania </w:t>
      </w:r>
      <w:r w:rsidR="00B12429" w:rsidRPr="00B12429">
        <w:rPr>
          <w:rFonts w:ascii="Cambria" w:hAnsi="Cambria" w:cs="Calibri"/>
          <w:color w:val="000000" w:themeColor="text1"/>
          <w:shd w:val="clear" w:color="auto" w:fill="FFFFFF"/>
        </w:rPr>
        <w:t>that the</w:t>
      </w:r>
      <w:r w:rsidR="00B12429" w:rsidRPr="00C47C36">
        <w:rPr>
          <w:rFonts w:ascii="Cambria" w:hAnsi="Cambria" w:cs="Calibri"/>
          <w:color w:val="000000" w:themeColor="text1"/>
          <w:shd w:val="clear" w:color="auto" w:fill="FFFFFF"/>
        </w:rPr>
        <w:t xml:space="preserve"> Strategy </w:t>
      </w:r>
      <w:r w:rsidR="00B12429" w:rsidRPr="00B12429">
        <w:rPr>
          <w:rFonts w:ascii="Cambria" w:hAnsi="Cambria" w:cs="Calibri"/>
          <w:color w:val="000000" w:themeColor="text1"/>
          <w:shd w:val="clear" w:color="auto" w:fill="FFFFFF"/>
        </w:rPr>
        <w:t>as currently drafted will not bring about meaningful change</w:t>
      </w:r>
      <w:r w:rsidR="00B12429" w:rsidRPr="00C47C36">
        <w:rPr>
          <w:rFonts w:ascii="Cambria" w:hAnsi="Cambria" w:cs="Calibri"/>
          <w:color w:val="000000" w:themeColor="text1"/>
          <w:shd w:val="clear" w:color="auto" w:fill="FFFFFF"/>
        </w:rPr>
        <w:t xml:space="preserve">. </w:t>
      </w:r>
    </w:p>
    <w:p w14:paraId="7F511873" w14:textId="77777777" w:rsidR="00B12429" w:rsidRPr="00C47C36" w:rsidRDefault="00B12429" w:rsidP="0026512B">
      <w:pPr>
        <w:pStyle w:val="NoSpacing"/>
        <w:shd w:val="clear" w:color="auto" w:fill="FFFFFF"/>
        <w:jc w:val="both"/>
        <w:rPr>
          <w:rFonts w:ascii="Cambria" w:hAnsi="Cambria" w:cs="Calibri"/>
          <w:color w:val="000000" w:themeColor="text1"/>
          <w:shd w:val="clear" w:color="auto" w:fill="FFFFFF"/>
        </w:rPr>
      </w:pPr>
    </w:p>
    <w:p w14:paraId="43690565" w14:textId="406F0CF6" w:rsidR="0026512B" w:rsidRPr="00C47C36" w:rsidRDefault="00B12429"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s="Calibri"/>
          <w:color w:val="000000" w:themeColor="text1"/>
          <w:shd w:val="clear" w:color="auto" w:fill="FFFFFF"/>
        </w:rPr>
        <w:t>I</w:t>
      </w:r>
      <w:r w:rsidR="00F15481" w:rsidRPr="00C47C36">
        <w:rPr>
          <w:rFonts w:ascii="Cambria" w:hAnsi="Cambria"/>
          <w:color w:val="000000" w:themeColor="text1"/>
          <w:bdr w:val="none" w:sz="0" w:space="0" w:color="auto" w:frame="1"/>
        </w:rPr>
        <w:t xml:space="preserve">n our opinion, </w:t>
      </w:r>
      <w:r w:rsidR="0026512B" w:rsidRPr="00C47C36">
        <w:rPr>
          <w:rFonts w:ascii="Cambria" w:hAnsi="Cambria"/>
          <w:color w:val="000000" w:themeColor="text1"/>
          <w:bdr w:val="none" w:sz="0" w:space="0" w:color="auto" w:frame="1"/>
        </w:rPr>
        <w:t xml:space="preserve">the aim </w:t>
      </w:r>
      <w:r w:rsidR="00B81750" w:rsidRPr="00C47C36">
        <w:rPr>
          <w:rFonts w:ascii="Cambria" w:hAnsi="Cambria"/>
          <w:color w:val="000000" w:themeColor="text1"/>
          <w:bdr w:val="none" w:sz="0" w:space="0" w:color="auto" w:frame="1"/>
        </w:rPr>
        <w:t>cannot</w:t>
      </w:r>
      <w:r w:rsidR="0026512B" w:rsidRPr="00C47C36">
        <w:rPr>
          <w:rFonts w:ascii="Cambria" w:hAnsi="Cambria"/>
          <w:color w:val="000000" w:themeColor="text1"/>
          <w:bdr w:val="none" w:sz="0" w:space="0" w:color="auto" w:frame="1"/>
        </w:rPr>
        <w:t xml:space="preserve"> be achieved </w:t>
      </w:r>
      <w:r w:rsidR="00B81750" w:rsidRPr="00C47C36">
        <w:rPr>
          <w:rFonts w:ascii="Cambria" w:hAnsi="Cambria"/>
          <w:color w:val="000000" w:themeColor="text1"/>
          <w:bdr w:val="none" w:sz="0" w:space="0" w:color="auto" w:frame="1"/>
        </w:rPr>
        <w:t>as long as</w:t>
      </w:r>
      <w:r w:rsidR="00FD51B1" w:rsidRPr="00C47C36">
        <w:rPr>
          <w:rFonts w:ascii="Cambria" w:hAnsi="Cambria"/>
          <w:color w:val="000000" w:themeColor="text1"/>
          <w:bdr w:val="none" w:sz="0" w:space="0" w:color="auto" w:frame="1"/>
        </w:rPr>
        <w:t xml:space="preserve"> </w:t>
      </w:r>
      <w:r w:rsidR="00B81750" w:rsidRPr="00C47C36">
        <w:rPr>
          <w:rFonts w:ascii="Cambria" w:hAnsi="Cambria"/>
          <w:color w:val="000000" w:themeColor="text1"/>
          <w:bdr w:val="none" w:sz="0" w:space="0" w:color="auto" w:frame="1"/>
        </w:rPr>
        <w:t>we continue to</w:t>
      </w:r>
      <w:r w:rsidR="00FD51B1" w:rsidRPr="00C47C36">
        <w:rPr>
          <w:rFonts w:ascii="Cambria" w:hAnsi="Cambria"/>
          <w:color w:val="000000" w:themeColor="text1"/>
          <w:bdr w:val="none" w:sz="0" w:space="0" w:color="auto" w:frame="1"/>
        </w:rPr>
        <w:t xml:space="preserve"> treat some </w:t>
      </w:r>
      <w:r w:rsidR="00B81750" w:rsidRPr="00C47C36">
        <w:rPr>
          <w:rFonts w:ascii="Cambria" w:hAnsi="Cambria"/>
          <w:color w:val="000000" w:themeColor="text1"/>
          <w:bdr w:val="none" w:sz="0" w:space="0" w:color="auto" w:frame="1"/>
        </w:rPr>
        <w:t>drug use as a crim</w:t>
      </w:r>
      <w:r w:rsidR="00FD51B1" w:rsidRPr="00C47C36">
        <w:rPr>
          <w:rFonts w:ascii="Cambria" w:hAnsi="Cambria"/>
          <w:color w:val="000000" w:themeColor="text1"/>
          <w:bdr w:val="none" w:sz="0" w:space="0" w:color="auto" w:frame="1"/>
        </w:rPr>
        <w:t>e</w:t>
      </w:r>
      <w:r w:rsidR="0026512B" w:rsidRPr="00C47C36">
        <w:rPr>
          <w:rFonts w:ascii="Cambria" w:hAnsi="Cambria"/>
          <w:color w:val="000000" w:themeColor="text1"/>
          <w:bdr w:val="none" w:sz="0" w:space="0" w:color="auto" w:frame="1"/>
        </w:rPr>
        <w:t>.</w:t>
      </w:r>
      <w:r w:rsidR="00FD51B1" w:rsidRPr="00C47C36">
        <w:rPr>
          <w:rFonts w:ascii="Cambria" w:hAnsi="Cambria"/>
          <w:color w:val="000000" w:themeColor="text1"/>
          <w:bdr w:val="none" w:sz="0" w:space="0" w:color="auto" w:frame="1"/>
        </w:rPr>
        <w:t xml:space="preserve"> Whilst </w:t>
      </w:r>
      <w:r w:rsidR="00EC7FD1" w:rsidRPr="00C47C36">
        <w:rPr>
          <w:rFonts w:ascii="Cambria" w:hAnsi="Cambria"/>
          <w:color w:val="000000" w:themeColor="text1"/>
          <w:bdr w:val="none" w:sz="0" w:space="0" w:color="auto" w:frame="1"/>
        </w:rPr>
        <w:t xml:space="preserve">the Tasmanian Government continues to spend </w:t>
      </w:r>
      <w:r w:rsidR="00FD51B1" w:rsidRPr="00C47C36">
        <w:rPr>
          <w:rFonts w:ascii="Cambria" w:hAnsi="Cambria"/>
          <w:color w:val="000000" w:themeColor="text1"/>
          <w:bdr w:val="none" w:sz="0" w:space="0" w:color="auto" w:frame="1"/>
        </w:rPr>
        <w:t>millions of dollars</w:t>
      </w:r>
      <w:r w:rsidR="00EC7FD1" w:rsidRPr="00C47C36">
        <w:rPr>
          <w:rFonts w:ascii="Cambria" w:hAnsi="Cambria"/>
          <w:color w:val="000000" w:themeColor="text1"/>
          <w:bdr w:val="none" w:sz="0" w:space="0" w:color="auto" w:frame="1"/>
        </w:rPr>
        <w:t xml:space="preserve"> </w:t>
      </w:r>
      <w:r w:rsidR="00D71B76" w:rsidRPr="00C47C36">
        <w:rPr>
          <w:rFonts w:ascii="Cambria" w:hAnsi="Cambria"/>
          <w:color w:val="000000" w:themeColor="text1"/>
          <w:bdr w:val="none" w:sz="0" w:space="0" w:color="auto" w:frame="1"/>
        </w:rPr>
        <w:t xml:space="preserve">on law enforcement </w:t>
      </w:r>
      <w:r w:rsidR="00FD51B1" w:rsidRPr="00C47C36">
        <w:rPr>
          <w:rFonts w:ascii="Cambria" w:hAnsi="Cambria"/>
          <w:color w:val="000000" w:themeColor="text1"/>
          <w:bdr w:val="none" w:sz="0" w:space="0" w:color="auto" w:frame="1"/>
        </w:rPr>
        <w:t xml:space="preserve">in a futile war on illicit drug use, </w:t>
      </w:r>
      <w:r w:rsidR="009706A7" w:rsidRPr="00C47C36">
        <w:rPr>
          <w:rFonts w:ascii="Cambria" w:hAnsi="Cambria"/>
          <w:color w:val="000000" w:themeColor="text1"/>
          <w:bdr w:val="none" w:sz="0" w:space="0" w:color="auto" w:frame="1"/>
        </w:rPr>
        <w:t>thousands</w:t>
      </w:r>
      <w:r w:rsidR="00FD51B1" w:rsidRPr="00C47C36">
        <w:rPr>
          <w:rFonts w:ascii="Cambria" w:hAnsi="Cambria"/>
          <w:color w:val="000000" w:themeColor="text1"/>
          <w:bdr w:val="none" w:sz="0" w:space="0" w:color="auto" w:frame="1"/>
        </w:rPr>
        <w:t xml:space="preserve"> of</w:t>
      </w:r>
      <w:r w:rsidR="0070529A" w:rsidRPr="00C47C36">
        <w:rPr>
          <w:rFonts w:ascii="Cambria" w:hAnsi="Cambria"/>
          <w:color w:val="000000" w:themeColor="text1"/>
          <w:bdr w:val="none" w:sz="0" w:space="0" w:color="auto" w:frame="1"/>
        </w:rPr>
        <w:t xml:space="preserve"> </w:t>
      </w:r>
      <w:r w:rsidR="00FD51B1" w:rsidRPr="00C47C36">
        <w:rPr>
          <w:rFonts w:ascii="Cambria" w:hAnsi="Cambria"/>
          <w:color w:val="000000" w:themeColor="text1"/>
          <w:bdr w:val="none" w:sz="0" w:space="0" w:color="auto" w:frame="1"/>
        </w:rPr>
        <w:t xml:space="preserve">drug users </w:t>
      </w:r>
      <w:r w:rsidR="0070529A" w:rsidRPr="00C47C36">
        <w:rPr>
          <w:rFonts w:ascii="Cambria" w:hAnsi="Cambria"/>
          <w:color w:val="000000" w:themeColor="text1"/>
          <w:bdr w:val="none" w:sz="0" w:space="0" w:color="auto" w:frame="1"/>
        </w:rPr>
        <w:t xml:space="preserve">across Tasmania </w:t>
      </w:r>
      <w:r w:rsidR="00FD51B1" w:rsidRPr="00C47C36">
        <w:rPr>
          <w:rFonts w:ascii="Cambria" w:hAnsi="Cambria"/>
          <w:color w:val="000000" w:themeColor="text1"/>
          <w:bdr w:val="none" w:sz="0" w:space="0" w:color="auto" w:frame="1"/>
        </w:rPr>
        <w:t>are</w:t>
      </w:r>
      <w:r w:rsidR="00EC7FD1" w:rsidRPr="00C47C36">
        <w:rPr>
          <w:rFonts w:ascii="Cambria" w:hAnsi="Cambria"/>
          <w:color w:val="000000" w:themeColor="text1"/>
          <w:bdr w:val="none" w:sz="0" w:space="0" w:color="auto" w:frame="1"/>
        </w:rPr>
        <w:t xml:space="preserve"> </w:t>
      </w:r>
      <w:r w:rsidR="00FD51B1" w:rsidRPr="00C47C36">
        <w:rPr>
          <w:rFonts w:ascii="Cambria" w:hAnsi="Cambria"/>
          <w:color w:val="000000" w:themeColor="text1"/>
          <w:bdr w:val="none" w:sz="0" w:space="0" w:color="auto" w:frame="1"/>
        </w:rPr>
        <w:t xml:space="preserve">missing out on the treatment they need. In short, we need to reorientate personal drug use as a health rather than a law enforcement issue. </w:t>
      </w:r>
      <w:r w:rsidR="00B81750" w:rsidRPr="00C47C36">
        <w:rPr>
          <w:rFonts w:ascii="Cambria" w:hAnsi="Cambria"/>
          <w:color w:val="000000" w:themeColor="text1"/>
          <w:bdr w:val="none" w:sz="0" w:space="0" w:color="auto" w:frame="1"/>
        </w:rPr>
        <w:t xml:space="preserve"> </w:t>
      </w:r>
    </w:p>
    <w:p w14:paraId="5645D3F6" w14:textId="4FE1609A" w:rsidR="00FD51B1" w:rsidRPr="00C47C36" w:rsidRDefault="00FD51B1" w:rsidP="0026512B">
      <w:pPr>
        <w:pStyle w:val="NoSpacing"/>
        <w:shd w:val="clear" w:color="auto" w:fill="FFFFFF"/>
        <w:jc w:val="both"/>
        <w:rPr>
          <w:rFonts w:ascii="Cambria" w:hAnsi="Cambria"/>
          <w:color w:val="000000" w:themeColor="text1"/>
          <w:bdr w:val="none" w:sz="0" w:space="0" w:color="auto" w:frame="1"/>
        </w:rPr>
      </w:pPr>
    </w:p>
    <w:p w14:paraId="7F32C2AF" w14:textId="7A44A854" w:rsidR="009706A7" w:rsidRPr="00C47C36" w:rsidRDefault="00FD51B1" w:rsidP="0026512B">
      <w:pPr>
        <w:pStyle w:val="NoSpacing"/>
        <w:shd w:val="clear" w:color="auto" w:fill="FFFFFF"/>
        <w:jc w:val="both"/>
        <w:rPr>
          <w:rFonts w:ascii="Cambria" w:hAnsi="Cambria" w:cs="Arial"/>
          <w:color w:val="000000" w:themeColor="text1"/>
        </w:rPr>
      </w:pPr>
      <w:r w:rsidRPr="00C47C36">
        <w:rPr>
          <w:rFonts w:ascii="Cambria" w:hAnsi="Cambria" w:cs="Arial"/>
          <w:color w:val="000000" w:themeColor="text1"/>
          <w:lang w:eastAsia="en-AU"/>
        </w:rPr>
        <w:t xml:space="preserve">CLC Tas </w:t>
      </w:r>
      <w:r w:rsidRPr="00C47C36">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61A6E305" w14:textId="77777777" w:rsidR="009706A7" w:rsidRPr="00C47C36" w:rsidRDefault="009706A7" w:rsidP="0026512B">
      <w:pPr>
        <w:pStyle w:val="NoSpacing"/>
        <w:shd w:val="clear" w:color="auto" w:fill="FFFFFF"/>
        <w:jc w:val="both"/>
        <w:rPr>
          <w:rFonts w:ascii="Cambria" w:hAnsi="Cambria"/>
          <w:b/>
          <w:bCs/>
          <w:color w:val="000000" w:themeColor="text1"/>
          <w:bdr w:val="none" w:sz="0" w:space="0" w:color="auto" w:frame="1"/>
        </w:rPr>
      </w:pPr>
    </w:p>
    <w:p w14:paraId="579AF7AE" w14:textId="5963B86C" w:rsidR="00E6005C" w:rsidRPr="00C47C36" w:rsidRDefault="0070529A"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b/>
          <w:bCs/>
          <w:color w:val="000000" w:themeColor="text1"/>
          <w:bdr w:val="none" w:sz="0" w:space="0" w:color="auto" w:frame="1"/>
        </w:rPr>
        <w:t xml:space="preserve">Focus on law enforcement a failure </w:t>
      </w:r>
    </w:p>
    <w:p w14:paraId="63F27491" w14:textId="7275FFF9" w:rsidR="009706A7" w:rsidRPr="00C47C36" w:rsidRDefault="009706A7" w:rsidP="009706A7">
      <w:pPr>
        <w:jc w:val="both"/>
        <w:rPr>
          <w:rFonts w:ascii="Cambria" w:hAnsi="Cambria"/>
          <w:color w:val="000000" w:themeColor="text1"/>
          <w:bdr w:val="none" w:sz="0" w:space="0" w:color="auto" w:frame="1"/>
          <w:shd w:val="clear" w:color="auto" w:fill="FFFFFF"/>
        </w:rPr>
      </w:pPr>
      <w:r w:rsidRPr="00C47C36">
        <w:rPr>
          <w:rFonts w:ascii="Cambria" w:hAnsi="Cambria"/>
          <w:color w:val="000000" w:themeColor="text1"/>
          <w:bdr w:val="none" w:sz="0" w:space="0" w:color="auto" w:frame="1"/>
          <w:shd w:val="clear" w:color="auto" w:fill="FFFFFF"/>
        </w:rPr>
        <w:t xml:space="preserve">Harm minimisation is the underlying concept of Australia’s </w:t>
      </w:r>
      <w:r w:rsidRPr="00C47C36">
        <w:rPr>
          <w:rFonts w:ascii="Cambria" w:hAnsi="Cambria"/>
          <w:i/>
          <w:iCs/>
          <w:color w:val="000000" w:themeColor="text1"/>
          <w:bdr w:val="none" w:sz="0" w:space="0" w:color="auto" w:frame="1"/>
          <w:shd w:val="clear" w:color="auto" w:fill="FFFFFF"/>
        </w:rPr>
        <w:t>National Drug Strategy</w:t>
      </w:r>
      <w:r w:rsidRPr="00C47C36">
        <w:rPr>
          <w:rFonts w:ascii="Cambria" w:hAnsi="Cambria"/>
          <w:color w:val="000000" w:themeColor="text1"/>
          <w:bdr w:val="none" w:sz="0" w:space="0" w:color="auto" w:frame="1"/>
          <w:shd w:val="clear" w:color="auto" w:fill="FFFFFF"/>
        </w:rPr>
        <w:t xml:space="preserve"> of which </w:t>
      </w:r>
      <w:r w:rsidR="00F15481" w:rsidRPr="00C47C36">
        <w:rPr>
          <w:rFonts w:ascii="Cambria" w:hAnsi="Cambria"/>
          <w:color w:val="000000" w:themeColor="text1"/>
          <w:bdr w:val="none" w:sz="0" w:space="0" w:color="auto" w:frame="1"/>
          <w:shd w:val="clear" w:color="auto" w:fill="FFFFFF"/>
        </w:rPr>
        <w:t xml:space="preserve">the </w:t>
      </w:r>
      <w:r w:rsidRPr="00C47C36">
        <w:rPr>
          <w:rFonts w:ascii="Cambria" w:hAnsi="Cambria"/>
          <w:i/>
          <w:iCs/>
          <w:color w:val="000000" w:themeColor="text1"/>
          <w:bdr w:val="none" w:sz="0" w:space="0" w:color="auto" w:frame="1"/>
          <w:shd w:val="clear" w:color="auto" w:fill="FFFFFF"/>
        </w:rPr>
        <w:t>Tasmanian Drug Strategy</w:t>
      </w:r>
      <w:r w:rsidRPr="00C47C36">
        <w:rPr>
          <w:rFonts w:ascii="Cambria" w:hAnsi="Cambria"/>
          <w:color w:val="000000" w:themeColor="text1"/>
          <w:bdr w:val="none" w:sz="0" w:space="0" w:color="auto" w:frame="1"/>
          <w:shd w:val="clear" w:color="auto" w:fill="FFFFFF"/>
        </w:rPr>
        <w:t xml:space="preserve"> is consistent. However, analysis of Australia</w:t>
      </w:r>
      <w:r w:rsidR="00F15481" w:rsidRPr="00C47C36">
        <w:rPr>
          <w:rFonts w:ascii="Cambria" w:hAnsi="Cambria"/>
          <w:color w:val="000000" w:themeColor="text1"/>
          <w:bdr w:val="none" w:sz="0" w:space="0" w:color="auto" w:frame="1"/>
          <w:shd w:val="clear" w:color="auto" w:fill="FFFFFF"/>
        </w:rPr>
        <w:t xml:space="preserve">n governments </w:t>
      </w:r>
      <w:r w:rsidRPr="00C47C36">
        <w:rPr>
          <w:rFonts w:ascii="Cambria" w:hAnsi="Cambria"/>
          <w:color w:val="000000" w:themeColor="text1"/>
          <w:bdr w:val="none" w:sz="0" w:space="0" w:color="auto" w:frame="1"/>
          <w:shd w:val="clear" w:color="auto" w:fill="FFFFFF"/>
        </w:rPr>
        <w:t>expenditure</w:t>
      </w:r>
      <w:r w:rsidR="00F15481" w:rsidRPr="00C47C36">
        <w:rPr>
          <w:rFonts w:ascii="Cambria" w:hAnsi="Cambria"/>
          <w:color w:val="000000" w:themeColor="text1"/>
          <w:bdr w:val="none" w:sz="0" w:space="0" w:color="auto" w:frame="1"/>
          <w:shd w:val="clear" w:color="auto" w:fill="FFFFFF"/>
        </w:rPr>
        <w:t xml:space="preserve"> </w:t>
      </w:r>
      <w:r w:rsidRPr="00C47C36">
        <w:rPr>
          <w:rFonts w:ascii="Cambria" w:hAnsi="Cambria"/>
          <w:color w:val="000000" w:themeColor="text1"/>
          <w:bdr w:val="none" w:sz="0" w:space="0" w:color="auto" w:frame="1"/>
          <w:shd w:val="clear" w:color="auto" w:fill="FFFFFF"/>
        </w:rPr>
        <w:t xml:space="preserve">on illicit drugs, found that nearly two-thirds (64 per cent) was directed to law enforcement, with 23 per cent spent on treatment, 10 per cent on </w:t>
      </w:r>
      <w:r w:rsidRPr="00C47C36">
        <w:rPr>
          <w:rFonts w:ascii="Cambria" w:hAnsi="Cambria"/>
          <w:color w:val="000000" w:themeColor="text1"/>
          <w:bdr w:val="none" w:sz="0" w:space="0" w:color="auto" w:frame="1"/>
          <w:shd w:val="clear" w:color="auto" w:fill="FFFFFF"/>
        </w:rPr>
        <w:lastRenderedPageBreak/>
        <w:t>prevention, and just 2 per cent on harm reduction.</w:t>
      </w:r>
      <w:r w:rsidRPr="00C47C36">
        <w:rPr>
          <w:rStyle w:val="FootnoteReference"/>
          <w:rFonts w:ascii="Cambria" w:hAnsi="Cambria"/>
          <w:color w:val="000000" w:themeColor="text1"/>
          <w:bdr w:val="none" w:sz="0" w:space="0" w:color="auto" w:frame="1"/>
          <w:shd w:val="clear" w:color="auto" w:fill="FFFFFF"/>
        </w:rPr>
        <w:footnoteReference w:id="2"/>
      </w:r>
      <w:r w:rsidRPr="00C47C36">
        <w:rPr>
          <w:rFonts w:ascii="Cambria" w:hAnsi="Cambria"/>
          <w:color w:val="000000" w:themeColor="text1"/>
          <w:bdr w:val="none" w:sz="0" w:space="0" w:color="auto" w:frame="1"/>
          <w:shd w:val="clear" w:color="auto" w:fill="FFFFFF"/>
        </w:rPr>
        <w:t xml:space="preserve"> The focus on law enforcement  has however had no impact on minimising the supply of illicit drugs. </w:t>
      </w:r>
    </w:p>
    <w:p w14:paraId="22553BD4" w14:textId="77777777" w:rsidR="009706A7" w:rsidRPr="00C47C36" w:rsidRDefault="009706A7" w:rsidP="0026512B">
      <w:pPr>
        <w:pStyle w:val="NoSpacing"/>
        <w:shd w:val="clear" w:color="auto" w:fill="FFFFFF"/>
        <w:jc w:val="both"/>
        <w:rPr>
          <w:rFonts w:ascii="Cambria" w:hAnsi="Cambria"/>
          <w:color w:val="000000" w:themeColor="text1"/>
          <w:bdr w:val="none" w:sz="0" w:space="0" w:color="auto" w:frame="1"/>
        </w:rPr>
      </w:pPr>
    </w:p>
    <w:p w14:paraId="54FEB175" w14:textId="33E9EE44" w:rsidR="0070529A" w:rsidRPr="00C47C36" w:rsidRDefault="0070529A" w:rsidP="0026512B">
      <w:pPr>
        <w:pStyle w:val="NoSpacing"/>
        <w:shd w:val="clear" w:color="auto" w:fill="FFFFFF"/>
        <w:jc w:val="both"/>
        <w:rPr>
          <w:rFonts w:ascii="Cambria" w:hAnsi="Cambria"/>
          <w:color w:val="000000" w:themeColor="text1"/>
        </w:rPr>
      </w:pPr>
      <w:r w:rsidRPr="00C47C36">
        <w:rPr>
          <w:rFonts w:ascii="Cambria" w:hAnsi="Cambria"/>
          <w:color w:val="000000" w:themeColor="text1"/>
          <w:bdr w:val="none" w:sz="0" w:space="0" w:color="auto" w:frame="1"/>
        </w:rPr>
        <w:t xml:space="preserve">The most recent report from the </w:t>
      </w:r>
      <w:r w:rsidRPr="00C47C36">
        <w:rPr>
          <w:rFonts w:ascii="Cambria" w:hAnsi="Cambria"/>
          <w:color w:val="000000" w:themeColor="text1"/>
        </w:rPr>
        <w:t>Australian Criminal Intelligence Commission notes that “despite the impact of COVID-19 restrictions on drug markets in the latter half of 2019-20, a number of new records were set”</w:t>
      </w:r>
      <w:r w:rsidR="00F15481" w:rsidRPr="00C47C36">
        <w:rPr>
          <w:rFonts w:ascii="Cambria" w:hAnsi="Cambria"/>
          <w:color w:val="000000" w:themeColor="text1"/>
        </w:rPr>
        <w:t>,</w:t>
      </w:r>
      <w:r w:rsidRPr="00C47C36">
        <w:rPr>
          <w:rStyle w:val="FootnoteReference"/>
          <w:rFonts w:ascii="Cambria" w:hAnsi="Cambria"/>
          <w:color w:val="000000" w:themeColor="text1"/>
        </w:rPr>
        <w:footnoteReference w:id="3"/>
      </w:r>
      <w:r w:rsidRPr="00C47C36">
        <w:rPr>
          <w:rFonts w:ascii="Cambria" w:hAnsi="Cambria"/>
          <w:color w:val="000000" w:themeColor="text1"/>
        </w:rPr>
        <w:t xml:space="preserve"> including 38.5 tonnes of illicit drugs seized nationally and 166,321 national illicit drug arrests. The report also notes that over the last decade:</w:t>
      </w:r>
      <w:r w:rsidRPr="00C47C36">
        <w:rPr>
          <w:rStyle w:val="FootnoteReference"/>
          <w:rFonts w:ascii="Cambria" w:hAnsi="Cambria"/>
          <w:color w:val="000000" w:themeColor="text1"/>
        </w:rPr>
        <w:footnoteReference w:id="4"/>
      </w:r>
    </w:p>
    <w:p w14:paraId="1E060423" w14:textId="6B0CF84E" w:rsidR="0070529A" w:rsidRPr="00C47C36" w:rsidRDefault="0070529A" w:rsidP="0070529A">
      <w:pPr>
        <w:pStyle w:val="NoSpacing"/>
        <w:numPr>
          <w:ilvl w:val="0"/>
          <w:numId w:val="8"/>
        </w:numPr>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The number of national illicit drug seizures increased 74 per cent;</w:t>
      </w:r>
      <w:r w:rsidR="00F15481" w:rsidRPr="00C47C36">
        <w:rPr>
          <w:rFonts w:ascii="Cambria" w:hAnsi="Cambria"/>
          <w:color w:val="000000" w:themeColor="text1"/>
          <w:bdr w:val="none" w:sz="0" w:space="0" w:color="auto" w:frame="1"/>
        </w:rPr>
        <w:t xml:space="preserve"> and</w:t>
      </w:r>
      <w:r w:rsidRPr="00C47C36">
        <w:rPr>
          <w:rFonts w:ascii="Cambria" w:hAnsi="Cambria"/>
          <w:color w:val="000000" w:themeColor="text1"/>
          <w:bdr w:val="none" w:sz="0" w:space="0" w:color="auto" w:frame="1"/>
        </w:rPr>
        <w:t xml:space="preserve"> </w:t>
      </w:r>
    </w:p>
    <w:p w14:paraId="29C2FB4F" w14:textId="4E49D0C8" w:rsidR="0070529A" w:rsidRPr="00C47C36" w:rsidRDefault="0070529A" w:rsidP="0070529A">
      <w:pPr>
        <w:pStyle w:val="NoSpacing"/>
        <w:numPr>
          <w:ilvl w:val="0"/>
          <w:numId w:val="8"/>
        </w:numPr>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The weight of illicit drugs seized nationally increased 314 per cent; and</w:t>
      </w:r>
    </w:p>
    <w:p w14:paraId="00DB662C" w14:textId="7F2DB8D9" w:rsidR="0070529A" w:rsidRPr="00C47C36" w:rsidRDefault="0070529A" w:rsidP="0070529A">
      <w:pPr>
        <w:pStyle w:val="NoSpacing"/>
        <w:numPr>
          <w:ilvl w:val="0"/>
          <w:numId w:val="8"/>
        </w:numPr>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 xml:space="preserve">The number of national illicit drug arrests increased 96 per cent.  </w:t>
      </w:r>
    </w:p>
    <w:p w14:paraId="1C825CD5" w14:textId="77777777" w:rsidR="0070529A" w:rsidRPr="00C47C36" w:rsidRDefault="0070529A" w:rsidP="0026512B">
      <w:pPr>
        <w:pStyle w:val="NoSpacing"/>
        <w:shd w:val="clear" w:color="auto" w:fill="FFFFFF"/>
        <w:jc w:val="both"/>
        <w:rPr>
          <w:rFonts w:ascii="Cambria" w:hAnsi="Cambria"/>
          <w:color w:val="000000" w:themeColor="text1"/>
          <w:bdr w:val="none" w:sz="0" w:space="0" w:color="auto" w:frame="1"/>
        </w:rPr>
      </w:pPr>
    </w:p>
    <w:p w14:paraId="58F38C2F" w14:textId="51E46A40" w:rsidR="00E6005C" w:rsidRPr="00C47C36" w:rsidRDefault="00E6005C"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In 2020/21</w:t>
      </w:r>
      <w:r w:rsidR="0070529A" w:rsidRPr="00C47C36">
        <w:rPr>
          <w:rFonts w:ascii="Cambria" w:hAnsi="Cambria"/>
          <w:color w:val="000000" w:themeColor="text1"/>
          <w:bdr w:val="none" w:sz="0" w:space="0" w:color="auto" w:frame="1"/>
        </w:rPr>
        <w:t xml:space="preserve"> </w:t>
      </w:r>
      <w:r w:rsidR="00E347CE" w:rsidRPr="00C47C36">
        <w:rPr>
          <w:rFonts w:ascii="Cambria" w:hAnsi="Cambria"/>
          <w:color w:val="000000" w:themeColor="text1"/>
          <w:bdr w:val="none" w:sz="0" w:space="0" w:color="auto" w:frame="1"/>
        </w:rPr>
        <w:t>around 1100</w:t>
      </w:r>
      <w:r w:rsidR="00B81750" w:rsidRPr="00C47C36">
        <w:rPr>
          <w:rFonts w:ascii="Cambria" w:hAnsi="Cambria"/>
          <w:color w:val="000000" w:themeColor="text1"/>
          <w:bdr w:val="none" w:sz="0" w:space="0" w:color="auto" w:frame="1"/>
        </w:rPr>
        <w:t xml:space="preserve"> </w:t>
      </w:r>
      <w:r w:rsidR="00E347CE" w:rsidRPr="00C47C36">
        <w:rPr>
          <w:rFonts w:ascii="Cambria" w:hAnsi="Cambria"/>
          <w:color w:val="000000" w:themeColor="text1"/>
          <w:bdr w:val="none" w:sz="0" w:space="0" w:color="auto" w:frame="1"/>
        </w:rPr>
        <w:t xml:space="preserve">Tasmanians </w:t>
      </w:r>
      <w:r w:rsidRPr="00C47C36">
        <w:rPr>
          <w:rFonts w:ascii="Cambria" w:hAnsi="Cambria"/>
          <w:color w:val="000000" w:themeColor="text1"/>
          <w:bdr w:val="none" w:sz="0" w:space="0" w:color="auto" w:frame="1"/>
        </w:rPr>
        <w:t>we</w:t>
      </w:r>
      <w:r w:rsidR="00E347CE" w:rsidRPr="00C47C36">
        <w:rPr>
          <w:rFonts w:ascii="Cambria" w:hAnsi="Cambria"/>
          <w:color w:val="000000" w:themeColor="text1"/>
          <w:bdr w:val="none" w:sz="0" w:space="0" w:color="auto" w:frame="1"/>
        </w:rPr>
        <w:t>re charged with drug-related offences</w:t>
      </w:r>
      <w:r w:rsidRPr="00C47C36">
        <w:rPr>
          <w:rStyle w:val="FootnoteReference"/>
          <w:rFonts w:ascii="Cambria" w:hAnsi="Cambria"/>
          <w:color w:val="000000" w:themeColor="text1"/>
          <w:bdr w:val="none" w:sz="0" w:space="0" w:color="auto" w:frame="1"/>
        </w:rPr>
        <w:footnoteReference w:id="5"/>
      </w:r>
      <w:r w:rsidR="00B81750" w:rsidRPr="00C47C36">
        <w:rPr>
          <w:rFonts w:ascii="Cambria" w:hAnsi="Cambria"/>
          <w:color w:val="000000" w:themeColor="text1"/>
          <w:bdr w:val="none" w:sz="0" w:space="0" w:color="auto" w:frame="1"/>
        </w:rPr>
        <w:t xml:space="preserve"> </w:t>
      </w:r>
      <w:r w:rsidRPr="00C47C36">
        <w:rPr>
          <w:rFonts w:ascii="Cambria" w:hAnsi="Cambria"/>
          <w:color w:val="000000" w:themeColor="text1"/>
          <w:bdr w:val="none" w:sz="0" w:space="0" w:color="auto" w:frame="1"/>
        </w:rPr>
        <w:t xml:space="preserve">in the Magistrates Court of Tasmania </w:t>
      </w:r>
      <w:r w:rsidR="00B81750" w:rsidRPr="00C47C36">
        <w:rPr>
          <w:rFonts w:ascii="Cambria" w:hAnsi="Cambria"/>
          <w:color w:val="000000" w:themeColor="text1"/>
          <w:bdr w:val="none" w:sz="0" w:space="0" w:color="auto" w:frame="1"/>
        </w:rPr>
        <w:t xml:space="preserve">with more than </w:t>
      </w:r>
      <w:r w:rsidRPr="00C47C36">
        <w:rPr>
          <w:rFonts w:ascii="Cambria" w:hAnsi="Cambria"/>
          <w:color w:val="000000" w:themeColor="text1"/>
          <w:bdr w:val="none" w:sz="0" w:space="0" w:color="auto" w:frame="1"/>
        </w:rPr>
        <w:t>9</w:t>
      </w:r>
      <w:r w:rsidR="00B81750" w:rsidRPr="00C47C36">
        <w:rPr>
          <w:rFonts w:ascii="Cambria" w:hAnsi="Cambria"/>
          <w:color w:val="000000" w:themeColor="text1"/>
          <w:bdr w:val="none" w:sz="0" w:space="0" w:color="auto" w:frame="1"/>
        </w:rPr>
        <w:t xml:space="preserve">0 per cent of all arrests against people who </w:t>
      </w:r>
      <w:r w:rsidR="0070529A" w:rsidRPr="00C47C36">
        <w:rPr>
          <w:rFonts w:ascii="Cambria" w:hAnsi="Cambria"/>
          <w:color w:val="000000" w:themeColor="text1"/>
          <w:bdr w:val="none" w:sz="0" w:space="0" w:color="auto" w:frame="1"/>
        </w:rPr>
        <w:t>were</w:t>
      </w:r>
      <w:r w:rsidR="00B81750" w:rsidRPr="00C47C36">
        <w:rPr>
          <w:rFonts w:ascii="Cambria" w:hAnsi="Cambria"/>
          <w:color w:val="000000" w:themeColor="text1"/>
          <w:bdr w:val="none" w:sz="0" w:space="0" w:color="auto" w:frame="1"/>
        </w:rPr>
        <w:t xml:space="preserve"> charged with use, possession or administering a drug for their own use.</w:t>
      </w:r>
      <w:r w:rsidRPr="00C47C36">
        <w:rPr>
          <w:rStyle w:val="FootnoteReference"/>
          <w:rFonts w:ascii="Cambria" w:hAnsi="Cambria"/>
          <w:color w:val="000000" w:themeColor="text1"/>
          <w:bdr w:val="none" w:sz="0" w:space="0" w:color="auto" w:frame="1"/>
        </w:rPr>
        <w:footnoteReference w:id="6"/>
      </w:r>
      <w:r w:rsidR="0070529A" w:rsidRPr="00C47C36">
        <w:rPr>
          <w:rFonts w:ascii="Cambria" w:hAnsi="Cambria"/>
          <w:color w:val="000000" w:themeColor="text1"/>
          <w:bdr w:val="none" w:sz="0" w:space="0" w:color="auto" w:frame="1"/>
        </w:rPr>
        <w:t xml:space="preserve"> Whilst a </w:t>
      </w:r>
      <w:r w:rsidRPr="00C47C36">
        <w:rPr>
          <w:rFonts w:ascii="Cambria" w:hAnsi="Cambria"/>
          <w:color w:val="000000" w:themeColor="text1"/>
          <w:bdr w:val="none" w:sz="0" w:space="0" w:color="auto" w:frame="1"/>
        </w:rPr>
        <w:t xml:space="preserve">review of Tasmania’s Supreme Court </w:t>
      </w:r>
      <w:r w:rsidR="0070529A" w:rsidRPr="00C47C36">
        <w:rPr>
          <w:rFonts w:ascii="Cambria" w:hAnsi="Cambria"/>
          <w:color w:val="000000" w:themeColor="text1"/>
          <w:bdr w:val="none" w:sz="0" w:space="0" w:color="auto" w:frame="1"/>
        </w:rPr>
        <w:t xml:space="preserve">has </w:t>
      </w:r>
      <w:r w:rsidRPr="00C47C36">
        <w:rPr>
          <w:rFonts w:ascii="Cambria" w:hAnsi="Cambria"/>
          <w:color w:val="000000" w:themeColor="text1"/>
          <w:bdr w:val="none" w:sz="0" w:space="0" w:color="auto" w:frame="1"/>
        </w:rPr>
        <w:t>found that there are around 120 sentences handed down each year for offenders with known problematic drug use.</w:t>
      </w:r>
      <w:r w:rsidRPr="00C47C36">
        <w:rPr>
          <w:rStyle w:val="FootnoteReference"/>
          <w:rFonts w:ascii="Cambria" w:hAnsi="Cambria"/>
          <w:color w:val="000000" w:themeColor="text1"/>
          <w:bdr w:val="none" w:sz="0" w:space="0" w:color="auto" w:frame="1"/>
        </w:rPr>
        <w:footnoteReference w:id="7"/>
      </w:r>
      <w:r w:rsidRPr="00C47C36">
        <w:rPr>
          <w:rFonts w:ascii="Cambria" w:hAnsi="Cambria"/>
          <w:color w:val="000000" w:themeColor="text1"/>
          <w:bdr w:val="none" w:sz="0" w:space="0" w:color="auto" w:frame="1"/>
        </w:rPr>
        <w:t xml:space="preserve"> </w:t>
      </w:r>
    </w:p>
    <w:p w14:paraId="7DF38CE5" w14:textId="77777777" w:rsidR="00E6005C" w:rsidRPr="00C47C36" w:rsidRDefault="00E6005C" w:rsidP="0026512B">
      <w:pPr>
        <w:pStyle w:val="NoSpacing"/>
        <w:shd w:val="clear" w:color="auto" w:fill="FFFFFF"/>
        <w:jc w:val="both"/>
        <w:rPr>
          <w:rFonts w:ascii="Cambria" w:hAnsi="Cambria"/>
          <w:color w:val="000000" w:themeColor="text1"/>
          <w:bdr w:val="none" w:sz="0" w:space="0" w:color="auto" w:frame="1"/>
        </w:rPr>
      </w:pPr>
    </w:p>
    <w:p w14:paraId="24E2104E" w14:textId="18D4172C" w:rsidR="00E6005C" w:rsidRPr="00C47C36" w:rsidRDefault="00FD51B1"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 xml:space="preserve">Recognition that we cannot arrest our way out of illegal drug use is already acknowledged in a number of diversion programs offered by the police and courts in Tasmania. Both Police Drug Diversion and Court Mandated </w:t>
      </w:r>
      <w:r w:rsidR="00E6005C" w:rsidRPr="00C47C36">
        <w:rPr>
          <w:rFonts w:ascii="Cambria" w:hAnsi="Cambria"/>
          <w:color w:val="000000" w:themeColor="text1"/>
          <w:bdr w:val="none" w:sz="0" w:space="0" w:color="auto" w:frame="1"/>
        </w:rPr>
        <w:t xml:space="preserve">Diversion </w:t>
      </w:r>
      <w:r w:rsidRPr="00C47C36">
        <w:rPr>
          <w:rFonts w:ascii="Cambria" w:hAnsi="Cambria"/>
          <w:color w:val="000000" w:themeColor="text1"/>
          <w:bdr w:val="none" w:sz="0" w:space="0" w:color="auto" w:frame="1"/>
        </w:rPr>
        <w:t>are confirmation that -at least for some offenders- personal drug use should be treated as a health rather than a criminal justice issue.</w:t>
      </w:r>
    </w:p>
    <w:p w14:paraId="5E7593CF" w14:textId="77777777" w:rsidR="00E6005C" w:rsidRPr="00C47C36" w:rsidRDefault="00E6005C" w:rsidP="0026512B">
      <w:pPr>
        <w:pStyle w:val="NoSpacing"/>
        <w:shd w:val="clear" w:color="auto" w:fill="FFFFFF"/>
        <w:jc w:val="both"/>
        <w:rPr>
          <w:rFonts w:ascii="Cambria" w:hAnsi="Cambria"/>
          <w:color w:val="000000" w:themeColor="text1"/>
          <w:bdr w:val="none" w:sz="0" w:space="0" w:color="auto" w:frame="1"/>
        </w:rPr>
      </w:pPr>
    </w:p>
    <w:p w14:paraId="0E5147C1" w14:textId="19C8C536" w:rsidR="007E3B54" w:rsidRPr="00C47C36" w:rsidRDefault="0070529A"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 xml:space="preserve">Whilst there is </w:t>
      </w:r>
      <w:r w:rsidR="007E3B54" w:rsidRPr="00C47C36">
        <w:rPr>
          <w:rFonts w:ascii="Cambria" w:hAnsi="Cambria"/>
          <w:color w:val="000000" w:themeColor="text1"/>
          <w:bdr w:val="none" w:sz="0" w:space="0" w:color="auto" w:frame="1"/>
        </w:rPr>
        <w:t xml:space="preserve">anecdotal </w:t>
      </w:r>
      <w:r w:rsidRPr="00C47C36">
        <w:rPr>
          <w:rFonts w:ascii="Cambria" w:hAnsi="Cambria"/>
          <w:color w:val="000000" w:themeColor="text1"/>
          <w:bdr w:val="none" w:sz="0" w:space="0" w:color="auto" w:frame="1"/>
        </w:rPr>
        <w:t xml:space="preserve">support </w:t>
      </w:r>
      <w:r w:rsidR="007E3B54" w:rsidRPr="00C47C36">
        <w:rPr>
          <w:rFonts w:ascii="Cambria" w:hAnsi="Cambria"/>
          <w:color w:val="000000" w:themeColor="text1"/>
          <w:bdr w:val="none" w:sz="0" w:space="0" w:color="auto" w:frame="1"/>
        </w:rPr>
        <w:t>for Police Drug Diversion from those employed in the alcohol and other drug sector</w:t>
      </w:r>
      <w:r w:rsidRPr="00C47C36">
        <w:rPr>
          <w:rFonts w:ascii="Cambria" w:hAnsi="Cambria"/>
          <w:color w:val="000000" w:themeColor="text1"/>
          <w:bdr w:val="none" w:sz="0" w:space="0" w:color="auto" w:frame="1"/>
        </w:rPr>
        <w:t>, Court Mandated Diversion remains</w:t>
      </w:r>
      <w:r w:rsidR="007E3B54" w:rsidRPr="00C47C36">
        <w:rPr>
          <w:rFonts w:ascii="Cambria" w:hAnsi="Cambria"/>
          <w:color w:val="000000" w:themeColor="text1"/>
          <w:bdr w:val="none" w:sz="0" w:space="0" w:color="auto" w:frame="1"/>
        </w:rPr>
        <w:t xml:space="preserve"> unduly restrict</w:t>
      </w:r>
      <w:r w:rsidR="009706A7" w:rsidRPr="00C47C36">
        <w:rPr>
          <w:rFonts w:ascii="Cambria" w:hAnsi="Cambria"/>
          <w:color w:val="000000" w:themeColor="text1"/>
          <w:bdr w:val="none" w:sz="0" w:space="0" w:color="auto" w:frame="1"/>
        </w:rPr>
        <w:t>ive</w:t>
      </w:r>
      <w:r w:rsidRPr="00C47C36">
        <w:rPr>
          <w:rFonts w:ascii="Cambria" w:hAnsi="Cambria"/>
          <w:color w:val="000000" w:themeColor="text1"/>
          <w:bdr w:val="none" w:sz="0" w:space="0" w:color="auto" w:frame="1"/>
        </w:rPr>
        <w:t xml:space="preserve"> with the program unavailable for</w:t>
      </w:r>
      <w:r w:rsidR="007E3B54" w:rsidRPr="00C47C36">
        <w:rPr>
          <w:rFonts w:ascii="Cambria" w:hAnsi="Cambria"/>
          <w:color w:val="000000" w:themeColor="text1"/>
          <w:bdr w:val="none" w:sz="0" w:space="0" w:color="auto" w:frame="1"/>
        </w:rPr>
        <w:t xml:space="preserve"> </w:t>
      </w:r>
      <w:r w:rsidRPr="00C47C36">
        <w:rPr>
          <w:rFonts w:ascii="Cambria" w:hAnsi="Cambria"/>
          <w:color w:val="000000" w:themeColor="text1"/>
          <w:bdr w:val="none" w:sz="0" w:space="0" w:color="auto" w:frame="1"/>
        </w:rPr>
        <w:t xml:space="preserve">alcohol </w:t>
      </w:r>
      <w:r w:rsidR="007E3B54" w:rsidRPr="00C47C36">
        <w:rPr>
          <w:rFonts w:ascii="Cambria" w:hAnsi="Cambria"/>
          <w:color w:val="000000" w:themeColor="text1"/>
          <w:bdr w:val="none" w:sz="0" w:space="0" w:color="auto" w:frame="1"/>
        </w:rPr>
        <w:t>ab</w:t>
      </w:r>
      <w:r w:rsidRPr="00C47C36">
        <w:rPr>
          <w:rFonts w:ascii="Cambria" w:hAnsi="Cambria"/>
          <w:color w:val="000000" w:themeColor="text1"/>
          <w:bdr w:val="none" w:sz="0" w:space="0" w:color="auto" w:frame="1"/>
        </w:rPr>
        <w:t xml:space="preserve">use or offenders sentenced to more than two years imprisonment. </w:t>
      </w:r>
    </w:p>
    <w:p w14:paraId="5DBC242D" w14:textId="77777777" w:rsidR="007E3B54" w:rsidRPr="00C47C36" w:rsidRDefault="007E3B54" w:rsidP="0026512B">
      <w:pPr>
        <w:pStyle w:val="NoSpacing"/>
        <w:shd w:val="clear" w:color="auto" w:fill="FFFFFF"/>
        <w:jc w:val="both"/>
        <w:rPr>
          <w:rFonts w:ascii="Cambria" w:hAnsi="Cambria"/>
          <w:color w:val="000000" w:themeColor="text1"/>
          <w:bdr w:val="none" w:sz="0" w:space="0" w:color="auto" w:frame="1"/>
        </w:rPr>
      </w:pPr>
    </w:p>
    <w:p w14:paraId="4D0B3B2B" w14:textId="537D3EDB" w:rsidR="009706A7" w:rsidRPr="00C47C36" w:rsidRDefault="009706A7" w:rsidP="009706A7">
      <w:pPr>
        <w:pStyle w:val="NoSpacing"/>
        <w:numPr>
          <w:ilvl w:val="0"/>
          <w:numId w:val="12"/>
        </w:numPr>
        <w:shd w:val="clear" w:color="auto" w:fill="FFFFFF"/>
        <w:jc w:val="both"/>
        <w:rPr>
          <w:rFonts w:ascii="Cambria" w:hAnsi="Cambria"/>
          <w:b/>
          <w:bCs/>
          <w:i/>
          <w:iCs/>
          <w:color w:val="000000" w:themeColor="text1"/>
          <w:bdr w:val="none" w:sz="0" w:space="0" w:color="auto" w:frame="1"/>
        </w:rPr>
      </w:pPr>
      <w:r w:rsidRPr="00C47C36">
        <w:rPr>
          <w:rFonts w:ascii="Cambria" w:hAnsi="Cambria"/>
          <w:b/>
          <w:bCs/>
          <w:i/>
          <w:iCs/>
          <w:color w:val="000000" w:themeColor="text1"/>
          <w:bdr w:val="none" w:sz="0" w:space="0" w:color="auto" w:frame="1"/>
        </w:rPr>
        <w:t>Review existing treatment programs</w:t>
      </w:r>
    </w:p>
    <w:p w14:paraId="26D378EB" w14:textId="06AD9A75" w:rsidR="00EC7FD1" w:rsidRPr="00C47C36" w:rsidRDefault="007E3B54" w:rsidP="007E3B54">
      <w:pPr>
        <w:pStyle w:val="NoSpacing"/>
        <w:shd w:val="clear" w:color="auto" w:fill="FFFFFF"/>
        <w:jc w:val="both"/>
        <w:rPr>
          <w:rFonts w:ascii="Cambria" w:hAnsi="Cambria"/>
          <w:color w:val="000000" w:themeColor="text1"/>
          <w:shd w:val="clear" w:color="auto" w:fill="FFFFFF"/>
        </w:rPr>
      </w:pPr>
      <w:r w:rsidRPr="00C47C36">
        <w:rPr>
          <w:rFonts w:ascii="Cambria" w:hAnsi="Cambria"/>
          <w:color w:val="000000" w:themeColor="text1"/>
          <w:bdr w:val="none" w:sz="0" w:space="0" w:color="auto" w:frame="1"/>
        </w:rPr>
        <w:t>The draft Tasmanian Drug Strategy’s action to</w:t>
      </w:r>
      <w:r w:rsidRPr="00C47C36">
        <w:rPr>
          <w:rFonts w:ascii="Cambria" w:hAnsi="Cambria"/>
          <w:color w:val="000000" w:themeColor="text1"/>
          <w:shd w:val="clear" w:color="auto" w:fill="FFFFFF"/>
        </w:rPr>
        <w:t xml:space="preserve"> “review and support increasing access to alcohol and other drug treatment programs” is strongly supported.</w:t>
      </w:r>
      <w:r w:rsidR="000B4E13" w:rsidRPr="00C47C36">
        <w:rPr>
          <w:rFonts w:ascii="Cambria" w:hAnsi="Cambria"/>
          <w:color w:val="000000" w:themeColor="text1"/>
          <w:shd w:val="clear" w:color="auto" w:fill="FFFFFF"/>
        </w:rPr>
        <w:t xml:space="preserve"> However, t</w:t>
      </w:r>
      <w:r w:rsidR="00EC7FD1" w:rsidRPr="00C47C36">
        <w:rPr>
          <w:rFonts w:ascii="Cambria" w:hAnsi="Cambria"/>
          <w:color w:val="000000" w:themeColor="text1"/>
          <w:shd w:val="clear" w:color="auto" w:fill="FFFFFF"/>
        </w:rPr>
        <w:t xml:space="preserve">he best </w:t>
      </w:r>
      <w:r w:rsidR="00EC7FD1" w:rsidRPr="00C47C36">
        <w:rPr>
          <w:rFonts w:ascii="Cambria" w:hAnsi="Cambria"/>
          <w:color w:val="000000" w:themeColor="text1"/>
          <w:shd w:val="clear" w:color="auto" w:fill="FFFFFF"/>
        </w:rPr>
        <w:lastRenderedPageBreak/>
        <w:t>way to ensure that the</w:t>
      </w:r>
      <w:r w:rsidR="000B4E13" w:rsidRPr="00C47C36">
        <w:rPr>
          <w:rFonts w:ascii="Cambria" w:hAnsi="Cambria"/>
          <w:color w:val="000000" w:themeColor="text1"/>
          <w:shd w:val="clear" w:color="auto" w:fill="FFFFFF"/>
        </w:rPr>
        <w:t xml:space="preserve"> action is addressed, </w:t>
      </w:r>
      <w:r w:rsidR="00EC7FD1" w:rsidRPr="00C47C36">
        <w:rPr>
          <w:rFonts w:ascii="Cambria" w:hAnsi="Cambria"/>
          <w:color w:val="000000" w:themeColor="text1"/>
          <w:shd w:val="clear" w:color="auto" w:fill="FFFFFF"/>
        </w:rPr>
        <w:t xml:space="preserve">would be to explicitly list the reviews </w:t>
      </w:r>
      <w:r w:rsidR="000B4E13" w:rsidRPr="00C47C36">
        <w:rPr>
          <w:rFonts w:ascii="Cambria" w:hAnsi="Cambria"/>
          <w:color w:val="000000" w:themeColor="text1"/>
          <w:shd w:val="clear" w:color="auto" w:fill="FFFFFF"/>
        </w:rPr>
        <w:t>to be undertaken</w:t>
      </w:r>
      <w:r w:rsidR="00EC7FD1" w:rsidRPr="00C47C36">
        <w:rPr>
          <w:rFonts w:ascii="Cambria" w:hAnsi="Cambria"/>
          <w:color w:val="000000" w:themeColor="text1"/>
          <w:shd w:val="clear" w:color="auto" w:fill="FFFFFF"/>
        </w:rPr>
        <w:t>.</w:t>
      </w:r>
    </w:p>
    <w:p w14:paraId="3D45C13E" w14:textId="77777777" w:rsidR="00EC7FD1" w:rsidRPr="00C47C36" w:rsidRDefault="00EC7FD1" w:rsidP="007E3B54">
      <w:pPr>
        <w:pStyle w:val="NoSpacing"/>
        <w:shd w:val="clear" w:color="auto" w:fill="FFFFFF"/>
        <w:jc w:val="both"/>
        <w:rPr>
          <w:rFonts w:ascii="Cambria" w:hAnsi="Cambria"/>
          <w:color w:val="000000" w:themeColor="text1"/>
          <w:shd w:val="clear" w:color="auto" w:fill="FFFFFF"/>
        </w:rPr>
      </w:pPr>
    </w:p>
    <w:tbl>
      <w:tblPr>
        <w:tblStyle w:val="TableGrid"/>
        <w:tblW w:w="0" w:type="auto"/>
        <w:tblLook w:val="04A0" w:firstRow="1" w:lastRow="0" w:firstColumn="1" w:lastColumn="0" w:noHBand="0" w:noVBand="1"/>
      </w:tblPr>
      <w:tblGrid>
        <w:gridCol w:w="9010"/>
      </w:tblGrid>
      <w:tr w:rsidR="00C47C36" w:rsidRPr="00C47C36" w14:paraId="3050AEC0" w14:textId="77777777" w:rsidTr="00EC7FD1">
        <w:tc>
          <w:tcPr>
            <w:tcW w:w="9010" w:type="dxa"/>
          </w:tcPr>
          <w:p w14:paraId="5758F217" w14:textId="483B6DCC" w:rsidR="00EC7FD1" w:rsidRPr="00C47C36" w:rsidRDefault="00EC7FD1" w:rsidP="007E3B54">
            <w:pPr>
              <w:pStyle w:val="NoSpacing"/>
              <w:jc w:val="both"/>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t xml:space="preserve">Recommendation </w:t>
            </w:r>
          </w:p>
          <w:p w14:paraId="691D9E59" w14:textId="67A79D49" w:rsidR="00CD6DE0" w:rsidRPr="00C47C36" w:rsidRDefault="00EC7FD1" w:rsidP="007E3B54">
            <w:pPr>
              <w:pStyle w:val="NoSpacing"/>
              <w:jc w:val="both"/>
              <w:rPr>
                <w:rFonts w:ascii="Cambria" w:hAnsi="Cambria"/>
                <w:color w:val="000000" w:themeColor="text1"/>
                <w:shd w:val="clear" w:color="auto" w:fill="FFFFFF"/>
              </w:rPr>
            </w:pPr>
            <w:r w:rsidRPr="00C47C36">
              <w:rPr>
                <w:rFonts w:ascii="Cambria" w:hAnsi="Cambria"/>
                <w:i/>
                <w:iCs/>
                <w:color w:val="000000" w:themeColor="text1"/>
                <w:shd w:val="clear" w:color="auto" w:fill="FFFFFF"/>
              </w:rPr>
              <w:t xml:space="preserve">That </w:t>
            </w:r>
            <w:r w:rsidR="009706A7" w:rsidRPr="00C47C36">
              <w:rPr>
                <w:rFonts w:ascii="Cambria" w:hAnsi="Cambria"/>
                <w:i/>
                <w:iCs/>
                <w:color w:val="000000" w:themeColor="text1"/>
                <w:shd w:val="clear" w:color="auto" w:fill="FFFFFF"/>
              </w:rPr>
              <w:t>a</w:t>
            </w:r>
            <w:r w:rsidRPr="00C47C36">
              <w:rPr>
                <w:rFonts w:ascii="Cambria" w:hAnsi="Cambria"/>
                <w:i/>
                <w:iCs/>
                <w:color w:val="000000" w:themeColor="text1"/>
                <w:shd w:val="clear" w:color="auto" w:fill="FFFFFF"/>
              </w:rPr>
              <w:t xml:space="preserve"> review of the Court Mandated Diversion program be explicitly included in the list of actions set out in the Tasmanian Drug Strategy</w:t>
            </w:r>
            <w:r w:rsidRPr="00C47C36">
              <w:rPr>
                <w:rFonts w:ascii="Cambria" w:hAnsi="Cambria"/>
                <w:color w:val="000000" w:themeColor="text1"/>
                <w:shd w:val="clear" w:color="auto" w:fill="FFFFFF"/>
              </w:rPr>
              <w:t xml:space="preserve"> </w:t>
            </w:r>
          </w:p>
        </w:tc>
      </w:tr>
    </w:tbl>
    <w:p w14:paraId="3224B601" w14:textId="45671463" w:rsidR="00D71B76" w:rsidRPr="00C47C36" w:rsidRDefault="007E3B54" w:rsidP="007E3B54">
      <w:pPr>
        <w:pStyle w:val="NoSpacing"/>
        <w:shd w:val="clear" w:color="auto" w:fill="FFFFFF"/>
        <w:jc w:val="both"/>
        <w:rPr>
          <w:rFonts w:ascii="Cambria" w:hAnsi="Cambria"/>
          <w:color w:val="000000" w:themeColor="text1"/>
          <w:shd w:val="clear" w:color="auto" w:fill="FFFFFF"/>
        </w:rPr>
      </w:pPr>
      <w:r w:rsidRPr="00C47C36">
        <w:rPr>
          <w:rFonts w:ascii="Cambria" w:hAnsi="Cambria"/>
          <w:color w:val="000000" w:themeColor="text1"/>
          <w:shd w:val="clear" w:color="auto" w:fill="FFFFFF"/>
        </w:rPr>
        <w:t xml:space="preserve"> </w:t>
      </w:r>
    </w:p>
    <w:p w14:paraId="149A191F" w14:textId="544FD0FE" w:rsidR="009706A7" w:rsidRPr="00C47C36" w:rsidRDefault="009706A7" w:rsidP="009706A7">
      <w:pPr>
        <w:pStyle w:val="NoSpacing"/>
        <w:numPr>
          <w:ilvl w:val="0"/>
          <w:numId w:val="11"/>
        </w:numPr>
        <w:shd w:val="clear" w:color="auto" w:fill="FFFFFF"/>
        <w:jc w:val="both"/>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t>Improve access to treatment programs</w:t>
      </w:r>
    </w:p>
    <w:p w14:paraId="43D5F3DA" w14:textId="5E992C1D" w:rsidR="00CD6DE0" w:rsidRPr="00C47C36" w:rsidRDefault="007E3B54" w:rsidP="00924798">
      <w:pPr>
        <w:pStyle w:val="NoSpacing"/>
        <w:shd w:val="clear" w:color="auto" w:fill="FFFFFF"/>
        <w:jc w:val="both"/>
        <w:rPr>
          <w:rFonts w:ascii="Cambria" w:hAnsi="Cambria"/>
          <w:color w:val="000000" w:themeColor="text1"/>
          <w:bdr w:val="none" w:sz="0" w:space="0" w:color="auto" w:frame="1"/>
          <w:shd w:val="clear" w:color="auto" w:fill="FFFFFF"/>
        </w:rPr>
      </w:pPr>
      <w:r w:rsidRPr="00C47C36">
        <w:rPr>
          <w:rFonts w:ascii="Cambria" w:hAnsi="Cambria"/>
          <w:color w:val="000000" w:themeColor="text1"/>
          <w:shd w:val="clear" w:color="auto" w:fill="FFFFFF"/>
        </w:rPr>
        <w:t>At the same time, it must be recognised that there is currently a significant under-investment in alcohol and other drug (AOD) treatment. A review of AOD treatment services in Australia commissioned by the Australian Government found that nationally, treatment places would need to double to meet demand.</w:t>
      </w:r>
      <w:r w:rsidRPr="00C47C36">
        <w:rPr>
          <w:rStyle w:val="FootnoteReference"/>
          <w:rFonts w:ascii="Cambria" w:hAnsi="Cambria"/>
          <w:color w:val="000000" w:themeColor="text1"/>
          <w:shd w:val="clear" w:color="auto" w:fill="FFFFFF"/>
        </w:rPr>
        <w:footnoteReference w:id="8"/>
      </w:r>
      <w:r w:rsidR="00924798" w:rsidRPr="00C47C36">
        <w:rPr>
          <w:rFonts w:ascii="Cambria" w:hAnsi="Cambria"/>
          <w:color w:val="000000" w:themeColor="text1"/>
          <w:shd w:val="clear" w:color="auto" w:fill="FFFFFF"/>
        </w:rPr>
        <w:t xml:space="preserve"> </w:t>
      </w:r>
      <w:r w:rsidRPr="00C47C36">
        <w:rPr>
          <w:rFonts w:ascii="Cambria" w:hAnsi="Cambria"/>
          <w:color w:val="000000" w:themeColor="text1"/>
          <w:bdr w:val="none" w:sz="0" w:space="0" w:color="auto" w:frame="1"/>
          <w:shd w:val="clear" w:color="auto" w:fill="FFFFFF"/>
        </w:rPr>
        <w:t>Th</w:t>
      </w:r>
      <w:r w:rsidR="00924798" w:rsidRPr="00C47C36">
        <w:rPr>
          <w:rFonts w:ascii="Cambria" w:hAnsi="Cambria"/>
          <w:color w:val="000000" w:themeColor="text1"/>
          <w:bdr w:val="none" w:sz="0" w:space="0" w:color="auto" w:frame="1"/>
          <w:shd w:val="clear" w:color="auto" w:fill="FFFFFF"/>
        </w:rPr>
        <w:t>e</w:t>
      </w:r>
      <w:r w:rsidRPr="00C47C36">
        <w:rPr>
          <w:rFonts w:ascii="Cambria" w:hAnsi="Cambria"/>
          <w:color w:val="000000" w:themeColor="text1"/>
          <w:bdr w:val="none" w:sz="0" w:space="0" w:color="auto" w:frame="1"/>
          <w:shd w:val="clear" w:color="auto" w:fill="FFFFFF"/>
        </w:rPr>
        <w:t xml:space="preserve"> </w:t>
      </w:r>
      <w:r w:rsidR="00F15481" w:rsidRPr="00C47C36">
        <w:rPr>
          <w:rFonts w:ascii="Cambria" w:hAnsi="Cambria"/>
          <w:color w:val="000000" w:themeColor="text1"/>
          <w:bdr w:val="none" w:sz="0" w:space="0" w:color="auto" w:frame="1"/>
          <w:shd w:val="clear" w:color="auto" w:fill="FFFFFF"/>
        </w:rPr>
        <w:t>review</w:t>
      </w:r>
      <w:r w:rsidRPr="00C47C36">
        <w:rPr>
          <w:rFonts w:ascii="Cambria" w:hAnsi="Cambria"/>
          <w:color w:val="000000" w:themeColor="text1"/>
          <w:bdr w:val="none" w:sz="0" w:space="0" w:color="auto" w:frame="1"/>
          <w:shd w:val="clear" w:color="auto" w:fill="FFFFFF"/>
        </w:rPr>
        <w:t xml:space="preserve"> estimated that approximately 200,000 people receive AOD treatment in any one year in Australia</w:t>
      </w:r>
      <w:r w:rsidR="00924798" w:rsidRPr="00C47C36">
        <w:rPr>
          <w:rFonts w:ascii="Cambria" w:hAnsi="Cambria"/>
          <w:color w:val="000000" w:themeColor="text1"/>
          <w:bdr w:val="none" w:sz="0" w:space="0" w:color="auto" w:frame="1"/>
          <w:shd w:val="clear" w:color="auto" w:fill="FFFFFF"/>
        </w:rPr>
        <w:t xml:space="preserve">, but </w:t>
      </w:r>
      <w:r w:rsidRPr="00C47C36">
        <w:rPr>
          <w:rFonts w:ascii="Cambria" w:hAnsi="Cambria"/>
          <w:color w:val="000000" w:themeColor="text1"/>
          <w:bdr w:val="none" w:sz="0" w:space="0" w:color="auto" w:frame="1"/>
          <w:shd w:val="clear" w:color="auto" w:fill="FFFFFF"/>
        </w:rPr>
        <w:t>th</w:t>
      </w:r>
      <w:r w:rsidR="00924798" w:rsidRPr="00C47C36">
        <w:rPr>
          <w:rFonts w:ascii="Cambria" w:hAnsi="Cambria"/>
          <w:color w:val="000000" w:themeColor="text1"/>
          <w:bdr w:val="none" w:sz="0" w:space="0" w:color="auto" w:frame="1"/>
          <w:shd w:val="clear" w:color="auto" w:fill="FFFFFF"/>
        </w:rPr>
        <w:t>at the</w:t>
      </w:r>
      <w:r w:rsidRPr="00C47C36">
        <w:rPr>
          <w:rFonts w:ascii="Cambria" w:hAnsi="Cambria"/>
          <w:color w:val="000000" w:themeColor="text1"/>
          <w:bdr w:val="none" w:sz="0" w:space="0" w:color="auto" w:frame="1"/>
          <w:shd w:val="clear" w:color="auto" w:fill="FFFFFF"/>
        </w:rPr>
        <w:t xml:space="preserve"> unmet demand for AOD treatment w</w:t>
      </w:r>
      <w:r w:rsidR="00924798" w:rsidRPr="00C47C36">
        <w:rPr>
          <w:rFonts w:ascii="Cambria" w:hAnsi="Cambria"/>
          <w:color w:val="000000" w:themeColor="text1"/>
          <w:bdr w:val="none" w:sz="0" w:space="0" w:color="auto" w:frame="1"/>
          <w:shd w:val="clear" w:color="auto" w:fill="FFFFFF"/>
        </w:rPr>
        <w:t>as</w:t>
      </w:r>
      <w:r w:rsidRPr="00C47C36">
        <w:rPr>
          <w:rFonts w:ascii="Cambria" w:hAnsi="Cambria"/>
          <w:color w:val="000000" w:themeColor="text1"/>
          <w:bdr w:val="none" w:sz="0" w:space="0" w:color="auto" w:frame="1"/>
          <w:shd w:val="clear" w:color="auto" w:fill="FFFFFF"/>
        </w:rPr>
        <w:t xml:space="preserve"> conservatively estimated to be up</w:t>
      </w:r>
      <w:r w:rsidR="00924798" w:rsidRPr="00C47C36">
        <w:rPr>
          <w:rFonts w:ascii="Cambria" w:hAnsi="Cambria"/>
          <w:color w:val="000000" w:themeColor="text1"/>
          <w:bdr w:val="none" w:sz="0" w:space="0" w:color="auto" w:frame="1"/>
          <w:shd w:val="clear" w:color="auto" w:fill="FFFFFF"/>
        </w:rPr>
        <w:t xml:space="preserve"> to</w:t>
      </w:r>
      <w:r w:rsidRPr="00C47C36">
        <w:rPr>
          <w:rFonts w:ascii="Cambria" w:hAnsi="Cambria"/>
          <w:color w:val="000000" w:themeColor="text1"/>
          <w:bdr w:val="none" w:sz="0" w:space="0" w:color="auto" w:frame="1"/>
          <w:shd w:val="clear" w:color="auto" w:fill="FFFFFF"/>
        </w:rPr>
        <w:t xml:space="preserve"> 500,000 people over and above those in treatment in any one year</w:t>
      </w:r>
      <w:r w:rsidR="00924798" w:rsidRPr="00C47C36">
        <w:rPr>
          <w:rFonts w:ascii="Cambria" w:hAnsi="Cambria"/>
          <w:color w:val="000000" w:themeColor="text1"/>
          <w:bdr w:val="none" w:sz="0" w:space="0" w:color="auto" w:frame="1"/>
          <w:shd w:val="clear" w:color="auto" w:fill="FFFFFF"/>
        </w:rPr>
        <w:t>.</w:t>
      </w:r>
      <w:r w:rsidR="00924798" w:rsidRPr="00C47C36">
        <w:rPr>
          <w:rStyle w:val="FootnoteReference"/>
          <w:rFonts w:ascii="Cambria" w:hAnsi="Cambria"/>
          <w:color w:val="000000" w:themeColor="text1"/>
          <w:bdr w:val="none" w:sz="0" w:space="0" w:color="auto" w:frame="1"/>
          <w:shd w:val="clear" w:color="auto" w:fill="FFFFFF"/>
        </w:rPr>
        <w:footnoteReference w:id="9"/>
      </w:r>
      <w:r w:rsidR="009706A7" w:rsidRPr="00C47C36">
        <w:rPr>
          <w:rFonts w:ascii="Cambria" w:hAnsi="Cambria"/>
          <w:color w:val="000000" w:themeColor="text1"/>
          <w:bdr w:val="none" w:sz="0" w:space="0" w:color="auto" w:frame="1"/>
          <w:shd w:val="clear" w:color="auto" w:fill="FFFFFF"/>
        </w:rPr>
        <w:t xml:space="preserve"> </w:t>
      </w:r>
      <w:r w:rsidR="00CD6DE0" w:rsidRPr="00C47C36">
        <w:rPr>
          <w:rFonts w:ascii="Cambria" w:hAnsi="Cambria"/>
          <w:color w:val="000000" w:themeColor="text1"/>
          <w:bdr w:val="none" w:sz="0" w:space="0" w:color="auto" w:frame="1"/>
          <w:shd w:val="clear" w:color="auto" w:fill="FFFFFF"/>
        </w:rPr>
        <w:t>In Tasmania, a recent review found that 2,791 Tasmanians received treatment in 2018-19 but that an estimated 12,767 required treatment</w:t>
      </w:r>
      <w:r w:rsidR="003B5EA4" w:rsidRPr="00C47C36">
        <w:rPr>
          <w:rFonts w:ascii="Cambria" w:hAnsi="Cambria"/>
          <w:color w:val="000000" w:themeColor="text1"/>
          <w:bdr w:val="none" w:sz="0" w:space="0" w:color="auto" w:frame="1"/>
          <w:shd w:val="clear" w:color="auto" w:fill="FFFFFF"/>
        </w:rPr>
        <w:t>, leading the authors to conclude that “there is a significant number of Tasmanians who may need some form of AOD treatment who for a variety of reasons are not currently receiving treatment”</w:t>
      </w:r>
      <w:r w:rsidR="00CD6DE0" w:rsidRPr="00C47C36">
        <w:rPr>
          <w:rFonts w:ascii="Cambria" w:hAnsi="Cambria"/>
          <w:color w:val="000000" w:themeColor="text1"/>
          <w:bdr w:val="none" w:sz="0" w:space="0" w:color="auto" w:frame="1"/>
          <w:shd w:val="clear" w:color="auto" w:fill="FFFFFF"/>
        </w:rPr>
        <w:t>.</w:t>
      </w:r>
      <w:r w:rsidR="00CD6DE0" w:rsidRPr="00C47C36">
        <w:rPr>
          <w:rStyle w:val="FootnoteReference"/>
          <w:rFonts w:ascii="Cambria" w:hAnsi="Cambria"/>
          <w:color w:val="000000" w:themeColor="text1"/>
          <w:bdr w:val="none" w:sz="0" w:space="0" w:color="auto" w:frame="1"/>
          <w:shd w:val="clear" w:color="auto" w:fill="FFFFFF"/>
        </w:rPr>
        <w:footnoteReference w:id="10"/>
      </w:r>
      <w:r w:rsidR="00CD6DE0" w:rsidRPr="00C47C36">
        <w:rPr>
          <w:rFonts w:ascii="Cambria" w:hAnsi="Cambria"/>
          <w:color w:val="000000" w:themeColor="text1"/>
          <w:bdr w:val="none" w:sz="0" w:space="0" w:color="auto" w:frame="1"/>
          <w:shd w:val="clear" w:color="auto" w:fill="FFFFFF"/>
        </w:rPr>
        <w:t xml:space="preserve">  </w:t>
      </w:r>
    </w:p>
    <w:p w14:paraId="5ECDAD68" w14:textId="3D0890EA" w:rsidR="0070529A" w:rsidRPr="00C47C36" w:rsidRDefault="0070529A" w:rsidP="0026512B">
      <w:pPr>
        <w:pStyle w:val="NoSpacing"/>
        <w:shd w:val="clear" w:color="auto" w:fill="FFFFFF"/>
        <w:jc w:val="both"/>
        <w:rPr>
          <w:rFonts w:ascii="Cambria" w:hAnsi="Cambria"/>
          <w:color w:val="000000" w:themeColor="text1"/>
          <w:bdr w:val="none" w:sz="0" w:space="0" w:color="auto" w:frame="1"/>
        </w:rPr>
      </w:pPr>
    </w:p>
    <w:p w14:paraId="1D013584" w14:textId="571945DF" w:rsidR="009706A7" w:rsidRPr="00C47C36" w:rsidRDefault="009706A7" w:rsidP="009706A7">
      <w:pPr>
        <w:jc w:val="both"/>
        <w:rPr>
          <w:rFonts w:ascii="Cambria" w:hAnsi="Cambria"/>
          <w:color w:val="000000" w:themeColor="text1"/>
          <w:shd w:val="clear" w:color="auto" w:fill="FFFFFF"/>
        </w:rPr>
      </w:pPr>
      <w:r w:rsidRPr="00C47C36">
        <w:rPr>
          <w:rFonts w:ascii="Cambria" w:hAnsi="Cambria"/>
          <w:color w:val="000000" w:themeColor="text1"/>
          <w:shd w:val="clear" w:color="auto" w:fill="FFFFFF"/>
        </w:rPr>
        <w:t xml:space="preserve">It is therefore </w:t>
      </w:r>
      <w:r w:rsidR="00CB6F50" w:rsidRPr="00C47C36">
        <w:rPr>
          <w:rFonts w:ascii="Cambria" w:hAnsi="Cambria"/>
          <w:color w:val="000000" w:themeColor="text1"/>
          <w:shd w:val="clear" w:color="auto" w:fill="FFFFFF"/>
        </w:rPr>
        <w:t>un</w:t>
      </w:r>
      <w:r w:rsidRPr="00C47C36">
        <w:rPr>
          <w:rFonts w:ascii="Cambria" w:hAnsi="Cambria"/>
          <w:color w:val="000000" w:themeColor="text1"/>
          <w:shd w:val="clear" w:color="auto" w:fill="FFFFFF"/>
        </w:rPr>
        <w:t>surpris</w:t>
      </w:r>
      <w:r w:rsidR="00CB6F50" w:rsidRPr="00C47C36">
        <w:rPr>
          <w:rFonts w:ascii="Cambria" w:hAnsi="Cambria"/>
          <w:color w:val="000000" w:themeColor="text1"/>
          <w:shd w:val="clear" w:color="auto" w:fill="FFFFFF"/>
        </w:rPr>
        <w:t xml:space="preserve">ing </w:t>
      </w:r>
      <w:r w:rsidRPr="00C47C36">
        <w:rPr>
          <w:rFonts w:ascii="Cambria" w:hAnsi="Cambria"/>
          <w:color w:val="000000" w:themeColor="text1"/>
          <w:shd w:val="clear" w:color="auto" w:fill="FFFFFF"/>
        </w:rPr>
        <w:t>that t</w:t>
      </w:r>
      <w:r w:rsidR="00CD6DE0" w:rsidRPr="00C47C36">
        <w:rPr>
          <w:rFonts w:ascii="Cambria" w:hAnsi="Cambria"/>
          <w:color w:val="000000" w:themeColor="text1"/>
          <w:shd w:val="clear" w:color="auto" w:fill="FFFFFF"/>
        </w:rPr>
        <w:t xml:space="preserve">he </w:t>
      </w:r>
      <w:r w:rsidR="00F15481" w:rsidRPr="00C47C36">
        <w:rPr>
          <w:rFonts w:ascii="Cambria" w:hAnsi="Cambria"/>
          <w:color w:val="000000" w:themeColor="text1"/>
          <w:shd w:val="clear" w:color="auto" w:fill="FFFFFF"/>
        </w:rPr>
        <w:t xml:space="preserve">draft </w:t>
      </w:r>
      <w:r w:rsidR="00CD6DE0" w:rsidRPr="00C47C36">
        <w:rPr>
          <w:rFonts w:ascii="Cambria" w:hAnsi="Cambria"/>
          <w:color w:val="000000" w:themeColor="text1"/>
          <w:shd w:val="clear" w:color="auto" w:fill="FFFFFF"/>
        </w:rPr>
        <w:t xml:space="preserve">Tasmanian Drug Strategy recognises “a significant shortfall in the need for a range of treatment interventions ranging from assessment and brief interventions to specialist acute services”. We </w:t>
      </w:r>
      <w:r w:rsidRPr="00C47C36">
        <w:rPr>
          <w:rFonts w:ascii="Cambria" w:hAnsi="Cambria"/>
          <w:color w:val="000000" w:themeColor="text1"/>
          <w:shd w:val="clear" w:color="auto" w:fill="FFFFFF"/>
        </w:rPr>
        <w:t xml:space="preserve">strongly </w:t>
      </w:r>
      <w:r w:rsidR="00CD6DE0" w:rsidRPr="00C47C36">
        <w:rPr>
          <w:rFonts w:ascii="Cambria" w:hAnsi="Cambria"/>
          <w:color w:val="000000" w:themeColor="text1"/>
          <w:shd w:val="clear" w:color="auto" w:fill="FFFFFF"/>
        </w:rPr>
        <w:t xml:space="preserve">support the </w:t>
      </w:r>
      <w:r w:rsidRPr="00C47C36">
        <w:rPr>
          <w:rFonts w:ascii="Cambria" w:hAnsi="Cambria"/>
          <w:color w:val="000000" w:themeColor="text1"/>
          <w:shd w:val="clear" w:color="auto" w:fill="FFFFFF"/>
        </w:rPr>
        <w:t xml:space="preserve">Tasmanian Drug Strategy’s </w:t>
      </w:r>
      <w:r w:rsidR="00CD6DE0" w:rsidRPr="00C47C36">
        <w:rPr>
          <w:rFonts w:ascii="Cambria" w:hAnsi="Cambria"/>
          <w:color w:val="000000" w:themeColor="text1"/>
          <w:shd w:val="clear" w:color="auto" w:fill="FFFFFF"/>
        </w:rPr>
        <w:t>intention to “review and support increasing access to alcohol and other drug treatment programs”.</w:t>
      </w:r>
      <w:r w:rsidRPr="00C47C36">
        <w:rPr>
          <w:rFonts w:ascii="Cambria" w:hAnsi="Cambria"/>
          <w:color w:val="000000" w:themeColor="text1"/>
          <w:shd w:val="clear" w:color="auto" w:fill="FFFFFF"/>
        </w:rPr>
        <w:t xml:space="preserve"> However, a better goal would be to set</w:t>
      </w:r>
      <w:r w:rsidR="00D71B76" w:rsidRPr="00C47C36">
        <w:rPr>
          <w:rFonts w:ascii="Cambria" w:hAnsi="Cambria"/>
          <w:color w:val="000000" w:themeColor="text1"/>
          <w:shd w:val="clear" w:color="auto" w:fill="FFFFFF"/>
        </w:rPr>
        <w:t xml:space="preserve"> targets</w:t>
      </w:r>
      <w:r w:rsidRPr="00C47C36">
        <w:rPr>
          <w:rFonts w:ascii="Cambria" w:hAnsi="Cambria"/>
          <w:color w:val="000000" w:themeColor="text1"/>
          <w:shd w:val="clear" w:color="auto" w:fill="FFFFFF"/>
        </w:rPr>
        <w:t xml:space="preserve">. </w:t>
      </w:r>
    </w:p>
    <w:p w14:paraId="5FE06DDD" w14:textId="77777777" w:rsidR="009706A7" w:rsidRPr="00C47C36" w:rsidRDefault="009706A7" w:rsidP="009706A7">
      <w:pPr>
        <w:pStyle w:val="NoSpacing"/>
        <w:shd w:val="clear" w:color="auto" w:fill="FFFFFF"/>
        <w:jc w:val="both"/>
        <w:rPr>
          <w:rFonts w:ascii="Cambria" w:hAnsi="Cambria"/>
          <w:color w:val="000000" w:themeColor="text1"/>
          <w:shd w:val="clear" w:color="auto" w:fill="FFFFFF"/>
        </w:rPr>
      </w:pPr>
    </w:p>
    <w:tbl>
      <w:tblPr>
        <w:tblStyle w:val="TableGrid"/>
        <w:tblW w:w="0" w:type="auto"/>
        <w:tblLook w:val="04A0" w:firstRow="1" w:lastRow="0" w:firstColumn="1" w:lastColumn="0" w:noHBand="0" w:noVBand="1"/>
      </w:tblPr>
      <w:tblGrid>
        <w:gridCol w:w="9010"/>
      </w:tblGrid>
      <w:tr w:rsidR="009706A7" w:rsidRPr="00C47C36" w14:paraId="0B5DB9B0" w14:textId="77777777" w:rsidTr="00674F35">
        <w:tc>
          <w:tcPr>
            <w:tcW w:w="9010" w:type="dxa"/>
          </w:tcPr>
          <w:p w14:paraId="3FE3A954" w14:textId="77777777" w:rsidR="009706A7" w:rsidRPr="00C47C36" w:rsidRDefault="009706A7" w:rsidP="00674F35">
            <w:pPr>
              <w:pStyle w:val="NoSpacing"/>
              <w:jc w:val="both"/>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t xml:space="preserve">Recommendation </w:t>
            </w:r>
          </w:p>
          <w:p w14:paraId="1BE3C087" w14:textId="68194FE8" w:rsidR="009706A7" w:rsidRPr="00C47C36" w:rsidRDefault="009706A7" w:rsidP="00674F35">
            <w:pPr>
              <w:pStyle w:val="NoSpacing"/>
              <w:jc w:val="both"/>
              <w:rPr>
                <w:rFonts w:ascii="Cambria" w:hAnsi="Cambria"/>
                <w:color w:val="000000" w:themeColor="text1"/>
                <w:shd w:val="clear" w:color="auto" w:fill="FFFFFF"/>
              </w:rPr>
            </w:pPr>
            <w:r w:rsidRPr="00C47C36">
              <w:rPr>
                <w:rFonts w:ascii="Cambria" w:hAnsi="Cambria"/>
                <w:i/>
                <w:iCs/>
                <w:color w:val="000000" w:themeColor="text1"/>
                <w:shd w:val="clear" w:color="auto" w:fill="FFFFFF"/>
              </w:rPr>
              <w:t>That the Tasmanian Drug Strategy commit to at least doubling the number of people accessing alcohol and other drug treatment programs.</w:t>
            </w:r>
            <w:r w:rsidRPr="00C47C36">
              <w:rPr>
                <w:rFonts w:ascii="Cambria" w:hAnsi="Cambria"/>
                <w:color w:val="000000" w:themeColor="text1"/>
                <w:shd w:val="clear" w:color="auto" w:fill="FFFFFF"/>
              </w:rPr>
              <w:t xml:space="preserve">  </w:t>
            </w:r>
          </w:p>
        </w:tc>
      </w:tr>
    </w:tbl>
    <w:p w14:paraId="3C43C809" w14:textId="74044E77" w:rsidR="00D71B76" w:rsidRPr="00C47C36" w:rsidRDefault="00D71B76" w:rsidP="0026512B">
      <w:pPr>
        <w:pStyle w:val="NoSpacing"/>
        <w:shd w:val="clear" w:color="auto" w:fill="FFFFFF"/>
        <w:jc w:val="both"/>
        <w:rPr>
          <w:rFonts w:ascii="Cambria" w:hAnsi="Cambria"/>
          <w:color w:val="000000" w:themeColor="text1"/>
          <w:bdr w:val="none" w:sz="0" w:space="0" w:color="auto" w:frame="1"/>
        </w:rPr>
      </w:pPr>
    </w:p>
    <w:p w14:paraId="5E6CDC06" w14:textId="4F0CCF24" w:rsidR="00CB6F50" w:rsidRPr="00C47C36" w:rsidRDefault="00CB4F69" w:rsidP="00CB6F50">
      <w:pPr>
        <w:pStyle w:val="NoSpacing"/>
        <w:numPr>
          <w:ilvl w:val="0"/>
          <w:numId w:val="10"/>
        </w:numPr>
        <w:shd w:val="clear" w:color="auto" w:fill="FFFFFF"/>
        <w:jc w:val="both"/>
        <w:rPr>
          <w:rFonts w:ascii="Cambria" w:hAnsi="Cambria"/>
          <w:b/>
          <w:bCs/>
          <w:i/>
          <w:iCs/>
          <w:color w:val="000000" w:themeColor="text1"/>
          <w:bdr w:val="none" w:sz="0" w:space="0" w:color="auto" w:frame="1"/>
        </w:rPr>
      </w:pPr>
      <w:r w:rsidRPr="00C47C36">
        <w:rPr>
          <w:rFonts w:ascii="Cambria" w:hAnsi="Cambria"/>
          <w:b/>
          <w:bCs/>
          <w:i/>
          <w:iCs/>
          <w:color w:val="000000" w:themeColor="text1"/>
          <w:bdr w:val="none" w:sz="0" w:space="0" w:color="auto" w:frame="1"/>
        </w:rPr>
        <w:t>Tasmanian Prison System</w:t>
      </w:r>
    </w:p>
    <w:p w14:paraId="1141CC04" w14:textId="77777777" w:rsidR="00CB6F50" w:rsidRPr="00C47C36" w:rsidRDefault="00CB6F50" w:rsidP="00CB6F50">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Targeting alcohol and other drug offenders is particularly important with recent research demonstrating that 46 per cent of detainees who had used drugs attributed their detention to alcohol and/or other drug use.</w:t>
      </w:r>
      <w:r w:rsidRPr="00C47C36">
        <w:rPr>
          <w:rStyle w:val="FootnoteReference"/>
          <w:rFonts w:ascii="Cambria" w:hAnsi="Cambria"/>
          <w:color w:val="000000" w:themeColor="text1"/>
          <w:bdr w:val="none" w:sz="0" w:space="0" w:color="auto" w:frame="1"/>
        </w:rPr>
        <w:footnoteReference w:id="11"/>
      </w:r>
      <w:r w:rsidRPr="00C47C36">
        <w:rPr>
          <w:rFonts w:ascii="Cambria" w:hAnsi="Cambria"/>
          <w:color w:val="000000" w:themeColor="text1"/>
          <w:bdr w:val="none" w:sz="0" w:space="0" w:color="auto" w:frame="1"/>
        </w:rPr>
        <w:t xml:space="preserve"> However, Tasmania’s Sentencing Advisory </w:t>
      </w:r>
      <w:r w:rsidRPr="00C47C36">
        <w:rPr>
          <w:rFonts w:ascii="Cambria" w:hAnsi="Cambria"/>
          <w:color w:val="000000" w:themeColor="text1"/>
          <w:bdr w:val="none" w:sz="0" w:space="0" w:color="auto" w:frame="1"/>
        </w:rPr>
        <w:lastRenderedPageBreak/>
        <w:t>Council found in 2017 that treatment programs were lacking with “demand for treatment programs is outstripping the ability of Corrective Services to deliver programs”.</w:t>
      </w:r>
      <w:r w:rsidRPr="00C47C36">
        <w:rPr>
          <w:rStyle w:val="FootnoteReference"/>
          <w:rFonts w:ascii="Cambria" w:hAnsi="Cambria"/>
          <w:color w:val="000000" w:themeColor="text1"/>
          <w:bdr w:val="none" w:sz="0" w:space="0" w:color="auto" w:frame="1"/>
        </w:rPr>
        <w:footnoteReference w:id="12"/>
      </w:r>
    </w:p>
    <w:p w14:paraId="243C7645" w14:textId="77777777" w:rsidR="00CB6F50" w:rsidRPr="00C47C36" w:rsidRDefault="00CB6F50" w:rsidP="00CB6F50">
      <w:pPr>
        <w:pStyle w:val="NoSpacing"/>
        <w:shd w:val="clear" w:color="auto" w:fill="FFFFFF"/>
        <w:jc w:val="both"/>
        <w:rPr>
          <w:rFonts w:ascii="Cambria" w:hAnsi="Cambria"/>
          <w:color w:val="000000" w:themeColor="text1"/>
          <w:bdr w:val="none" w:sz="0" w:space="0" w:color="auto" w:frame="1"/>
        </w:rPr>
      </w:pPr>
    </w:p>
    <w:p w14:paraId="3E91ED1D" w14:textId="77777777" w:rsidR="00CB6F50" w:rsidRPr="00C47C36" w:rsidRDefault="00CB6F50" w:rsidP="00CB6F50">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In 2018, the</w:t>
      </w:r>
      <w:r w:rsidRPr="00C47C36">
        <w:rPr>
          <w:rStyle w:val="xapple-converted-space"/>
          <w:rFonts w:ascii="Cambria" w:hAnsi="Cambria"/>
          <w:color w:val="000000" w:themeColor="text1"/>
          <w:bdr w:val="none" w:sz="0" w:space="0" w:color="auto" w:frame="1"/>
        </w:rPr>
        <w:t> </w:t>
      </w:r>
      <w:r w:rsidRPr="00C47C36">
        <w:rPr>
          <w:rFonts w:ascii="Cambria" w:hAnsi="Cambria"/>
          <w:color w:val="000000" w:themeColor="text1"/>
          <w:bdr w:val="none" w:sz="0" w:space="0" w:color="auto" w:frame="1"/>
        </w:rPr>
        <w:t xml:space="preserve">Custodial Inspector of Tasmania’s </w:t>
      </w:r>
      <w:r w:rsidRPr="00C47C36">
        <w:rPr>
          <w:rFonts w:ascii="Cambria" w:hAnsi="Cambria"/>
          <w:i/>
          <w:iCs/>
          <w:color w:val="000000" w:themeColor="text1"/>
          <w:bdr w:val="none" w:sz="0" w:space="0" w:color="auto" w:frame="1"/>
        </w:rPr>
        <w:t>Report into Care and Wellbeing</w:t>
      </w:r>
      <w:r w:rsidRPr="00C47C36">
        <w:rPr>
          <w:rStyle w:val="xapple-converted-space"/>
          <w:rFonts w:ascii="Cambria" w:hAnsi="Cambria"/>
          <w:color w:val="000000" w:themeColor="text1"/>
          <w:bdr w:val="none" w:sz="0" w:space="0" w:color="auto" w:frame="1"/>
        </w:rPr>
        <w:t xml:space="preserve"> </w:t>
      </w:r>
      <w:r w:rsidRPr="00C47C36">
        <w:rPr>
          <w:rFonts w:ascii="Cambria" w:hAnsi="Cambria"/>
          <w:color w:val="000000" w:themeColor="text1"/>
          <w:bdr w:val="none" w:sz="0" w:space="0" w:color="auto" w:frame="1"/>
        </w:rPr>
        <w:t>found:  </w:t>
      </w:r>
    </w:p>
    <w:p w14:paraId="7F424647" w14:textId="77777777" w:rsidR="00CB6F50" w:rsidRPr="00C47C36" w:rsidRDefault="00CB6F50" w:rsidP="00CB6F50">
      <w:pPr>
        <w:pStyle w:val="xmsonormal"/>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  </w:t>
      </w:r>
    </w:p>
    <w:p w14:paraId="2C8EFC58" w14:textId="77777777" w:rsidR="00CB6F50" w:rsidRPr="00C47C36" w:rsidRDefault="00CB6F50" w:rsidP="00CB6F50">
      <w:pPr>
        <w:pStyle w:val="xmsonormal"/>
        <w:numPr>
          <w:ilvl w:val="0"/>
          <w:numId w:val="15"/>
        </w:numPr>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There are two Alcohol and Drug Counsellors in the Tasmanian Prison Service for over 600 prisoners;   </w:t>
      </w:r>
    </w:p>
    <w:p w14:paraId="04737AD6" w14:textId="77777777" w:rsidR="00CB6F50" w:rsidRPr="00C47C36" w:rsidRDefault="00CB6F50" w:rsidP="00CB6F50">
      <w:pPr>
        <w:pStyle w:val="xmsonormal"/>
        <w:numPr>
          <w:ilvl w:val="0"/>
          <w:numId w:val="15"/>
        </w:numPr>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There is a waiting list of over 100 prisoners for alcohol and other drug support, which has remained steady since October 2015;    </w:t>
      </w:r>
    </w:p>
    <w:p w14:paraId="5D3C266D" w14:textId="77777777" w:rsidR="00CB6F50" w:rsidRPr="00C47C36" w:rsidRDefault="00CB6F50" w:rsidP="00CB6F50">
      <w:pPr>
        <w:pStyle w:val="xmsonormal"/>
        <w:numPr>
          <w:ilvl w:val="0"/>
          <w:numId w:val="15"/>
        </w:numPr>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There is inadequate physical resourcing with not enough rooms available for treatment and programs;    </w:t>
      </w:r>
    </w:p>
    <w:p w14:paraId="679B16C3" w14:textId="77777777" w:rsidR="00CB6F50" w:rsidRPr="00C47C36" w:rsidRDefault="00CB6F50" w:rsidP="00CB6F50">
      <w:pPr>
        <w:pStyle w:val="xmsonormal"/>
        <w:numPr>
          <w:ilvl w:val="0"/>
          <w:numId w:val="15"/>
        </w:numPr>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There are large numbers of prisoners being released back into the community without ever receiving any alcohol and other drug treatment or support;    </w:t>
      </w:r>
    </w:p>
    <w:p w14:paraId="43C517A6" w14:textId="77777777" w:rsidR="00CB6F50" w:rsidRPr="00C47C36" w:rsidRDefault="00CB6F50" w:rsidP="00CB6F50">
      <w:pPr>
        <w:pStyle w:val="xmsonormal"/>
        <w:numPr>
          <w:ilvl w:val="0"/>
          <w:numId w:val="15"/>
        </w:numPr>
        <w:shd w:val="clear" w:color="auto" w:fill="FFFFFF"/>
        <w:spacing w:before="0" w:beforeAutospacing="0" w:after="0" w:afterAutospacing="0"/>
        <w:jc w:val="both"/>
        <w:rPr>
          <w:rFonts w:ascii="Cambria" w:hAnsi="Cambria"/>
          <w:color w:val="000000" w:themeColor="text1"/>
        </w:rPr>
      </w:pPr>
      <w:r w:rsidRPr="00C47C36">
        <w:rPr>
          <w:rFonts w:ascii="Cambria" w:hAnsi="Cambria"/>
          <w:color w:val="000000" w:themeColor="text1"/>
          <w:bdr w:val="none" w:sz="0" w:space="0" w:color="auto" w:frame="1"/>
        </w:rPr>
        <w:t>There is no alcohol and other drug ‘residential’ treatment unit for women prisoners and no plans to establish one.   </w:t>
      </w:r>
    </w:p>
    <w:p w14:paraId="7B2908DA" w14:textId="77777777" w:rsidR="00CB6F50" w:rsidRPr="00C47C36" w:rsidRDefault="00CB6F50" w:rsidP="00CB6F50">
      <w:pPr>
        <w:pStyle w:val="xmsonormal"/>
        <w:shd w:val="clear" w:color="auto" w:fill="FFFFFF"/>
        <w:spacing w:before="0" w:beforeAutospacing="0" w:after="0" w:afterAutospacing="0"/>
        <w:rPr>
          <w:rFonts w:ascii="Cambria" w:hAnsi="Cambria"/>
          <w:color w:val="000000" w:themeColor="text1"/>
        </w:rPr>
      </w:pPr>
      <w:r w:rsidRPr="00C47C36">
        <w:rPr>
          <w:rFonts w:ascii="Cambria" w:hAnsi="Cambria"/>
          <w:color w:val="000000" w:themeColor="text1"/>
          <w:bdr w:val="none" w:sz="0" w:space="0" w:color="auto" w:frame="1"/>
        </w:rPr>
        <w:t> </w:t>
      </w:r>
    </w:p>
    <w:p w14:paraId="70459352" w14:textId="77777777" w:rsidR="00CB6F50" w:rsidRPr="00C47C36" w:rsidRDefault="00CB6F50" w:rsidP="00CB6F50">
      <w:pPr>
        <w:pStyle w:val="xmsonormal"/>
        <w:shd w:val="clear" w:color="auto" w:fill="FFFFFF"/>
        <w:spacing w:before="0" w:beforeAutospacing="0" w:after="0" w:afterAutospacing="0"/>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The Custodial Inspector concluded that “the reality is there are a number of prisoners that enter custody and request support for alcohol and drug related issues but cannot access it due to staffing limitations”.</w:t>
      </w:r>
      <w:r w:rsidRPr="00C47C36">
        <w:rPr>
          <w:rStyle w:val="FootnoteReference"/>
          <w:rFonts w:ascii="Cambria" w:hAnsi="Cambria"/>
          <w:color w:val="000000" w:themeColor="text1"/>
          <w:bdr w:val="none" w:sz="0" w:space="0" w:color="auto" w:frame="1"/>
        </w:rPr>
        <w:footnoteReference w:id="13"/>
      </w:r>
    </w:p>
    <w:p w14:paraId="5F5707B1" w14:textId="77777777" w:rsidR="005547B4" w:rsidRPr="00C47C36" w:rsidRDefault="005547B4" w:rsidP="00CB6F50">
      <w:pPr>
        <w:jc w:val="both"/>
        <w:rPr>
          <w:rFonts w:ascii="Cambria" w:hAnsi="Cambria"/>
          <w:color w:val="000000" w:themeColor="text1"/>
          <w:shd w:val="clear" w:color="auto" w:fill="FFFFFF"/>
        </w:rPr>
      </w:pPr>
    </w:p>
    <w:p w14:paraId="656DE1E6" w14:textId="4DE61699" w:rsidR="00CB6F50" w:rsidRPr="00C47C36" w:rsidRDefault="00CB6F50" w:rsidP="00CB6F50">
      <w:pPr>
        <w:jc w:val="both"/>
        <w:rPr>
          <w:rFonts w:ascii="Cambria" w:hAnsi="Cambria"/>
          <w:color w:val="000000" w:themeColor="text1"/>
          <w:shd w:val="clear" w:color="auto" w:fill="FFFFFF"/>
        </w:rPr>
      </w:pPr>
      <w:r w:rsidRPr="00C47C36">
        <w:rPr>
          <w:rFonts w:ascii="Cambria" w:hAnsi="Cambria"/>
          <w:color w:val="000000" w:themeColor="text1"/>
          <w:shd w:val="clear" w:color="auto" w:fill="FFFFFF"/>
        </w:rPr>
        <w:t xml:space="preserve">The lack of treatment programs in </w:t>
      </w:r>
      <w:r w:rsidR="00CB4F69" w:rsidRPr="00C47C36">
        <w:rPr>
          <w:rFonts w:ascii="Cambria" w:hAnsi="Cambria"/>
          <w:color w:val="000000" w:themeColor="text1"/>
          <w:shd w:val="clear" w:color="auto" w:fill="FFFFFF"/>
        </w:rPr>
        <w:t>the Tasmanian Prison Service</w:t>
      </w:r>
      <w:r w:rsidRPr="00C47C36">
        <w:rPr>
          <w:rFonts w:ascii="Cambria" w:hAnsi="Cambria"/>
          <w:color w:val="000000" w:themeColor="text1"/>
          <w:shd w:val="clear" w:color="auto" w:fill="FFFFFF"/>
        </w:rPr>
        <w:t xml:space="preserve"> is a concern. We strongly recommend that the draft Tasmanian Drug Strategy commit to a residential alcohol and other drug program within the prison system.</w:t>
      </w:r>
    </w:p>
    <w:p w14:paraId="5D1A9524" w14:textId="77777777" w:rsidR="00B00E7F" w:rsidRPr="00C47C36" w:rsidRDefault="00B00E7F" w:rsidP="00B00E7F">
      <w:pPr>
        <w:pStyle w:val="NoSpacing"/>
        <w:shd w:val="clear" w:color="auto" w:fill="FFFFFF"/>
        <w:jc w:val="both"/>
        <w:rPr>
          <w:rFonts w:ascii="Cambria" w:hAnsi="Cambria"/>
          <w:color w:val="000000" w:themeColor="text1"/>
          <w:shd w:val="clear" w:color="auto" w:fill="FFFFFF"/>
        </w:rPr>
      </w:pPr>
    </w:p>
    <w:tbl>
      <w:tblPr>
        <w:tblStyle w:val="TableGrid"/>
        <w:tblW w:w="0" w:type="auto"/>
        <w:tblLook w:val="04A0" w:firstRow="1" w:lastRow="0" w:firstColumn="1" w:lastColumn="0" w:noHBand="0" w:noVBand="1"/>
      </w:tblPr>
      <w:tblGrid>
        <w:gridCol w:w="9010"/>
      </w:tblGrid>
      <w:tr w:rsidR="00B00E7F" w:rsidRPr="00C47C36" w14:paraId="2F87A81E" w14:textId="77777777" w:rsidTr="009101D8">
        <w:tc>
          <w:tcPr>
            <w:tcW w:w="9010" w:type="dxa"/>
          </w:tcPr>
          <w:p w14:paraId="5FD87558" w14:textId="77777777" w:rsidR="00B00E7F" w:rsidRPr="00C47C36" w:rsidRDefault="00B00E7F" w:rsidP="009101D8">
            <w:pPr>
              <w:pStyle w:val="NoSpacing"/>
              <w:jc w:val="both"/>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t xml:space="preserve">Recommendation </w:t>
            </w:r>
          </w:p>
          <w:p w14:paraId="0E1AA70F" w14:textId="5122C616" w:rsidR="00B00E7F" w:rsidRPr="00C47C36" w:rsidRDefault="00B00E7F" w:rsidP="009101D8">
            <w:pPr>
              <w:pStyle w:val="NoSpacing"/>
              <w:jc w:val="both"/>
              <w:rPr>
                <w:rFonts w:ascii="Cambria" w:hAnsi="Cambria"/>
                <w:color w:val="000000" w:themeColor="text1"/>
                <w:shd w:val="clear" w:color="auto" w:fill="FFFFFF"/>
              </w:rPr>
            </w:pPr>
            <w:r w:rsidRPr="00C47C36">
              <w:rPr>
                <w:rFonts w:ascii="Cambria" w:hAnsi="Cambria"/>
                <w:i/>
                <w:iCs/>
                <w:color w:val="000000" w:themeColor="text1"/>
                <w:shd w:val="clear" w:color="auto" w:fill="FFFFFF"/>
              </w:rPr>
              <w:t>That the Tasmanian Drug Strategy commit to a residential alcohol and other drug program within the prison system</w:t>
            </w:r>
          </w:p>
        </w:tc>
      </w:tr>
    </w:tbl>
    <w:p w14:paraId="69397A6D" w14:textId="77777777" w:rsidR="00B00E7F" w:rsidRPr="00C47C36" w:rsidRDefault="00B00E7F" w:rsidP="00B00E7F">
      <w:pPr>
        <w:jc w:val="both"/>
        <w:rPr>
          <w:rFonts w:ascii="Cambria" w:hAnsi="Cambria"/>
          <w:color w:val="000000" w:themeColor="text1"/>
          <w:shd w:val="clear" w:color="auto" w:fill="FFFFFF"/>
        </w:rPr>
      </w:pPr>
    </w:p>
    <w:p w14:paraId="10D4BC6D" w14:textId="361F48D2" w:rsidR="00B00E7F" w:rsidRPr="00C47C36" w:rsidRDefault="00B00E7F" w:rsidP="00B00E7F">
      <w:pPr>
        <w:jc w:val="both"/>
        <w:rPr>
          <w:rFonts w:ascii="Cambria" w:hAnsi="Cambria"/>
          <w:color w:val="000000" w:themeColor="text1"/>
        </w:rPr>
      </w:pPr>
      <w:r w:rsidRPr="00C47C36">
        <w:rPr>
          <w:rFonts w:ascii="Cambria" w:hAnsi="Cambria"/>
          <w:color w:val="000000" w:themeColor="text1"/>
          <w:shd w:val="clear" w:color="auto" w:fill="FFFFFF"/>
        </w:rPr>
        <w:t xml:space="preserve">We also note that </w:t>
      </w:r>
      <w:r w:rsidRPr="00C47C36">
        <w:rPr>
          <w:rFonts w:ascii="Cambria" w:hAnsi="Cambria" w:cs="Segoe UI"/>
          <w:color w:val="000000" w:themeColor="text1"/>
          <w:bdr w:val="none" w:sz="0" w:space="0" w:color="auto" w:frame="1"/>
        </w:rPr>
        <w:t>t</w:t>
      </w:r>
      <w:r w:rsidRPr="00C47C36">
        <w:rPr>
          <w:rFonts w:ascii="Cambria" w:hAnsi="Cambria"/>
          <w:color w:val="000000" w:themeColor="text1"/>
        </w:rPr>
        <w:t>he Aboriginal and Torres Strait Islander imprisonment rate is currently more than five times the non-Indigenous imprisonment rate and has increased by 97 per cent since 2010, compared to 7 per cent for non-Indigenous people.</w:t>
      </w:r>
      <w:r w:rsidRPr="00C47C36">
        <w:rPr>
          <w:rStyle w:val="FootnoteReference"/>
          <w:rFonts w:ascii="Cambria" w:hAnsi="Cambria"/>
          <w:color w:val="000000" w:themeColor="text1"/>
        </w:rPr>
        <w:footnoteReference w:id="14"/>
      </w:r>
      <w:r w:rsidRPr="00C47C36">
        <w:rPr>
          <w:rFonts w:ascii="Cambria" w:hAnsi="Cambria"/>
          <w:color w:val="000000" w:themeColor="text1"/>
        </w:rPr>
        <w:t xml:space="preserve"> We therefore recommend that the Tasmanian Drug Strategy recognise the need for culturally appropriate AOD treatment and support. </w:t>
      </w:r>
    </w:p>
    <w:p w14:paraId="29EAC790" w14:textId="77777777" w:rsidR="00B00E7F" w:rsidRPr="00C47C36" w:rsidRDefault="00B00E7F" w:rsidP="00B00E7F">
      <w:pPr>
        <w:pStyle w:val="NoSpacing"/>
        <w:shd w:val="clear" w:color="auto" w:fill="FFFFFF"/>
        <w:jc w:val="both"/>
        <w:rPr>
          <w:rFonts w:ascii="Cambria" w:hAnsi="Cambria"/>
          <w:color w:val="000000" w:themeColor="text1"/>
          <w:shd w:val="clear" w:color="auto" w:fill="FFFFFF"/>
        </w:rPr>
      </w:pPr>
    </w:p>
    <w:tbl>
      <w:tblPr>
        <w:tblStyle w:val="TableGrid"/>
        <w:tblW w:w="0" w:type="auto"/>
        <w:tblLook w:val="04A0" w:firstRow="1" w:lastRow="0" w:firstColumn="1" w:lastColumn="0" w:noHBand="0" w:noVBand="1"/>
      </w:tblPr>
      <w:tblGrid>
        <w:gridCol w:w="9010"/>
      </w:tblGrid>
      <w:tr w:rsidR="00B00E7F" w:rsidRPr="00C47C36" w14:paraId="7E26CAD5" w14:textId="77777777" w:rsidTr="009101D8">
        <w:tc>
          <w:tcPr>
            <w:tcW w:w="9010" w:type="dxa"/>
          </w:tcPr>
          <w:p w14:paraId="2EF6AAEB" w14:textId="77777777" w:rsidR="00B00E7F" w:rsidRPr="00C47C36" w:rsidRDefault="00B00E7F" w:rsidP="009101D8">
            <w:pPr>
              <w:pStyle w:val="NoSpacing"/>
              <w:jc w:val="both"/>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t xml:space="preserve">Recommendation </w:t>
            </w:r>
          </w:p>
          <w:p w14:paraId="6B142044" w14:textId="3E1614CF" w:rsidR="00B00E7F" w:rsidRPr="00C47C36" w:rsidRDefault="00B00E7F" w:rsidP="009101D8">
            <w:pPr>
              <w:pStyle w:val="NoSpacing"/>
              <w:jc w:val="both"/>
              <w:rPr>
                <w:rFonts w:ascii="Cambria" w:hAnsi="Cambria"/>
                <w:color w:val="000000" w:themeColor="text1"/>
                <w:shd w:val="clear" w:color="auto" w:fill="FFFFFF"/>
              </w:rPr>
            </w:pPr>
            <w:r w:rsidRPr="00C47C36">
              <w:rPr>
                <w:rFonts w:ascii="Cambria" w:hAnsi="Cambria"/>
                <w:i/>
                <w:iCs/>
                <w:color w:val="000000" w:themeColor="text1"/>
              </w:rPr>
              <w:t>That the Tasmanian Drug Strategy commit to culturally appropriate alcohol and other drug treatment and support</w:t>
            </w:r>
          </w:p>
        </w:tc>
      </w:tr>
    </w:tbl>
    <w:p w14:paraId="73B60BAC" w14:textId="6F7D051F" w:rsidR="00B00E7F" w:rsidRDefault="00B00E7F" w:rsidP="00B00E7F">
      <w:pPr>
        <w:jc w:val="both"/>
        <w:rPr>
          <w:rFonts w:ascii="Cambria" w:hAnsi="Cambria"/>
          <w:color w:val="000000" w:themeColor="text1"/>
          <w:shd w:val="clear" w:color="auto" w:fill="FFFFFF"/>
        </w:rPr>
      </w:pPr>
    </w:p>
    <w:p w14:paraId="2A3A6D66" w14:textId="77777777" w:rsidR="003434E8" w:rsidRPr="00C47C36" w:rsidRDefault="003434E8" w:rsidP="00B00E7F">
      <w:pPr>
        <w:jc w:val="both"/>
        <w:rPr>
          <w:rFonts w:ascii="Cambria" w:hAnsi="Cambria"/>
          <w:color w:val="000000" w:themeColor="text1"/>
          <w:shd w:val="clear" w:color="auto" w:fill="FFFFFF"/>
        </w:rPr>
      </w:pPr>
    </w:p>
    <w:p w14:paraId="2DC4678A" w14:textId="0BAC0710" w:rsidR="009706A7" w:rsidRPr="00C47C36" w:rsidRDefault="009706A7" w:rsidP="009706A7">
      <w:pPr>
        <w:pStyle w:val="NoSpacing"/>
        <w:numPr>
          <w:ilvl w:val="0"/>
          <w:numId w:val="10"/>
        </w:numPr>
        <w:rPr>
          <w:rFonts w:ascii="Cambria" w:hAnsi="Cambria"/>
          <w:b/>
          <w:bCs/>
          <w:i/>
          <w:iCs/>
          <w:color w:val="000000" w:themeColor="text1"/>
          <w:shd w:val="clear" w:color="auto" w:fill="FFFFFF"/>
        </w:rPr>
      </w:pPr>
      <w:r w:rsidRPr="00C47C36">
        <w:rPr>
          <w:rFonts w:ascii="Cambria" w:hAnsi="Cambria"/>
          <w:b/>
          <w:bCs/>
          <w:i/>
          <w:iCs/>
          <w:color w:val="000000" w:themeColor="text1"/>
          <w:shd w:val="clear" w:color="auto" w:fill="FFFFFF"/>
        </w:rPr>
        <w:lastRenderedPageBreak/>
        <w:t>Persons at risk of homelessness</w:t>
      </w:r>
    </w:p>
    <w:p w14:paraId="44CF41A3" w14:textId="08C048E4" w:rsidR="009706A7" w:rsidRPr="00C47C36" w:rsidRDefault="009706A7" w:rsidP="009706A7">
      <w:pPr>
        <w:jc w:val="both"/>
        <w:rPr>
          <w:rFonts w:ascii="Cambria" w:hAnsi="Cambria"/>
          <w:color w:val="000000" w:themeColor="text1"/>
          <w:shd w:val="clear" w:color="auto" w:fill="FFFFFF"/>
        </w:rPr>
      </w:pPr>
      <w:r w:rsidRPr="00C47C36">
        <w:rPr>
          <w:rFonts w:ascii="Cambria" w:hAnsi="Cambria"/>
          <w:color w:val="000000" w:themeColor="text1"/>
          <w:shd w:val="clear" w:color="auto" w:fill="FFFFFF"/>
        </w:rPr>
        <w:t xml:space="preserve">The </w:t>
      </w:r>
      <w:r w:rsidR="00CB6F50" w:rsidRPr="00C47C36">
        <w:rPr>
          <w:rFonts w:ascii="Cambria" w:hAnsi="Cambria"/>
          <w:color w:val="000000" w:themeColor="text1"/>
          <w:shd w:val="clear" w:color="auto" w:fill="FFFFFF"/>
        </w:rPr>
        <w:t xml:space="preserve">draft </w:t>
      </w:r>
      <w:r w:rsidRPr="00C47C36">
        <w:rPr>
          <w:rFonts w:ascii="Cambria" w:hAnsi="Cambria"/>
          <w:color w:val="000000" w:themeColor="text1"/>
          <w:shd w:val="clear" w:color="auto" w:fill="FFFFFF"/>
        </w:rPr>
        <w:t>Tasmanian Drug Strategy notes that Housing Tasmania will be a key partner agency. Community Housing Providers now comprise around 50 per cent of all social housing in Tasmania. We strongly recommend that the Tasmanian Drug Strategy note that Housing Tasmania and community housing providers will both be key partner agencies. </w:t>
      </w:r>
    </w:p>
    <w:p w14:paraId="4ACC15AD" w14:textId="77777777" w:rsidR="009706A7" w:rsidRPr="00C47C36" w:rsidRDefault="009706A7" w:rsidP="0026512B">
      <w:pPr>
        <w:pStyle w:val="NoSpacing"/>
        <w:shd w:val="clear" w:color="auto" w:fill="FFFFFF"/>
        <w:jc w:val="both"/>
        <w:rPr>
          <w:rFonts w:ascii="Cambria" w:hAnsi="Cambria"/>
          <w:color w:val="000000" w:themeColor="text1"/>
          <w:bdr w:val="none" w:sz="0" w:space="0" w:color="auto" w:frame="1"/>
        </w:rPr>
      </w:pPr>
    </w:p>
    <w:p w14:paraId="4C0DC936" w14:textId="6863AA74" w:rsidR="009706A7" w:rsidRPr="00C47C36" w:rsidRDefault="009706A7" w:rsidP="009706A7">
      <w:pPr>
        <w:pStyle w:val="NoSpacing"/>
        <w:numPr>
          <w:ilvl w:val="0"/>
          <w:numId w:val="10"/>
        </w:numPr>
        <w:shd w:val="clear" w:color="auto" w:fill="FFFFFF"/>
        <w:jc w:val="both"/>
        <w:rPr>
          <w:rFonts w:ascii="Cambria" w:hAnsi="Cambria"/>
          <w:b/>
          <w:bCs/>
          <w:i/>
          <w:iCs/>
          <w:color w:val="000000" w:themeColor="text1"/>
          <w:bdr w:val="none" w:sz="0" w:space="0" w:color="auto" w:frame="1"/>
        </w:rPr>
      </w:pPr>
      <w:r w:rsidRPr="00C47C36">
        <w:rPr>
          <w:rFonts w:ascii="Cambria" w:hAnsi="Cambria"/>
          <w:b/>
          <w:bCs/>
          <w:i/>
          <w:iCs/>
          <w:color w:val="000000" w:themeColor="text1"/>
          <w:bdr w:val="none" w:sz="0" w:space="0" w:color="auto" w:frame="1"/>
        </w:rPr>
        <w:t>Decriminalisation</w:t>
      </w:r>
    </w:p>
    <w:p w14:paraId="56F709E9" w14:textId="4E47BBD7" w:rsidR="001B7273" w:rsidRPr="00C47C36" w:rsidRDefault="00FD51B1"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We strongly recommend the adoption of the Portuguese model where the decriminalisation of small quantities of all drugs became law in 2001.</w:t>
      </w:r>
      <w:r w:rsidR="00D8105E" w:rsidRPr="00C47C36">
        <w:rPr>
          <w:rFonts w:ascii="Cambria" w:hAnsi="Cambria"/>
          <w:color w:val="000000" w:themeColor="text1"/>
          <w:bdr w:val="none" w:sz="0" w:space="0" w:color="auto" w:frame="1"/>
        </w:rPr>
        <w:t xml:space="preserve"> Analysis of the effect of the reforms has been that whilst there has been a small increase in reported illicit drug use among adults this has been offset by reduced drug abuse among adolescents and problematic drug users. Moreover, significant resources have been able to be re-allocated to drug treatment with concomitant reductions in HIV infections, drug-related deaths and addiction.</w:t>
      </w:r>
      <w:r w:rsidR="004D42ED" w:rsidRPr="00C47C36">
        <w:rPr>
          <w:rStyle w:val="FootnoteReference"/>
          <w:rFonts w:ascii="Cambria" w:hAnsi="Cambria"/>
          <w:color w:val="000000" w:themeColor="text1"/>
          <w:bdr w:val="none" w:sz="0" w:space="0" w:color="auto" w:frame="1"/>
        </w:rPr>
        <w:footnoteReference w:id="15"/>
      </w:r>
      <w:r w:rsidR="003434E8">
        <w:rPr>
          <w:rFonts w:ascii="Cambria" w:hAnsi="Cambria"/>
          <w:color w:val="000000" w:themeColor="text1"/>
          <w:bdr w:val="none" w:sz="0" w:space="0" w:color="auto" w:frame="1"/>
        </w:rPr>
        <w:t xml:space="preserve"> </w:t>
      </w:r>
    </w:p>
    <w:p w14:paraId="72AE3168" w14:textId="77777777" w:rsidR="001B7273" w:rsidRPr="00C47C36" w:rsidRDefault="001B7273" w:rsidP="0026512B">
      <w:pPr>
        <w:pStyle w:val="NoSpacing"/>
        <w:shd w:val="clear" w:color="auto" w:fill="FFFFFF"/>
        <w:jc w:val="both"/>
        <w:rPr>
          <w:rFonts w:ascii="Cambria" w:hAnsi="Cambria"/>
          <w:color w:val="000000" w:themeColor="text1"/>
          <w:bdr w:val="none" w:sz="0" w:space="0" w:color="auto" w:frame="1"/>
        </w:rPr>
      </w:pPr>
    </w:p>
    <w:p w14:paraId="1B179FE1" w14:textId="745D2F56" w:rsidR="003434E8" w:rsidRPr="00C47C36" w:rsidRDefault="00FD51B1"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 xml:space="preserve">Dr Paul </w:t>
      </w:r>
      <w:proofErr w:type="spellStart"/>
      <w:r w:rsidRPr="00C47C36">
        <w:rPr>
          <w:rFonts w:ascii="Cambria" w:hAnsi="Cambria"/>
          <w:color w:val="000000" w:themeColor="text1"/>
          <w:bdr w:val="none" w:sz="0" w:space="0" w:color="auto" w:frame="1"/>
        </w:rPr>
        <w:t>Blacklow</w:t>
      </w:r>
      <w:proofErr w:type="spellEnd"/>
      <w:r w:rsidRPr="00C47C36">
        <w:rPr>
          <w:rFonts w:ascii="Cambria" w:hAnsi="Cambria"/>
          <w:color w:val="000000" w:themeColor="text1"/>
          <w:bdr w:val="none" w:sz="0" w:space="0" w:color="auto" w:frame="1"/>
        </w:rPr>
        <w:t xml:space="preserve"> an economist at the University of Tasmania estimated </w:t>
      </w:r>
      <w:r w:rsidR="00440A81" w:rsidRPr="00C47C36">
        <w:rPr>
          <w:rFonts w:ascii="Cambria" w:hAnsi="Cambria"/>
          <w:color w:val="000000" w:themeColor="text1"/>
          <w:bdr w:val="none" w:sz="0" w:space="0" w:color="auto" w:frame="1"/>
        </w:rPr>
        <w:t xml:space="preserve">in 2017 </w:t>
      </w:r>
      <w:r w:rsidRPr="00C47C36">
        <w:rPr>
          <w:rFonts w:ascii="Cambria" w:hAnsi="Cambria"/>
          <w:color w:val="000000" w:themeColor="text1"/>
          <w:bdr w:val="none" w:sz="0" w:space="0" w:color="auto" w:frame="1"/>
        </w:rPr>
        <w:t>that the cost of illicit drug use in Tasmania was $301.73M and that the cost</w:t>
      </w:r>
      <w:r w:rsidR="009706A7" w:rsidRPr="00C47C36">
        <w:rPr>
          <w:rFonts w:ascii="Cambria" w:hAnsi="Cambria"/>
          <w:color w:val="000000" w:themeColor="text1"/>
          <w:bdr w:val="none" w:sz="0" w:space="0" w:color="auto" w:frame="1"/>
        </w:rPr>
        <w:t xml:space="preserve">, if Tasmania adopted the Portuguese decriminalisation model </w:t>
      </w:r>
      <w:r w:rsidRPr="00C47C36">
        <w:rPr>
          <w:rFonts w:ascii="Cambria" w:hAnsi="Cambria"/>
          <w:color w:val="000000" w:themeColor="text1"/>
          <w:bdr w:val="none" w:sz="0" w:space="0" w:color="auto" w:frame="1"/>
        </w:rPr>
        <w:t>would be $273.6M, a financial saving of $28.13M.</w:t>
      </w:r>
      <w:r w:rsidR="00D8105E" w:rsidRPr="00C47C36">
        <w:rPr>
          <w:rStyle w:val="FootnoteReference"/>
          <w:rFonts w:ascii="Cambria" w:hAnsi="Cambria"/>
          <w:color w:val="000000" w:themeColor="text1"/>
          <w:bdr w:val="none" w:sz="0" w:space="0" w:color="auto" w:frame="1"/>
        </w:rPr>
        <w:footnoteReference w:id="16"/>
      </w:r>
      <w:r w:rsidRPr="00C47C36">
        <w:rPr>
          <w:rFonts w:ascii="Cambria" w:hAnsi="Cambria"/>
          <w:color w:val="000000" w:themeColor="text1"/>
          <w:bdr w:val="none" w:sz="0" w:space="0" w:color="auto" w:frame="1"/>
        </w:rPr>
        <w:t xml:space="preserve"> </w:t>
      </w:r>
    </w:p>
    <w:p w14:paraId="4D7D9A6D" w14:textId="669A2CAD" w:rsidR="00B81750" w:rsidRPr="00C47C36" w:rsidRDefault="00B81750" w:rsidP="0026512B">
      <w:pPr>
        <w:pStyle w:val="NoSpacing"/>
        <w:shd w:val="clear" w:color="auto" w:fill="FFFFFF"/>
        <w:jc w:val="both"/>
        <w:rPr>
          <w:rFonts w:ascii="Cambria" w:hAnsi="Cambria" w:cs="Arial"/>
          <w:color w:val="000000" w:themeColor="text1"/>
        </w:rPr>
      </w:pPr>
    </w:p>
    <w:p w14:paraId="0137EB01" w14:textId="57A87281" w:rsidR="009706A7" w:rsidRPr="00C47C36" w:rsidRDefault="009706A7" w:rsidP="0026512B">
      <w:pPr>
        <w:pStyle w:val="NoSpacing"/>
        <w:shd w:val="clear" w:color="auto" w:fill="FFFFFF"/>
        <w:jc w:val="both"/>
        <w:rPr>
          <w:rFonts w:ascii="Cambria" w:hAnsi="Cambria"/>
          <w:b/>
          <w:bCs/>
          <w:color w:val="000000" w:themeColor="text1"/>
          <w:bdr w:val="none" w:sz="0" w:space="0" w:color="auto" w:frame="1"/>
        </w:rPr>
      </w:pPr>
      <w:r w:rsidRPr="00C47C36">
        <w:rPr>
          <w:rFonts w:ascii="Cambria" w:hAnsi="Cambria"/>
          <w:b/>
          <w:bCs/>
          <w:color w:val="000000" w:themeColor="text1"/>
          <w:bdr w:val="none" w:sz="0" w:space="0" w:color="auto" w:frame="1"/>
        </w:rPr>
        <w:t>Summary</w:t>
      </w:r>
    </w:p>
    <w:p w14:paraId="398D75DA" w14:textId="098AAFC7" w:rsidR="009706A7" w:rsidRPr="00C47C36" w:rsidRDefault="009706A7"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 xml:space="preserve">Whilst harm minimisation is the underlying concept of the </w:t>
      </w:r>
      <w:r w:rsidRPr="00C47C36">
        <w:rPr>
          <w:rFonts w:ascii="Cambria" w:hAnsi="Cambria"/>
          <w:color w:val="000000" w:themeColor="text1"/>
          <w:bdr w:val="none" w:sz="0" w:space="0" w:color="auto" w:frame="1"/>
          <w:shd w:val="clear" w:color="auto" w:fill="FFFFFF"/>
        </w:rPr>
        <w:t xml:space="preserve">Tasmanian Drug Strategy, the focus continues to be on law enforcement. At the same time, thousands of Tasmanians are missing out on the treatment they need. We strongly believe that an evidence-based approach is required, with Portugal’s decriminalisation model best able to meet the Tasmanian Government’s aim </w:t>
      </w:r>
      <w:r w:rsidRPr="00C47C36">
        <w:rPr>
          <w:rFonts w:ascii="Cambria" w:hAnsi="Cambria"/>
          <w:color w:val="000000" w:themeColor="text1"/>
          <w:bdr w:val="none" w:sz="0" w:space="0" w:color="auto" w:frame="1"/>
        </w:rPr>
        <w:t>“to prevent the health, economic and social costs and harmful effects of alcohol, tobacco and other drug use in Tasmania”.</w:t>
      </w:r>
    </w:p>
    <w:p w14:paraId="51BB0640" w14:textId="0EEB9D25" w:rsidR="009706A7" w:rsidRPr="00C47C36" w:rsidRDefault="009706A7" w:rsidP="0026512B">
      <w:pPr>
        <w:pStyle w:val="NoSpacing"/>
        <w:shd w:val="clear" w:color="auto" w:fill="FFFFFF"/>
        <w:jc w:val="both"/>
        <w:rPr>
          <w:rFonts w:ascii="Cambria" w:hAnsi="Cambria"/>
          <w:color w:val="000000" w:themeColor="text1"/>
          <w:bdr w:val="none" w:sz="0" w:space="0" w:color="auto" w:frame="1"/>
        </w:rPr>
      </w:pPr>
    </w:p>
    <w:p w14:paraId="6FC79E35" w14:textId="6484601B" w:rsidR="000013A0" w:rsidRPr="00C47C36" w:rsidRDefault="009706A7" w:rsidP="0026512B">
      <w:pPr>
        <w:pStyle w:val="NoSpacing"/>
        <w:shd w:val="clear" w:color="auto" w:fill="FFFFFF"/>
        <w:jc w:val="both"/>
        <w:rPr>
          <w:rFonts w:ascii="Cambria" w:hAnsi="Cambria"/>
          <w:color w:val="000000" w:themeColor="text1"/>
          <w:bdr w:val="none" w:sz="0" w:space="0" w:color="auto" w:frame="1"/>
        </w:rPr>
      </w:pPr>
      <w:r w:rsidRPr="00C47C36">
        <w:rPr>
          <w:rFonts w:ascii="Cambria" w:hAnsi="Cambria"/>
          <w:color w:val="000000" w:themeColor="text1"/>
          <w:bdr w:val="none" w:sz="0" w:space="0" w:color="auto" w:frame="1"/>
        </w:rPr>
        <w:t>In the event that the</w:t>
      </w:r>
      <w:r w:rsidR="000013A0" w:rsidRPr="00C47C36">
        <w:rPr>
          <w:rFonts w:ascii="Cambria" w:hAnsi="Cambria"/>
          <w:color w:val="000000" w:themeColor="text1"/>
          <w:bdr w:val="none" w:sz="0" w:space="0" w:color="auto" w:frame="1"/>
        </w:rPr>
        <w:t xml:space="preserve"> Tasmanian Drug Strategy is unable to adopt a decriminalisation model we strongly recommend that</w:t>
      </w:r>
      <w:r w:rsidR="00824CCE" w:rsidRPr="00C47C36">
        <w:rPr>
          <w:rFonts w:ascii="Cambria" w:hAnsi="Cambria"/>
          <w:color w:val="000000" w:themeColor="text1"/>
          <w:bdr w:val="none" w:sz="0" w:space="0" w:color="auto" w:frame="1"/>
        </w:rPr>
        <w:t xml:space="preserve"> specific reviews are formalised, and </w:t>
      </w:r>
      <w:r w:rsidR="00F15481" w:rsidRPr="00C47C36">
        <w:rPr>
          <w:rFonts w:ascii="Cambria" w:hAnsi="Cambria"/>
          <w:color w:val="000000" w:themeColor="text1"/>
          <w:bdr w:val="none" w:sz="0" w:space="0" w:color="auto" w:frame="1"/>
        </w:rPr>
        <w:t xml:space="preserve">targets </w:t>
      </w:r>
      <w:r w:rsidR="000013A0" w:rsidRPr="00C47C36">
        <w:rPr>
          <w:rFonts w:ascii="Cambria" w:hAnsi="Cambria"/>
          <w:color w:val="000000" w:themeColor="text1"/>
          <w:bdr w:val="none" w:sz="0" w:space="0" w:color="auto" w:frame="1"/>
        </w:rPr>
        <w:t xml:space="preserve">are explicitly set out including significant increases in the number of Tasmanians able to access treatment. </w:t>
      </w:r>
    </w:p>
    <w:p w14:paraId="32E1E2DD" w14:textId="40ADCC8B" w:rsidR="0026512B" w:rsidRPr="00C47C36" w:rsidRDefault="0026512B" w:rsidP="0026512B">
      <w:pPr>
        <w:pStyle w:val="NoSpacing"/>
        <w:shd w:val="clear" w:color="auto" w:fill="FFFFFF"/>
        <w:jc w:val="both"/>
        <w:rPr>
          <w:rFonts w:ascii="Cambria" w:hAnsi="Cambria"/>
          <w:color w:val="000000" w:themeColor="text1"/>
          <w:bdr w:val="none" w:sz="0" w:space="0" w:color="auto" w:frame="1"/>
        </w:rPr>
      </w:pPr>
    </w:p>
    <w:p w14:paraId="0D9A3176" w14:textId="77777777" w:rsidR="001B7273" w:rsidRPr="00C47C36" w:rsidRDefault="001B7273" w:rsidP="0026512B">
      <w:pPr>
        <w:pStyle w:val="NoSpacing"/>
        <w:shd w:val="clear" w:color="auto" w:fill="FFFFFF"/>
        <w:jc w:val="both"/>
        <w:rPr>
          <w:rFonts w:ascii="Cambria" w:hAnsi="Cambria" w:cs="Arial"/>
          <w:color w:val="000000" w:themeColor="text1"/>
        </w:rPr>
      </w:pPr>
    </w:p>
    <w:p w14:paraId="047DAD92" w14:textId="77777777" w:rsidR="0026512B" w:rsidRPr="00C47C36" w:rsidRDefault="0026512B" w:rsidP="0026512B">
      <w:pPr>
        <w:rPr>
          <w:rFonts w:ascii="Cambria" w:hAnsi="Cambria"/>
          <w:color w:val="000000" w:themeColor="text1"/>
        </w:rPr>
      </w:pPr>
      <w:bookmarkStart w:id="0" w:name="OLE_LINK1"/>
      <w:r w:rsidRPr="00C47C36">
        <w:rPr>
          <w:rFonts w:ascii="Cambria" w:hAnsi="Cambria"/>
          <w:color w:val="000000" w:themeColor="text1"/>
        </w:rPr>
        <w:t>Yours faithfully,</w:t>
      </w:r>
    </w:p>
    <w:bookmarkEnd w:id="0"/>
    <w:p w14:paraId="647874DB" w14:textId="77777777" w:rsidR="0026512B" w:rsidRPr="00C47C36" w:rsidRDefault="0026512B" w:rsidP="0026512B">
      <w:pPr>
        <w:rPr>
          <w:rFonts w:ascii="Cambria" w:hAnsi="Cambria"/>
          <w:color w:val="000000" w:themeColor="text1"/>
        </w:rPr>
      </w:pPr>
    </w:p>
    <w:p w14:paraId="7C27E5F3" w14:textId="77777777" w:rsidR="0026512B" w:rsidRPr="00C47C36" w:rsidRDefault="0026512B" w:rsidP="0026512B">
      <w:pPr>
        <w:rPr>
          <w:rFonts w:ascii="Cambria" w:hAnsi="Cambria"/>
          <w:color w:val="000000" w:themeColor="text1"/>
        </w:rPr>
      </w:pPr>
    </w:p>
    <w:p w14:paraId="21AD86CD" w14:textId="77777777" w:rsidR="0026512B" w:rsidRPr="00C47C36" w:rsidRDefault="0026512B" w:rsidP="0026512B">
      <w:pPr>
        <w:rPr>
          <w:rFonts w:ascii="Cambria" w:hAnsi="Cambria"/>
          <w:color w:val="000000" w:themeColor="text1"/>
        </w:rPr>
      </w:pPr>
      <w:r w:rsidRPr="00C47C36">
        <w:rPr>
          <w:rFonts w:ascii="Cambria" w:hAnsi="Cambria"/>
          <w:color w:val="000000" w:themeColor="text1"/>
        </w:rPr>
        <w:t xml:space="preserve">Benedict </w:t>
      </w:r>
      <w:proofErr w:type="spellStart"/>
      <w:r w:rsidRPr="00C47C36">
        <w:rPr>
          <w:rFonts w:ascii="Cambria" w:hAnsi="Cambria"/>
          <w:color w:val="000000" w:themeColor="text1"/>
        </w:rPr>
        <w:t>Bartl</w:t>
      </w:r>
      <w:proofErr w:type="spellEnd"/>
    </w:p>
    <w:p w14:paraId="19193321" w14:textId="77777777" w:rsidR="0026512B" w:rsidRPr="00C47C36" w:rsidRDefault="0026512B" w:rsidP="0026512B">
      <w:pPr>
        <w:rPr>
          <w:rFonts w:ascii="Cambria" w:hAnsi="Cambria"/>
          <w:color w:val="000000" w:themeColor="text1"/>
        </w:rPr>
      </w:pPr>
      <w:r w:rsidRPr="00C47C36">
        <w:rPr>
          <w:rFonts w:ascii="Cambria" w:hAnsi="Cambria"/>
          <w:color w:val="000000" w:themeColor="text1"/>
        </w:rPr>
        <w:t>Policy Officer</w:t>
      </w:r>
    </w:p>
    <w:p w14:paraId="76CB257E" w14:textId="77777777" w:rsidR="0026512B" w:rsidRPr="00C47C36" w:rsidRDefault="0026512B" w:rsidP="0026512B">
      <w:pPr>
        <w:pBdr>
          <w:bottom w:val="single" w:sz="6" w:space="1" w:color="auto"/>
        </w:pBdr>
        <w:rPr>
          <w:rFonts w:ascii="Cambria" w:hAnsi="Cambria"/>
          <w:b/>
          <w:bCs/>
          <w:color w:val="000000" w:themeColor="text1"/>
        </w:rPr>
      </w:pPr>
      <w:r w:rsidRPr="00C47C36">
        <w:rPr>
          <w:rFonts w:ascii="Cambria" w:hAnsi="Cambria"/>
          <w:b/>
          <w:bCs/>
          <w:color w:val="000000" w:themeColor="text1"/>
        </w:rPr>
        <w:t>Community Legal Centres Tasmania</w:t>
      </w:r>
    </w:p>
    <w:p w14:paraId="6A6A4EED" w14:textId="77777777" w:rsidR="0026512B" w:rsidRPr="00C47C36" w:rsidRDefault="0026512B" w:rsidP="0026512B">
      <w:pPr>
        <w:rPr>
          <w:rFonts w:ascii="Cambria" w:hAnsi="Cambria"/>
          <w:color w:val="000000" w:themeColor="text1"/>
        </w:rPr>
      </w:pPr>
    </w:p>
    <w:p w14:paraId="1DBE3D37" w14:textId="6BE77B06" w:rsidR="00CB6F50" w:rsidRPr="00C47C36" w:rsidRDefault="00CB6F50" w:rsidP="00CB6F50">
      <w:pPr>
        <w:pStyle w:val="NoSpacing"/>
        <w:shd w:val="clear" w:color="auto" w:fill="FFFFFF"/>
        <w:jc w:val="both"/>
        <w:rPr>
          <w:rFonts w:ascii="Cambria" w:hAnsi="Cambria"/>
          <w:color w:val="000000" w:themeColor="text1"/>
          <w:bdr w:val="none" w:sz="0" w:space="0" w:color="auto" w:frame="1"/>
        </w:rPr>
      </w:pPr>
    </w:p>
    <w:p w14:paraId="66B74903" w14:textId="77777777" w:rsidR="00D71B76" w:rsidRPr="00C47C36" w:rsidRDefault="00D71B76" w:rsidP="00D71B76">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sectPr w:rsidR="00D71B76" w:rsidRPr="00C47C36"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503C" w14:textId="77777777" w:rsidR="00E33619" w:rsidRDefault="00E33619" w:rsidP="0026512B">
      <w:r>
        <w:separator/>
      </w:r>
    </w:p>
  </w:endnote>
  <w:endnote w:type="continuationSeparator" w:id="0">
    <w:p w14:paraId="6AE396B0" w14:textId="77777777" w:rsidR="00E33619" w:rsidRDefault="00E33619" w:rsidP="0026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108557"/>
      <w:docPartObj>
        <w:docPartGallery w:val="Page Numbers (Bottom of Page)"/>
        <w:docPartUnique/>
      </w:docPartObj>
    </w:sdtPr>
    <w:sdtEndPr>
      <w:rPr>
        <w:rStyle w:val="PageNumber"/>
      </w:rPr>
    </w:sdtEndPr>
    <w:sdtContent>
      <w:p w14:paraId="21D5ED61" w14:textId="77777777" w:rsidR="00B90B1A" w:rsidRDefault="00EB3048"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058CA" w14:textId="77777777" w:rsidR="00B90B1A" w:rsidRDefault="00E33619"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691377"/>
      <w:docPartObj>
        <w:docPartGallery w:val="Page Numbers (Bottom of Page)"/>
        <w:docPartUnique/>
      </w:docPartObj>
    </w:sdtPr>
    <w:sdtEndPr>
      <w:rPr>
        <w:rStyle w:val="PageNumber"/>
      </w:rPr>
    </w:sdtEndPr>
    <w:sdtContent>
      <w:p w14:paraId="642FEA13" w14:textId="77777777" w:rsidR="00B90B1A" w:rsidRDefault="00EB3048"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33B87D" w14:textId="77777777" w:rsidR="00B90B1A" w:rsidRDefault="00E33619"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32DD" w14:textId="77777777" w:rsidR="00E33619" w:rsidRDefault="00E33619" w:rsidP="0026512B">
      <w:r>
        <w:separator/>
      </w:r>
    </w:p>
  </w:footnote>
  <w:footnote w:type="continuationSeparator" w:id="0">
    <w:p w14:paraId="0D2A185A" w14:textId="77777777" w:rsidR="00E33619" w:rsidRDefault="00E33619" w:rsidP="0026512B">
      <w:r>
        <w:continuationSeparator/>
      </w:r>
    </w:p>
  </w:footnote>
  <w:footnote w:id="1">
    <w:p w14:paraId="17B518E0" w14:textId="77777777" w:rsidR="0026512B" w:rsidRPr="004F24DE" w:rsidRDefault="0026512B" w:rsidP="0026512B">
      <w:pPr>
        <w:pStyle w:val="FootnoteText"/>
        <w:rPr>
          <w:rFonts w:ascii="Cambria" w:hAnsi="Cambria"/>
          <w:lang w:val="en-AU"/>
        </w:rPr>
      </w:pPr>
      <w:r w:rsidRPr="004F24DE">
        <w:rPr>
          <w:rStyle w:val="FootnoteReference"/>
          <w:rFonts w:ascii="Cambria" w:hAnsi="Cambria"/>
          <w:lang w:val="en-AU"/>
        </w:rPr>
        <w:footnoteRef/>
      </w:r>
      <w:r w:rsidRPr="004F24DE">
        <w:rPr>
          <w:rFonts w:ascii="Cambria" w:hAnsi="Cambria"/>
          <w:lang w:val="en-AU"/>
        </w:rPr>
        <w:t xml:space="preserve"> </w:t>
      </w:r>
      <w:r w:rsidRPr="004F24DE">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37F454E3" w14:textId="136F6BBB" w:rsidR="009706A7" w:rsidRPr="004F24DE" w:rsidRDefault="009706A7">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rPr>
        <w:t xml:space="preserve">Alison </w:t>
      </w:r>
      <w:r w:rsidRPr="004F24DE">
        <w:rPr>
          <w:rFonts w:ascii="Cambria" w:hAnsi="Cambria"/>
          <w:color w:val="000000"/>
          <w:sz w:val="20"/>
          <w:szCs w:val="20"/>
          <w:bdr w:val="none" w:sz="0" w:space="0" w:color="auto" w:frame="1"/>
          <w:shd w:val="clear" w:color="auto" w:fill="FFFFFF"/>
        </w:rPr>
        <w:t xml:space="preserve">Ritter, Ross McLeod and Marian Shanahan. </w:t>
      </w:r>
      <w:r w:rsidRPr="004F24DE">
        <w:rPr>
          <w:rFonts w:ascii="Cambria" w:hAnsi="Cambria"/>
          <w:i/>
          <w:iCs/>
          <w:color w:val="000000"/>
          <w:sz w:val="20"/>
          <w:szCs w:val="20"/>
          <w:bdr w:val="none" w:sz="0" w:space="0" w:color="auto" w:frame="1"/>
          <w:shd w:val="clear" w:color="auto" w:fill="FFFFFF"/>
        </w:rPr>
        <w:t>Monograph No. 24: Government drug policy expenditure in Australia – 2009/10</w:t>
      </w:r>
      <w:r w:rsidRPr="004F24DE">
        <w:rPr>
          <w:rFonts w:ascii="Cambria" w:hAnsi="Cambria"/>
          <w:color w:val="000000"/>
          <w:sz w:val="20"/>
          <w:szCs w:val="20"/>
          <w:bdr w:val="none" w:sz="0" w:space="0" w:color="auto" w:frame="1"/>
          <w:shd w:val="clear" w:color="auto" w:fill="FFFFFF"/>
        </w:rPr>
        <w:t xml:space="preserve"> (National Drug and Alcohol Research Centre: Sydney June 2013).</w:t>
      </w:r>
    </w:p>
  </w:footnote>
  <w:footnote w:id="3">
    <w:p w14:paraId="36BBB874" w14:textId="036D333B" w:rsidR="0070529A" w:rsidRPr="004F24DE" w:rsidRDefault="0070529A">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Australian Criminal Intelligence Commission, </w:t>
      </w:r>
      <w:r w:rsidRPr="004F24DE">
        <w:rPr>
          <w:rFonts w:ascii="Cambria" w:hAnsi="Cambria"/>
          <w:i/>
          <w:iCs/>
          <w:sz w:val="20"/>
          <w:szCs w:val="20"/>
          <w:lang w:val="en-AU"/>
        </w:rPr>
        <w:t>2019-20 Illicit Drug Data Report</w:t>
      </w:r>
      <w:r w:rsidRPr="004F24DE">
        <w:rPr>
          <w:rFonts w:ascii="Cambria" w:hAnsi="Cambria"/>
          <w:sz w:val="20"/>
          <w:szCs w:val="20"/>
          <w:lang w:val="en-AU"/>
        </w:rPr>
        <w:t xml:space="preserve"> at 1. As found at </w:t>
      </w:r>
      <w:hyperlink r:id="rId1" w:history="1">
        <w:r w:rsidRPr="004F24DE">
          <w:rPr>
            <w:rStyle w:val="Hyperlink"/>
            <w:rFonts w:ascii="Cambria" w:hAnsi="Cambria"/>
            <w:sz w:val="20"/>
            <w:szCs w:val="20"/>
            <w:lang w:val="en-AU"/>
          </w:rPr>
          <w:t>https://www.acic.gov.au/sites/default/files/2021-10/IDDR%202019-20_271021_Statistics.pdf</w:t>
        </w:r>
      </w:hyperlink>
      <w:r w:rsidRPr="004F24DE">
        <w:rPr>
          <w:rFonts w:ascii="Cambria" w:hAnsi="Cambria"/>
          <w:sz w:val="20"/>
          <w:szCs w:val="20"/>
          <w:lang w:val="en-AU"/>
        </w:rPr>
        <w:t xml:space="preserve"> (Accessed 21 June 2022).</w:t>
      </w:r>
    </w:p>
  </w:footnote>
  <w:footnote w:id="4">
    <w:p w14:paraId="02A5AB28" w14:textId="4C8C4C1C" w:rsidR="0070529A" w:rsidRPr="004F24DE" w:rsidRDefault="0070529A">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Australian Criminal Intelligence Commission, </w:t>
      </w:r>
      <w:r w:rsidRPr="004F24DE">
        <w:rPr>
          <w:rFonts w:ascii="Cambria" w:hAnsi="Cambria"/>
          <w:i/>
          <w:iCs/>
          <w:sz w:val="20"/>
          <w:szCs w:val="20"/>
          <w:lang w:val="en-AU"/>
        </w:rPr>
        <w:t>2019-20 Illicit Drug Data Report</w:t>
      </w:r>
      <w:r w:rsidRPr="004F24DE">
        <w:rPr>
          <w:rFonts w:ascii="Cambria" w:hAnsi="Cambria"/>
          <w:sz w:val="20"/>
          <w:szCs w:val="20"/>
          <w:lang w:val="en-AU"/>
        </w:rPr>
        <w:t xml:space="preserve"> at 2. As found at </w:t>
      </w:r>
      <w:hyperlink r:id="rId2" w:history="1">
        <w:r w:rsidRPr="004F24DE">
          <w:rPr>
            <w:rStyle w:val="Hyperlink"/>
            <w:rFonts w:ascii="Cambria" w:hAnsi="Cambria"/>
            <w:sz w:val="20"/>
            <w:szCs w:val="20"/>
            <w:lang w:val="en-AU"/>
          </w:rPr>
          <w:t>https://www.acic.gov.au/sites/default/files/2021-10/IDDR%202019-20_271021_Statistics.pdf</w:t>
        </w:r>
      </w:hyperlink>
      <w:r w:rsidRPr="004F24DE">
        <w:rPr>
          <w:rFonts w:ascii="Cambria" w:hAnsi="Cambria"/>
          <w:sz w:val="20"/>
          <w:szCs w:val="20"/>
          <w:lang w:val="en-AU"/>
        </w:rPr>
        <w:t xml:space="preserve"> (Accessed 21 June 2022).</w:t>
      </w:r>
    </w:p>
  </w:footnote>
  <w:footnote w:id="5">
    <w:p w14:paraId="7054DCCB" w14:textId="77777777" w:rsidR="00E6005C" w:rsidRPr="004F24DE" w:rsidRDefault="00E6005C" w:rsidP="00E6005C">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color w:val="000000" w:themeColor="text1"/>
          <w:sz w:val="20"/>
          <w:szCs w:val="20"/>
          <w:bdr w:val="none" w:sz="0" w:space="0" w:color="auto" w:frame="1"/>
        </w:rPr>
        <w:t xml:space="preserve">In 2020/21 there were 1047 adults charged with drug offences and 52 juveniles charged with drug offences in the Magistrates Court of Tasmania: </w:t>
      </w:r>
      <w:r w:rsidRPr="004F24DE">
        <w:rPr>
          <w:rFonts w:ascii="Cambria" w:hAnsi="Cambria"/>
          <w:i/>
          <w:iCs/>
          <w:color w:val="000000" w:themeColor="text1"/>
          <w:sz w:val="20"/>
          <w:szCs w:val="20"/>
          <w:bdr w:val="none" w:sz="0" w:space="0" w:color="auto" w:frame="1"/>
        </w:rPr>
        <w:t>Magistrates Court of Tasmania Annual Report 2020/21</w:t>
      </w:r>
      <w:r w:rsidRPr="004F24DE">
        <w:rPr>
          <w:rFonts w:ascii="Cambria" w:hAnsi="Cambria"/>
          <w:color w:val="000000" w:themeColor="text1"/>
          <w:sz w:val="20"/>
          <w:szCs w:val="20"/>
          <w:bdr w:val="none" w:sz="0" w:space="0" w:color="auto" w:frame="1"/>
        </w:rPr>
        <w:t xml:space="preserve"> at 42. As found at </w:t>
      </w:r>
      <w:hyperlink r:id="rId3" w:history="1">
        <w:r w:rsidRPr="004F24DE">
          <w:rPr>
            <w:rStyle w:val="Hyperlink"/>
            <w:rFonts w:ascii="Cambria" w:hAnsi="Cambria"/>
            <w:sz w:val="20"/>
            <w:szCs w:val="20"/>
            <w:bdr w:val="none" w:sz="0" w:space="0" w:color="auto" w:frame="1"/>
          </w:rPr>
          <w:t>https://www.magistratescourt.tas.gov.au/__data/assets/pdf_file/0010/640729/Magistrates-Court-Annual-Report-2020-to-2021.pdf</w:t>
        </w:r>
      </w:hyperlink>
      <w:r w:rsidRPr="004F24DE">
        <w:rPr>
          <w:rFonts w:ascii="Cambria" w:hAnsi="Cambria"/>
          <w:color w:val="000000" w:themeColor="text1"/>
          <w:sz w:val="20"/>
          <w:szCs w:val="20"/>
          <w:bdr w:val="none" w:sz="0" w:space="0" w:color="auto" w:frame="1"/>
        </w:rPr>
        <w:t xml:space="preserve"> (Accessed 21 June 2022).</w:t>
      </w:r>
      <w:r w:rsidRPr="004F24DE">
        <w:rPr>
          <w:rFonts w:ascii="Cambria" w:hAnsi="Cambria"/>
          <w:color w:val="000000" w:themeColor="text1"/>
          <w:bdr w:val="none" w:sz="0" w:space="0" w:color="auto" w:frame="1"/>
        </w:rPr>
        <w:t xml:space="preserve">     </w:t>
      </w:r>
    </w:p>
  </w:footnote>
  <w:footnote w:id="6">
    <w:p w14:paraId="50DAC005" w14:textId="3DF43E7A" w:rsidR="00E6005C" w:rsidRPr="004F24DE" w:rsidRDefault="00E6005C">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According to the Australian Crim</w:t>
      </w:r>
      <w:r w:rsidR="0070529A" w:rsidRPr="004F24DE">
        <w:rPr>
          <w:rFonts w:ascii="Cambria" w:hAnsi="Cambria"/>
          <w:sz w:val="20"/>
          <w:szCs w:val="20"/>
          <w:lang w:val="en-AU"/>
        </w:rPr>
        <w:t xml:space="preserve">inal Intelligence </w:t>
      </w:r>
      <w:r w:rsidRPr="004F24DE">
        <w:rPr>
          <w:rFonts w:ascii="Cambria" w:hAnsi="Cambria"/>
          <w:sz w:val="20"/>
          <w:szCs w:val="20"/>
          <w:lang w:val="en-AU"/>
        </w:rPr>
        <w:t xml:space="preserve">Commission there were 2576 consumers and 279 providers who were arrested in Tasmania during 2019/20: </w:t>
      </w:r>
      <w:r w:rsidR="0070529A" w:rsidRPr="004F24DE">
        <w:rPr>
          <w:rFonts w:ascii="Cambria" w:hAnsi="Cambria"/>
          <w:sz w:val="20"/>
          <w:szCs w:val="20"/>
          <w:lang w:val="en-AU"/>
        </w:rPr>
        <w:t>Australian Criminal Intelligence Commission</w:t>
      </w:r>
      <w:r w:rsidRPr="004F24DE">
        <w:rPr>
          <w:rFonts w:ascii="Cambria" w:hAnsi="Cambria"/>
          <w:sz w:val="20"/>
          <w:szCs w:val="20"/>
          <w:lang w:val="en-AU"/>
        </w:rPr>
        <w:t xml:space="preserve">, </w:t>
      </w:r>
      <w:r w:rsidRPr="004F24DE">
        <w:rPr>
          <w:rFonts w:ascii="Cambria" w:hAnsi="Cambria"/>
          <w:i/>
          <w:iCs/>
          <w:sz w:val="20"/>
          <w:szCs w:val="20"/>
          <w:lang w:val="en-AU"/>
        </w:rPr>
        <w:t>2019-20 Illicit Drug Data Report</w:t>
      </w:r>
      <w:r w:rsidRPr="004F24DE">
        <w:rPr>
          <w:rFonts w:ascii="Cambria" w:hAnsi="Cambria"/>
          <w:sz w:val="20"/>
          <w:szCs w:val="20"/>
          <w:lang w:val="en-AU"/>
        </w:rPr>
        <w:t xml:space="preserve">, Table 25. As found at </w:t>
      </w:r>
      <w:hyperlink r:id="rId4" w:history="1">
        <w:r w:rsidRPr="004F24DE">
          <w:rPr>
            <w:rStyle w:val="Hyperlink"/>
            <w:rFonts w:ascii="Cambria" w:hAnsi="Cambria"/>
            <w:sz w:val="20"/>
            <w:szCs w:val="20"/>
            <w:lang w:val="en-AU"/>
          </w:rPr>
          <w:t>https://www.acic.gov.au/sites/default/files/2021-10/IDDR%202019-20_271021_Statistics.pdf</w:t>
        </w:r>
      </w:hyperlink>
      <w:r w:rsidRPr="004F24DE">
        <w:rPr>
          <w:rFonts w:ascii="Cambria" w:hAnsi="Cambria"/>
          <w:sz w:val="20"/>
          <w:szCs w:val="20"/>
          <w:lang w:val="en-AU"/>
        </w:rPr>
        <w:t xml:space="preserve"> (Accessed 21 June 2022).</w:t>
      </w:r>
      <w:r w:rsidRPr="004F24DE">
        <w:rPr>
          <w:rFonts w:ascii="Cambria" w:hAnsi="Cambria"/>
          <w:lang w:val="en-AU"/>
        </w:rPr>
        <w:t xml:space="preserve">    </w:t>
      </w:r>
    </w:p>
  </w:footnote>
  <w:footnote w:id="7">
    <w:p w14:paraId="6A1E8A6D" w14:textId="1CCB5532" w:rsidR="00E6005C" w:rsidRPr="004F24DE" w:rsidRDefault="00E6005C">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i/>
          <w:iCs/>
          <w:sz w:val="20"/>
          <w:szCs w:val="20"/>
        </w:rPr>
        <w:t>The case for a Health focused response to drug use in Tasmania’s Legal System</w:t>
      </w:r>
      <w:r w:rsidRPr="004F24DE">
        <w:rPr>
          <w:rFonts w:ascii="Cambria" w:hAnsi="Cambria"/>
          <w:sz w:val="20"/>
          <w:szCs w:val="20"/>
        </w:rPr>
        <w:t xml:space="preserve"> </w:t>
      </w:r>
      <w:r w:rsidR="001B7273" w:rsidRPr="004F24DE">
        <w:rPr>
          <w:rFonts w:ascii="Cambria" w:hAnsi="Cambria"/>
          <w:sz w:val="20"/>
          <w:szCs w:val="20"/>
        </w:rPr>
        <w:t xml:space="preserve">(July 2017) </w:t>
      </w:r>
      <w:r w:rsidRPr="004F24DE">
        <w:rPr>
          <w:rFonts w:ascii="Cambria" w:hAnsi="Cambria"/>
          <w:sz w:val="20"/>
          <w:szCs w:val="20"/>
        </w:rPr>
        <w:t>at 10.</w:t>
      </w:r>
      <w:r w:rsidRPr="004F24DE">
        <w:rPr>
          <w:rFonts w:ascii="Cambria" w:hAnsi="Cambria"/>
        </w:rPr>
        <w:t xml:space="preserve"> </w:t>
      </w:r>
    </w:p>
  </w:footnote>
  <w:footnote w:id="8">
    <w:p w14:paraId="609B0897" w14:textId="18D21CF4" w:rsidR="007E3B54" w:rsidRPr="004F24DE" w:rsidRDefault="007E3B54">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Alison Ritter, Lynda Berends, Jenny Chalmers, Phil Hull, Kari Lancaster, Maria Gomez, </w:t>
      </w:r>
      <w:r w:rsidRPr="004F24DE">
        <w:rPr>
          <w:rFonts w:ascii="Cambria" w:hAnsi="Cambria"/>
          <w:i/>
          <w:iCs/>
          <w:sz w:val="20"/>
          <w:szCs w:val="20"/>
          <w:lang w:val="en-AU"/>
        </w:rPr>
        <w:t xml:space="preserve">New Horizons: The review of alcohol and other drug treatment services in Australia </w:t>
      </w:r>
      <w:r w:rsidRPr="004F24DE">
        <w:rPr>
          <w:rFonts w:ascii="Cambria" w:hAnsi="Cambria"/>
          <w:sz w:val="20"/>
          <w:szCs w:val="20"/>
          <w:lang w:val="en-AU"/>
        </w:rPr>
        <w:t>(Final Report: July 2014)</w:t>
      </w:r>
      <w:r w:rsidR="00924798" w:rsidRPr="004F24DE">
        <w:rPr>
          <w:rFonts w:ascii="Cambria" w:hAnsi="Cambria"/>
          <w:sz w:val="20"/>
          <w:szCs w:val="20"/>
          <w:lang w:val="en-AU"/>
        </w:rPr>
        <w:t xml:space="preserve"> at 13</w:t>
      </w:r>
      <w:r w:rsidRPr="004F24DE">
        <w:rPr>
          <w:rFonts w:ascii="Cambria" w:hAnsi="Cambria"/>
          <w:sz w:val="20"/>
          <w:szCs w:val="20"/>
          <w:lang w:val="en-AU"/>
        </w:rPr>
        <w:t xml:space="preserve">. As found at </w:t>
      </w:r>
      <w:hyperlink r:id="rId5" w:history="1">
        <w:r w:rsidRPr="004F24DE">
          <w:rPr>
            <w:rStyle w:val="Hyperlink"/>
            <w:rFonts w:ascii="Cambria" w:hAnsi="Cambria"/>
            <w:sz w:val="20"/>
            <w:szCs w:val="20"/>
            <w:lang w:val="en-AU"/>
          </w:rPr>
          <w:t>https://www.health.gov.au/sites/default/files/new-horizons-review-of-alcohol-and-other-drug-treatment-services_0.pdf</w:t>
        </w:r>
      </w:hyperlink>
      <w:r w:rsidRPr="004F24DE">
        <w:rPr>
          <w:rFonts w:ascii="Cambria" w:hAnsi="Cambria"/>
          <w:sz w:val="20"/>
          <w:szCs w:val="20"/>
          <w:lang w:val="en-AU"/>
        </w:rPr>
        <w:t xml:space="preserve"> (Accessed 21 June 2022).</w:t>
      </w:r>
      <w:r w:rsidRPr="004F24DE">
        <w:rPr>
          <w:rFonts w:ascii="Cambria" w:hAnsi="Cambria"/>
          <w:lang w:val="en-AU"/>
        </w:rPr>
        <w:t xml:space="preserve">  </w:t>
      </w:r>
    </w:p>
  </w:footnote>
  <w:footnote w:id="9">
    <w:p w14:paraId="359E8419" w14:textId="60F53547" w:rsidR="00924798" w:rsidRPr="004F24DE" w:rsidRDefault="00924798">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Alison Ritter, Lynda Berends, Jenny Chalmers, Phil Hull, Kari Lancaster, Maria Gomez, </w:t>
      </w:r>
      <w:r w:rsidRPr="004F24DE">
        <w:rPr>
          <w:rFonts w:ascii="Cambria" w:hAnsi="Cambria"/>
          <w:i/>
          <w:iCs/>
          <w:sz w:val="20"/>
          <w:szCs w:val="20"/>
          <w:lang w:val="en-AU"/>
        </w:rPr>
        <w:t xml:space="preserve">New Horizons: The review of alcohol and other drug treatment services in Australia </w:t>
      </w:r>
      <w:r w:rsidRPr="004F24DE">
        <w:rPr>
          <w:rFonts w:ascii="Cambria" w:hAnsi="Cambria"/>
          <w:sz w:val="20"/>
          <w:szCs w:val="20"/>
          <w:lang w:val="en-AU"/>
        </w:rPr>
        <w:t xml:space="preserve">(Final Report: July 2014) at 13. As found at </w:t>
      </w:r>
      <w:hyperlink r:id="rId6" w:history="1">
        <w:r w:rsidRPr="004F24DE">
          <w:rPr>
            <w:rStyle w:val="Hyperlink"/>
            <w:rFonts w:ascii="Cambria" w:hAnsi="Cambria"/>
            <w:sz w:val="20"/>
            <w:szCs w:val="20"/>
            <w:lang w:val="en-AU"/>
          </w:rPr>
          <w:t>https://www.health.gov.au/sites/default/files/new-horizons-review-of-alcohol-and-other-drug-treatment-services_0.pdf</w:t>
        </w:r>
      </w:hyperlink>
      <w:r w:rsidRPr="004F24DE">
        <w:rPr>
          <w:rFonts w:ascii="Cambria" w:hAnsi="Cambria"/>
          <w:sz w:val="20"/>
          <w:szCs w:val="20"/>
          <w:lang w:val="en-AU"/>
        </w:rPr>
        <w:t xml:space="preserve"> (Accessed 21 June 2022).</w:t>
      </w:r>
      <w:r w:rsidRPr="004F24DE">
        <w:rPr>
          <w:rFonts w:ascii="Cambria" w:hAnsi="Cambria"/>
          <w:lang w:val="en-AU"/>
        </w:rPr>
        <w:t xml:space="preserve">  </w:t>
      </w:r>
    </w:p>
  </w:footnote>
  <w:footnote w:id="10">
    <w:p w14:paraId="361AA7FB" w14:textId="6F71B5E2" w:rsidR="00CD6DE0" w:rsidRPr="004F24DE" w:rsidRDefault="00CD6DE0">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rPr>
        <w:t xml:space="preserve">Department of Health, </w:t>
      </w:r>
      <w:r w:rsidRPr="004F24DE">
        <w:rPr>
          <w:rFonts w:ascii="Cambria" w:hAnsi="Cambria"/>
          <w:i/>
          <w:iCs/>
          <w:color w:val="000000"/>
          <w:sz w:val="20"/>
          <w:szCs w:val="20"/>
          <w:bdr w:val="none" w:sz="0" w:space="0" w:color="auto" w:frame="1"/>
          <w:shd w:val="clear" w:color="auto" w:fill="FFFFFF"/>
        </w:rPr>
        <w:t xml:space="preserve">Reform Agenda for the Alcohol and Other Drugs Sector in Tasmania </w:t>
      </w:r>
      <w:r w:rsidRPr="004F24DE">
        <w:rPr>
          <w:rFonts w:ascii="Cambria" w:hAnsi="Cambria"/>
          <w:color w:val="000000"/>
          <w:sz w:val="20"/>
          <w:szCs w:val="20"/>
          <w:bdr w:val="none" w:sz="0" w:space="0" w:color="auto" w:frame="1"/>
          <w:shd w:val="clear" w:color="auto" w:fill="FFFFFF"/>
        </w:rPr>
        <w:t>(November 2020) at 11</w:t>
      </w:r>
      <w:r w:rsidR="003B5EA4" w:rsidRPr="004F24DE">
        <w:rPr>
          <w:rFonts w:ascii="Cambria" w:hAnsi="Cambria"/>
          <w:color w:val="000000"/>
          <w:sz w:val="20"/>
          <w:szCs w:val="20"/>
          <w:bdr w:val="none" w:sz="0" w:space="0" w:color="auto" w:frame="1"/>
          <w:shd w:val="clear" w:color="auto" w:fill="FFFFFF"/>
        </w:rPr>
        <w:t>-12</w:t>
      </w:r>
      <w:r w:rsidRPr="004F24DE">
        <w:rPr>
          <w:rFonts w:ascii="Cambria" w:hAnsi="Cambria"/>
          <w:color w:val="000000"/>
          <w:sz w:val="20"/>
          <w:szCs w:val="20"/>
          <w:bdr w:val="none" w:sz="0" w:space="0" w:color="auto" w:frame="1"/>
          <w:shd w:val="clear" w:color="auto" w:fill="FFFFFF"/>
        </w:rPr>
        <w:t>.</w:t>
      </w:r>
      <w:r w:rsidR="00103E5C" w:rsidRPr="004F24DE">
        <w:rPr>
          <w:rFonts w:ascii="Cambria" w:hAnsi="Cambria"/>
          <w:color w:val="000000"/>
          <w:sz w:val="20"/>
          <w:szCs w:val="20"/>
          <w:bdr w:val="none" w:sz="0" w:space="0" w:color="auto" w:frame="1"/>
          <w:shd w:val="clear" w:color="auto" w:fill="FFFFFF"/>
        </w:rPr>
        <w:t xml:space="preserve"> Also see Siggins Miller, ‘A single Tasmanian alcohol and other drugs (AD) service system framework’ (Final Report: August 2017) at 5.   </w:t>
      </w:r>
      <w:r w:rsidRPr="004F24DE">
        <w:rPr>
          <w:rFonts w:ascii="Cambria" w:hAnsi="Cambria"/>
          <w:i/>
          <w:iCs/>
          <w:color w:val="000000"/>
          <w:bdr w:val="none" w:sz="0" w:space="0" w:color="auto" w:frame="1"/>
          <w:shd w:val="clear" w:color="auto" w:fill="FFFFFF"/>
        </w:rPr>
        <w:t xml:space="preserve"> </w:t>
      </w:r>
    </w:p>
  </w:footnote>
  <w:footnote w:id="11">
    <w:p w14:paraId="11A86EE0" w14:textId="77777777" w:rsidR="00CB6F50" w:rsidRPr="004F24DE" w:rsidRDefault="00CB6F50" w:rsidP="00CB6F50">
      <w:pPr>
        <w:pStyle w:val="xmsonormal"/>
        <w:shd w:val="clear" w:color="auto" w:fill="FFFFFF"/>
        <w:spacing w:before="0" w:beforeAutospacing="0" w:after="0" w:afterAutospacing="0"/>
        <w:rPr>
          <w:rFonts w:ascii="Cambria" w:hAnsi="Cambria"/>
          <w:color w:val="000000"/>
        </w:rPr>
      </w:pPr>
      <w:r w:rsidRPr="004F24DE">
        <w:rPr>
          <w:rStyle w:val="FootnoteReference"/>
          <w:rFonts w:ascii="Cambria" w:hAnsi="Cambria"/>
        </w:rPr>
        <w:footnoteRef/>
      </w:r>
      <w:r w:rsidRPr="004F24DE">
        <w:rPr>
          <w:rFonts w:ascii="Cambria" w:hAnsi="Cambria"/>
        </w:rPr>
        <w:t xml:space="preserve"> </w:t>
      </w:r>
      <w:r w:rsidRPr="004F24DE">
        <w:rPr>
          <w:rFonts w:ascii="Cambria" w:hAnsi="Cambria"/>
          <w:color w:val="000000"/>
          <w:sz w:val="20"/>
          <w:szCs w:val="20"/>
          <w:bdr w:val="none" w:sz="0" w:space="0" w:color="auto" w:frame="1"/>
        </w:rPr>
        <w:t xml:space="preserve">Australian Institute of Criminology, </w:t>
      </w:r>
      <w:r w:rsidRPr="004F24DE">
        <w:rPr>
          <w:rFonts w:ascii="Cambria" w:hAnsi="Cambria"/>
          <w:i/>
          <w:iCs/>
          <w:color w:val="000000"/>
          <w:sz w:val="20"/>
          <w:szCs w:val="20"/>
          <w:bdr w:val="none" w:sz="0" w:space="0" w:color="auto" w:frame="1"/>
        </w:rPr>
        <w:t>Drug use among police detainees 2020</w:t>
      </w:r>
      <w:r w:rsidRPr="004F24DE">
        <w:rPr>
          <w:rFonts w:ascii="Cambria" w:hAnsi="Cambria"/>
          <w:color w:val="000000"/>
          <w:sz w:val="20"/>
          <w:szCs w:val="20"/>
          <w:bdr w:val="none" w:sz="0" w:space="0" w:color="auto" w:frame="1"/>
        </w:rPr>
        <w:t xml:space="preserve"> (AIC Statistical Report 35) at 2. As found at</w:t>
      </w:r>
      <w:r w:rsidRPr="004F24DE">
        <w:rPr>
          <w:rStyle w:val="xapple-converted-space"/>
          <w:rFonts w:ascii="Cambria" w:hAnsi="Cambria"/>
          <w:color w:val="000000"/>
          <w:sz w:val="20"/>
          <w:szCs w:val="20"/>
          <w:bdr w:val="none" w:sz="0" w:space="0" w:color="auto" w:frame="1"/>
        </w:rPr>
        <w:t> </w:t>
      </w:r>
      <w:hyperlink r:id="rId7" w:history="1">
        <w:r w:rsidRPr="004F24DE">
          <w:rPr>
            <w:rStyle w:val="Hyperlink"/>
            <w:rFonts w:ascii="Cambria" w:eastAsiaTheme="minorEastAsia" w:hAnsi="Cambria"/>
            <w:sz w:val="20"/>
            <w:szCs w:val="20"/>
            <w:bdr w:val="none" w:sz="0" w:space="0" w:color="auto" w:frame="1"/>
          </w:rPr>
          <w:t>https://www.aic.gov.au/sites/default/files/2021-06/sr35_drug_use_monitoring_in_australia-2020.pdf</w:t>
        </w:r>
      </w:hyperlink>
      <w:r w:rsidRPr="004F24DE">
        <w:rPr>
          <w:rStyle w:val="xapple-converted-space"/>
          <w:rFonts w:ascii="Cambria" w:hAnsi="Cambria"/>
          <w:color w:val="000000"/>
          <w:sz w:val="20"/>
          <w:szCs w:val="20"/>
          <w:bdr w:val="none" w:sz="0" w:space="0" w:color="auto" w:frame="1"/>
        </w:rPr>
        <w:t xml:space="preserve"> </w:t>
      </w:r>
      <w:r w:rsidRPr="004F24DE">
        <w:rPr>
          <w:rFonts w:ascii="Cambria" w:hAnsi="Cambria"/>
          <w:color w:val="000000"/>
          <w:sz w:val="20"/>
          <w:szCs w:val="20"/>
          <w:bdr w:val="none" w:sz="0" w:space="0" w:color="auto" w:frame="1"/>
        </w:rPr>
        <w:t>(Accessed 24 September 2021).</w:t>
      </w:r>
      <w:r w:rsidRPr="004F24DE">
        <w:rPr>
          <w:rStyle w:val="xapple-converted-space"/>
          <w:rFonts w:ascii="Cambria" w:hAnsi="Cambria"/>
          <w:color w:val="000000"/>
          <w:bdr w:val="none" w:sz="0" w:space="0" w:color="auto" w:frame="1"/>
        </w:rPr>
        <w:t> </w:t>
      </w:r>
      <w:r w:rsidRPr="004F24DE">
        <w:rPr>
          <w:rFonts w:ascii="Cambria" w:hAnsi="Cambria"/>
          <w:color w:val="000000"/>
          <w:bdr w:val="none" w:sz="0" w:space="0" w:color="auto" w:frame="1"/>
        </w:rPr>
        <w:t>   </w:t>
      </w:r>
    </w:p>
  </w:footnote>
  <w:footnote w:id="12">
    <w:p w14:paraId="05B23CF4" w14:textId="77777777" w:rsidR="00CB6F50" w:rsidRPr="004F24DE" w:rsidRDefault="00CB6F50" w:rsidP="00CB6F50">
      <w:pPr>
        <w:pStyle w:val="xmsonormal"/>
        <w:shd w:val="clear" w:color="auto" w:fill="FFFFFF"/>
        <w:spacing w:before="0" w:beforeAutospacing="0" w:after="0" w:afterAutospacing="0"/>
        <w:rPr>
          <w:rFonts w:ascii="Cambria" w:hAnsi="Cambria"/>
          <w:color w:val="000000"/>
          <w:bdr w:val="none" w:sz="0" w:space="0" w:color="auto" w:frame="1"/>
        </w:rPr>
      </w:pPr>
      <w:r w:rsidRPr="004F24DE">
        <w:rPr>
          <w:rStyle w:val="FootnoteReference"/>
          <w:rFonts w:ascii="Cambria" w:hAnsi="Cambria"/>
        </w:rPr>
        <w:footnoteRef/>
      </w:r>
      <w:r w:rsidRPr="004F24DE">
        <w:rPr>
          <w:rFonts w:ascii="Cambria" w:hAnsi="Cambria"/>
        </w:rPr>
        <w:t xml:space="preserve"> </w:t>
      </w:r>
      <w:r w:rsidRPr="004F24DE">
        <w:rPr>
          <w:rFonts w:ascii="Cambria" w:hAnsi="Cambria"/>
          <w:color w:val="000000"/>
          <w:sz w:val="20"/>
          <w:szCs w:val="20"/>
          <w:bdr w:val="none" w:sz="0" w:space="0" w:color="auto" w:frame="1"/>
        </w:rPr>
        <w:t xml:space="preserve">Sentencing Advisory Council, </w:t>
      </w:r>
      <w:r w:rsidRPr="004F24DE">
        <w:rPr>
          <w:rFonts w:ascii="Cambria" w:hAnsi="Cambria"/>
          <w:i/>
          <w:iCs/>
          <w:color w:val="000000"/>
          <w:sz w:val="20"/>
          <w:szCs w:val="20"/>
          <w:bdr w:val="none" w:sz="0" w:space="0" w:color="auto" w:frame="1"/>
        </w:rPr>
        <w:t>Mandatory Treatment for Alcohol and Drug Affected Offenders</w:t>
      </w:r>
      <w:r w:rsidRPr="004F24DE">
        <w:rPr>
          <w:rFonts w:ascii="Cambria" w:hAnsi="Cambria"/>
          <w:color w:val="000000"/>
          <w:sz w:val="20"/>
          <w:szCs w:val="20"/>
          <w:bdr w:val="none" w:sz="0" w:space="0" w:color="auto" w:frame="1"/>
        </w:rPr>
        <w:t xml:space="preserve"> (Research Paper No. 2: September 2017) at 20. As found at</w:t>
      </w:r>
      <w:r w:rsidRPr="004F24DE">
        <w:rPr>
          <w:rStyle w:val="xapple-converted-space"/>
          <w:rFonts w:ascii="Cambria" w:hAnsi="Cambria"/>
          <w:color w:val="000000"/>
          <w:sz w:val="20"/>
          <w:szCs w:val="20"/>
          <w:bdr w:val="none" w:sz="0" w:space="0" w:color="auto" w:frame="1"/>
        </w:rPr>
        <w:t xml:space="preserve"> </w:t>
      </w:r>
      <w:hyperlink r:id="rId8" w:history="1">
        <w:r w:rsidRPr="004F24DE">
          <w:rPr>
            <w:rStyle w:val="Hyperlink"/>
            <w:rFonts w:ascii="Cambria" w:eastAsiaTheme="minorEastAsia" w:hAnsi="Cambria"/>
            <w:sz w:val="20"/>
            <w:szCs w:val="20"/>
            <w:bdr w:val="none" w:sz="0" w:space="0" w:color="auto" w:frame="1"/>
          </w:rPr>
          <w:t>https://www.sentencingcouncil.tas.gov.au/__data/assets/pdf_file/0016/400147/SAC-Research-Paper-No.-2-Mandatory-treatment-for-alcohol-and-drug-affected-offenders.pdf</w:t>
        </w:r>
      </w:hyperlink>
      <w:r w:rsidRPr="004F24DE">
        <w:rPr>
          <w:rFonts w:ascii="Cambria" w:hAnsi="Cambria"/>
          <w:color w:val="000000"/>
          <w:sz w:val="20"/>
          <w:szCs w:val="20"/>
          <w:bdr w:val="none" w:sz="0" w:space="0" w:color="auto" w:frame="1"/>
        </w:rPr>
        <w:t xml:space="preserve"> (Accessed 24 September 2021).</w:t>
      </w:r>
      <w:r w:rsidRPr="004F24DE">
        <w:rPr>
          <w:rStyle w:val="xapple-converted-space"/>
          <w:rFonts w:ascii="Cambria" w:hAnsi="Cambria"/>
          <w:color w:val="000000"/>
          <w:sz w:val="20"/>
          <w:szCs w:val="20"/>
          <w:bdr w:val="none" w:sz="0" w:space="0" w:color="auto" w:frame="1"/>
        </w:rPr>
        <w:t> </w:t>
      </w:r>
      <w:r w:rsidRPr="004F24DE">
        <w:rPr>
          <w:rFonts w:ascii="Cambria" w:hAnsi="Cambria"/>
          <w:b/>
          <w:bCs/>
          <w:color w:val="000000"/>
          <w:sz w:val="20"/>
          <w:szCs w:val="20"/>
          <w:bdr w:val="none" w:sz="0" w:space="0" w:color="auto" w:frame="1"/>
        </w:rPr>
        <w:t> </w:t>
      </w:r>
    </w:p>
  </w:footnote>
  <w:footnote w:id="13">
    <w:p w14:paraId="21D90B40" w14:textId="77777777" w:rsidR="00CB6F50" w:rsidRPr="004F24DE" w:rsidRDefault="00CB6F50" w:rsidP="00CB6F50">
      <w:pPr>
        <w:pStyle w:val="FootnoteText"/>
        <w:rPr>
          <w:rFonts w:ascii="Cambria" w:hAnsi="Cambria"/>
        </w:rPr>
      </w:pPr>
      <w:r w:rsidRPr="004F24DE">
        <w:rPr>
          <w:rStyle w:val="FootnoteReference"/>
          <w:rFonts w:ascii="Cambria" w:hAnsi="Cambria"/>
        </w:rPr>
        <w:footnoteRef/>
      </w:r>
      <w:r w:rsidRPr="004F24DE">
        <w:rPr>
          <w:rFonts w:ascii="Cambria" w:hAnsi="Cambria"/>
        </w:rPr>
        <w:t xml:space="preserve"> </w:t>
      </w:r>
      <w:r w:rsidRPr="004F24DE">
        <w:rPr>
          <w:rFonts w:ascii="Cambria" w:hAnsi="Cambria"/>
          <w:color w:val="000000"/>
          <w:sz w:val="20"/>
          <w:szCs w:val="20"/>
          <w:bdr w:val="none" w:sz="0" w:space="0" w:color="auto" w:frame="1"/>
        </w:rPr>
        <w:t>Custodial Inspector of Tasmania,</w:t>
      </w:r>
      <w:r w:rsidRPr="004F24DE">
        <w:rPr>
          <w:rStyle w:val="xapple-converted-space"/>
          <w:rFonts w:ascii="Cambria" w:hAnsi="Cambria"/>
          <w:color w:val="000000"/>
          <w:sz w:val="20"/>
          <w:szCs w:val="20"/>
          <w:bdr w:val="none" w:sz="0" w:space="0" w:color="auto" w:frame="1"/>
        </w:rPr>
        <w:t> </w:t>
      </w:r>
      <w:r w:rsidRPr="004F24DE">
        <w:rPr>
          <w:rFonts w:ascii="Cambria" w:hAnsi="Cambria"/>
          <w:i/>
          <w:iCs/>
          <w:color w:val="000000"/>
          <w:sz w:val="20"/>
          <w:szCs w:val="20"/>
          <w:bdr w:val="none" w:sz="0" w:space="0" w:color="auto" w:frame="1"/>
        </w:rPr>
        <w:t>Inspection of Adult Custodial Services in Tasmania 2017 - Care and Wellbeing Inspection Report</w:t>
      </w:r>
      <w:r w:rsidRPr="004F24DE">
        <w:rPr>
          <w:rStyle w:val="xapple-converted-space"/>
          <w:rFonts w:ascii="Cambria" w:hAnsi="Cambria"/>
          <w:color w:val="000000"/>
          <w:sz w:val="20"/>
          <w:szCs w:val="20"/>
          <w:bdr w:val="none" w:sz="0" w:space="0" w:color="auto" w:frame="1"/>
        </w:rPr>
        <w:t> </w:t>
      </w:r>
      <w:r w:rsidRPr="004F24DE">
        <w:rPr>
          <w:rFonts w:ascii="Cambria" w:hAnsi="Cambria"/>
          <w:color w:val="000000"/>
          <w:sz w:val="20"/>
          <w:szCs w:val="20"/>
          <w:bdr w:val="none" w:sz="0" w:space="0" w:color="auto" w:frame="1"/>
        </w:rPr>
        <w:t>(October 2018) at 106.</w:t>
      </w:r>
      <w:r w:rsidRPr="004F24DE">
        <w:rPr>
          <w:rFonts w:ascii="Cambria" w:hAnsi="Cambria"/>
          <w:color w:val="000000"/>
          <w:bdr w:val="none" w:sz="0" w:space="0" w:color="auto" w:frame="1"/>
        </w:rPr>
        <w:t> </w:t>
      </w:r>
    </w:p>
  </w:footnote>
  <w:footnote w:id="14">
    <w:p w14:paraId="4C4D6AA7" w14:textId="77777777" w:rsidR="00B00E7F" w:rsidRPr="004F24DE" w:rsidRDefault="00B00E7F" w:rsidP="00B00E7F">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Justice Reform Initiative, </w:t>
      </w:r>
      <w:r w:rsidRPr="004F24DE">
        <w:rPr>
          <w:rFonts w:ascii="Cambria" w:hAnsi="Cambria"/>
          <w:i/>
          <w:iCs/>
          <w:sz w:val="20"/>
          <w:szCs w:val="20"/>
          <w:lang w:val="en-AU"/>
        </w:rPr>
        <w:t>Jailing is Failing</w:t>
      </w:r>
      <w:r w:rsidRPr="004F24DE">
        <w:rPr>
          <w:rFonts w:ascii="Cambria" w:hAnsi="Cambria"/>
          <w:sz w:val="20"/>
          <w:szCs w:val="20"/>
          <w:lang w:val="en-AU"/>
        </w:rPr>
        <w:t xml:space="preserve"> (April 2021) at 1. As found at </w:t>
      </w:r>
      <w:hyperlink r:id="rId9" w:history="1">
        <w:r w:rsidRPr="004F24DE">
          <w:rPr>
            <w:rStyle w:val="Hyperlink"/>
            <w:rFonts w:ascii="Cambria" w:hAnsi="Cambria"/>
            <w:sz w:val="20"/>
            <w:szCs w:val="20"/>
            <w:lang w:val="en-AU"/>
          </w:rPr>
          <w:t>https://d3n8a8pro7vhmx.cloudfront.net/justicereforminitiative/pages/249/attachments/original/1619164039/JRI_Tasmania_report_FINAL.pdf?1619164039</w:t>
        </w:r>
      </w:hyperlink>
      <w:r w:rsidRPr="004F24DE">
        <w:rPr>
          <w:rFonts w:ascii="Cambria" w:hAnsi="Cambria"/>
          <w:sz w:val="20"/>
          <w:szCs w:val="20"/>
          <w:lang w:val="en-AU"/>
        </w:rPr>
        <w:t xml:space="preserve"> (Accessed 27 June 2022).</w:t>
      </w:r>
      <w:r w:rsidRPr="004F24DE">
        <w:rPr>
          <w:rFonts w:ascii="Cambria" w:hAnsi="Cambria"/>
          <w:lang w:val="en-AU"/>
        </w:rPr>
        <w:t xml:space="preserve">   </w:t>
      </w:r>
    </w:p>
  </w:footnote>
  <w:footnote w:id="15">
    <w:p w14:paraId="15371799" w14:textId="7C46DCE3" w:rsidR="004D42ED" w:rsidRPr="004F24DE" w:rsidRDefault="004D42ED">
      <w:pPr>
        <w:pStyle w:val="FootnoteText"/>
        <w:rPr>
          <w:rFonts w:ascii="Cambria" w:hAnsi="Cambria"/>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sz w:val="20"/>
          <w:szCs w:val="20"/>
          <w:lang w:val="en-AU"/>
        </w:rPr>
        <w:t xml:space="preserve">C Hughes and A Stevens, ‘What we can learn from the Portuguese decriminalisation of illicit drugs?’ (2010) 50 </w:t>
      </w:r>
      <w:r w:rsidRPr="004F24DE">
        <w:rPr>
          <w:rFonts w:ascii="Cambria" w:hAnsi="Cambria"/>
          <w:i/>
          <w:iCs/>
          <w:sz w:val="20"/>
          <w:szCs w:val="20"/>
          <w:lang w:val="en-AU"/>
        </w:rPr>
        <w:t>British Journal of Criminology</w:t>
      </w:r>
      <w:r w:rsidRPr="004F24DE">
        <w:rPr>
          <w:rFonts w:ascii="Cambria" w:hAnsi="Cambria"/>
          <w:sz w:val="20"/>
          <w:szCs w:val="20"/>
          <w:lang w:val="en-AU"/>
        </w:rPr>
        <w:t xml:space="preserve"> 999.</w:t>
      </w:r>
      <w:r w:rsidRPr="004F24DE">
        <w:rPr>
          <w:rFonts w:ascii="Cambria" w:hAnsi="Cambria"/>
          <w:lang w:val="en-AU"/>
        </w:rPr>
        <w:t xml:space="preserve"> </w:t>
      </w:r>
    </w:p>
  </w:footnote>
  <w:footnote w:id="16">
    <w:p w14:paraId="437623CC" w14:textId="66278580" w:rsidR="00D8105E" w:rsidRPr="00D8105E" w:rsidRDefault="00D8105E">
      <w:pPr>
        <w:pStyle w:val="FootnoteText"/>
        <w:rPr>
          <w:lang w:val="en-AU"/>
        </w:rPr>
      </w:pPr>
      <w:r w:rsidRPr="004F24DE">
        <w:rPr>
          <w:rStyle w:val="FootnoteReference"/>
          <w:rFonts w:ascii="Cambria" w:hAnsi="Cambria"/>
        </w:rPr>
        <w:footnoteRef/>
      </w:r>
      <w:r w:rsidRPr="004F24DE">
        <w:rPr>
          <w:rFonts w:ascii="Cambria" w:hAnsi="Cambria"/>
        </w:rPr>
        <w:t xml:space="preserve"> </w:t>
      </w:r>
      <w:r w:rsidRPr="004F24DE">
        <w:rPr>
          <w:rFonts w:ascii="Cambria" w:hAnsi="Cambria"/>
          <w:i/>
          <w:iCs/>
          <w:sz w:val="20"/>
          <w:szCs w:val="20"/>
        </w:rPr>
        <w:t>The case for a Health focused response to drug use in Tasmania’s Legal System</w:t>
      </w:r>
      <w:r w:rsidRPr="004F24DE">
        <w:rPr>
          <w:rFonts w:ascii="Cambria" w:hAnsi="Cambria"/>
          <w:sz w:val="20"/>
          <w:szCs w:val="20"/>
        </w:rPr>
        <w:t xml:space="preserve"> at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452"/>
    <w:multiLevelType w:val="hybridMultilevel"/>
    <w:tmpl w:val="2820DC02"/>
    <w:lvl w:ilvl="0" w:tplc="22E063AC">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693"/>
    <w:multiLevelType w:val="hybridMultilevel"/>
    <w:tmpl w:val="E402A0DC"/>
    <w:lvl w:ilvl="0" w:tplc="685038C8">
      <w:start w:val="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D5CDA"/>
    <w:multiLevelType w:val="hybridMultilevel"/>
    <w:tmpl w:val="D02A68AC"/>
    <w:lvl w:ilvl="0" w:tplc="B936C584">
      <w:start w:val="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35260"/>
    <w:multiLevelType w:val="multilevel"/>
    <w:tmpl w:val="6F0805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D0BBA"/>
    <w:multiLevelType w:val="multilevel"/>
    <w:tmpl w:val="128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82425"/>
    <w:multiLevelType w:val="hybridMultilevel"/>
    <w:tmpl w:val="A7A03B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B76AD"/>
    <w:multiLevelType w:val="multilevel"/>
    <w:tmpl w:val="6F0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6A1939"/>
    <w:multiLevelType w:val="hybridMultilevel"/>
    <w:tmpl w:val="1F82468E"/>
    <w:lvl w:ilvl="0" w:tplc="23E8F246">
      <w:start w:val="24"/>
      <w:numFmt w:val="bullet"/>
      <w:lvlText w:val="-"/>
      <w:lvlJc w:val="left"/>
      <w:pPr>
        <w:ind w:left="720" w:hanging="360"/>
      </w:pPr>
      <w:rPr>
        <w:rFonts w:ascii="Cambria" w:eastAsia="Times New Roman" w:hAnsi="Cambri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468BE"/>
    <w:multiLevelType w:val="multilevel"/>
    <w:tmpl w:val="FDD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2125F7"/>
    <w:multiLevelType w:val="hybridMultilevel"/>
    <w:tmpl w:val="E5662F88"/>
    <w:lvl w:ilvl="0" w:tplc="88687E32">
      <w:start w:val="2019"/>
      <w:numFmt w:val="bullet"/>
      <w:lvlText w:val=""/>
      <w:lvlJc w:val="left"/>
      <w:pPr>
        <w:ind w:left="720" w:hanging="360"/>
      </w:pPr>
      <w:rPr>
        <w:rFonts w:ascii="Symbol" w:eastAsiaTheme="minorHAnsi" w:hAnsi="Symbol"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021D20"/>
    <w:multiLevelType w:val="hybridMultilevel"/>
    <w:tmpl w:val="ACE8B95E"/>
    <w:lvl w:ilvl="0" w:tplc="FC4ED896">
      <w:start w:val="2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6354C"/>
    <w:multiLevelType w:val="hybridMultilevel"/>
    <w:tmpl w:val="A828A726"/>
    <w:lvl w:ilvl="0" w:tplc="08090003">
      <w:start w:val="1"/>
      <w:numFmt w:val="bullet"/>
      <w:lvlText w:val="o"/>
      <w:lvlJc w:val="left"/>
      <w:pPr>
        <w:ind w:left="829" w:hanging="360"/>
      </w:pPr>
      <w:rPr>
        <w:rFonts w:ascii="Courier New" w:hAnsi="Courier New" w:cs="Courier New"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2" w15:restartNumberingAfterBreak="0">
    <w:nsid w:val="59682861"/>
    <w:multiLevelType w:val="hybridMultilevel"/>
    <w:tmpl w:val="6CA6B732"/>
    <w:lvl w:ilvl="0" w:tplc="B428D142">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26577"/>
    <w:multiLevelType w:val="multilevel"/>
    <w:tmpl w:val="A6C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A782A"/>
    <w:multiLevelType w:val="multilevel"/>
    <w:tmpl w:val="749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27DB4"/>
    <w:multiLevelType w:val="multilevel"/>
    <w:tmpl w:val="69B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305397">
    <w:abstractNumId w:val="9"/>
  </w:num>
  <w:num w:numId="2" w16cid:durableId="1965500025">
    <w:abstractNumId w:val="4"/>
  </w:num>
  <w:num w:numId="3" w16cid:durableId="1799714610">
    <w:abstractNumId w:val="3"/>
  </w:num>
  <w:num w:numId="4" w16cid:durableId="2067146717">
    <w:abstractNumId w:val="8"/>
  </w:num>
  <w:num w:numId="5" w16cid:durableId="1655449427">
    <w:abstractNumId w:val="13"/>
  </w:num>
  <w:num w:numId="6" w16cid:durableId="2111849638">
    <w:abstractNumId w:val="15"/>
  </w:num>
  <w:num w:numId="7" w16cid:durableId="1887253816">
    <w:abstractNumId w:val="6"/>
  </w:num>
  <w:num w:numId="8" w16cid:durableId="1947927481">
    <w:abstractNumId w:val="11"/>
  </w:num>
  <w:num w:numId="9" w16cid:durableId="1485899419">
    <w:abstractNumId w:val="1"/>
  </w:num>
  <w:num w:numId="10" w16cid:durableId="707028223">
    <w:abstractNumId w:val="2"/>
  </w:num>
  <w:num w:numId="11" w16cid:durableId="429860058">
    <w:abstractNumId w:val="0"/>
  </w:num>
  <w:num w:numId="12" w16cid:durableId="1788115466">
    <w:abstractNumId w:val="12"/>
  </w:num>
  <w:num w:numId="13" w16cid:durableId="1282764571">
    <w:abstractNumId w:val="7"/>
  </w:num>
  <w:num w:numId="14" w16cid:durableId="1030182476">
    <w:abstractNumId w:val="10"/>
  </w:num>
  <w:num w:numId="15" w16cid:durableId="67534092">
    <w:abstractNumId w:val="14"/>
  </w:num>
  <w:num w:numId="16" w16cid:durableId="195909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2B"/>
    <w:rsid w:val="000013A0"/>
    <w:rsid w:val="00024572"/>
    <w:rsid w:val="000B4E13"/>
    <w:rsid w:val="00103E5C"/>
    <w:rsid w:val="00111BCF"/>
    <w:rsid w:val="00147103"/>
    <w:rsid w:val="001557EF"/>
    <w:rsid w:val="001B7273"/>
    <w:rsid w:val="001D7507"/>
    <w:rsid w:val="00215FCE"/>
    <w:rsid w:val="0026512B"/>
    <w:rsid w:val="00334EFC"/>
    <w:rsid w:val="003434E8"/>
    <w:rsid w:val="003B5EA4"/>
    <w:rsid w:val="00440A81"/>
    <w:rsid w:val="004D42ED"/>
    <w:rsid w:val="004E4F7C"/>
    <w:rsid w:val="004F24DE"/>
    <w:rsid w:val="00501D0C"/>
    <w:rsid w:val="005547B4"/>
    <w:rsid w:val="0070529A"/>
    <w:rsid w:val="00770A55"/>
    <w:rsid w:val="00774573"/>
    <w:rsid w:val="007E3B54"/>
    <w:rsid w:val="00824CCE"/>
    <w:rsid w:val="00924798"/>
    <w:rsid w:val="009706A7"/>
    <w:rsid w:val="009B0E0F"/>
    <w:rsid w:val="00AF76D2"/>
    <w:rsid w:val="00B00E7F"/>
    <w:rsid w:val="00B12429"/>
    <w:rsid w:val="00B81750"/>
    <w:rsid w:val="00C47C36"/>
    <w:rsid w:val="00CB274D"/>
    <w:rsid w:val="00CB4F69"/>
    <w:rsid w:val="00CB6F50"/>
    <w:rsid w:val="00CD6DE0"/>
    <w:rsid w:val="00D71B76"/>
    <w:rsid w:val="00D8105E"/>
    <w:rsid w:val="00E33619"/>
    <w:rsid w:val="00E347CE"/>
    <w:rsid w:val="00E6005C"/>
    <w:rsid w:val="00EB3048"/>
    <w:rsid w:val="00EC7FD1"/>
    <w:rsid w:val="00F15481"/>
    <w:rsid w:val="00FD5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6220"/>
  <w15:chartTrackingRefBased/>
  <w15:docId w15:val="{FAC952B8-CB35-9745-B5DF-75D0C98D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A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2B"/>
    <w:rPr>
      <w:color w:val="0563C1" w:themeColor="hyperlink"/>
      <w:u w:val="single"/>
    </w:rPr>
  </w:style>
  <w:style w:type="table" w:styleId="TableGrid">
    <w:name w:val="Table Grid"/>
    <w:basedOn w:val="TableNormal"/>
    <w:uiPriority w:val="39"/>
    <w:rsid w:val="0026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nhideWhenUsed/>
    <w:rsid w:val="0026512B"/>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26512B"/>
    <w:rPr>
      <w:rFonts w:eastAsiaTheme="minorEastAsia"/>
      <w:lang w:val="en-US"/>
    </w:rPr>
  </w:style>
  <w:style w:type="character" w:styleId="FootnoteReference">
    <w:name w:val="footnote reference"/>
    <w:aliases w:val="Ref,de nota al pie"/>
    <w:basedOn w:val="DefaultParagraphFont"/>
    <w:unhideWhenUsed/>
    <w:qFormat/>
    <w:rsid w:val="0026512B"/>
    <w:rPr>
      <w:vertAlign w:val="superscript"/>
    </w:rPr>
  </w:style>
  <w:style w:type="paragraph" w:styleId="NoSpacing">
    <w:name w:val="No Spacing"/>
    <w:uiPriority w:val="1"/>
    <w:qFormat/>
    <w:rsid w:val="0026512B"/>
    <w:rPr>
      <w:rFonts w:ascii="Times New Roman" w:eastAsia="Times New Roman" w:hAnsi="Times New Roman" w:cs="Times New Roman"/>
      <w:lang w:eastAsia="en-GB"/>
    </w:rPr>
  </w:style>
  <w:style w:type="paragraph" w:styleId="Footer">
    <w:name w:val="footer"/>
    <w:basedOn w:val="Normal"/>
    <w:link w:val="FooterChar"/>
    <w:uiPriority w:val="99"/>
    <w:unhideWhenUsed/>
    <w:rsid w:val="0026512B"/>
    <w:pPr>
      <w:tabs>
        <w:tab w:val="center" w:pos="4513"/>
        <w:tab w:val="right" w:pos="9026"/>
      </w:tabs>
    </w:pPr>
  </w:style>
  <w:style w:type="character" w:customStyle="1" w:styleId="FooterChar">
    <w:name w:val="Footer Char"/>
    <w:basedOn w:val="DefaultParagraphFont"/>
    <w:link w:val="Footer"/>
    <w:uiPriority w:val="99"/>
    <w:rsid w:val="0026512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6512B"/>
  </w:style>
  <w:style w:type="paragraph" w:customStyle="1" w:styleId="xmsonormal">
    <w:name w:val="x_msonormal"/>
    <w:basedOn w:val="Normal"/>
    <w:rsid w:val="0026512B"/>
    <w:pPr>
      <w:spacing w:before="100" w:beforeAutospacing="1" w:after="100" w:afterAutospacing="1"/>
    </w:pPr>
  </w:style>
  <w:style w:type="character" w:customStyle="1" w:styleId="xapple-converted-space">
    <w:name w:val="x_apple-converted-space"/>
    <w:basedOn w:val="DefaultParagraphFont"/>
    <w:rsid w:val="0026512B"/>
  </w:style>
  <w:style w:type="paragraph" w:styleId="ListParagraph">
    <w:name w:val="List Paragraph"/>
    <w:basedOn w:val="Normal"/>
    <w:uiPriority w:val="34"/>
    <w:qFormat/>
    <w:rsid w:val="0026512B"/>
    <w:pPr>
      <w:tabs>
        <w:tab w:val="left" w:pos="567"/>
        <w:tab w:val="left" w:pos="1134"/>
        <w:tab w:val="left" w:pos="1701"/>
      </w:tabs>
      <w:spacing w:after="140" w:line="300" w:lineRule="exact"/>
      <w:contextualSpacing/>
    </w:pPr>
    <w:rPr>
      <w:rFonts w:asciiTheme="minorHAnsi" w:eastAsiaTheme="minorHAnsi" w:hAnsiTheme="minorHAnsi" w:cs="Times New Roman (Body CS)"/>
      <w:sz w:val="22"/>
      <w:lang w:eastAsia="en-US"/>
    </w:rPr>
  </w:style>
  <w:style w:type="paragraph" w:styleId="NormalWeb">
    <w:name w:val="Normal (Web)"/>
    <w:basedOn w:val="Normal"/>
    <w:uiPriority w:val="99"/>
    <w:unhideWhenUsed/>
    <w:rsid w:val="0026512B"/>
    <w:pPr>
      <w:spacing w:before="100" w:beforeAutospacing="1" w:after="100" w:afterAutospacing="1"/>
    </w:pPr>
  </w:style>
  <w:style w:type="character" w:styleId="UnresolvedMention">
    <w:name w:val="Unresolved Mention"/>
    <w:basedOn w:val="DefaultParagraphFont"/>
    <w:uiPriority w:val="99"/>
    <w:semiHidden/>
    <w:unhideWhenUsed/>
    <w:rsid w:val="0026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35043">
      <w:bodyDiv w:val="1"/>
      <w:marLeft w:val="0"/>
      <w:marRight w:val="0"/>
      <w:marTop w:val="0"/>
      <w:marBottom w:val="0"/>
      <w:divBdr>
        <w:top w:val="none" w:sz="0" w:space="0" w:color="auto"/>
        <w:left w:val="none" w:sz="0" w:space="0" w:color="auto"/>
        <w:bottom w:val="none" w:sz="0" w:space="0" w:color="auto"/>
        <w:right w:val="none" w:sz="0" w:space="0" w:color="auto"/>
      </w:divBdr>
    </w:div>
    <w:div w:id="1472867093">
      <w:bodyDiv w:val="1"/>
      <w:marLeft w:val="0"/>
      <w:marRight w:val="0"/>
      <w:marTop w:val="0"/>
      <w:marBottom w:val="0"/>
      <w:divBdr>
        <w:top w:val="none" w:sz="0" w:space="0" w:color="auto"/>
        <w:left w:val="none" w:sz="0" w:space="0" w:color="auto"/>
        <w:bottom w:val="none" w:sz="0" w:space="0" w:color="auto"/>
        <w:right w:val="none" w:sz="0" w:space="0" w:color="auto"/>
      </w:divBdr>
    </w:div>
    <w:div w:id="1501964725">
      <w:bodyDiv w:val="1"/>
      <w:marLeft w:val="0"/>
      <w:marRight w:val="0"/>
      <w:marTop w:val="0"/>
      <w:marBottom w:val="0"/>
      <w:divBdr>
        <w:top w:val="none" w:sz="0" w:space="0" w:color="auto"/>
        <w:left w:val="none" w:sz="0" w:space="0" w:color="auto"/>
        <w:bottom w:val="none" w:sz="0" w:space="0" w:color="auto"/>
        <w:right w:val="none" w:sz="0" w:space="0" w:color="auto"/>
      </w:divBdr>
    </w:div>
    <w:div w:id="1588005479">
      <w:bodyDiv w:val="1"/>
      <w:marLeft w:val="0"/>
      <w:marRight w:val="0"/>
      <w:marTop w:val="0"/>
      <w:marBottom w:val="0"/>
      <w:divBdr>
        <w:top w:val="none" w:sz="0" w:space="0" w:color="auto"/>
        <w:left w:val="none" w:sz="0" w:space="0" w:color="auto"/>
        <w:bottom w:val="none" w:sz="0" w:space="0" w:color="auto"/>
        <w:right w:val="none" w:sz="0" w:space="0" w:color="auto"/>
      </w:divBdr>
    </w:div>
    <w:div w:id="1650866120">
      <w:bodyDiv w:val="1"/>
      <w:marLeft w:val="0"/>
      <w:marRight w:val="0"/>
      <w:marTop w:val="0"/>
      <w:marBottom w:val="0"/>
      <w:divBdr>
        <w:top w:val="none" w:sz="0" w:space="0" w:color="auto"/>
        <w:left w:val="none" w:sz="0" w:space="0" w:color="auto"/>
        <w:bottom w:val="none" w:sz="0" w:space="0" w:color="auto"/>
        <w:right w:val="none" w:sz="0" w:space="0" w:color="auto"/>
      </w:divBdr>
    </w:div>
    <w:div w:id="1715956765">
      <w:bodyDiv w:val="1"/>
      <w:marLeft w:val="0"/>
      <w:marRight w:val="0"/>
      <w:marTop w:val="0"/>
      <w:marBottom w:val="0"/>
      <w:divBdr>
        <w:top w:val="none" w:sz="0" w:space="0" w:color="auto"/>
        <w:left w:val="none" w:sz="0" w:space="0" w:color="auto"/>
        <w:bottom w:val="none" w:sz="0" w:space="0" w:color="auto"/>
        <w:right w:val="none" w:sz="0" w:space="0" w:color="auto"/>
      </w:divBdr>
    </w:div>
    <w:div w:id="1854417926">
      <w:bodyDiv w:val="1"/>
      <w:marLeft w:val="0"/>
      <w:marRight w:val="0"/>
      <w:marTop w:val="0"/>
      <w:marBottom w:val="0"/>
      <w:divBdr>
        <w:top w:val="none" w:sz="0" w:space="0" w:color="auto"/>
        <w:left w:val="none" w:sz="0" w:space="0" w:color="auto"/>
        <w:bottom w:val="none" w:sz="0" w:space="0" w:color="auto"/>
        <w:right w:val="none" w:sz="0" w:space="0" w:color="auto"/>
      </w:divBdr>
    </w:div>
    <w:div w:id="19385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dd@health.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ntencingcouncil.tas.gov.au/__data/assets/pdf_file/0016/400147/SAC-Research-Paper-No.-2-Mandatory-treatment-for-alcohol-and-drug-affected-offenders.pdf" TargetMode="External"/><Relationship Id="rId3" Type="http://schemas.openxmlformats.org/officeDocument/2006/relationships/hyperlink" Target="https://www.magistratescourt.tas.gov.au/__data/assets/pdf_file/0010/640729/Magistrates-Court-Annual-Report-2020-to-2021.pdf" TargetMode="External"/><Relationship Id="rId7" Type="http://schemas.openxmlformats.org/officeDocument/2006/relationships/hyperlink" Target="https://www.aic.gov.au/sites/default/files/2021-06/sr35_drug_use_monitoring_in_australia-2020.pdf" TargetMode="External"/><Relationship Id="rId2" Type="http://schemas.openxmlformats.org/officeDocument/2006/relationships/hyperlink" Target="https://www.acic.gov.au/sites/default/files/2021-10/IDDR%202019-20_271021_Statistics.pdf" TargetMode="External"/><Relationship Id="rId1" Type="http://schemas.openxmlformats.org/officeDocument/2006/relationships/hyperlink" Target="https://www.acic.gov.au/sites/default/files/2021-10/IDDR%202019-20_271021_Statistics.pdf" TargetMode="External"/><Relationship Id="rId6" Type="http://schemas.openxmlformats.org/officeDocument/2006/relationships/hyperlink" Target="https://www.health.gov.au/sites/default/files/new-horizons-review-of-alcohol-and-other-drug-treatment-services_0.pdf" TargetMode="External"/><Relationship Id="rId5" Type="http://schemas.openxmlformats.org/officeDocument/2006/relationships/hyperlink" Target="https://www.health.gov.au/sites/default/files/new-horizons-review-of-alcohol-and-other-drug-treatment-services_0.pdf" TargetMode="External"/><Relationship Id="rId4" Type="http://schemas.openxmlformats.org/officeDocument/2006/relationships/hyperlink" Target="https://www.acic.gov.au/sites/default/files/2021-10/IDDR%202019-20_271021_Statistics.pdf" TargetMode="External"/><Relationship Id="rId9" Type="http://schemas.openxmlformats.org/officeDocument/2006/relationships/hyperlink" Target="https://d3n8a8pro7vhmx.cloudfront.net/justicereforminitiative/pages/249/attachments/original/1619164039/JRI_Tasmania_report_FINAL.pdf?161916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2022-06-27T02:46:00Z</cp:lastPrinted>
  <dcterms:created xsi:type="dcterms:W3CDTF">2022-07-15T04:31:00Z</dcterms:created>
  <dcterms:modified xsi:type="dcterms:W3CDTF">2022-07-15T04:31:00Z</dcterms:modified>
</cp:coreProperties>
</file>