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091E2" w14:textId="77777777" w:rsidR="009536C2" w:rsidRPr="00187347" w:rsidRDefault="009536C2" w:rsidP="009536C2">
      <w:pPr>
        <w:jc w:val="center"/>
      </w:pPr>
      <w:r w:rsidRPr="00187347">
        <w:rPr>
          <w:rFonts w:asciiTheme="minorHAnsi" w:hAnsiTheme="minorHAnsi"/>
          <w:noProof/>
          <w:sz w:val="20"/>
          <w:szCs w:val="20"/>
        </w:rPr>
        <w:drawing>
          <wp:inline distT="0" distB="0" distL="0" distR="0" wp14:anchorId="74E62AF0" wp14:editId="3D0A1CEB">
            <wp:extent cx="3235960" cy="1099476"/>
            <wp:effectExtent l="0" t="0" r="0" b="0"/>
            <wp:docPr id="7"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263974D4" w14:textId="77777777" w:rsidR="009536C2" w:rsidRPr="002B14BC" w:rsidRDefault="009536C2" w:rsidP="003E7866">
      <w:pPr>
        <w:pStyle w:val="NoSpacing"/>
        <w:rPr>
          <w:rFonts w:ascii="Cambria" w:hAnsi="Cambria"/>
        </w:rPr>
      </w:pPr>
    </w:p>
    <w:p w14:paraId="0543A7CF" w14:textId="77777777" w:rsidR="009536C2" w:rsidRPr="002B14BC" w:rsidRDefault="009536C2" w:rsidP="003E7866">
      <w:pPr>
        <w:pStyle w:val="NoSpacing"/>
        <w:rPr>
          <w:rFonts w:ascii="Cambria" w:hAnsi="Cambria"/>
        </w:rPr>
      </w:pPr>
    </w:p>
    <w:p w14:paraId="0F896BEC" w14:textId="54651C5C" w:rsidR="009536C2" w:rsidRPr="002B14BC" w:rsidRDefault="009536C2" w:rsidP="003E7866">
      <w:pPr>
        <w:pStyle w:val="NoSpacing"/>
        <w:rPr>
          <w:rFonts w:ascii="Cambria" w:hAnsi="Cambria"/>
        </w:rPr>
      </w:pPr>
      <w:r w:rsidRPr="002B14BC">
        <w:rPr>
          <w:rFonts w:ascii="Cambria" w:hAnsi="Cambria"/>
        </w:rPr>
        <w:t>30 June 2022</w:t>
      </w:r>
    </w:p>
    <w:p w14:paraId="6A427545" w14:textId="77777777" w:rsidR="009536C2" w:rsidRPr="002B14BC" w:rsidRDefault="009536C2" w:rsidP="003E7866">
      <w:pPr>
        <w:pStyle w:val="NoSpacing"/>
        <w:rPr>
          <w:rFonts w:ascii="Cambria" w:hAnsi="Cambria" w:cs="Arial"/>
          <w:color w:val="000000" w:themeColor="text1"/>
          <w:spacing w:val="-5"/>
        </w:rPr>
      </w:pPr>
      <w:r w:rsidRPr="002B14BC">
        <w:rPr>
          <w:rFonts w:ascii="Cambria" w:hAnsi="Cambria" w:cs="Arial"/>
          <w:color w:val="000000" w:themeColor="text1"/>
          <w:spacing w:val="-5"/>
        </w:rPr>
        <w:br/>
        <w:t>Chief Executive Officer</w:t>
      </w:r>
    </w:p>
    <w:p w14:paraId="2D32F790" w14:textId="77777777" w:rsidR="009536C2" w:rsidRPr="002B14BC" w:rsidRDefault="009536C2" w:rsidP="003E7866">
      <w:pPr>
        <w:pStyle w:val="NoSpacing"/>
        <w:rPr>
          <w:rFonts w:ascii="Cambria" w:hAnsi="Cambria" w:cs="Arial"/>
          <w:color w:val="000000" w:themeColor="text1"/>
          <w:spacing w:val="-5"/>
        </w:rPr>
      </w:pPr>
      <w:r w:rsidRPr="002B14BC">
        <w:rPr>
          <w:rFonts w:ascii="Cambria" w:hAnsi="Cambria" w:cs="Arial"/>
          <w:color w:val="000000" w:themeColor="text1"/>
          <w:spacing w:val="-5"/>
        </w:rPr>
        <w:t>Integrity Commission Tasmania</w:t>
      </w:r>
    </w:p>
    <w:p w14:paraId="7121CBD1" w14:textId="77777777" w:rsidR="009536C2" w:rsidRPr="002B14BC" w:rsidRDefault="009536C2" w:rsidP="003E7866">
      <w:pPr>
        <w:pStyle w:val="NoSpacing"/>
        <w:rPr>
          <w:rFonts w:ascii="Cambria" w:hAnsi="Cambria" w:cs="Arial"/>
          <w:color w:val="000000" w:themeColor="text1"/>
          <w:spacing w:val="-5"/>
        </w:rPr>
      </w:pPr>
      <w:r w:rsidRPr="002B14BC">
        <w:rPr>
          <w:rFonts w:ascii="Cambria" w:hAnsi="Cambria" w:cs="Arial"/>
          <w:color w:val="000000" w:themeColor="text1"/>
          <w:spacing w:val="-5"/>
        </w:rPr>
        <w:t>GPO Box 822</w:t>
      </w:r>
    </w:p>
    <w:p w14:paraId="73D5D486" w14:textId="520429CE" w:rsidR="009536C2" w:rsidRPr="002B14BC" w:rsidRDefault="009536C2" w:rsidP="003E7866">
      <w:pPr>
        <w:pStyle w:val="NoSpacing"/>
        <w:rPr>
          <w:rFonts w:ascii="Cambria" w:hAnsi="Cambria" w:cs="Arial"/>
          <w:color w:val="000000" w:themeColor="text1"/>
          <w:spacing w:val="-5"/>
        </w:rPr>
      </w:pPr>
      <w:r w:rsidRPr="002B14BC">
        <w:rPr>
          <w:rFonts w:ascii="Cambria" w:hAnsi="Cambria" w:cs="Arial"/>
          <w:color w:val="000000" w:themeColor="text1"/>
          <w:spacing w:val="-5"/>
        </w:rPr>
        <w:t>Hobart TAS 7001</w:t>
      </w:r>
      <w:r w:rsidRPr="002B14BC">
        <w:rPr>
          <w:rFonts w:ascii="Cambria" w:hAnsi="Cambria" w:cs="Arial"/>
          <w:color w:val="000000" w:themeColor="text1"/>
          <w:spacing w:val="-5"/>
        </w:rPr>
        <w:tab/>
      </w:r>
      <w:r w:rsidRPr="002B14BC">
        <w:rPr>
          <w:rFonts w:ascii="Cambria" w:hAnsi="Cambria" w:cs="Arial"/>
          <w:color w:val="000000" w:themeColor="text1"/>
          <w:spacing w:val="-5"/>
        </w:rPr>
        <w:tab/>
      </w:r>
      <w:r w:rsidRPr="002B14BC">
        <w:rPr>
          <w:rFonts w:ascii="Cambria" w:hAnsi="Cambria" w:cs="Arial"/>
          <w:color w:val="000000" w:themeColor="text1"/>
          <w:spacing w:val="-5"/>
        </w:rPr>
        <w:tab/>
      </w:r>
    </w:p>
    <w:p w14:paraId="6D4707DF" w14:textId="2D71913E" w:rsidR="009536C2" w:rsidRPr="002B14BC" w:rsidRDefault="009536C2" w:rsidP="00491440">
      <w:pPr>
        <w:pStyle w:val="NoSpacing"/>
        <w:ind w:left="2160" w:firstLine="720"/>
        <w:rPr>
          <w:rFonts w:ascii="Cambria" w:hAnsi="Cambria" w:cs="Arial"/>
          <w:color w:val="000000" w:themeColor="text1"/>
          <w:spacing w:val="-5"/>
        </w:rPr>
      </w:pPr>
      <w:r w:rsidRPr="002B14BC">
        <w:rPr>
          <w:rFonts w:ascii="Cambria" w:hAnsi="Cambria" w:cs="Arial"/>
          <w:i/>
          <w:iCs/>
          <w:color w:val="000000" w:themeColor="text1"/>
          <w:spacing w:val="-5"/>
        </w:rPr>
        <w:t xml:space="preserve">via email: </w:t>
      </w:r>
      <w:hyperlink r:id="rId8" w:history="1">
        <w:r w:rsidRPr="002B14BC">
          <w:rPr>
            <w:rStyle w:val="Hyperlink"/>
            <w:rFonts w:ascii="Cambria" w:hAnsi="Cambria" w:cs="Arial"/>
            <w:i/>
            <w:iCs/>
            <w:spacing w:val="-5"/>
          </w:rPr>
          <w:t>prevention@integrity.tas.gov.au</w:t>
        </w:r>
      </w:hyperlink>
      <w:r w:rsidRPr="002B14BC">
        <w:rPr>
          <w:rFonts w:ascii="Cambria" w:hAnsi="Cambria"/>
        </w:rPr>
        <w:t xml:space="preserve"> </w:t>
      </w:r>
      <w:r w:rsidRPr="002B14BC">
        <w:rPr>
          <w:rFonts w:ascii="Cambria" w:hAnsi="Cambria" w:cs="Arial"/>
          <w:i/>
          <w:iCs/>
          <w:spacing w:val="-5"/>
        </w:rPr>
        <w:t xml:space="preserve"> </w:t>
      </w:r>
      <w:r w:rsidRPr="002B14BC">
        <w:rPr>
          <w:rFonts w:ascii="Cambria" w:hAnsi="Cambria" w:cs="Arial"/>
          <w:i/>
          <w:iCs/>
          <w:color w:val="6F6F6F"/>
          <w:spacing w:val="-5"/>
        </w:rPr>
        <w:t xml:space="preserve">   </w:t>
      </w:r>
    </w:p>
    <w:p w14:paraId="5905E521" w14:textId="77777777" w:rsidR="009536C2" w:rsidRPr="002B14BC" w:rsidRDefault="009536C2" w:rsidP="003E7866">
      <w:pPr>
        <w:pStyle w:val="NoSpacing"/>
        <w:rPr>
          <w:rFonts w:ascii="Cambria" w:hAnsi="Cambria"/>
          <w:color w:val="000000" w:themeColor="text1"/>
        </w:rPr>
      </w:pPr>
    </w:p>
    <w:p w14:paraId="52340B36" w14:textId="7910CC4E" w:rsidR="009536C2" w:rsidRPr="002B14BC" w:rsidRDefault="009536C2" w:rsidP="003E7866">
      <w:pPr>
        <w:pStyle w:val="NoSpacing"/>
        <w:rPr>
          <w:rFonts w:ascii="Cambria" w:hAnsi="Cambria"/>
          <w:color w:val="000000" w:themeColor="text1"/>
        </w:rPr>
      </w:pPr>
      <w:r w:rsidRPr="002B14BC">
        <w:rPr>
          <w:rFonts w:ascii="Cambria" w:hAnsi="Cambria"/>
          <w:color w:val="000000" w:themeColor="text1"/>
        </w:rPr>
        <w:t>To Michael Easton</w:t>
      </w:r>
      <w:r w:rsidR="00054D70" w:rsidRPr="002B14BC">
        <w:rPr>
          <w:rFonts w:ascii="Cambria" w:hAnsi="Cambria"/>
          <w:color w:val="000000" w:themeColor="text1"/>
        </w:rPr>
        <w:t>,</w:t>
      </w:r>
      <w:r w:rsidRPr="002B14BC">
        <w:rPr>
          <w:rFonts w:ascii="Cambria" w:hAnsi="Cambria"/>
          <w:color w:val="000000" w:themeColor="text1"/>
        </w:rPr>
        <w:t xml:space="preserve"> </w:t>
      </w:r>
    </w:p>
    <w:p w14:paraId="319F09DC" w14:textId="3551A223" w:rsidR="009536C2" w:rsidRPr="002B14BC" w:rsidRDefault="009536C2" w:rsidP="003E7866">
      <w:pPr>
        <w:pStyle w:val="NoSpacing"/>
        <w:pBdr>
          <w:bottom w:val="single" w:sz="6" w:space="1" w:color="auto"/>
        </w:pBdr>
        <w:rPr>
          <w:rFonts w:ascii="Cambria" w:hAnsi="Cambria" w:cs="Arial"/>
          <w:b/>
          <w:bCs/>
          <w:color w:val="000000" w:themeColor="text1"/>
          <w:spacing w:val="-5"/>
        </w:rPr>
      </w:pPr>
      <w:r w:rsidRPr="002B14BC">
        <w:rPr>
          <w:rFonts w:ascii="Cambria" w:hAnsi="Cambria"/>
          <w:b/>
          <w:bCs/>
          <w:color w:val="000000" w:themeColor="text1"/>
        </w:rPr>
        <w:t xml:space="preserve">Re: </w:t>
      </w:r>
      <w:r w:rsidRPr="002B14BC">
        <w:rPr>
          <w:rFonts w:ascii="Cambria" w:hAnsi="Cambria" w:cs="Arial"/>
          <w:b/>
          <w:bCs/>
          <w:color w:val="000000" w:themeColor="text1"/>
          <w:spacing w:val="-5"/>
        </w:rPr>
        <w:t>Reforming Oversight of Lobbying in Tasmania</w:t>
      </w:r>
    </w:p>
    <w:p w14:paraId="3D49FE56" w14:textId="77777777" w:rsidR="009536C2" w:rsidRPr="002B14BC" w:rsidRDefault="009536C2" w:rsidP="003E7866">
      <w:pPr>
        <w:pStyle w:val="NoSpacing"/>
        <w:rPr>
          <w:rFonts w:ascii="Cambria" w:hAnsi="Cambria"/>
          <w:color w:val="000000" w:themeColor="text1"/>
        </w:rPr>
      </w:pPr>
    </w:p>
    <w:p w14:paraId="3E00BEC6" w14:textId="1A402E10" w:rsidR="002A399A" w:rsidRPr="002B14BC" w:rsidRDefault="009536C2" w:rsidP="003E7866">
      <w:pPr>
        <w:pStyle w:val="NoSpacing"/>
        <w:jc w:val="both"/>
        <w:rPr>
          <w:rFonts w:ascii="Cambria" w:hAnsi="Cambria"/>
          <w:color w:val="000000" w:themeColor="text1"/>
        </w:rPr>
      </w:pPr>
      <w:r w:rsidRPr="002B14BC">
        <w:rPr>
          <w:rFonts w:ascii="Cambria" w:hAnsi="Cambria" w:cs="Calibri"/>
          <w:color w:val="000000" w:themeColor="text1"/>
        </w:rPr>
        <w:t>Community Legal Centres Tasmania</w:t>
      </w:r>
      <w:r w:rsidRPr="002B14BC">
        <w:rPr>
          <w:rFonts w:ascii="Cambria" w:hAnsi="Cambria"/>
          <w:color w:val="000000" w:themeColor="text1"/>
        </w:rPr>
        <w:t xml:space="preserve"> (CLC Tas) welcomes the opportunity to respond to </w:t>
      </w:r>
      <w:r w:rsidR="002A399A" w:rsidRPr="002B14BC">
        <w:rPr>
          <w:rFonts w:ascii="Cambria" w:hAnsi="Cambria"/>
          <w:color w:val="000000" w:themeColor="text1"/>
        </w:rPr>
        <w:t xml:space="preserve">the </w:t>
      </w:r>
      <w:r w:rsidRPr="002B14BC">
        <w:rPr>
          <w:rFonts w:ascii="Cambria" w:hAnsi="Cambria"/>
          <w:color w:val="000000" w:themeColor="text1"/>
        </w:rPr>
        <w:t xml:space="preserve">consultation paper </w:t>
      </w:r>
      <w:r w:rsidRPr="002B14BC">
        <w:rPr>
          <w:rFonts w:ascii="Cambria" w:hAnsi="Cambria"/>
          <w:i/>
          <w:iCs/>
          <w:color w:val="000000" w:themeColor="text1"/>
        </w:rPr>
        <w:t>Reforming Oversight of Lobbying in Tasmania</w:t>
      </w:r>
      <w:r w:rsidRPr="002B14BC">
        <w:rPr>
          <w:rFonts w:ascii="Cambria" w:hAnsi="Cambria"/>
          <w:color w:val="000000" w:themeColor="text1"/>
        </w:rPr>
        <w:t xml:space="preserve"> (‘the Review’)</w:t>
      </w:r>
      <w:r w:rsidR="002A399A" w:rsidRPr="002B14BC">
        <w:rPr>
          <w:rFonts w:ascii="Cambria" w:hAnsi="Cambria"/>
          <w:color w:val="000000" w:themeColor="text1"/>
        </w:rPr>
        <w:t>. We strongly support greater regulation of lobbying</w:t>
      </w:r>
      <w:r w:rsidR="000B23D2" w:rsidRPr="002B14BC">
        <w:rPr>
          <w:rFonts w:ascii="Cambria" w:hAnsi="Cambria"/>
          <w:color w:val="000000" w:themeColor="text1"/>
        </w:rPr>
        <w:t xml:space="preserve"> </w:t>
      </w:r>
      <w:r w:rsidR="002A399A" w:rsidRPr="002B14BC">
        <w:rPr>
          <w:rFonts w:ascii="Cambria" w:hAnsi="Cambria"/>
          <w:color w:val="000000" w:themeColor="text1"/>
        </w:rPr>
        <w:t xml:space="preserve">in Tasmania </w:t>
      </w:r>
      <w:r w:rsidR="000B23D2" w:rsidRPr="002B14BC">
        <w:rPr>
          <w:rFonts w:ascii="Cambria" w:hAnsi="Cambria"/>
          <w:color w:val="000000" w:themeColor="text1"/>
        </w:rPr>
        <w:t>in order to</w:t>
      </w:r>
      <w:r w:rsidR="002A399A" w:rsidRPr="002B14BC">
        <w:rPr>
          <w:rFonts w:ascii="Cambria" w:hAnsi="Cambria"/>
          <w:color w:val="000000" w:themeColor="text1"/>
        </w:rPr>
        <w:t xml:space="preserve"> </w:t>
      </w:r>
      <w:r w:rsidR="000B23D2" w:rsidRPr="002B14BC">
        <w:rPr>
          <w:rFonts w:ascii="Cambria" w:hAnsi="Cambria"/>
          <w:color w:val="000000" w:themeColor="text1"/>
        </w:rPr>
        <w:t xml:space="preserve">prevent corruption and </w:t>
      </w:r>
      <w:r w:rsidR="002A399A" w:rsidRPr="002B14BC">
        <w:rPr>
          <w:rFonts w:ascii="Cambria" w:hAnsi="Cambria"/>
          <w:color w:val="000000" w:themeColor="text1"/>
        </w:rPr>
        <w:t>increas</w:t>
      </w:r>
      <w:r w:rsidR="000B23D2" w:rsidRPr="002B14BC">
        <w:rPr>
          <w:rFonts w:ascii="Cambria" w:hAnsi="Cambria"/>
          <w:color w:val="000000" w:themeColor="text1"/>
        </w:rPr>
        <w:t>e</w:t>
      </w:r>
      <w:r w:rsidR="002A399A" w:rsidRPr="002B14BC">
        <w:rPr>
          <w:rFonts w:ascii="Cambria" w:hAnsi="Cambria"/>
          <w:color w:val="000000" w:themeColor="text1"/>
        </w:rPr>
        <w:t xml:space="preserve"> transparenc</w:t>
      </w:r>
      <w:r w:rsidR="00A535ED" w:rsidRPr="002B14BC">
        <w:rPr>
          <w:rFonts w:ascii="Cambria" w:hAnsi="Cambria"/>
          <w:color w:val="000000" w:themeColor="text1"/>
        </w:rPr>
        <w:t>y of</w:t>
      </w:r>
      <w:r w:rsidR="002A399A" w:rsidRPr="002B14BC">
        <w:rPr>
          <w:rFonts w:ascii="Cambria" w:hAnsi="Cambria"/>
          <w:color w:val="000000" w:themeColor="text1"/>
        </w:rPr>
        <w:t xml:space="preserve"> government decision</w:t>
      </w:r>
      <w:r w:rsidR="00A535ED" w:rsidRPr="002B14BC">
        <w:rPr>
          <w:rFonts w:ascii="Cambria" w:hAnsi="Cambria"/>
          <w:color w:val="000000" w:themeColor="text1"/>
        </w:rPr>
        <w:t>-making</w:t>
      </w:r>
      <w:r w:rsidR="002A399A" w:rsidRPr="002B14BC">
        <w:rPr>
          <w:rFonts w:ascii="Cambria" w:hAnsi="Cambria"/>
          <w:color w:val="000000" w:themeColor="text1"/>
        </w:rPr>
        <w:t>.</w:t>
      </w:r>
      <w:r w:rsidR="00A535ED" w:rsidRPr="002B14BC">
        <w:rPr>
          <w:rFonts w:ascii="Cambria" w:hAnsi="Cambria"/>
          <w:color w:val="000000" w:themeColor="text1"/>
        </w:rPr>
        <w:t xml:space="preserve"> </w:t>
      </w:r>
      <w:r w:rsidR="002A399A" w:rsidRPr="002B14BC">
        <w:rPr>
          <w:rFonts w:ascii="Cambria" w:hAnsi="Cambria"/>
          <w:color w:val="000000" w:themeColor="text1"/>
        </w:rPr>
        <w:t xml:space="preserve">Strengthening lobbying regulation should in turn increase public confidence in the integrity of political institutions. </w:t>
      </w:r>
    </w:p>
    <w:p w14:paraId="1C6A886F" w14:textId="77777777" w:rsidR="002A399A" w:rsidRPr="002B14BC" w:rsidRDefault="002A399A" w:rsidP="003E7866">
      <w:pPr>
        <w:pStyle w:val="NoSpacing"/>
        <w:jc w:val="both"/>
        <w:rPr>
          <w:rFonts w:ascii="Cambria" w:hAnsi="Cambria"/>
          <w:color w:val="000000" w:themeColor="text1"/>
        </w:rPr>
      </w:pPr>
    </w:p>
    <w:p w14:paraId="0FA208C8" w14:textId="79AF1F06" w:rsidR="002A399A" w:rsidRPr="002B14BC" w:rsidRDefault="009536C2" w:rsidP="003E7866">
      <w:pPr>
        <w:pStyle w:val="NoSpacing"/>
        <w:jc w:val="both"/>
        <w:rPr>
          <w:rFonts w:ascii="Cambria" w:hAnsi="Cambria" w:cs="Arial"/>
          <w:color w:val="000000" w:themeColor="text1"/>
        </w:rPr>
      </w:pPr>
      <w:r w:rsidRPr="002B14BC">
        <w:rPr>
          <w:rFonts w:ascii="Cambria" w:hAnsi="Cambria" w:cs="Arial"/>
          <w:color w:val="000000" w:themeColor="text1"/>
        </w:rPr>
        <w:t xml:space="preserve">CLC Tas 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14:paraId="4E461740" w14:textId="71F6C5A4" w:rsidR="000B23D2" w:rsidRPr="002B14BC" w:rsidRDefault="000B23D2" w:rsidP="003E7866">
      <w:pPr>
        <w:pStyle w:val="NoSpacing"/>
        <w:jc w:val="both"/>
        <w:rPr>
          <w:rFonts w:ascii="Cambria" w:hAnsi="Cambria" w:cs="Arial"/>
          <w:color w:val="000000" w:themeColor="text1"/>
        </w:rPr>
      </w:pPr>
    </w:p>
    <w:p w14:paraId="1BB54CF3" w14:textId="778106CB" w:rsidR="003E7866" w:rsidRPr="002B14BC" w:rsidRDefault="000B23D2" w:rsidP="003E7866">
      <w:pPr>
        <w:pStyle w:val="NoSpacing"/>
        <w:jc w:val="both"/>
        <w:rPr>
          <w:rFonts w:ascii="Cambria" w:hAnsi="Cambria" w:cs="Arial"/>
          <w:color w:val="000000" w:themeColor="text1"/>
        </w:rPr>
      </w:pPr>
      <w:r w:rsidRPr="002B14BC">
        <w:rPr>
          <w:rFonts w:ascii="Cambria" w:hAnsi="Cambria" w:cs="Arial"/>
          <w:color w:val="000000" w:themeColor="text1"/>
        </w:rPr>
        <w:t>Whilst we recognise that there are many forms of lobbyist and lobbyist behaviour, our submission focuses on</w:t>
      </w:r>
      <w:r w:rsidR="00D8770F" w:rsidRPr="002B14BC">
        <w:rPr>
          <w:rFonts w:ascii="Cambria" w:hAnsi="Cambria" w:cs="Arial"/>
          <w:color w:val="000000" w:themeColor="text1"/>
        </w:rPr>
        <w:t xml:space="preserve"> </w:t>
      </w:r>
      <w:r w:rsidR="00054D70" w:rsidRPr="002B14BC">
        <w:rPr>
          <w:rFonts w:ascii="Cambria" w:hAnsi="Cambria" w:cs="Arial"/>
          <w:color w:val="000000" w:themeColor="text1"/>
        </w:rPr>
        <w:t>commercial</w:t>
      </w:r>
      <w:r w:rsidRPr="002B14BC">
        <w:rPr>
          <w:rFonts w:ascii="Cambria" w:hAnsi="Cambria" w:cs="Arial"/>
          <w:color w:val="000000" w:themeColor="text1"/>
        </w:rPr>
        <w:t xml:space="preserve"> and in-house lobbyists. </w:t>
      </w:r>
      <w:r w:rsidR="00D8770F" w:rsidRPr="002B14BC">
        <w:rPr>
          <w:rFonts w:ascii="Cambria" w:hAnsi="Cambria" w:cs="Arial"/>
          <w:color w:val="000000" w:themeColor="text1"/>
        </w:rPr>
        <w:t>We define c</w:t>
      </w:r>
      <w:r w:rsidRPr="002B14BC">
        <w:rPr>
          <w:rFonts w:ascii="Cambria" w:hAnsi="Cambria" w:cs="Arial"/>
          <w:color w:val="000000" w:themeColor="text1"/>
        </w:rPr>
        <w:t>ommercial</w:t>
      </w:r>
      <w:r w:rsidR="003E7866" w:rsidRPr="002B14BC">
        <w:rPr>
          <w:rFonts w:ascii="Cambria" w:hAnsi="Cambria" w:cs="Arial"/>
          <w:color w:val="000000" w:themeColor="text1"/>
        </w:rPr>
        <w:t xml:space="preserve"> </w:t>
      </w:r>
      <w:r w:rsidRPr="002B14BC">
        <w:rPr>
          <w:rFonts w:ascii="Cambria" w:hAnsi="Cambria" w:cs="Arial"/>
          <w:color w:val="000000" w:themeColor="text1"/>
        </w:rPr>
        <w:t>lobbyists a</w:t>
      </w:r>
      <w:r w:rsidR="00D8770F" w:rsidRPr="002B14BC">
        <w:rPr>
          <w:rFonts w:ascii="Cambria" w:hAnsi="Cambria" w:cs="Arial"/>
          <w:color w:val="000000" w:themeColor="text1"/>
        </w:rPr>
        <w:t>s</w:t>
      </w:r>
      <w:r w:rsidRPr="002B14BC">
        <w:rPr>
          <w:rFonts w:ascii="Cambria" w:hAnsi="Cambria" w:cs="Arial"/>
          <w:color w:val="000000" w:themeColor="text1"/>
        </w:rPr>
        <w:t xml:space="preserve"> paid professionals engaged by </w:t>
      </w:r>
      <w:r w:rsidR="00054D70" w:rsidRPr="002B14BC">
        <w:rPr>
          <w:rFonts w:ascii="Cambria" w:hAnsi="Cambria" w:cs="Arial"/>
          <w:color w:val="000000" w:themeColor="text1"/>
        </w:rPr>
        <w:t xml:space="preserve">for-profit </w:t>
      </w:r>
      <w:r w:rsidRPr="002B14BC">
        <w:rPr>
          <w:rFonts w:ascii="Cambria" w:hAnsi="Cambria" w:cs="Arial"/>
          <w:color w:val="000000" w:themeColor="text1"/>
        </w:rPr>
        <w:t>clients to make representations which seek to influence public officials on their behalf. In-house lobbyists are those that seek to influence public officials on behalf of their</w:t>
      </w:r>
      <w:r w:rsidR="00D8770F" w:rsidRPr="002B14BC">
        <w:rPr>
          <w:rFonts w:ascii="Cambria" w:hAnsi="Cambria" w:cs="Arial"/>
          <w:color w:val="000000" w:themeColor="text1"/>
        </w:rPr>
        <w:t xml:space="preserve"> for-profit </w:t>
      </w:r>
      <w:r w:rsidRPr="002B14BC">
        <w:rPr>
          <w:rFonts w:ascii="Cambria" w:hAnsi="Cambria" w:cs="Arial"/>
          <w:color w:val="000000" w:themeColor="text1"/>
        </w:rPr>
        <w:t xml:space="preserve">employer.    </w:t>
      </w:r>
    </w:p>
    <w:p w14:paraId="759F997C" w14:textId="77777777" w:rsidR="003E7866" w:rsidRPr="002B14BC" w:rsidRDefault="003E7866" w:rsidP="003E7866">
      <w:pPr>
        <w:pStyle w:val="NoSpacing"/>
        <w:jc w:val="both"/>
        <w:rPr>
          <w:rFonts w:ascii="Cambria" w:hAnsi="Cambria"/>
          <w:color w:val="000000" w:themeColor="text1"/>
        </w:rPr>
      </w:pPr>
    </w:p>
    <w:p w14:paraId="686CDB14" w14:textId="0C1F72E0" w:rsidR="003E7866" w:rsidRPr="002B14BC" w:rsidRDefault="003E7866" w:rsidP="003E7866">
      <w:pPr>
        <w:pStyle w:val="NoSpacing"/>
        <w:numPr>
          <w:ilvl w:val="0"/>
          <w:numId w:val="4"/>
        </w:numPr>
        <w:jc w:val="both"/>
        <w:rPr>
          <w:rFonts w:ascii="Cambria" w:hAnsi="Cambria"/>
          <w:b/>
          <w:bCs/>
          <w:i/>
          <w:iCs/>
          <w:color w:val="000000" w:themeColor="text1"/>
        </w:rPr>
      </w:pPr>
      <w:r w:rsidRPr="002B14BC">
        <w:rPr>
          <w:rFonts w:ascii="Cambria" w:hAnsi="Cambria"/>
          <w:b/>
          <w:bCs/>
          <w:i/>
          <w:iCs/>
          <w:color w:val="000000" w:themeColor="text1"/>
        </w:rPr>
        <w:t>Disclosure</w:t>
      </w:r>
    </w:p>
    <w:p w14:paraId="3350ADB4" w14:textId="3A603455" w:rsidR="00FB2A58" w:rsidRPr="002B14BC" w:rsidRDefault="00FB2A58" w:rsidP="00FB2A58">
      <w:pPr>
        <w:jc w:val="both"/>
        <w:rPr>
          <w:rFonts w:ascii="Cambria" w:hAnsi="Cambria"/>
          <w:color w:val="000000" w:themeColor="text1"/>
        </w:rPr>
      </w:pPr>
      <w:r w:rsidRPr="002B14BC">
        <w:rPr>
          <w:rFonts w:ascii="Cambria" w:hAnsi="Cambria"/>
          <w:color w:val="000000" w:themeColor="text1"/>
          <w:lang w:val="en-US"/>
        </w:rPr>
        <w:t xml:space="preserve">In Tasmania, only commercial lobbyists are required to be included on the </w:t>
      </w:r>
      <w:r w:rsidRPr="002B14BC">
        <w:rPr>
          <w:rFonts w:ascii="Cambria" w:hAnsi="Cambria"/>
          <w:i/>
          <w:iCs/>
          <w:color w:val="000000" w:themeColor="text1"/>
          <w:lang w:val="en-US"/>
        </w:rPr>
        <w:t>Register of Lobbyists</w:t>
      </w:r>
      <w:r w:rsidRPr="002B14BC">
        <w:rPr>
          <w:rFonts w:ascii="Cambria" w:hAnsi="Cambria"/>
          <w:color w:val="000000" w:themeColor="text1"/>
          <w:lang w:val="en-US"/>
        </w:rPr>
        <w:t xml:space="preserve">. However, </w:t>
      </w:r>
      <w:r w:rsidRPr="002B14BC">
        <w:rPr>
          <w:rFonts w:ascii="Cambria" w:hAnsi="Cambria"/>
          <w:color w:val="000000" w:themeColor="text1"/>
        </w:rPr>
        <w:t>as the Integrity Commission’s review correctly points out “registers of Australian lobbyists act as little more than a directory of third-party lobbyists and who or what they act for”.</w:t>
      </w:r>
      <w:r w:rsidRPr="002B14BC">
        <w:rPr>
          <w:rStyle w:val="FootnoteReference"/>
          <w:rFonts w:ascii="Cambria" w:hAnsi="Cambria"/>
          <w:color w:val="000000" w:themeColor="text1"/>
        </w:rPr>
        <w:footnoteReference w:id="1"/>
      </w:r>
      <w:r w:rsidRPr="002B14BC">
        <w:rPr>
          <w:rFonts w:ascii="Cambria" w:hAnsi="Cambria"/>
          <w:color w:val="000000" w:themeColor="text1"/>
        </w:rPr>
        <w:t xml:space="preserve"> </w:t>
      </w:r>
      <w:r w:rsidR="004E5914" w:rsidRPr="002B14BC">
        <w:rPr>
          <w:rFonts w:ascii="Cambria" w:hAnsi="Cambria"/>
          <w:color w:val="000000" w:themeColor="text1"/>
        </w:rPr>
        <w:t xml:space="preserve">We strongly recommend that the register of lobbyists is broadened to include both commercial and in-house lobbyists. </w:t>
      </w:r>
      <w:r w:rsidRPr="002B14BC">
        <w:rPr>
          <w:rFonts w:ascii="Cambria" w:hAnsi="Cambria"/>
          <w:color w:val="000000" w:themeColor="text1"/>
        </w:rPr>
        <w:t xml:space="preserve">We </w:t>
      </w:r>
      <w:r w:rsidR="004E5914" w:rsidRPr="002B14BC">
        <w:rPr>
          <w:rFonts w:ascii="Cambria" w:hAnsi="Cambria"/>
          <w:color w:val="000000" w:themeColor="text1"/>
        </w:rPr>
        <w:t>also s</w:t>
      </w:r>
      <w:r w:rsidRPr="002B14BC">
        <w:rPr>
          <w:rFonts w:ascii="Cambria" w:hAnsi="Cambria"/>
          <w:color w:val="000000" w:themeColor="text1"/>
        </w:rPr>
        <w:t xml:space="preserve">trongly believe that extensive disclosure of lobbying activities is required. The integrity of government decision-making is improved when the community is made aware of who is lobbying government and their purpose in lobbying government. </w:t>
      </w:r>
    </w:p>
    <w:p w14:paraId="109AA776" w14:textId="1B38200D" w:rsidR="00FB2A58" w:rsidRPr="002B14BC" w:rsidRDefault="00FB2A58" w:rsidP="00FB2A58">
      <w:pPr>
        <w:jc w:val="both"/>
        <w:rPr>
          <w:rFonts w:ascii="Cambria" w:hAnsi="Cambria"/>
          <w:color w:val="000000" w:themeColor="text1"/>
        </w:rPr>
      </w:pPr>
      <w:r w:rsidRPr="002B14BC">
        <w:rPr>
          <w:rFonts w:ascii="Cambria" w:hAnsi="Cambria"/>
          <w:color w:val="000000" w:themeColor="text1"/>
        </w:rPr>
        <w:lastRenderedPageBreak/>
        <w:t>We recommend the adoption of the Scottish model which requires detailed information to be provided by lobbyists on a publicly accessible database including the date on which they were lobbied, the location at which the person was lobbied, a description of the meeting, the person or organisation seeking the lobbying and the purpose of the lobbying.</w:t>
      </w:r>
      <w:r w:rsidRPr="002B14BC">
        <w:rPr>
          <w:rStyle w:val="FootnoteReference"/>
          <w:rFonts w:ascii="Cambria" w:hAnsi="Cambria"/>
          <w:color w:val="000000" w:themeColor="text1"/>
        </w:rPr>
        <w:footnoteReference w:id="2"/>
      </w:r>
      <w:r w:rsidRPr="002B14BC">
        <w:rPr>
          <w:rFonts w:ascii="Cambria" w:hAnsi="Cambria"/>
          <w:color w:val="000000" w:themeColor="text1"/>
        </w:rPr>
        <w:t xml:space="preserve">  In Scotland, disclosure must be made within 30 days of the lobbying activity having occurred.</w:t>
      </w:r>
      <w:r w:rsidRPr="002B14BC">
        <w:rPr>
          <w:rStyle w:val="FootnoteReference"/>
          <w:rFonts w:ascii="Cambria" w:hAnsi="Cambria"/>
          <w:color w:val="000000" w:themeColor="text1"/>
        </w:rPr>
        <w:footnoteReference w:id="3"/>
      </w:r>
      <w:r w:rsidRPr="002B14BC">
        <w:rPr>
          <w:rFonts w:ascii="Cambria" w:hAnsi="Cambria"/>
          <w:color w:val="000000" w:themeColor="text1"/>
        </w:rPr>
        <w:t xml:space="preserve"> </w:t>
      </w:r>
      <w:r w:rsidR="00273403" w:rsidRPr="002B14BC">
        <w:rPr>
          <w:rFonts w:ascii="Cambria" w:hAnsi="Cambria"/>
          <w:color w:val="000000" w:themeColor="text1"/>
        </w:rPr>
        <w:t>A similar model of extensive disclosure of lobbying activity has been adopted in Queensland.</w:t>
      </w:r>
      <w:r w:rsidR="00273403" w:rsidRPr="002B14BC">
        <w:rPr>
          <w:rStyle w:val="FootnoteReference"/>
          <w:rFonts w:ascii="Cambria" w:hAnsi="Cambria"/>
          <w:color w:val="000000" w:themeColor="text1"/>
        </w:rPr>
        <w:footnoteReference w:id="4"/>
      </w:r>
    </w:p>
    <w:p w14:paraId="18171523" w14:textId="77777777" w:rsidR="00FB2A58" w:rsidRPr="002B14BC" w:rsidRDefault="00FB2A58" w:rsidP="00FB2A58">
      <w:pPr>
        <w:pStyle w:val="NoSpacing"/>
        <w:jc w:val="both"/>
        <w:rPr>
          <w:rFonts w:ascii="Cambria" w:hAnsi="Cambria"/>
          <w:color w:val="000000" w:themeColor="text1"/>
        </w:rPr>
      </w:pPr>
    </w:p>
    <w:p w14:paraId="4892AD31" w14:textId="77777777" w:rsidR="00FB2A58" w:rsidRPr="002B14BC" w:rsidRDefault="00FB2A58" w:rsidP="00FB2A58">
      <w:pPr>
        <w:pStyle w:val="NoSpacing"/>
        <w:jc w:val="both"/>
        <w:rPr>
          <w:rFonts w:ascii="Cambria" w:hAnsi="Cambria"/>
          <w:color w:val="000000" w:themeColor="text1"/>
        </w:rPr>
      </w:pPr>
      <w:r w:rsidRPr="002B14BC">
        <w:rPr>
          <w:rFonts w:ascii="Cambria" w:hAnsi="Cambria"/>
          <w:color w:val="000000" w:themeColor="text1"/>
        </w:rPr>
        <w:t>An important oversight mechanism would also see lobbying activity made publicly available through the regular disclosure of ministerial diaries. Both NSW and Queensland require government ministers to regularly disclose meetings held, however the Queensland model is preferred because the diaries are required to be disclosed on a monthly basis rather than in NSW where the diaries are published quarterly.</w:t>
      </w:r>
      <w:r w:rsidRPr="002B14BC">
        <w:rPr>
          <w:rStyle w:val="FootnoteReference"/>
          <w:rFonts w:ascii="Cambria" w:hAnsi="Cambria"/>
          <w:color w:val="000000" w:themeColor="text1"/>
        </w:rPr>
        <w:footnoteReference w:id="5"/>
      </w:r>
      <w:r w:rsidRPr="002B14BC">
        <w:rPr>
          <w:rFonts w:ascii="Cambria" w:hAnsi="Cambria"/>
          <w:color w:val="000000" w:themeColor="text1"/>
        </w:rPr>
        <w:t xml:space="preserve"> </w:t>
      </w:r>
    </w:p>
    <w:p w14:paraId="1EFAA50D" w14:textId="77777777" w:rsidR="00FB2A58" w:rsidRPr="002B14BC" w:rsidRDefault="00FB2A58" w:rsidP="00FB2A58">
      <w:pPr>
        <w:jc w:val="both"/>
        <w:rPr>
          <w:rFonts w:ascii="Cambria" w:hAnsi="Cambria"/>
          <w:color w:val="000000" w:themeColor="text1"/>
        </w:rPr>
      </w:pPr>
    </w:p>
    <w:p w14:paraId="17EA6E55" w14:textId="3EBB822D" w:rsidR="00FB2A58" w:rsidRPr="002B14BC" w:rsidRDefault="00FB2A58" w:rsidP="00FB2A58">
      <w:pPr>
        <w:jc w:val="both"/>
        <w:rPr>
          <w:rFonts w:ascii="Cambria" w:hAnsi="Cambria"/>
          <w:color w:val="000000" w:themeColor="text1"/>
          <w:lang w:val="en-US"/>
        </w:rPr>
      </w:pPr>
      <w:r w:rsidRPr="002B14BC">
        <w:rPr>
          <w:rFonts w:ascii="Cambria" w:hAnsi="Cambria"/>
          <w:color w:val="000000" w:themeColor="text1"/>
          <w:lang w:val="en-US"/>
        </w:rPr>
        <w:t xml:space="preserve">Additionally, in comparison with other Australian jurisdictions, Tasmania’s </w:t>
      </w:r>
      <w:r w:rsidRPr="002B14BC">
        <w:rPr>
          <w:rFonts w:ascii="Cambria" w:hAnsi="Cambria"/>
          <w:i/>
          <w:iCs/>
          <w:color w:val="000000" w:themeColor="text1"/>
          <w:lang w:val="en-US"/>
        </w:rPr>
        <w:t>Lobbying Code of Conduct</w:t>
      </w:r>
      <w:r w:rsidRPr="002B14BC">
        <w:rPr>
          <w:rFonts w:ascii="Cambria" w:hAnsi="Cambria"/>
          <w:color w:val="000000" w:themeColor="text1"/>
          <w:lang w:val="en-US"/>
        </w:rPr>
        <w:t xml:space="preserve"> defines ‘government representatives’ narrowly. We strongly recommend that the definition is broad </w:t>
      </w:r>
      <w:r w:rsidR="00273403" w:rsidRPr="002B14BC">
        <w:rPr>
          <w:rFonts w:ascii="Cambria" w:hAnsi="Cambria"/>
          <w:color w:val="000000" w:themeColor="text1"/>
          <w:lang w:val="en-US"/>
        </w:rPr>
        <w:t>enough to include persons with influence in State and local government decision-making including</w:t>
      </w:r>
      <w:r w:rsidRPr="002B14BC">
        <w:rPr>
          <w:rFonts w:ascii="Cambria" w:hAnsi="Cambria"/>
          <w:color w:val="000000" w:themeColor="text1"/>
          <w:lang w:val="en-US"/>
        </w:rPr>
        <w:t xml:space="preserve"> </w:t>
      </w:r>
      <w:r w:rsidR="00273403" w:rsidRPr="002B14BC">
        <w:rPr>
          <w:rFonts w:ascii="Cambria" w:hAnsi="Cambria"/>
          <w:color w:val="000000" w:themeColor="text1"/>
          <w:lang w:val="en-US"/>
        </w:rPr>
        <w:t>m</w:t>
      </w:r>
      <w:r w:rsidRPr="002B14BC">
        <w:rPr>
          <w:rFonts w:ascii="Cambria" w:hAnsi="Cambria"/>
          <w:color w:val="000000" w:themeColor="text1"/>
          <w:lang w:val="en-US"/>
        </w:rPr>
        <w:t>inisters</w:t>
      </w:r>
      <w:r w:rsidR="00273403" w:rsidRPr="002B14BC">
        <w:rPr>
          <w:rFonts w:ascii="Cambria" w:hAnsi="Cambria"/>
          <w:color w:val="000000" w:themeColor="text1"/>
          <w:lang w:val="en-US"/>
        </w:rPr>
        <w:t xml:space="preserve">, </w:t>
      </w:r>
      <w:r w:rsidRPr="002B14BC">
        <w:rPr>
          <w:rFonts w:ascii="Cambria" w:hAnsi="Cambria"/>
          <w:color w:val="000000" w:themeColor="text1"/>
          <w:lang w:val="en-US"/>
        </w:rPr>
        <w:t xml:space="preserve">government members of Parliament, </w:t>
      </w:r>
      <w:r w:rsidR="00273403" w:rsidRPr="002B14BC">
        <w:rPr>
          <w:rFonts w:ascii="Cambria" w:hAnsi="Cambria"/>
          <w:color w:val="000000" w:themeColor="text1"/>
          <w:lang w:val="en-US"/>
        </w:rPr>
        <w:t>m</w:t>
      </w:r>
      <w:r w:rsidRPr="002B14BC">
        <w:rPr>
          <w:rFonts w:ascii="Cambria" w:hAnsi="Cambria"/>
          <w:color w:val="000000" w:themeColor="text1"/>
          <w:lang w:val="en-US"/>
        </w:rPr>
        <w:t xml:space="preserve">inisterial advisers, shadow </w:t>
      </w:r>
      <w:r w:rsidR="00273403" w:rsidRPr="002B14BC">
        <w:rPr>
          <w:rFonts w:ascii="Cambria" w:hAnsi="Cambria"/>
          <w:color w:val="000000" w:themeColor="text1"/>
          <w:lang w:val="en-US"/>
        </w:rPr>
        <w:t>m</w:t>
      </w:r>
      <w:r w:rsidRPr="002B14BC">
        <w:rPr>
          <w:rFonts w:ascii="Cambria" w:hAnsi="Cambria"/>
          <w:color w:val="000000" w:themeColor="text1"/>
          <w:lang w:val="en-US"/>
        </w:rPr>
        <w:t xml:space="preserve">inisters and shadow ministerial advisers, employees of state service agencies, </w:t>
      </w:r>
      <w:r w:rsidR="00273403" w:rsidRPr="002B14BC">
        <w:rPr>
          <w:rFonts w:ascii="Cambria" w:hAnsi="Cambria"/>
          <w:color w:val="000000" w:themeColor="text1"/>
          <w:lang w:val="en-US"/>
        </w:rPr>
        <w:t>h</w:t>
      </w:r>
      <w:r w:rsidRPr="002B14BC">
        <w:rPr>
          <w:rFonts w:ascii="Cambria" w:hAnsi="Cambria"/>
          <w:color w:val="000000" w:themeColor="text1"/>
          <w:lang w:val="en-US"/>
        </w:rPr>
        <w:t xml:space="preserve">eads of </w:t>
      </w:r>
      <w:r w:rsidR="00273403" w:rsidRPr="002B14BC">
        <w:rPr>
          <w:rFonts w:ascii="Cambria" w:hAnsi="Cambria"/>
          <w:color w:val="000000" w:themeColor="text1"/>
          <w:lang w:val="en-US"/>
        </w:rPr>
        <w:t>a</w:t>
      </w:r>
      <w:r w:rsidRPr="002B14BC">
        <w:rPr>
          <w:rFonts w:ascii="Cambria" w:hAnsi="Cambria"/>
          <w:color w:val="000000" w:themeColor="text1"/>
          <w:lang w:val="en-US"/>
        </w:rPr>
        <w:t>gency, members of government boards</w:t>
      </w:r>
      <w:r w:rsidR="00273403" w:rsidRPr="002B14BC">
        <w:rPr>
          <w:rFonts w:ascii="Cambria" w:hAnsi="Cambria"/>
          <w:color w:val="000000" w:themeColor="text1"/>
          <w:lang w:val="en-US"/>
        </w:rPr>
        <w:t>, e</w:t>
      </w:r>
      <w:r w:rsidRPr="002B14BC">
        <w:rPr>
          <w:rFonts w:ascii="Cambria" w:hAnsi="Cambria"/>
          <w:color w:val="000000" w:themeColor="text1"/>
          <w:lang w:val="en-US"/>
        </w:rPr>
        <w:t>xecutive members of the administrative arm of the government</w:t>
      </w:r>
      <w:r w:rsidR="00273403" w:rsidRPr="002B14BC">
        <w:rPr>
          <w:rFonts w:ascii="Cambria" w:hAnsi="Cambria"/>
          <w:color w:val="000000" w:themeColor="text1"/>
          <w:lang w:val="en-US"/>
        </w:rPr>
        <w:t xml:space="preserve"> and</w:t>
      </w:r>
      <w:r w:rsidRPr="002B14BC">
        <w:rPr>
          <w:rFonts w:ascii="Cambria" w:hAnsi="Cambria"/>
          <w:color w:val="000000" w:themeColor="text1"/>
          <w:lang w:val="en-US"/>
        </w:rPr>
        <w:t xml:space="preserve"> elected members of local governmen</w:t>
      </w:r>
      <w:r w:rsidR="00273403" w:rsidRPr="002B14BC">
        <w:rPr>
          <w:rFonts w:ascii="Cambria" w:hAnsi="Cambria"/>
          <w:color w:val="000000" w:themeColor="text1"/>
          <w:lang w:val="en-US"/>
        </w:rPr>
        <w:t>t</w:t>
      </w:r>
      <w:r w:rsidRPr="002B14BC">
        <w:rPr>
          <w:rFonts w:ascii="Cambria" w:hAnsi="Cambria"/>
          <w:color w:val="000000" w:themeColor="text1"/>
          <w:lang w:val="en-US"/>
        </w:rPr>
        <w:t xml:space="preserve">.  </w:t>
      </w:r>
    </w:p>
    <w:p w14:paraId="28279CED" w14:textId="77777777" w:rsidR="003E7866" w:rsidRPr="002B14BC" w:rsidRDefault="003E7866" w:rsidP="003E7866">
      <w:pPr>
        <w:pStyle w:val="NoSpacing"/>
        <w:rPr>
          <w:rFonts w:ascii="Cambria" w:hAnsi="Cambria" w:cs="Arial"/>
          <w:color w:val="000000" w:themeColor="text1"/>
        </w:rPr>
      </w:pPr>
    </w:p>
    <w:p w14:paraId="12BBEC6B" w14:textId="77777777" w:rsidR="003E7866" w:rsidRPr="002B14BC" w:rsidRDefault="003E7866" w:rsidP="003E7866">
      <w:pPr>
        <w:pStyle w:val="NoSpacing"/>
        <w:numPr>
          <w:ilvl w:val="0"/>
          <w:numId w:val="5"/>
        </w:numPr>
        <w:jc w:val="both"/>
        <w:rPr>
          <w:rFonts w:ascii="Cambria" w:hAnsi="Cambria"/>
          <w:b/>
          <w:bCs/>
          <w:i/>
          <w:iCs/>
          <w:color w:val="000000" w:themeColor="text1"/>
        </w:rPr>
      </w:pPr>
      <w:r w:rsidRPr="002B14BC">
        <w:rPr>
          <w:rFonts w:ascii="Cambria" w:hAnsi="Cambria"/>
          <w:b/>
          <w:bCs/>
          <w:i/>
          <w:iCs/>
          <w:color w:val="000000" w:themeColor="text1"/>
        </w:rPr>
        <w:t>The revolving door</w:t>
      </w:r>
    </w:p>
    <w:p w14:paraId="4E6980D0" w14:textId="0D80D50A" w:rsidR="003E7866" w:rsidRPr="002B14BC" w:rsidRDefault="003E7866" w:rsidP="003E7866">
      <w:pPr>
        <w:pStyle w:val="NoSpacing"/>
        <w:jc w:val="both"/>
        <w:rPr>
          <w:rFonts w:ascii="Cambria" w:hAnsi="Cambria"/>
          <w:color w:val="000000" w:themeColor="text1"/>
        </w:rPr>
      </w:pPr>
      <w:r w:rsidRPr="002B14BC">
        <w:rPr>
          <w:rFonts w:ascii="Cambria" w:hAnsi="Cambria"/>
          <w:color w:val="000000" w:themeColor="text1"/>
        </w:rPr>
        <w:t xml:space="preserve">The integrity of government decision-making is compromised when members of parliament and other public officers are able to move into commercial and in-house lobbying roles immediately upon their departure from government. The current lack of regulation in Tasmania </w:t>
      </w:r>
      <w:r w:rsidR="006A37BA" w:rsidRPr="002B14BC">
        <w:rPr>
          <w:rFonts w:ascii="Cambria" w:hAnsi="Cambria"/>
          <w:color w:val="000000" w:themeColor="text1"/>
        </w:rPr>
        <w:t xml:space="preserve">means that narrow vested interests may receive more favourable treatment than the public interest.       </w:t>
      </w:r>
    </w:p>
    <w:p w14:paraId="407F9164" w14:textId="77777777" w:rsidR="003E7866" w:rsidRPr="002B14BC" w:rsidRDefault="003E7866" w:rsidP="003E7866">
      <w:pPr>
        <w:pStyle w:val="NoSpacing"/>
        <w:jc w:val="both"/>
        <w:rPr>
          <w:rFonts w:ascii="Cambria" w:hAnsi="Cambria"/>
          <w:color w:val="000000" w:themeColor="text1"/>
        </w:rPr>
      </w:pPr>
    </w:p>
    <w:p w14:paraId="2016532B" w14:textId="7276C529" w:rsidR="009316C4" w:rsidRPr="002B14BC" w:rsidRDefault="003E7866" w:rsidP="003E7866">
      <w:pPr>
        <w:pStyle w:val="NoSpacing"/>
        <w:jc w:val="both"/>
        <w:rPr>
          <w:rFonts w:ascii="Cambria" w:hAnsi="Cambria"/>
          <w:color w:val="000000" w:themeColor="text1"/>
        </w:rPr>
      </w:pPr>
      <w:r w:rsidRPr="002B14BC">
        <w:rPr>
          <w:rFonts w:ascii="Cambria" w:hAnsi="Cambria"/>
          <w:color w:val="000000" w:themeColor="text1"/>
        </w:rPr>
        <w:t xml:space="preserve">As it stands, the Commonwealth Government’s </w:t>
      </w:r>
      <w:r w:rsidRPr="002B14BC">
        <w:rPr>
          <w:rFonts w:ascii="Cambria" w:hAnsi="Cambria"/>
          <w:i/>
          <w:iCs/>
          <w:color w:val="000000" w:themeColor="text1"/>
        </w:rPr>
        <w:t>Lobbying Code of Conduct</w:t>
      </w:r>
      <w:r w:rsidRPr="002B14BC">
        <w:rPr>
          <w:rFonts w:ascii="Cambria" w:hAnsi="Cambria"/>
          <w:color w:val="000000" w:themeColor="text1"/>
        </w:rPr>
        <w:t xml:space="preserve"> prohibits ministers and parliamentary secretaries from engaging in lobbying activities in their former portfolio area for 18 months after leaving office whilst ministerial advisers and senior public servants are prohibited for 12 months.</w:t>
      </w:r>
      <w:r w:rsidRPr="002B14BC">
        <w:rPr>
          <w:rStyle w:val="FootnoteReference"/>
          <w:rFonts w:ascii="Cambria" w:hAnsi="Cambria"/>
          <w:color w:val="000000" w:themeColor="text1"/>
        </w:rPr>
        <w:footnoteReference w:id="6"/>
      </w:r>
      <w:r w:rsidRPr="002B14BC">
        <w:rPr>
          <w:rFonts w:ascii="Cambria" w:hAnsi="Cambria"/>
          <w:color w:val="000000" w:themeColor="text1"/>
        </w:rPr>
        <w:t xml:space="preserve"> </w:t>
      </w:r>
      <w:r w:rsidR="009316C4" w:rsidRPr="002B14BC">
        <w:rPr>
          <w:rFonts w:ascii="Cambria" w:hAnsi="Cambria"/>
          <w:color w:val="000000" w:themeColor="text1"/>
        </w:rPr>
        <w:t>In our opinion,</w:t>
      </w:r>
      <w:r w:rsidRPr="002B14BC">
        <w:rPr>
          <w:rFonts w:ascii="Cambria" w:hAnsi="Cambria"/>
          <w:color w:val="000000" w:themeColor="text1"/>
        </w:rPr>
        <w:t xml:space="preserve"> the Commonwealth model is too narrowly defined.</w:t>
      </w:r>
      <w:r w:rsidR="009316C4" w:rsidRPr="002B14BC">
        <w:rPr>
          <w:rFonts w:ascii="Cambria" w:hAnsi="Cambria"/>
          <w:color w:val="000000" w:themeColor="text1"/>
        </w:rPr>
        <w:t xml:space="preserve"> We strongly recommend t</w:t>
      </w:r>
      <w:r w:rsidRPr="002B14BC">
        <w:rPr>
          <w:rFonts w:ascii="Cambria" w:hAnsi="Cambria"/>
          <w:color w:val="000000" w:themeColor="text1"/>
        </w:rPr>
        <w:t xml:space="preserve">he </w:t>
      </w:r>
      <w:r w:rsidR="009316C4" w:rsidRPr="002B14BC">
        <w:rPr>
          <w:rFonts w:ascii="Cambria" w:hAnsi="Cambria"/>
          <w:color w:val="000000" w:themeColor="text1"/>
        </w:rPr>
        <w:t xml:space="preserve">adoption of the </w:t>
      </w:r>
      <w:r w:rsidRPr="002B14BC">
        <w:rPr>
          <w:rFonts w:ascii="Cambria" w:hAnsi="Cambria"/>
          <w:color w:val="000000" w:themeColor="text1"/>
        </w:rPr>
        <w:t>Canadian model</w:t>
      </w:r>
      <w:r w:rsidR="009316C4" w:rsidRPr="002B14BC">
        <w:rPr>
          <w:rFonts w:ascii="Cambria" w:hAnsi="Cambria"/>
          <w:color w:val="000000" w:themeColor="text1"/>
        </w:rPr>
        <w:t xml:space="preserve"> </w:t>
      </w:r>
      <w:r w:rsidRPr="002B14BC">
        <w:rPr>
          <w:rFonts w:ascii="Cambria" w:hAnsi="Cambria"/>
          <w:color w:val="000000" w:themeColor="text1"/>
        </w:rPr>
        <w:t xml:space="preserve">because it extends to all members of parliament as well as ministerial advisers and </w:t>
      </w:r>
      <w:r w:rsidRPr="002B14BC">
        <w:rPr>
          <w:rFonts w:ascii="Cambria" w:hAnsi="Cambria"/>
          <w:color w:val="000000" w:themeColor="text1"/>
        </w:rPr>
        <w:lastRenderedPageBreak/>
        <w:t>senior public servants. Importantly, there is a five-year prohibition on acting as either a commercial or in-house lobbyist.</w:t>
      </w:r>
      <w:r w:rsidRPr="002B14BC">
        <w:rPr>
          <w:rStyle w:val="FootnoteReference"/>
          <w:rFonts w:ascii="Cambria" w:hAnsi="Cambria"/>
          <w:color w:val="000000" w:themeColor="text1"/>
        </w:rPr>
        <w:footnoteReference w:id="7"/>
      </w:r>
      <w:r w:rsidR="009316C4" w:rsidRPr="002B14BC">
        <w:rPr>
          <w:rFonts w:ascii="Cambria" w:hAnsi="Cambria"/>
          <w:color w:val="000000" w:themeColor="text1"/>
        </w:rPr>
        <w:t xml:space="preserve"> The importance of a longer prohibition is</w:t>
      </w:r>
      <w:r w:rsidR="006A37BA" w:rsidRPr="002B14BC">
        <w:rPr>
          <w:rFonts w:ascii="Cambria" w:hAnsi="Cambria"/>
          <w:color w:val="000000" w:themeColor="text1"/>
        </w:rPr>
        <w:t xml:space="preserve"> the recognition that former members of parliament and other public officers will be less connected to their former colleagues and as a result are less likely to disproportionately influence government decision-making. </w:t>
      </w:r>
      <w:r w:rsidR="009316C4" w:rsidRPr="002B14BC">
        <w:rPr>
          <w:rFonts w:ascii="Cambria" w:hAnsi="Cambria"/>
          <w:color w:val="000000" w:themeColor="text1"/>
        </w:rPr>
        <w:t xml:space="preserve"> </w:t>
      </w:r>
    </w:p>
    <w:p w14:paraId="5176ACCE" w14:textId="50D03EDD" w:rsidR="00224602" w:rsidRPr="002B14BC" w:rsidRDefault="00224602" w:rsidP="003E7866">
      <w:pPr>
        <w:pStyle w:val="NoSpacing"/>
        <w:jc w:val="both"/>
        <w:rPr>
          <w:rFonts w:ascii="Cambria" w:hAnsi="Cambria"/>
          <w:color w:val="000000" w:themeColor="text1"/>
        </w:rPr>
      </w:pPr>
    </w:p>
    <w:p w14:paraId="600890EE" w14:textId="5873DB07" w:rsidR="00224602" w:rsidRPr="002B14BC" w:rsidRDefault="00224602" w:rsidP="00224602">
      <w:pPr>
        <w:pStyle w:val="NoSpacing"/>
        <w:numPr>
          <w:ilvl w:val="0"/>
          <w:numId w:val="5"/>
        </w:numPr>
        <w:jc w:val="both"/>
        <w:rPr>
          <w:rFonts w:ascii="Cambria" w:hAnsi="Cambria"/>
          <w:b/>
          <w:bCs/>
          <w:i/>
          <w:iCs/>
          <w:color w:val="000000" w:themeColor="text1"/>
        </w:rPr>
      </w:pPr>
      <w:r w:rsidRPr="002B14BC">
        <w:rPr>
          <w:rFonts w:ascii="Cambria" w:hAnsi="Cambria"/>
          <w:b/>
          <w:bCs/>
          <w:i/>
          <w:iCs/>
          <w:color w:val="000000" w:themeColor="text1"/>
        </w:rPr>
        <w:t>Success fees</w:t>
      </w:r>
    </w:p>
    <w:p w14:paraId="6FA685F0" w14:textId="7FBB1C94" w:rsidR="00224602" w:rsidRPr="002B14BC" w:rsidRDefault="00224602" w:rsidP="00224602">
      <w:pPr>
        <w:pStyle w:val="NoSpacing"/>
        <w:jc w:val="both"/>
        <w:rPr>
          <w:rFonts w:ascii="Cambria" w:hAnsi="Cambria"/>
          <w:color w:val="000000" w:themeColor="text1"/>
        </w:rPr>
      </w:pPr>
      <w:r w:rsidRPr="002B14BC">
        <w:rPr>
          <w:rFonts w:ascii="Cambria" w:hAnsi="Cambria"/>
          <w:color w:val="000000" w:themeColor="text1"/>
        </w:rPr>
        <w:t>All States in Australia except Tasmania prohibit the paying or receiving of success fees.</w:t>
      </w:r>
      <w:r w:rsidRPr="002B14BC">
        <w:rPr>
          <w:rStyle w:val="FootnoteReference"/>
          <w:rFonts w:ascii="Cambria" w:hAnsi="Cambria"/>
          <w:color w:val="000000" w:themeColor="text1"/>
        </w:rPr>
        <w:footnoteReference w:id="8"/>
      </w:r>
      <w:r w:rsidRPr="002B14BC">
        <w:rPr>
          <w:rFonts w:ascii="Cambria" w:hAnsi="Cambria"/>
          <w:color w:val="000000" w:themeColor="text1"/>
        </w:rPr>
        <w:t xml:space="preserve"> We strongly believe that success fees should be prohibited because of the risk that they encourage misconduct.      </w:t>
      </w:r>
    </w:p>
    <w:p w14:paraId="0E89E467" w14:textId="77777777" w:rsidR="003E7866" w:rsidRPr="002B14BC" w:rsidRDefault="003E7866" w:rsidP="002A399A">
      <w:pPr>
        <w:pStyle w:val="NoSpacing"/>
        <w:jc w:val="both"/>
        <w:rPr>
          <w:rFonts w:ascii="Cambria" w:hAnsi="Cambria"/>
          <w:color w:val="000000" w:themeColor="text1"/>
        </w:rPr>
      </w:pPr>
    </w:p>
    <w:p w14:paraId="74818711" w14:textId="3AFF1354" w:rsidR="003E7866" w:rsidRPr="002B14BC" w:rsidRDefault="003E7866" w:rsidP="002A399A">
      <w:pPr>
        <w:pStyle w:val="NoSpacing"/>
        <w:numPr>
          <w:ilvl w:val="0"/>
          <w:numId w:val="5"/>
        </w:numPr>
        <w:jc w:val="both"/>
        <w:rPr>
          <w:rFonts w:ascii="Cambria" w:hAnsi="Cambria"/>
          <w:b/>
          <w:bCs/>
          <w:i/>
          <w:iCs/>
          <w:color w:val="000000" w:themeColor="text1"/>
        </w:rPr>
      </w:pPr>
      <w:r w:rsidRPr="002B14BC">
        <w:rPr>
          <w:rFonts w:ascii="Cambria" w:hAnsi="Cambria"/>
          <w:b/>
          <w:bCs/>
          <w:i/>
          <w:iCs/>
          <w:color w:val="000000" w:themeColor="text1"/>
        </w:rPr>
        <w:t>Adequate resourcing and other safeguards</w:t>
      </w:r>
    </w:p>
    <w:p w14:paraId="2DF1F0DC" w14:textId="7BB46FAC" w:rsidR="002A399A" w:rsidRPr="002B14BC" w:rsidRDefault="00A535ED" w:rsidP="002A399A">
      <w:pPr>
        <w:pStyle w:val="NoSpacing"/>
        <w:jc w:val="both"/>
        <w:rPr>
          <w:rFonts w:ascii="Cambria" w:hAnsi="Cambria"/>
          <w:color w:val="000000" w:themeColor="text1"/>
        </w:rPr>
      </w:pPr>
      <w:r w:rsidRPr="002B14BC">
        <w:rPr>
          <w:rFonts w:ascii="Cambria" w:hAnsi="Cambria"/>
          <w:color w:val="000000" w:themeColor="text1"/>
        </w:rPr>
        <w:t>We strongly support the administration of the Tasmanian Code of Conduct being transferred from the Department of Premier and Cabinet to the Integrity Commission, an independent statutory authority. In our opinion, this will ensure</w:t>
      </w:r>
      <w:r w:rsidR="00E72B4C" w:rsidRPr="002B14BC">
        <w:rPr>
          <w:rFonts w:ascii="Cambria" w:hAnsi="Cambria"/>
          <w:color w:val="000000" w:themeColor="text1"/>
        </w:rPr>
        <w:t xml:space="preserve"> greater</w:t>
      </w:r>
      <w:r w:rsidRPr="002B14BC">
        <w:rPr>
          <w:rFonts w:ascii="Cambria" w:hAnsi="Cambria"/>
          <w:color w:val="000000" w:themeColor="text1"/>
        </w:rPr>
        <w:t xml:space="preserve"> independence from Government. However, it is crucial that the Integrity Commission </w:t>
      </w:r>
      <w:r w:rsidR="003E7866" w:rsidRPr="002B14BC">
        <w:rPr>
          <w:rFonts w:ascii="Cambria" w:hAnsi="Cambria"/>
          <w:color w:val="000000" w:themeColor="text1"/>
        </w:rPr>
        <w:t>receive</w:t>
      </w:r>
      <w:r w:rsidRPr="002B14BC">
        <w:rPr>
          <w:rFonts w:ascii="Cambria" w:hAnsi="Cambria"/>
          <w:color w:val="000000" w:themeColor="text1"/>
        </w:rPr>
        <w:t xml:space="preserve"> </w:t>
      </w:r>
      <w:r w:rsidR="0029219C" w:rsidRPr="002B14BC">
        <w:rPr>
          <w:rFonts w:ascii="Cambria" w:hAnsi="Cambria"/>
          <w:color w:val="000000" w:themeColor="text1"/>
        </w:rPr>
        <w:t xml:space="preserve">adequate </w:t>
      </w:r>
      <w:r w:rsidRPr="002B14BC">
        <w:rPr>
          <w:rFonts w:ascii="Cambria" w:hAnsi="Cambria"/>
          <w:color w:val="000000" w:themeColor="text1"/>
        </w:rPr>
        <w:t xml:space="preserve">resourcing to ensure that it can effectively regulate </w:t>
      </w:r>
      <w:r w:rsidR="000B23D2" w:rsidRPr="002B14BC">
        <w:rPr>
          <w:rFonts w:ascii="Cambria" w:hAnsi="Cambria"/>
          <w:color w:val="000000" w:themeColor="text1"/>
        </w:rPr>
        <w:t xml:space="preserve">the </w:t>
      </w:r>
      <w:r w:rsidRPr="002B14BC">
        <w:rPr>
          <w:rFonts w:ascii="Cambria" w:hAnsi="Cambria"/>
          <w:color w:val="000000" w:themeColor="text1"/>
        </w:rPr>
        <w:t>lobbying</w:t>
      </w:r>
      <w:r w:rsidR="000B23D2" w:rsidRPr="002B14BC">
        <w:rPr>
          <w:rFonts w:ascii="Cambria" w:hAnsi="Cambria"/>
          <w:color w:val="000000" w:themeColor="text1"/>
        </w:rPr>
        <w:t xml:space="preserve"> industry</w:t>
      </w:r>
      <w:r w:rsidRPr="002B14BC">
        <w:rPr>
          <w:rFonts w:ascii="Cambria" w:hAnsi="Cambria"/>
          <w:color w:val="000000" w:themeColor="text1"/>
        </w:rPr>
        <w:t xml:space="preserve"> and take appropriate enforcement action.</w:t>
      </w:r>
      <w:r w:rsidR="003E7866" w:rsidRPr="002B14BC">
        <w:rPr>
          <w:rFonts w:ascii="Cambria" w:hAnsi="Cambria"/>
          <w:color w:val="000000" w:themeColor="text1"/>
        </w:rPr>
        <w:t xml:space="preserve"> Finally, w</w:t>
      </w:r>
      <w:r w:rsidR="002A399A" w:rsidRPr="002B14BC">
        <w:rPr>
          <w:rFonts w:ascii="Cambria" w:hAnsi="Cambria"/>
          <w:color w:val="000000" w:themeColor="text1"/>
        </w:rPr>
        <w:t xml:space="preserve">e note that </w:t>
      </w:r>
      <w:r w:rsidR="003E7866" w:rsidRPr="002B14BC">
        <w:rPr>
          <w:rFonts w:ascii="Cambria" w:hAnsi="Cambria"/>
          <w:color w:val="000000" w:themeColor="text1"/>
        </w:rPr>
        <w:t xml:space="preserve">greater </w:t>
      </w:r>
      <w:r w:rsidR="002A399A" w:rsidRPr="002B14BC">
        <w:rPr>
          <w:rFonts w:ascii="Cambria" w:hAnsi="Cambria"/>
          <w:color w:val="000000" w:themeColor="text1"/>
        </w:rPr>
        <w:t xml:space="preserve">regulation of lobbying alone will not improve confidence in the integrity of political institutions but </w:t>
      </w:r>
      <w:r w:rsidR="003E7866" w:rsidRPr="002B14BC">
        <w:rPr>
          <w:rFonts w:ascii="Cambria" w:hAnsi="Cambria"/>
          <w:color w:val="000000" w:themeColor="text1"/>
        </w:rPr>
        <w:t xml:space="preserve">must be introduced together with </w:t>
      </w:r>
      <w:r w:rsidR="002A399A" w:rsidRPr="002B14BC">
        <w:rPr>
          <w:rFonts w:ascii="Cambria" w:hAnsi="Cambria"/>
          <w:color w:val="000000" w:themeColor="text1"/>
        </w:rPr>
        <w:t xml:space="preserve">strong political donation legislation and improved </w:t>
      </w:r>
      <w:r w:rsidR="00D8770F" w:rsidRPr="002B14BC">
        <w:rPr>
          <w:rFonts w:ascii="Cambria" w:hAnsi="Cambria"/>
          <w:color w:val="000000" w:themeColor="text1"/>
        </w:rPr>
        <w:t>r</w:t>
      </w:r>
      <w:r w:rsidR="002A399A" w:rsidRPr="002B14BC">
        <w:rPr>
          <w:rFonts w:ascii="Cambria" w:hAnsi="Cambria"/>
          <w:color w:val="000000" w:themeColor="text1"/>
        </w:rPr>
        <w:t>ight to information legislation.</w:t>
      </w:r>
      <w:r w:rsidR="00E72B4C" w:rsidRPr="002B14BC">
        <w:rPr>
          <w:rStyle w:val="FootnoteReference"/>
          <w:rFonts w:ascii="Cambria" w:hAnsi="Cambria"/>
          <w:color w:val="000000" w:themeColor="text1"/>
        </w:rPr>
        <w:footnoteReference w:id="9"/>
      </w:r>
      <w:r w:rsidR="002A399A" w:rsidRPr="002B14BC">
        <w:rPr>
          <w:rFonts w:ascii="Cambria" w:hAnsi="Cambria"/>
          <w:color w:val="000000" w:themeColor="text1"/>
        </w:rPr>
        <w:t xml:space="preserve"> </w:t>
      </w:r>
    </w:p>
    <w:p w14:paraId="35E0CF27" w14:textId="77777777" w:rsidR="00C72E5D" w:rsidRPr="002B14BC" w:rsidRDefault="00C72E5D" w:rsidP="009536C2">
      <w:pPr>
        <w:rPr>
          <w:rFonts w:ascii="Cambria" w:hAnsi="Cambria"/>
          <w:color w:val="000000" w:themeColor="text1"/>
        </w:rPr>
      </w:pPr>
    </w:p>
    <w:p w14:paraId="6D540102" w14:textId="3307309D" w:rsidR="009536C2" w:rsidRPr="002B14BC" w:rsidRDefault="009536C2" w:rsidP="009536C2">
      <w:pPr>
        <w:rPr>
          <w:rFonts w:ascii="Cambria" w:hAnsi="Cambria"/>
          <w:color w:val="000000" w:themeColor="text1"/>
        </w:rPr>
      </w:pPr>
      <w:r w:rsidRPr="002B14BC">
        <w:rPr>
          <w:rFonts w:ascii="Cambria" w:hAnsi="Cambria"/>
          <w:color w:val="000000" w:themeColor="text1"/>
        </w:rPr>
        <w:t xml:space="preserve">If you have any queries, or would like to discuss our submission further, please do not hesitate to contact us. </w:t>
      </w:r>
    </w:p>
    <w:p w14:paraId="4AB78943" w14:textId="77777777" w:rsidR="009536C2" w:rsidRPr="002B14BC" w:rsidRDefault="009536C2" w:rsidP="009536C2">
      <w:pPr>
        <w:rPr>
          <w:rFonts w:ascii="Cambria" w:hAnsi="Cambria"/>
        </w:rPr>
      </w:pPr>
    </w:p>
    <w:p w14:paraId="7E199997" w14:textId="77777777" w:rsidR="009536C2" w:rsidRPr="002B14BC" w:rsidRDefault="009536C2" w:rsidP="009536C2">
      <w:pPr>
        <w:rPr>
          <w:rFonts w:ascii="Cambria" w:hAnsi="Cambria"/>
        </w:rPr>
      </w:pPr>
    </w:p>
    <w:p w14:paraId="43C80F11" w14:textId="061640D7" w:rsidR="009536C2" w:rsidRPr="002B14BC" w:rsidRDefault="009536C2" w:rsidP="009536C2">
      <w:pPr>
        <w:rPr>
          <w:rFonts w:ascii="Cambria" w:hAnsi="Cambria"/>
        </w:rPr>
      </w:pPr>
      <w:r w:rsidRPr="002B14BC">
        <w:rPr>
          <w:rFonts w:ascii="Cambria" w:hAnsi="Cambria"/>
        </w:rPr>
        <w:t>Yours faithfully,</w:t>
      </w:r>
    </w:p>
    <w:p w14:paraId="6CF6C648" w14:textId="77777777" w:rsidR="009536C2" w:rsidRPr="002B14BC" w:rsidRDefault="009536C2" w:rsidP="009536C2">
      <w:pPr>
        <w:rPr>
          <w:rFonts w:ascii="Cambria" w:hAnsi="Cambria"/>
        </w:rPr>
      </w:pPr>
    </w:p>
    <w:p w14:paraId="488DCB67" w14:textId="7368D446" w:rsidR="003E7866" w:rsidRDefault="003E7866" w:rsidP="009536C2">
      <w:pPr>
        <w:rPr>
          <w:rFonts w:ascii="Cambria" w:hAnsi="Cambria"/>
        </w:rPr>
      </w:pPr>
    </w:p>
    <w:p w14:paraId="17A48455" w14:textId="77777777" w:rsidR="002B14BC" w:rsidRPr="002B14BC" w:rsidRDefault="002B14BC" w:rsidP="009536C2">
      <w:pPr>
        <w:rPr>
          <w:rFonts w:ascii="Cambria" w:hAnsi="Cambria"/>
        </w:rPr>
      </w:pPr>
    </w:p>
    <w:p w14:paraId="5221A075" w14:textId="75B8AB3A" w:rsidR="009536C2" w:rsidRPr="002B14BC" w:rsidRDefault="009536C2" w:rsidP="009536C2">
      <w:pPr>
        <w:rPr>
          <w:rFonts w:ascii="Cambria" w:hAnsi="Cambria"/>
        </w:rPr>
      </w:pPr>
      <w:r w:rsidRPr="002B14BC">
        <w:rPr>
          <w:rFonts w:ascii="Cambria" w:hAnsi="Cambria"/>
        </w:rPr>
        <w:t>Benedict Bartl</w:t>
      </w:r>
    </w:p>
    <w:p w14:paraId="6F157C59" w14:textId="77777777" w:rsidR="009536C2" w:rsidRPr="002B14BC" w:rsidRDefault="009536C2" w:rsidP="009536C2">
      <w:pPr>
        <w:rPr>
          <w:rFonts w:ascii="Cambria" w:hAnsi="Cambria"/>
        </w:rPr>
      </w:pPr>
      <w:r w:rsidRPr="002B14BC">
        <w:rPr>
          <w:rFonts w:ascii="Cambria" w:hAnsi="Cambria"/>
        </w:rPr>
        <w:t>Policy Officer</w:t>
      </w:r>
    </w:p>
    <w:p w14:paraId="265045FD" w14:textId="77777777" w:rsidR="009536C2" w:rsidRPr="002B14BC" w:rsidRDefault="009536C2" w:rsidP="009536C2">
      <w:pPr>
        <w:pBdr>
          <w:bottom w:val="single" w:sz="6" w:space="1" w:color="auto"/>
        </w:pBdr>
        <w:rPr>
          <w:rFonts w:ascii="Cambria" w:hAnsi="Cambria"/>
          <w:b/>
          <w:bCs/>
        </w:rPr>
      </w:pPr>
      <w:r w:rsidRPr="002B14BC">
        <w:rPr>
          <w:rFonts w:ascii="Cambria" w:hAnsi="Cambria"/>
          <w:b/>
          <w:bCs/>
        </w:rPr>
        <w:t>Community Legal Centres Tasmania</w:t>
      </w:r>
    </w:p>
    <w:p w14:paraId="14E95D94" w14:textId="77777777" w:rsidR="006A37BA" w:rsidRPr="002B14BC" w:rsidRDefault="006A37BA" w:rsidP="006A37BA">
      <w:pPr>
        <w:pStyle w:val="xmsonormal0"/>
        <w:shd w:val="clear" w:color="auto" w:fill="FFFFFF"/>
        <w:spacing w:before="0" w:beforeAutospacing="0" w:after="0" w:afterAutospacing="0"/>
        <w:jc w:val="both"/>
        <w:rPr>
          <w:rFonts w:ascii="Cambria" w:hAnsi="Cambria"/>
          <w:color w:val="FF0000"/>
        </w:rPr>
      </w:pPr>
      <w:r w:rsidRPr="002B14BC">
        <w:rPr>
          <w:rFonts w:ascii="Cambria" w:hAnsi="Cambria"/>
          <w:color w:val="FF0000"/>
          <w:bdr w:val="none" w:sz="0" w:space="0" w:color="auto" w:frame="1"/>
        </w:rPr>
        <w:t> </w:t>
      </w:r>
    </w:p>
    <w:p w14:paraId="1A4CF63F" w14:textId="1DC1636C" w:rsidR="003E7866" w:rsidRPr="004A3E67" w:rsidRDefault="003E7866" w:rsidP="004A3E67">
      <w:pPr>
        <w:pStyle w:val="xmsonormal"/>
        <w:shd w:val="clear" w:color="auto" w:fill="FFFFFF"/>
        <w:spacing w:before="0" w:beforeAutospacing="0" w:after="0" w:afterAutospacing="0"/>
        <w:jc w:val="both"/>
        <w:rPr>
          <w:rFonts w:ascii="Cambria" w:hAnsi="Cambria"/>
          <w:color w:val="000000" w:themeColor="text1"/>
        </w:rPr>
      </w:pPr>
      <w:r>
        <w:rPr>
          <w:rFonts w:ascii="Cambria" w:hAnsi="Cambria"/>
          <w:color w:val="000000" w:themeColor="text1"/>
        </w:rPr>
        <w:t xml:space="preserve"> </w:t>
      </w:r>
    </w:p>
    <w:sectPr w:rsidR="003E7866" w:rsidRPr="004A3E67" w:rsidSect="00215FCE">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33A3A" w14:textId="77777777" w:rsidR="00AA1D30" w:rsidRDefault="00AA1D30" w:rsidP="009536C2">
      <w:r>
        <w:separator/>
      </w:r>
    </w:p>
  </w:endnote>
  <w:endnote w:type="continuationSeparator" w:id="0">
    <w:p w14:paraId="7D6F3CEF" w14:textId="77777777" w:rsidR="00AA1D30" w:rsidRDefault="00AA1D30" w:rsidP="0095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742174"/>
      <w:docPartObj>
        <w:docPartGallery w:val="Page Numbers (Bottom of Page)"/>
        <w:docPartUnique/>
      </w:docPartObj>
    </w:sdtPr>
    <w:sdtEndPr>
      <w:rPr>
        <w:rStyle w:val="PageNumber"/>
      </w:rPr>
    </w:sdtEndPr>
    <w:sdtContent>
      <w:p w14:paraId="26DC8C5F" w14:textId="77777777" w:rsidR="00FD3C4D" w:rsidRDefault="000B2CF7" w:rsidP="00E505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01DECB" w14:textId="77777777" w:rsidR="00FD3C4D" w:rsidRDefault="00AA1D30" w:rsidP="00FD3C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0044749"/>
      <w:docPartObj>
        <w:docPartGallery w:val="Page Numbers (Bottom of Page)"/>
        <w:docPartUnique/>
      </w:docPartObj>
    </w:sdtPr>
    <w:sdtEndPr>
      <w:rPr>
        <w:rStyle w:val="PageNumber"/>
      </w:rPr>
    </w:sdtEndPr>
    <w:sdtContent>
      <w:p w14:paraId="12A45227" w14:textId="77777777" w:rsidR="00FD3C4D" w:rsidRDefault="000B2CF7" w:rsidP="00E505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F0624E" w14:textId="77777777" w:rsidR="00FD3C4D" w:rsidRDefault="00AA1D30" w:rsidP="00FD3C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54920" w14:textId="77777777" w:rsidR="00AA1D30" w:rsidRDefault="00AA1D30" w:rsidP="009536C2">
      <w:r>
        <w:separator/>
      </w:r>
    </w:p>
  </w:footnote>
  <w:footnote w:type="continuationSeparator" w:id="0">
    <w:p w14:paraId="402E40D8" w14:textId="77777777" w:rsidR="00AA1D30" w:rsidRDefault="00AA1D30" w:rsidP="009536C2">
      <w:r>
        <w:continuationSeparator/>
      </w:r>
    </w:p>
  </w:footnote>
  <w:footnote w:id="1">
    <w:p w14:paraId="1A8CC3A3" w14:textId="77777777" w:rsidR="00FB2A58" w:rsidRPr="002B14BC" w:rsidRDefault="00FB2A58" w:rsidP="00FB2A58">
      <w:pPr>
        <w:pStyle w:val="FootnoteText"/>
        <w:rPr>
          <w:rFonts w:ascii="Cambria" w:hAnsi="Cambria"/>
          <w:lang w:val="en-AU"/>
        </w:rPr>
      </w:pPr>
      <w:r w:rsidRPr="002B14BC">
        <w:rPr>
          <w:rStyle w:val="FootnoteReference"/>
          <w:rFonts w:ascii="Cambria" w:hAnsi="Cambria"/>
        </w:rPr>
        <w:footnoteRef/>
      </w:r>
      <w:r w:rsidRPr="002B14BC">
        <w:rPr>
          <w:rFonts w:ascii="Cambria" w:hAnsi="Cambria"/>
        </w:rPr>
        <w:t xml:space="preserve"> </w:t>
      </w:r>
      <w:r w:rsidRPr="002B14BC">
        <w:rPr>
          <w:rFonts w:ascii="Cambria" w:hAnsi="Cambria"/>
          <w:sz w:val="20"/>
          <w:szCs w:val="20"/>
        </w:rPr>
        <w:t xml:space="preserve">Integrity Commission, </w:t>
      </w:r>
      <w:r w:rsidRPr="002B14BC">
        <w:rPr>
          <w:rFonts w:ascii="Cambria" w:hAnsi="Cambria"/>
          <w:i/>
          <w:iCs/>
          <w:sz w:val="20"/>
          <w:szCs w:val="20"/>
        </w:rPr>
        <w:t>Reforming Oversight of Lobbying in Tasmania</w:t>
      </w:r>
      <w:r w:rsidRPr="002B14BC">
        <w:rPr>
          <w:rFonts w:ascii="Cambria" w:hAnsi="Cambria"/>
          <w:sz w:val="20"/>
          <w:szCs w:val="20"/>
        </w:rPr>
        <w:t xml:space="preserve"> (May 2022) at 7.</w:t>
      </w:r>
      <w:r w:rsidRPr="002B14BC">
        <w:rPr>
          <w:rFonts w:ascii="Cambria" w:hAnsi="Cambria"/>
        </w:rPr>
        <w:t xml:space="preserve"> </w:t>
      </w:r>
    </w:p>
  </w:footnote>
  <w:footnote w:id="2">
    <w:p w14:paraId="3E0B0399" w14:textId="77777777" w:rsidR="00FB2A58" w:rsidRPr="002B14BC" w:rsidRDefault="00FB2A58" w:rsidP="00FB2A58">
      <w:pPr>
        <w:pStyle w:val="FootnoteText"/>
        <w:rPr>
          <w:rFonts w:ascii="Cambria" w:hAnsi="Cambria"/>
          <w:lang w:val="en-AU"/>
        </w:rPr>
      </w:pPr>
      <w:r w:rsidRPr="002B14BC">
        <w:rPr>
          <w:rStyle w:val="FootnoteReference"/>
          <w:rFonts w:ascii="Cambria" w:hAnsi="Cambria"/>
        </w:rPr>
        <w:footnoteRef/>
      </w:r>
      <w:r w:rsidRPr="002B14BC">
        <w:rPr>
          <w:rFonts w:ascii="Cambria" w:hAnsi="Cambria"/>
        </w:rPr>
        <w:t xml:space="preserve"> </w:t>
      </w:r>
      <w:r w:rsidRPr="002B14BC">
        <w:rPr>
          <w:rFonts w:ascii="Cambria" w:hAnsi="Cambria"/>
          <w:sz w:val="20"/>
          <w:szCs w:val="20"/>
        </w:rPr>
        <w:t xml:space="preserve">Section 6(2) of the </w:t>
      </w:r>
      <w:r w:rsidRPr="002B14BC">
        <w:rPr>
          <w:rFonts w:ascii="Cambria" w:hAnsi="Cambria"/>
          <w:i/>
          <w:iCs/>
          <w:sz w:val="20"/>
          <w:szCs w:val="20"/>
        </w:rPr>
        <w:t>Lobbying (Scotland) Act 2016</w:t>
      </w:r>
      <w:r w:rsidRPr="002B14BC">
        <w:rPr>
          <w:rFonts w:ascii="Cambria" w:hAnsi="Cambria"/>
          <w:sz w:val="20"/>
          <w:szCs w:val="20"/>
        </w:rPr>
        <w:t>.</w:t>
      </w:r>
    </w:p>
  </w:footnote>
  <w:footnote w:id="3">
    <w:p w14:paraId="4795D368" w14:textId="77777777" w:rsidR="00FB2A58" w:rsidRPr="002B14BC" w:rsidRDefault="00FB2A58" w:rsidP="00FB2A58">
      <w:pPr>
        <w:pStyle w:val="FootnoteText"/>
        <w:rPr>
          <w:rFonts w:ascii="Cambria" w:hAnsi="Cambria"/>
          <w:lang w:val="en-AU"/>
        </w:rPr>
      </w:pPr>
      <w:r w:rsidRPr="002B14BC">
        <w:rPr>
          <w:rStyle w:val="FootnoteReference"/>
          <w:rFonts w:ascii="Cambria" w:hAnsi="Cambria"/>
        </w:rPr>
        <w:footnoteRef/>
      </w:r>
      <w:r w:rsidRPr="002B14BC">
        <w:rPr>
          <w:rFonts w:ascii="Cambria" w:hAnsi="Cambria"/>
        </w:rPr>
        <w:t xml:space="preserve"> </w:t>
      </w:r>
      <w:r w:rsidRPr="002B14BC">
        <w:rPr>
          <w:rFonts w:ascii="Cambria" w:hAnsi="Cambria"/>
          <w:sz w:val="20"/>
          <w:szCs w:val="20"/>
        </w:rPr>
        <w:t xml:space="preserve">Section 8(2) of the </w:t>
      </w:r>
      <w:r w:rsidRPr="002B14BC">
        <w:rPr>
          <w:rFonts w:ascii="Cambria" w:hAnsi="Cambria"/>
          <w:i/>
          <w:iCs/>
          <w:sz w:val="20"/>
          <w:szCs w:val="20"/>
        </w:rPr>
        <w:t>Lobbying (Scotland) Act 2016</w:t>
      </w:r>
      <w:r w:rsidRPr="002B14BC">
        <w:rPr>
          <w:rFonts w:ascii="Cambria" w:hAnsi="Cambria"/>
          <w:sz w:val="20"/>
          <w:szCs w:val="20"/>
        </w:rPr>
        <w:t>.</w:t>
      </w:r>
    </w:p>
  </w:footnote>
  <w:footnote w:id="4">
    <w:p w14:paraId="0012F50C" w14:textId="570F4954" w:rsidR="00273403" w:rsidRPr="002B14BC" w:rsidRDefault="00273403">
      <w:pPr>
        <w:pStyle w:val="FootnoteText"/>
        <w:rPr>
          <w:rFonts w:ascii="Cambria" w:hAnsi="Cambria"/>
          <w:lang w:val="en-AU"/>
        </w:rPr>
      </w:pPr>
      <w:r w:rsidRPr="002B14BC">
        <w:rPr>
          <w:rStyle w:val="FootnoteReference"/>
          <w:rFonts w:ascii="Cambria" w:hAnsi="Cambria"/>
        </w:rPr>
        <w:footnoteRef/>
      </w:r>
      <w:r w:rsidRPr="002B14BC">
        <w:rPr>
          <w:rFonts w:ascii="Cambria" w:hAnsi="Cambria"/>
        </w:rPr>
        <w:t xml:space="preserve"> </w:t>
      </w:r>
      <w:r w:rsidRPr="002B14BC">
        <w:rPr>
          <w:rFonts w:ascii="Cambria" w:hAnsi="Cambria"/>
          <w:sz w:val="20"/>
          <w:szCs w:val="20"/>
          <w:lang w:val="en-AU"/>
        </w:rPr>
        <w:t xml:space="preserve">Queensland Government, Lobbyist records. As found at </w:t>
      </w:r>
      <w:hyperlink r:id="rId1" w:history="1">
        <w:r w:rsidRPr="002B14BC">
          <w:rPr>
            <w:rStyle w:val="Hyperlink"/>
            <w:rFonts w:ascii="Cambria" w:hAnsi="Cambria"/>
            <w:sz w:val="20"/>
            <w:szCs w:val="20"/>
            <w:lang w:val="en-AU"/>
          </w:rPr>
          <w:t>https://www.forgov.qld.gov.au/information-and-communication-technology/recordkeeping-and-information-management/recordkeeping/manage-specific-record-types-and-activities/lobbyist-records</w:t>
        </w:r>
      </w:hyperlink>
      <w:r w:rsidRPr="002B14BC">
        <w:rPr>
          <w:rFonts w:ascii="Cambria" w:hAnsi="Cambria"/>
          <w:sz w:val="20"/>
          <w:szCs w:val="20"/>
          <w:lang w:val="en-AU"/>
        </w:rPr>
        <w:t xml:space="preserve"> (Accessed </w:t>
      </w:r>
      <w:r w:rsidR="002B14BC" w:rsidRPr="002B14BC">
        <w:rPr>
          <w:rFonts w:ascii="Cambria" w:hAnsi="Cambria"/>
          <w:sz w:val="20"/>
          <w:szCs w:val="20"/>
          <w:lang w:val="en-AU"/>
        </w:rPr>
        <w:t>30</w:t>
      </w:r>
      <w:r w:rsidRPr="002B14BC">
        <w:rPr>
          <w:rFonts w:ascii="Cambria" w:hAnsi="Cambria"/>
          <w:sz w:val="20"/>
          <w:szCs w:val="20"/>
          <w:lang w:val="en-AU"/>
        </w:rPr>
        <w:t xml:space="preserve"> June 2022).</w:t>
      </w:r>
      <w:r w:rsidRPr="002B14BC">
        <w:rPr>
          <w:rFonts w:ascii="Cambria" w:hAnsi="Cambria"/>
          <w:lang w:val="en-AU"/>
        </w:rPr>
        <w:t xml:space="preserve"> </w:t>
      </w:r>
    </w:p>
  </w:footnote>
  <w:footnote w:id="5">
    <w:p w14:paraId="59DC19EA" w14:textId="2ECB73E0" w:rsidR="00FB2A58" w:rsidRPr="002B14BC" w:rsidRDefault="00FB2A58" w:rsidP="00FB2A58">
      <w:pPr>
        <w:pStyle w:val="FootnoteText"/>
        <w:rPr>
          <w:rFonts w:ascii="Cambria" w:hAnsi="Cambria"/>
          <w:lang w:val="en-AU"/>
        </w:rPr>
      </w:pPr>
      <w:r w:rsidRPr="002B14BC">
        <w:rPr>
          <w:rStyle w:val="FootnoteReference"/>
          <w:rFonts w:ascii="Cambria" w:hAnsi="Cambria"/>
        </w:rPr>
        <w:footnoteRef/>
      </w:r>
      <w:r w:rsidRPr="002B14BC">
        <w:rPr>
          <w:rFonts w:ascii="Cambria" w:hAnsi="Cambria"/>
        </w:rPr>
        <w:t xml:space="preserve"> </w:t>
      </w:r>
      <w:r w:rsidRPr="002B14BC">
        <w:rPr>
          <w:rFonts w:ascii="Cambria" w:hAnsi="Cambria"/>
          <w:sz w:val="20"/>
          <w:szCs w:val="20"/>
          <w:lang w:val="en-AU"/>
        </w:rPr>
        <w:t xml:space="preserve">Queensland Government, </w:t>
      </w:r>
      <w:r w:rsidRPr="002B14BC">
        <w:rPr>
          <w:rFonts w:ascii="Cambria" w:hAnsi="Cambria"/>
          <w:i/>
          <w:iCs/>
          <w:sz w:val="20"/>
          <w:szCs w:val="20"/>
          <w:lang w:val="en-AU"/>
        </w:rPr>
        <w:t>Ministerial Handbook</w:t>
      </w:r>
      <w:r w:rsidRPr="002B14BC">
        <w:rPr>
          <w:rFonts w:ascii="Cambria" w:hAnsi="Cambria"/>
          <w:sz w:val="20"/>
          <w:szCs w:val="20"/>
          <w:lang w:val="en-AU"/>
        </w:rPr>
        <w:t xml:space="preserve"> at 3.12. As found at </w:t>
      </w:r>
      <w:hyperlink r:id="rId2" w:history="1">
        <w:r w:rsidRPr="002B14BC">
          <w:rPr>
            <w:rStyle w:val="Hyperlink"/>
            <w:rFonts w:ascii="Cambria" w:hAnsi="Cambria"/>
            <w:sz w:val="20"/>
            <w:szCs w:val="20"/>
            <w:lang w:val="en-AU"/>
          </w:rPr>
          <w:t>https://www.premiers.qld.gov.au/publications/categories/policies-and-codes/handbooks/ministerial-handbook/ethics/ministerialdiaries.aspx</w:t>
        </w:r>
      </w:hyperlink>
      <w:r w:rsidRPr="002B14BC">
        <w:rPr>
          <w:rFonts w:ascii="Cambria" w:hAnsi="Cambria"/>
          <w:sz w:val="20"/>
          <w:szCs w:val="20"/>
          <w:lang w:val="en-AU"/>
        </w:rPr>
        <w:t xml:space="preserve"> (Accessed </w:t>
      </w:r>
      <w:r w:rsidR="002B14BC" w:rsidRPr="002B14BC">
        <w:rPr>
          <w:rFonts w:ascii="Cambria" w:hAnsi="Cambria"/>
          <w:sz w:val="20"/>
          <w:szCs w:val="20"/>
          <w:lang w:val="en-AU"/>
        </w:rPr>
        <w:t>3</w:t>
      </w:r>
      <w:r w:rsidRPr="002B14BC">
        <w:rPr>
          <w:rFonts w:ascii="Cambria" w:hAnsi="Cambria"/>
          <w:sz w:val="20"/>
          <w:szCs w:val="20"/>
          <w:lang w:val="en-AU"/>
        </w:rPr>
        <w:t xml:space="preserve">0 June 2022). </w:t>
      </w:r>
      <w:r w:rsidRPr="002B14BC">
        <w:rPr>
          <w:rFonts w:ascii="Cambria" w:hAnsi="Cambria"/>
          <w:color w:val="000000" w:themeColor="text1"/>
          <w:sz w:val="20"/>
          <w:szCs w:val="20"/>
          <w:lang w:val="en-AU"/>
        </w:rPr>
        <w:t xml:space="preserve">Also see NSW Government, </w:t>
      </w:r>
      <w:r w:rsidRPr="002B14BC">
        <w:rPr>
          <w:rFonts w:ascii="Cambria" w:hAnsi="Cambria"/>
          <w:i/>
          <w:iCs/>
          <w:color w:val="000000" w:themeColor="text1"/>
          <w:sz w:val="20"/>
          <w:szCs w:val="20"/>
          <w:lang w:val="en-AU"/>
        </w:rPr>
        <w:t>Ministers’ Office Handbook</w:t>
      </w:r>
      <w:r w:rsidRPr="002B14BC">
        <w:rPr>
          <w:rFonts w:ascii="Cambria" w:hAnsi="Cambria"/>
          <w:color w:val="000000" w:themeColor="text1"/>
          <w:sz w:val="20"/>
          <w:szCs w:val="20"/>
          <w:lang w:val="en-AU"/>
        </w:rPr>
        <w:t xml:space="preserve"> (June 2021) at 31. As found at </w:t>
      </w:r>
      <w:hyperlink r:id="rId3" w:history="1">
        <w:r w:rsidRPr="002B14BC">
          <w:rPr>
            <w:rStyle w:val="Hyperlink"/>
            <w:rFonts w:ascii="Cambria" w:hAnsi="Cambria"/>
            <w:sz w:val="20"/>
            <w:szCs w:val="20"/>
            <w:lang w:val="en-AU"/>
          </w:rPr>
          <w:t>https://publications.dpc.nsw.gov.au/assets/dpc-publications/ministerial-handbook/Ministers-Office-Handbook-published-24-06-2020.pdf</w:t>
        </w:r>
      </w:hyperlink>
      <w:r w:rsidRPr="002B14BC">
        <w:rPr>
          <w:rFonts w:ascii="Cambria" w:hAnsi="Cambria"/>
          <w:color w:val="000000" w:themeColor="text1"/>
          <w:sz w:val="20"/>
          <w:szCs w:val="20"/>
          <w:lang w:val="en-AU"/>
        </w:rPr>
        <w:t xml:space="preserve"> (Accessed </w:t>
      </w:r>
      <w:r w:rsidR="002B14BC" w:rsidRPr="002B14BC">
        <w:rPr>
          <w:rFonts w:ascii="Cambria" w:hAnsi="Cambria"/>
          <w:color w:val="000000" w:themeColor="text1"/>
          <w:sz w:val="20"/>
          <w:szCs w:val="20"/>
          <w:lang w:val="en-AU"/>
        </w:rPr>
        <w:t>30</w:t>
      </w:r>
      <w:r w:rsidRPr="002B14BC">
        <w:rPr>
          <w:rFonts w:ascii="Cambria" w:hAnsi="Cambria"/>
          <w:color w:val="000000" w:themeColor="text1"/>
          <w:sz w:val="20"/>
          <w:szCs w:val="20"/>
          <w:lang w:val="en-AU"/>
        </w:rPr>
        <w:t xml:space="preserve"> June 2022).</w:t>
      </w:r>
      <w:r w:rsidRPr="002B14BC">
        <w:rPr>
          <w:rFonts w:ascii="Cambria" w:hAnsi="Cambria"/>
          <w:color w:val="000000" w:themeColor="text1"/>
          <w:lang w:val="en-AU"/>
        </w:rPr>
        <w:t xml:space="preserve"> </w:t>
      </w:r>
      <w:r w:rsidRPr="002B14BC">
        <w:rPr>
          <w:rFonts w:ascii="Cambria" w:hAnsi="Cambria"/>
          <w:lang w:val="en-AU"/>
        </w:rPr>
        <w:t xml:space="preserve">  </w:t>
      </w:r>
    </w:p>
  </w:footnote>
  <w:footnote w:id="6">
    <w:p w14:paraId="164C8441" w14:textId="1C9AE39D" w:rsidR="003E7866" w:rsidRPr="002B14BC" w:rsidRDefault="003E7866" w:rsidP="003E7866">
      <w:pPr>
        <w:pStyle w:val="FootnoteText"/>
        <w:rPr>
          <w:rFonts w:ascii="Cambria" w:hAnsi="Cambria"/>
          <w:color w:val="000000" w:themeColor="text1"/>
          <w:sz w:val="20"/>
          <w:szCs w:val="20"/>
          <w:lang w:val="en-AU"/>
        </w:rPr>
      </w:pPr>
      <w:r w:rsidRPr="002B14BC">
        <w:rPr>
          <w:rStyle w:val="FootnoteReference"/>
          <w:rFonts w:ascii="Cambria" w:hAnsi="Cambria"/>
        </w:rPr>
        <w:footnoteRef/>
      </w:r>
      <w:r w:rsidRPr="002B14BC">
        <w:rPr>
          <w:rFonts w:ascii="Cambria" w:hAnsi="Cambria"/>
        </w:rPr>
        <w:t xml:space="preserve"> </w:t>
      </w:r>
      <w:r w:rsidRPr="002B14BC">
        <w:rPr>
          <w:rFonts w:ascii="Cambria" w:hAnsi="Cambria"/>
          <w:sz w:val="20"/>
          <w:szCs w:val="20"/>
        </w:rPr>
        <w:t xml:space="preserve">Australian Government, Attorney-General’s Department, Lobbying Code of Conduct. As found at </w:t>
      </w:r>
      <w:hyperlink r:id="rId4" w:history="1">
        <w:r w:rsidRPr="002B14BC">
          <w:rPr>
            <w:rStyle w:val="Hyperlink"/>
            <w:rFonts w:ascii="Cambria" w:hAnsi="Cambria"/>
            <w:sz w:val="20"/>
            <w:szCs w:val="20"/>
          </w:rPr>
          <w:t>https://www.ag.gov.au/integrity/publications/lobbying-code-conduct</w:t>
        </w:r>
      </w:hyperlink>
      <w:r w:rsidRPr="002B14BC">
        <w:rPr>
          <w:rFonts w:ascii="Cambria" w:hAnsi="Cambria"/>
          <w:sz w:val="20"/>
          <w:szCs w:val="20"/>
        </w:rPr>
        <w:t xml:space="preserve"> (Accessed </w:t>
      </w:r>
      <w:r w:rsidR="002B14BC" w:rsidRPr="002B14BC">
        <w:rPr>
          <w:rFonts w:ascii="Cambria" w:hAnsi="Cambria"/>
          <w:sz w:val="20"/>
          <w:szCs w:val="20"/>
        </w:rPr>
        <w:t>3</w:t>
      </w:r>
      <w:r w:rsidRPr="002B14BC">
        <w:rPr>
          <w:rFonts w:ascii="Cambria" w:hAnsi="Cambria"/>
          <w:sz w:val="20"/>
          <w:szCs w:val="20"/>
        </w:rPr>
        <w:t>0 June 2022).</w:t>
      </w:r>
    </w:p>
  </w:footnote>
  <w:footnote w:id="7">
    <w:p w14:paraId="107A6F22" w14:textId="77777777" w:rsidR="003E7866" w:rsidRPr="002B14BC" w:rsidRDefault="003E7866" w:rsidP="003E7866">
      <w:pPr>
        <w:pStyle w:val="FootnoteText"/>
        <w:rPr>
          <w:rFonts w:ascii="Cambria" w:hAnsi="Cambria"/>
          <w:color w:val="000000" w:themeColor="text1"/>
          <w:lang w:val="en-AU"/>
        </w:rPr>
      </w:pPr>
      <w:r w:rsidRPr="002B14BC">
        <w:rPr>
          <w:rStyle w:val="FootnoteReference"/>
          <w:rFonts w:ascii="Cambria" w:hAnsi="Cambria"/>
          <w:color w:val="000000" w:themeColor="text1"/>
        </w:rPr>
        <w:footnoteRef/>
      </w:r>
      <w:r w:rsidRPr="002B14BC">
        <w:rPr>
          <w:rFonts w:ascii="Cambria" w:hAnsi="Cambria"/>
          <w:color w:val="000000" w:themeColor="text1"/>
        </w:rPr>
        <w:t xml:space="preserve"> </w:t>
      </w:r>
      <w:r w:rsidRPr="002B14BC">
        <w:rPr>
          <w:rFonts w:ascii="Cambria" w:hAnsi="Cambria"/>
          <w:i/>
          <w:iCs/>
          <w:color w:val="000000" w:themeColor="text1"/>
          <w:sz w:val="20"/>
          <w:szCs w:val="20"/>
        </w:rPr>
        <w:t xml:space="preserve">Lobbying Act, </w:t>
      </w:r>
      <w:r w:rsidRPr="002B14BC">
        <w:rPr>
          <w:rFonts w:ascii="Cambria" w:hAnsi="Cambria"/>
          <w:color w:val="000000" w:themeColor="text1"/>
          <w:sz w:val="20"/>
          <w:szCs w:val="20"/>
        </w:rPr>
        <w:t>R.S.C. 1985 c 44, (4</w:t>
      </w:r>
      <w:r w:rsidRPr="002B14BC">
        <w:rPr>
          <w:rFonts w:ascii="Cambria" w:hAnsi="Cambria"/>
          <w:color w:val="000000" w:themeColor="text1"/>
          <w:sz w:val="20"/>
          <w:szCs w:val="20"/>
          <w:vertAlign w:val="superscript"/>
        </w:rPr>
        <w:t>th</w:t>
      </w:r>
      <w:r w:rsidRPr="002B14BC">
        <w:rPr>
          <w:rFonts w:ascii="Cambria" w:hAnsi="Cambria"/>
          <w:color w:val="000000" w:themeColor="text1"/>
          <w:sz w:val="20"/>
          <w:szCs w:val="20"/>
        </w:rPr>
        <w:t xml:space="preserve"> Supp.) section 10.11.</w:t>
      </w:r>
      <w:r w:rsidRPr="002B14BC">
        <w:rPr>
          <w:rFonts w:ascii="Cambria" w:hAnsi="Cambria"/>
          <w:color w:val="000000" w:themeColor="text1"/>
        </w:rPr>
        <w:t xml:space="preserve"> </w:t>
      </w:r>
    </w:p>
  </w:footnote>
  <w:footnote w:id="8">
    <w:p w14:paraId="1FAC2FB4" w14:textId="2753F34F" w:rsidR="00224602" w:rsidRPr="002B14BC" w:rsidRDefault="00224602">
      <w:pPr>
        <w:pStyle w:val="FootnoteText"/>
        <w:rPr>
          <w:rFonts w:ascii="Cambria" w:hAnsi="Cambria"/>
          <w:color w:val="000000" w:themeColor="text1"/>
          <w:lang w:val="en-AU"/>
        </w:rPr>
      </w:pPr>
      <w:r w:rsidRPr="002B14BC">
        <w:rPr>
          <w:rStyle w:val="FootnoteReference"/>
          <w:rFonts w:ascii="Cambria" w:hAnsi="Cambria"/>
          <w:color w:val="000000" w:themeColor="text1"/>
        </w:rPr>
        <w:footnoteRef/>
      </w:r>
      <w:r w:rsidRPr="002B14BC">
        <w:rPr>
          <w:rFonts w:ascii="Cambria" w:hAnsi="Cambria"/>
          <w:color w:val="000000" w:themeColor="text1"/>
        </w:rPr>
        <w:t xml:space="preserve"> </w:t>
      </w:r>
      <w:r w:rsidRPr="002B14BC">
        <w:rPr>
          <w:rFonts w:ascii="Cambria" w:hAnsi="Cambria"/>
          <w:color w:val="000000" w:themeColor="text1"/>
          <w:sz w:val="20"/>
          <w:szCs w:val="20"/>
        </w:rPr>
        <w:t xml:space="preserve">See, for example, section 15 of the </w:t>
      </w:r>
      <w:r w:rsidRPr="002B14BC">
        <w:rPr>
          <w:rFonts w:ascii="Cambria" w:hAnsi="Cambria"/>
          <w:i/>
          <w:iCs/>
          <w:color w:val="000000" w:themeColor="text1"/>
          <w:sz w:val="20"/>
          <w:szCs w:val="20"/>
          <w:lang w:val="en-AU"/>
        </w:rPr>
        <w:t>Lobbying of Government Officials Act 2011</w:t>
      </w:r>
      <w:r w:rsidRPr="002B14BC">
        <w:rPr>
          <w:rFonts w:ascii="Cambria" w:hAnsi="Cambria"/>
          <w:color w:val="000000" w:themeColor="text1"/>
          <w:sz w:val="20"/>
          <w:szCs w:val="20"/>
          <w:lang w:val="en-AU"/>
        </w:rPr>
        <w:t xml:space="preserve"> (NSW); section 21 of the </w:t>
      </w:r>
      <w:r w:rsidRPr="002B14BC">
        <w:rPr>
          <w:rFonts w:ascii="Cambria" w:hAnsi="Cambria"/>
          <w:i/>
          <w:iCs/>
          <w:color w:val="000000" w:themeColor="text1"/>
          <w:sz w:val="20"/>
          <w:szCs w:val="20"/>
          <w:lang w:val="en-AU"/>
        </w:rPr>
        <w:t>Integrity (Lobbyists) Act 2016</w:t>
      </w:r>
      <w:r w:rsidRPr="002B14BC">
        <w:rPr>
          <w:rFonts w:ascii="Cambria" w:hAnsi="Cambria"/>
          <w:color w:val="000000" w:themeColor="text1"/>
          <w:sz w:val="20"/>
          <w:szCs w:val="20"/>
          <w:lang w:val="en-AU"/>
        </w:rPr>
        <w:t xml:space="preserve"> (WA) and; section 14 of the </w:t>
      </w:r>
      <w:r w:rsidRPr="002B14BC">
        <w:rPr>
          <w:rFonts w:ascii="Cambria" w:hAnsi="Cambria"/>
          <w:i/>
          <w:iCs/>
          <w:color w:val="000000" w:themeColor="text1"/>
          <w:sz w:val="20"/>
          <w:szCs w:val="20"/>
          <w:lang w:val="en-AU"/>
        </w:rPr>
        <w:t>Lobbyists Act 2015</w:t>
      </w:r>
      <w:r w:rsidRPr="002B14BC">
        <w:rPr>
          <w:rFonts w:ascii="Cambria" w:hAnsi="Cambria"/>
          <w:color w:val="000000" w:themeColor="text1"/>
          <w:sz w:val="20"/>
          <w:szCs w:val="20"/>
          <w:lang w:val="en-AU"/>
        </w:rPr>
        <w:t xml:space="preserve"> (SA).</w:t>
      </w:r>
      <w:r w:rsidRPr="002B14BC">
        <w:rPr>
          <w:rFonts w:ascii="Cambria" w:hAnsi="Cambria"/>
          <w:color w:val="000000" w:themeColor="text1"/>
          <w:lang w:val="en-AU"/>
        </w:rPr>
        <w:t xml:space="preserve">  </w:t>
      </w:r>
    </w:p>
  </w:footnote>
  <w:footnote w:id="9">
    <w:p w14:paraId="71721B17" w14:textId="44741884" w:rsidR="00E72B4C" w:rsidRPr="00E72B4C" w:rsidRDefault="00E72B4C">
      <w:pPr>
        <w:pStyle w:val="FootnoteText"/>
        <w:rPr>
          <w:lang w:val="en-AU"/>
        </w:rPr>
      </w:pPr>
      <w:r w:rsidRPr="002B14BC">
        <w:rPr>
          <w:rStyle w:val="FootnoteReference"/>
          <w:rFonts w:ascii="Cambria" w:hAnsi="Cambria"/>
          <w:color w:val="000000" w:themeColor="text1"/>
        </w:rPr>
        <w:footnoteRef/>
      </w:r>
      <w:r w:rsidRPr="002B14BC">
        <w:rPr>
          <w:rFonts w:ascii="Cambria" w:hAnsi="Cambria"/>
          <w:color w:val="000000" w:themeColor="text1"/>
        </w:rPr>
        <w:t xml:space="preserve"> </w:t>
      </w:r>
      <w:r w:rsidRPr="002B14BC">
        <w:rPr>
          <w:rFonts w:ascii="Cambria" w:hAnsi="Cambria"/>
          <w:color w:val="000000" w:themeColor="text1"/>
          <w:sz w:val="20"/>
          <w:szCs w:val="20"/>
          <w:lang w:val="en-AU"/>
        </w:rPr>
        <w:t>See for example the Australia Institute who have observed that</w:t>
      </w:r>
      <w:r w:rsidR="00491440" w:rsidRPr="002B14BC">
        <w:rPr>
          <w:rFonts w:ascii="Cambria" w:hAnsi="Cambria"/>
          <w:color w:val="000000" w:themeColor="text1"/>
          <w:sz w:val="20"/>
          <w:szCs w:val="20"/>
          <w:lang w:val="en-AU"/>
        </w:rPr>
        <w:t xml:space="preserve"> Tasmania currently “does not have state-based political donation laws” and “</w:t>
      </w:r>
      <w:r w:rsidRPr="002B14BC">
        <w:rPr>
          <w:rFonts w:ascii="Cambria" w:hAnsi="Cambria"/>
          <w:color w:val="000000" w:themeColor="text1"/>
          <w:sz w:val="20"/>
          <w:szCs w:val="20"/>
          <w:lang w:val="en-AU"/>
        </w:rPr>
        <w:t xml:space="preserve">is an underperformer in ensuring RTIs are processed in a timely manner, and has a </w:t>
      </w:r>
      <w:r w:rsidR="002B14BC" w:rsidRPr="002B14BC">
        <w:rPr>
          <w:rFonts w:ascii="Cambria" w:hAnsi="Cambria"/>
          <w:color w:val="000000" w:themeColor="text1"/>
          <w:sz w:val="20"/>
          <w:szCs w:val="20"/>
          <w:lang w:val="en-AU"/>
        </w:rPr>
        <w:t>higher-than-average</w:t>
      </w:r>
      <w:r w:rsidRPr="002B14BC">
        <w:rPr>
          <w:rFonts w:ascii="Cambria" w:hAnsi="Cambria"/>
          <w:color w:val="000000" w:themeColor="text1"/>
          <w:sz w:val="20"/>
          <w:szCs w:val="20"/>
          <w:lang w:val="en-AU"/>
        </w:rPr>
        <w:t xml:space="preserve"> instance of redactions and rejections in comparison to other states”. Australia Institute, </w:t>
      </w:r>
      <w:r w:rsidRPr="002B14BC">
        <w:rPr>
          <w:rFonts w:ascii="Cambria" w:hAnsi="Cambria"/>
          <w:i/>
          <w:iCs/>
          <w:color w:val="000000" w:themeColor="text1"/>
          <w:sz w:val="20"/>
          <w:szCs w:val="20"/>
          <w:lang w:val="en-AU"/>
        </w:rPr>
        <w:t>Good government in Tasmania</w:t>
      </w:r>
      <w:r w:rsidRPr="002B14BC">
        <w:rPr>
          <w:rFonts w:ascii="Cambria" w:hAnsi="Cambria"/>
          <w:color w:val="000000" w:themeColor="text1"/>
          <w:sz w:val="20"/>
          <w:szCs w:val="20"/>
          <w:lang w:val="en-AU"/>
        </w:rPr>
        <w:t xml:space="preserve"> (November 2020) at 1. As found at </w:t>
      </w:r>
      <w:hyperlink r:id="rId5" w:history="1">
        <w:r w:rsidR="002B14BC" w:rsidRPr="002B14BC">
          <w:rPr>
            <w:rStyle w:val="Hyperlink"/>
            <w:rFonts w:ascii="Cambria" w:hAnsi="Cambria"/>
            <w:sz w:val="20"/>
            <w:szCs w:val="20"/>
          </w:rPr>
          <w:t>https://australiainstitute.org.au/report/good-government-in-tasmania/</w:t>
        </w:r>
      </w:hyperlink>
      <w:r w:rsidR="002B14BC" w:rsidRPr="002B14BC">
        <w:rPr>
          <w:rFonts w:ascii="Cambria" w:hAnsi="Cambria"/>
          <w:color w:val="000000" w:themeColor="text1"/>
          <w:sz w:val="20"/>
          <w:szCs w:val="20"/>
          <w:lang w:val="en-AU"/>
        </w:rPr>
        <w:t xml:space="preserve"> </w:t>
      </w:r>
      <w:r w:rsidRPr="002B14BC">
        <w:rPr>
          <w:rFonts w:ascii="Cambria" w:hAnsi="Cambria"/>
          <w:color w:val="000000" w:themeColor="text1"/>
          <w:sz w:val="20"/>
          <w:szCs w:val="20"/>
          <w:lang w:val="en-AU"/>
        </w:rPr>
        <w:t xml:space="preserve">(Accessed </w:t>
      </w:r>
      <w:r w:rsidR="002B14BC" w:rsidRPr="002B14BC">
        <w:rPr>
          <w:rFonts w:ascii="Cambria" w:hAnsi="Cambria"/>
          <w:color w:val="000000" w:themeColor="text1"/>
          <w:sz w:val="20"/>
          <w:szCs w:val="20"/>
          <w:lang w:val="en-AU"/>
        </w:rPr>
        <w:t>30</w:t>
      </w:r>
      <w:r w:rsidRPr="002B14BC">
        <w:rPr>
          <w:rFonts w:ascii="Cambria" w:hAnsi="Cambria"/>
          <w:color w:val="000000" w:themeColor="text1"/>
          <w:sz w:val="20"/>
          <w:szCs w:val="20"/>
          <w:lang w:val="en-AU"/>
        </w:rPr>
        <w:t xml:space="preserve"> June 2022).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6157"/>
    <w:multiLevelType w:val="hybridMultilevel"/>
    <w:tmpl w:val="1F30DF62"/>
    <w:lvl w:ilvl="0" w:tplc="23AAA0AA">
      <w:start w:val="4"/>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D1224"/>
    <w:multiLevelType w:val="hybridMultilevel"/>
    <w:tmpl w:val="2A5217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447AD5"/>
    <w:multiLevelType w:val="hybridMultilevel"/>
    <w:tmpl w:val="1146FB6E"/>
    <w:lvl w:ilvl="0" w:tplc="7ABE2EE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405F1"/>
    <w:multiLevelType w:val="multilevel"/>
    <w:tmpl w:val="6F0805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9E40C7"/>
    <w:multiLevelType w:val="hybridMultilevel"/>
    <w:tmpl w:val="3F66A678"/>
    <w:lvl w:ilvl="0" w:tplc="7C2AB8C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3355BE"/>
    <w:multiLevelType w:val="multilevel"/>
    <w:tmpl w:val="3A761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9474899">
    <w:abstractNumId w:val="0"/>
  </w:num>
  <w:num w:numId="2" w16cid:durableId="1423339195">
    <w:abstractNumId w:val="1"/>
  </w:num>
  <w:num w:numId="3" w16cid:durableId="251545893">
    <w:abstractNumId w:val="3"/>
  </w:num>
  <w:num w:numId="4" w16cid:durableId="1214005914">
    <w:abstractNumId w:val="4"/>
  </w:num>
  <w:num w:numId="5" w16cid:durableId="514609344">
    <w:abstractNumId w:val="2"/>
  </w:num>
  <w:num w:numId="6" w16cid:durableId="1943102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6C2"/>
    <w:rsid w:val="000178B6"/>
    <w:rsid w:val="00024572"/>
    <w:rsid w:val="00034D1F"/>
    <w:rsid w:val="00054D70"/>
    <w:rsid w:val="000B23D2"/>
    <w:rsid w:val="000B2CF7"/>
    <w:rsid w:val="000C76A0"/>
    <w:rsid w:val="001D4907"/>
    <w:rsid w:val="00215FCE"/>
    <w:rsid w:val="00220C85"/>
    <w:rsid w:val="00224602"/>
    <w:rsid w:val="00273150"/>
    <w:rsid w:val="00273403"/>
    <w:rsid w:val="0028499C"/>
    <w:rsid w:val="0029219C"/>
    <w:rsid w:val="002A399A"/>
    <w:rsid w:val="002B14BC"/>
    <w:rsid w:val="003E7866"/>
    <w:rsid w:val="00491440"/>
    <w:rsid w:val="004A3E67"/>
    <w:rsid w:val="004E5914"/>
    <w:rsid w:val="00684EE1"/>
    <w:rsid w:val="006A37BA"/>
    <w:rsid w:val="00714068"/>
    <w:rsid w:val="00863BFF"/>
    <w:rsid w:val="009316C4"/>
    <w:rsid w:val="009536C2"/>
    <w:rsid w:val="00A535ED"/>
    <w:rsid w:val="00A83514"/>
    <w:rsid w:val="00AA1D30"/>
    <w:rsid w:val="00AE0E72"/>
    <w:rsid w:val="00B47A22"/>
    <w:rsid w:val="00BD379B"/>
    <w:rsid w:val="00C72E5D"/>
    <w:rsid w:val="00D8770F"/>
    <w:rsid w:val="00E501E1"/>
    <w:rsid w:val="00E5186F"/>
    <w:rsid w:val="00E72B4C"/>
    <w:rsid w:val="00F12986"/>
    <w:rsid w:val="00FA046B"/>
    <w:rsid w:val="00FB2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095D93D"/>
  <w15:chartTrackingRefBased/>
  <w15:docId w15:val="{49930293-CFB4-544F-9081-9E774BFA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EE1"/>
    <w:rPr>
      <w:rFonts w:ascii="Times New Roman" w:eastAsia="Times New Roman" w:hAnsi="Times New Roman" w:cs="Times New Roman"/>
      <w:lang w:eastAsia="en-GB"/>
    </w:rPr>
  </w:style>
  <w:style w:type="paragraph" w:styleId="Heading2">
    <w:name w:val="heading 2"/>
    <w:basedOn w:val="Normal"/>
    <w:link w:val="Heading2Char"/>
    <w:uiPriority w:val="9"/>
    <w:qFormat/>
    <w:rsid w:val="00684EE1"/>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054D7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536C2"/>
    <w:pPr>
      <w:spacing w:before="100" w:beforeAutospacing="1" w:after="100" w:afterAutospacing="1"/>
    </w:pPr>
  </w:style>
  <w:style w:type="character" w:styleId="Hyperlink">
    <w:name w:val="Hyperlink"/>
    <w:basedOn w:val="DefaultParagraphFont"/>
    <w:uiPriority w:val="99"/>
    <w:unhideWhenUsed/>
    <w:rsid w:val="009536C2"/>
    <w:rPr>
      <w:color w:val="0000FF"/>
      <w:u w:val="single"/>
    </w:rPr>
  </w:style>
  <w:style w:type="paragraph" w:styleId="FootnoteText">
    <w:name w:val="footnote text"/>
    <w:aliases w:val="Footnote,Text"/>
    <w:basedOn w:val="Normal"/>
    <w:link w:val="FootnoteTextChar"/>
    <w:uiPriority w:val="99"/>
    <w:unhideWhenUsed/>
    <w:rsid w:val="009536C2"/>
    <w:rPr>
      <w:rFonts w:eastAsiaTheme="minorEastAsia"/>
      <w:lang w:val="en-US"/>
    </w:rPr>
  </w:style>
  <w:style w:type="character" w:customStyle="1" w:styleId="FootnoteTextChar">
    <w:name w:val="Footnote Text Char"/>
    <w:aliases w:val="Footnote Char,Text Char"/>
    <w:basedOn w:val="DefaultParagraphFont"/>
    <w:link w:val="FootnoteText"/>
    <w:uiPriority w:val="99"/>
    <w:rsid w:val="009536C2"/>
    <w:rPr>
      <w:rFonts w:ascii="Times New Roman" w:eastAsiaTheme="minorEastAsia" w:hAnsi="Times New Roman" w:cs="Times New Roman"/>
      <w:lang w:val="en-US" w:eastAsia="en-GB"/>
    </w:rPr>
  </w:style>
  <w:style w:type="character" w:styleId="FootnoteReference">
    <w:name w:val="footnote reference"/>
    <w:aliases w:val="Ref,de nota al pie"/>
    <w:basedOn w:val="DefaultParagraphFont"/>
    <w:unhideWhenUsed/>
    <w:qFormat/>
    <w:rsid w:val="009536C2"/>
    <w:rPr>
      <w:vertAlign w:val="superscript"/>
    </w:rPr>
  </w:style>
  <w:style w:type="paragraph" w:styleId="NoSpacing">
    <w:name w:val="No Spacing"/>
    <w:uiPriority w:val="1"/>
    <w:qFormat/>
    <w:rsid w:val="009536C2"/>
    <w:rPr>
      <w:rFonts w:ascii="Times New Roman" w:eastAsia="Times New Roman" w:hAnsi="Times New Roman" w:cs="Times New Roman"/>
      <w:lang w:eastAsia="en-GB"/>
    </w:rPr>
  </w:style>
  <w:style w:type="character" w:styleId="Strong">
    <w:name w:val="Strong"/>
    <w:basedOn w:val="DefaultParagraphFont"/>
    <w:uiPriority w:val="22"/>
    <w:qFormat/>
    <w:rsid w:val="009536C2"/>
    <w:rPr>
      <w:b/>
      <w:bCs/>
    </w:rPr>
  </w:style>
  <w:style w:type="table" w:styleId="TableGrid">
    <w:name w:val="Table Grid"/>
    <w:basedOn w:val="TableNormal"/>
    <w:uiPriority w:val="39"/>
    <w:rsid w:val="00953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536C2"/>
    <w:pPr>
      <w:tabs>
        <w:tab w:val="center" w:pos="4513"/>
        <w:tab w:val="right" w:pos="9026"/>
      </w:tabs>
    </w:pPr>
  </w:style>
  <w:style w:type="character" w:customStyle="1" w:styleId="FooterChar">
    <w:name w:val="Footer Char"/>
    <w:basedOn w:val="DefaultParagraphFont"/>
    <w:link w:val="Footer"/>
    <w:uiPriority w:val="99"/>
    <w:rsid w:val="009536C2"/>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9536C2"/>
  </w:style>
  <w:style w:type="character" w:styleId="UnresolvedMention">
    <w:name w:val="Unresolved Mention"/>
    <w:basedOn w:val="DefaultParagraphFont"/>
    <w:uiPriority w:val="99"/>
    <w:semiHidden/>
    <w:unhideWhenUsed/>
    <w:rsid w:val="009536C2"/>
    <w:rPr>
      <w:color w:val="605E5C"/>
      <w:shd w:val="clear" w:color="auto" w:fill="E1DFDD"/>
    </w:rPr>
  </w:style>
  <w:style w:type="paragraph" w:customStyle="1" w:styleId="xstyle1">
    <w:name w:val="x_style1"/>
    <w:basedOn w:val="Normal"/>
    <w:rsid w:val="004A3E67"/>
    <w:pPr>
      <w:spacing w:before="100" w:beforeAutospacing="1" w:after="100" w:afterAutospacing="1"/>
    </w:pPr>
  </w:style>
  <w:style w:type="paragraph" w:styleId="ListParagraph">
    <w:name w:val="List Paragraph"/>
    <w:basedOn w:val="Normal"/>
    <w:uiPriority w:val="34"/>
    <w:qFormat/>
    <w:rsid w:val="004A3E67"/>
    <w:pPr>
      <w:ind w:left="720"/>
      <w:contextualSpacing/>
    </w:pPr>
  </w:style>
  <w:style w:type="paragraph" w:styleId="NormalWeb">
    <w:name w:val="Normal (Web)"/>
    <w:basedOn w:val="Normal"/>
    <w:uiPriority w:val="99"/>
    <w:unhideWhenUsed/>
    <w:rsid w:val="002A399A"/>
    <w:pPr>
      <w:spacing w:before="100" w:beforeAutospacing="1" w:after="100" w:afterAutospacing="1"/>
    </w:pPr>
  </w:style>
  <w:style w:type="character" w:customStyle="1" w:styleId="Heading2Char">
    <w:name w:val="Heading 2 Char"/>
    <w:basedOn w:val="DefaultParagraphFont"/>
    <w:link w:val="Heading2"/>
    <w:uiPriority w:val="9"/>
    <w:rsid w:val="00684EE1"/>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684EE1"/>
    <w:rPr>
      <w:i/>
      <w:iCs/>
    </w:rPr>
  </w:style>
  <w:style w:type="paragraph" w:customStyle="1" w:styleId="headingparagraph">
    <w:name w:val="headingparagraph"/>
    <w:basedOn w:val="Normal"/>
    <w:rsid w:val="000C76A0"/>
    <w:pPr>
      <w:spacing w:before="100" w:beforeAutospacing="1" w:after="100" w:afterAutospacing="1"/>
    </w:pPr>
  </w:style>
  <w:style w:type="character" w:customStyle="1" w:styleId="Heading4Char">
    <w:name w:val="Heading 4 Char"/>
    <w:basedOn w:val="DefaultParagraphFont"/>
    <w:link w:val="Heading4"/>
    <w:uiPriority w:val="9"/>
    <w:semiHidden/>
    <w:rsid w:val="00054D70"/>
    <w:rPr>
      <w:rFonts w:asciiTheme="majorHAnsi" w:eastAsiaTheme="majorEastAsia" w:hAnsiTheme="majorHAnsi" w:cstheme="majorBidi"/>
      <w:i/>
      <w:iCs/>
      <w:color w:val="2F5496" w:themeColor="accent1" w:themeShade="BF"/>
      <w:lang w:eastAsia="en-GB"/>
    </w:rPr>
  </w:style>
  <w:style w:type="character" w:customStyle="1" w:styleId="legds">
    <w:name w:val="legds"/>
    <w:basedOn w:val="DefaultParagraphFont"/>
    <w:rsid w:val="00054D70"/>
  </w:style>
  <w:style w:type="paragraph" w:customStyle="1" w:styleId="legclearfix">
    <w:name w:val="legclearfix"/>
    <w:basedOn w:val="Normal"/>
    <w:rsid w:val="00054D70"/>
    <w:pPr>
      <w:spacing w:before="100" w:beforeAutospacing="1" w:after="100" w:afterAutospacing="1"/>
    </w:pPr>
  </w:style>
  <w:style w:type="paragraph" w:customStyle="1" w:styleId="subsection">
    <w:name w:val="subsection"/>
    <w:basedOn w:val="Normal"/>
    <w:rsid w:val="009316C4"/>
    <w:pPr>
      <w:spacing w:before="100" w:beforeAutospacing="1" w:after="100" w:afterAutospacing="1"/>
    </w:pPr>
  </w:style>
  <w:style w:type="character" w:customStyle="1" w:styleId="lawlabel">
    <w:name w:val="lawlabel"/>
    <w:basedOn w:val="DefaultParagraphFont"/>
    <w:rsid w:val="009316C4"/>
  </w:style>
  <w:style w:type="paragraph" w:customStyle="1" w:styleId="paragraph">
    <w:name w:val="paragraph"/>
    <w:basedOn w:val="Normal"/>
    <w:rsid w:val="009316C4"/>
    <w:pPr>
      <w:spacing w:before="100" w:beforeAutospacing="1" w:after="100" w:afterAutospacing="1"/>
    </w:pPr>
  </w:style>
  <w:style w:type="paragraph" w:customStyle="1" w:styleId="subparagraph">
    <w:name w:val="subparagraph"/>
    <w:basedOn w:val="Normal"/>
    <w:rsid w:val="009316C4"/>
    <w:pPr>
      <w:spacing w:before="100" w:beforeAutospacing="1" w:after="100" w:afterAutospacing="1"/>
    </w:pPr>
  </w:style>
  <w:style w:type="paragraph" w:customStyle="1" w:styleId="xmsonormal0">
    <w:name w:val="xmsonormal"/>
    <w:basedOn w:val="Normal"/>
    <w:rsid w:val="009316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576414">
      <w:bodyDiv w:val="1"/>
      <w:marLeft w:val="0"/>
      <w:marRight w:val="0"/>
      <w:marTop w:val="0"/>
      <w:marBottom w:val="0"/>
      <w:divBdr>
        <w:top w:val="none" w:sz="0" w:space="0" w:color="auto"/>
        <w:left w:val="none" w:sz="0" w:space="0" w:color="auto"/>
        <w:bottom w:val="none" w:sz="0" w:space="0" w:color="auto"/>
        <w:right w:val="none" w:sz="0" w:space="0" w:color="auto"/>
      </w:divBdr>
    </w:div>
    <w:div w:id="684940325">
      <w:bodyDiv w:val="1"/>
      <w:marLeft w:val="0"/>
      <w:marRight w:val="0"/>
      <w:marTop w:val="0"/>
      <w:marBottom w:val="0"/>
      <w:divBdr>
        <w:top w:val="none" w:sz="0" w:space="0" w:color="auto"/>
        <w:left w:val="none" w:sz="0" w:space="0" w:color="auto"/>
        <w:bottom w:val="none" w:sz="0" w:space="0" w:color="auto"/>
        <w:right w:val="none" w:sz="0" w:space="0" w:color="auto"/>
      </w:divBdr>
    </w:div>
    <w:div w:id="719481670">
      <w:bodyDiv w:val="1"/>
      <w:marLeft w:val="0"/>
      <w:marRight w:val="0"/>
      <w:marTop w:val="0"/>
      <w:marBottom w:val="0"/>
      <w:divBdr>
        <w:top w:val="none" w:sz="0" w:space="0" w:color="auto"/>
        <w:left w:val="none" w:sz="0" w:space="0" w:color="auto"/>
        <w:bottom w:val="none" w:sz="0" w:space="0" w:color="auto"/>
        <w:right w:val="none" w:sz="0" w:space="0" w:color="auto"/>
      </w:divBdr>
    </w:div>
    <w:div w:id="802502521">
      <w:bodyDiv w:val="1"/>
      <w:marLeft w:val="0"/>
      <w:marRight w:val="0"/>
      <w:marTop w:val="0"/>
      <w:marBottom w:val="0"/>
      <w:divBdr>
        <w:top w:val="none" w:sz="0" w:space="0" w:color="auto"/>
        <w:left w:val="none" w:sz="0" w:space="0" w:color="auto"/>
        <w:bottom w:val="none" w:sz="0" w:space="0" w:color="auto"/>
        <w:right w:val="none" w:sz="0" w:space="0" w:color="auto"/>
      </w:divBdr>
    </w:div>
    <w:div w:id="1172598898">
      <w:bodyDiv w:val="1"/>
      <w:marLeft w:val="0"/>
      <w:marRight w:val="0"/>
      <w:marTop w:val="0"/>
      <w:marBottom w:val="0"/>
      <w:divBdr>
        <w:top w:val="none" w:sz="0" w:space="0" w:color="auto"/>
        <w:left w:val="none" w:sz="0" w:space="0" w:color="auto"/>
        <w:bottom w:val="none" w:sz="0" w:space="0" w:color="auto"/>
        <w:right w:val="none" w:sz="0" w:space="0" w:color="auto"/>
      </w:divBdr>
    </w:div>
    <w:div w:id="1271471638">
      <w:bodyDiv w:val="1"/>
      <w:marLeft w:val="0"/>
      <w:marRight w:val="0"/>
      <w:marTop w:val="0"/>
      <w:marBottom w:val="0"/>
      <w:divBdr>
        <w:top w:val="none" w:sz="0" w:space="0" w:color="auto"/>
        <w:left w:val="none" w:sz="0" w:space="0" w:color="auto"/>
        <w:bottom w:val="none" w:sz="0" w:space="0" w:color="auto"/>
        <w:right w:val="none" w:sz="0" w:space="0" w:color="auto"/>
      </w:divBdr>
      <w:divsChild>
        <w:div w:id="381557403">
          <w:marLeft w:val="0"/>
          <w:marRight w:val="0"/>
          <w:marTop w:val="240"/>
          <w:marBottom w:val="240"/>
          <w:divBdr>
            <w:top w:val="none" w:sz="0" w:space="0" w:color="auto"/>
            <w:left w:val="none" w:sz="0" w:space="0" w:color="auto"/>
            <w:bottom w:val="none" w:sz="0" w:space="0" w:color="auto"/>
            <w:right w:val="none" w:sz="0" w:space="0" w:color="auto"/>
          </w:divBdr>
          <w:divsChild>
            <w:div w:id="398290006">
              <w:marLeft w:val="0"/>
              <w:marRight w:val="180"/>
              <w:marTop w:val="0"/>
              <w:marBottom w:val="0"/>
              <w:divBdr>
                <w:top w:val="none" w:sz="0" w:space="0" w:color="auto"/>
                <w:left w:val="none" w:sz="0" w:space="0" w:color="auto"/>
                <w:bottom w:val="none" w:sz="0" w:space="0" w:color="auto"/>
                <w:right w:val="none" w:sz="0" w:space="0" w:color="auto"/>
              </w:divBdr>
            </w:div>
            <w:div w:id="1163619668">
              <w:marLeft w:val="0"/>
              <w:marRight w:val="120"/>
              <w:marTop w:val="0"/>
              <w:marBottom w:val="180"/>
              <w:divBdr>
                <w:top w:val="none" w:sz="0" w:space="0" w:color="auto"/>
                <w:left w:val="none" w:sz="0" w:space="0" w:color="auto"/>
                <w:bottom w:val="none" w:sz="0" w:space="0" w:color="auto"/>
                <w:right w:val="none" w:sz="0" w:space="0" w:color="auto"/>
              </w:divBdr>
            </w:div>
            <w:div w:id="1643198762">
              <w:marLeft w:val="0"/>
              <w:marRight w:val="120"/>
              <w:marTop w:val="0"/>
              <w:marBottom w:val="180"/>
              <w:divBdr>
                <w:top w:val="none" w:sz="0" w:space="0" w:color="auto"/>
                <w:left w:val="none" w:sz="0" w:space="0" w:color="auto"/>
                <w:bottom w:val="none" w:sz="0" w:space="0" w:color="auto"/>
                <w:right w:val="none" w:sz="0" w:space="0" w:color="auto"/>
              </w:divBdr>
            </w:div>
            <w:div w:id="6787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10267">
      <w:bodyDiv w:val="1"/>
      <w:marLeft w:val="0"/>
      <w:marRight w:val="0"/>
      <w:marTop w:val="0"/>
      <w:marBottom w:val="0"/>
      <w:divBdr>
        <w:top w:val="none" w:sz="0" w:space="0" w:color="auto"/>
        <w:left w:val="none" w:sz="0" w:space="0" w:color="auto"/>
        <w:bottom w:val="none" w:sz="0" w:space="0" w:color="auto"/>
        <w:right w:val="none" w:sz="0" w:space="0" w:color="auto"/>
      </w:divBdr>
    </w:div>
    <w:div w:id="183082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vention@integrity.tas.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ublications.dpc.nsw.gov.au/assets/dpc-publications/ministerial-handbook/Ministers-Office-Handbook-published-24-06-2020.pdf" TargetMode="External"/><Relationship Id="rId2" Type="http://schemas.openxmlformats.org/officeDocument/2006/relationships/hyperlink" Target="https://www.premiers.qld.gov.au/publications/categories/policies-and-codes/handbooks/ministerial-handbook/ethics/ministerialdiaries.aspx" TargetMode="External"/><Relationship Id="rId1" Type="http://schemas.openxmlformats.org/officeDocument/2006/relationships/hyperlink" Target="https://www.forgov.qld.gov.au/information-and-communication-technology/recordkeeping-and-information-management/recordkeeping/manage-specific-record-types-and-activities/lobbyist-records" TargetMode="External"/><Relationship Id="rId5" Type="http://schemas.openxmlformats.org/officeDocument/2006/relationships/hyperlink" Target="https://australiainstitute.org.au/report/good-government-in-tasmania/" TargetMode="External"/><Relationship Id="rId4" Type="http://schemas.openxmlformats.org/officeDocument/2006/relationships/hyperlink" Target="https://www.ag.gov.au/integrity/publications/lobbying-code-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926</Words>
  <Characters>5280</Characters>
  <Application>Microsoft Office Word</Application>
  <DocSecurity>0</DocSecurity>
  <Lines>44</Lines>
  <Paragraphs>12</Paragraphs>
  <ScaleCrop>false</ScaleCrop>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2022-06-30T01:44:00Z</cp:lastPrinted>
  <dcterms:created xsi:type="dcterms:W3CDTF">2022-06-30T01:46:00Z</dcterms:created>
  <dcterms:modified xsi:type="dcterms:W3CDTF">2022-06-30T01:46:00Z</dcterms:modified>
</cp:coreProperties>
</file>