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8EA0" w14:textId="77777777" w:rsidR="00BB3450" w:rsidRPr="00187347" w:rsidRDefault="00BB3450" w:rsidP="00BB3450">
      <w:pPr>
        <w:jc w:val="center"/>
      </w:pPr>
      <w:r w:rsidRPr="00187347">
        <w:rPr>
          <w:rFonts w:asciiTheme="minorHAnsi" w:hAnsiTheme="minorHAnsi"/>
          <w:noProof/>
          <w:sz w:val="20"/>
          <w:szCs w:val="20"/>
        </w:rPr>
        <w:drawing>
          <wp:inline distT="0" distB="0" distL="0" distR="0" wp14:anchorId="616D646E" wp14:editId="3CB2CB38">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6C7458C" w14:textId="77777777" w:rsidR="00BB3450" w:rsidRPr="009E54C9" w:rsidRDefault="00BB3450" w:rsidP="00BB3450">
      <w:pPr>
        <w:rPr>
          <w:rFonts w:ascii="Cambria" w:hAnsi="Cambria"/>
          <w:sz w:val="23"/>
          <w:szCs w:val="23"/>
        </w:rPr>
      </w:pPr>
    </w:p>
    <w:p w14:paraId="05C3F942" w14:textId="77777777" w:rsidR="00BB3450" w:rsidRPr="009E54C9" w:rsidRDefault="00BB3450" w:rsidP="00BB3450">
      <w:pPr>
        <w:rPr>
          <w:rFonts w:ascii="Cambria" w:hAnsi="Cambria"/>
          <w:sz w:val="23"/>
          <w:szCs w:val="23"/>
        </w:rPr>
      </w:pPr>
    </w:p>
    <w:p w14:paraId="4A3E13F2" w14:textId="084D65C8" w:rsidR="00BB3450" w:rsidRPr="009E54C9" w:rsidRDefault="00BB3450" w:rsidP="00BB3450">
      <w:pPr>
        <w:rPr>
          <w:rFonts w:ascii="Cambria" w:hAnsi="Cambria"/>
          <w:sz w:val="23"/>
          <w:szCs w:val="23"/>
        </w:rPr>
      </w:pPr>
      <w:r w:rsidRPr="009E54C9">
        <w:rPr>
          <w:rFonts w:ascii="Cambria" w:hAnsi="Cambria"/>
          <w:sz w:val="23"/>
          <w:szCs w:val="23"/>
        </w:rPr>
        <w:t>1</w:t>
      </w:r>
      <w:r w:rsidR="00996810" w:rsidRPr="009E54C9">
        <w:rPr>
          <w:rFonts w:ascii="Cambria" w:hAnsi="Cambria"/>
          <w:sz w:val="23"/>
          <w:szCs w:val="23"/>
        </w:rPr>
        <w:t>4</w:t>
      </w:r>
      <w:r w:rsidRPr="009E54C9">
        <w:rPr>
          <w:rFonts w:ascii="Cambria" w:hAnsi="Cambria"/>
          <w:sz w:val="23"/>
          <w:szCs w:val="23"/>
        </w:rPr>
        <w:t xml:space="preserve"> April 2022</w:t>
      </w:r>
    </w:p>
    <w:p w14:paraId="1C57F451" w14:textId="77777777" w:rsidR="00BB3450" w:rsidRPr="009E54C9" w:rsidRDefault="00BB3450" w:rsidP="00BB3450">
      <w:pPr>
        <w:rPr>
          <w:rFonts w:ascii="Cambria" w:hAnsi="Cambria" w:cs="Arial"/>
          <w:color w:val="000000" w:themeColor="text1"/>
          <w:spacing w:val="-5"/>
          <w:sz w:val="23"/>
          <w:szCs w:val="23"/>
        </w:rPr>
      </w:pPr>
      <w:r w:rsidRPr="009E54C9">
        <w:rPr>
          <w:rFonts w:ascii="Cambria" w:hAnsi="Cambria" w:cs="Arial"/>
          <w:color w:val="000000" w:themeColor="text1"/>
          <w:spacing w:val="-5"/>
          <w:sz w:val="23"/>
          <w:szCs w:val="23"/>
        </w:rPr>
        <w:br/>
        <w:t>South Australian Law Reform Institute</w:t>
      </w:r>
    </w:p>
    <w:p w14:paraId="166465C2" w14:textId="77777777" w:rsidR="00BB3450" w:rsidRPr="009E54C9" w:rsidRDefault="00BB3450" w:rsidP="00BB3450">
      <w:pPr>
        <w:rPr>
          <w:rFonts w:ascii="Cambria" w:hAnsi="Cambria" w:cs="Arial"/>
          <w:color w:val="000000" w:themeColor="text1"/>
          <w:spacing w:val="-5"/>
          <w:sz w:val="23"/>
          <w:szCs w:val="23"/>
        </w:rPr>
      </w:pPr>
      <w:r w:rsidRPr="009E54C9">
        <w:rPr>
          <w:rFonts w:ascii="Cambria" w:hAnsi="Cambria" w:cs="Arial"/>
          <w:color w:val="000000" w:themeColor="text1"/>
          <w:spacing w:val="-5"/>
          <w:sz w:val="23"/>
          <w:szCs w:val="23"/>
        </w:rPr>
        <w:t>Adelaide Law School</w:t>
      </w:r>
    </w:p>
    <w:p w14:paraId="7ED53A65" w14:textId="77777777" w:rsidR="00BB3450" w:rsidRPr="009E54C9" w:rsidRDefault="00BB3450" w:rsidP="00BB3450">
      <w:pPr>
        <w:rPr>
          <w:rFonts w:ascii="Cambria" w:hAnsi="Cambria" w:cs="Arial"/>
          <w:color w:val="000000" w:themeColor="text1"/>
          <w:spacing w:val="-5"/>
          <w:sz w:val="23"/>
          <w:szCs w:val="23"/>
        </w:rPr>
      </w:pPr>
      <w:r w:rsidRPr="009E54C9">
        <w:rPr>
          <w:rFonts w:ascii="Cambria" w:hAnsi="Cambria" w:cs="Arial"/>
          <w:color w:val="000000" w:themeColor="text1"/>
          <w:spacing w:val="-5"/>
          <w:sz w:val="23"/>
          <w:szCs w:val="23"/>
        </w:rPr>
        <w:t xml:space="preserve">University of Adelaide </w:t>
      </w:r>
    </w:p>
    <w:p w14:paraId="40896E25" w14:textId="1EBD1119" w:rsidR="00BB3450" w:rsidRPr="009E54C9" w:rsidRDefault="00BB3450" w:rsidP="00BB3450">
      <w:pPr>
        <w:rPr>
          <w:rFonts w:ascii="Cambria" w:hAnsi="Cambria" w:cs="Arial"/>
          <w:color w:val="000000" w:themeColor="text1"/>
          <w:spacing w:val="-5"/>
          <w:sz w:val="23"/>
          <w:szCs w:val="23"/>
        </w:rPr>
      </w:pPr>
      <w:r w:rsidRPr="009E54C9">
        <w:rPr>
          <w:rFonts w:ascii="Cambria" w:hAnsi="Cambria" w:cs="Arial"/>
          <w:color w:val="000000" w:themeColor="text1"/>
          <w:spacing w:val="-5"/>
          <w:sz w:val="23"/>
          <w:szCs w:val="23"/>
        </w:rPr>
        <w:t>South Australia 5005</w:t>
      </w:r>
      <w:r w:rsidRPr="009E54C9">
        <w:rPr>
          <w:rFonts w:ascii="Cambria" w:hAnsi="Cambria" w:cs="Arial"/>
          <w:color w:val="000000" w:themeColor="text1"/>
          <w:spacing w:val="-5"/>
          <w:sz w:val="23"/>
          <w:szCs w:val="23"/>
        </w:rPr>
        <w:tab/>
      </w:r>
      <w:r w:rsidRPr="009E54C9">
        <w:rPr>
          <w:rFonts w:ascii="Cambria" w:hAnsi="Cambria" w:cs="Arial"/>
          <w:color w:val="000000" w:themeColor="text1"/>
          <w:spacing w:val="-5"/>
          <w:sz w:val="23"/>
          <w:szCs w:val="23"/>
        </w:rPr>
        <w:tab/>
      </w:r>
      <w:r w:rsidRPr="009E54C9">
        <w:rPr>
          <w:rFonts w:ascii="Cambria" w:hAnsi="Cambria" w:cs="Arial"/>
          <w:color w:val="000000" w:themeColor="text1"/>
          <w:spacing w:val="-5"/>
          <w:sz w:val="23"/>
          <w:szCs w:val="23"/>
        </w:rPr>
        <w:tab/>
      </w:r>
    </w:p>
    <w:p w14:paraId="7353464C" w14:textId="7C62C910" w:rsidR="00BB3450" w:rsidRPr="009E54C9" w:rsidRDefault="00BB3450" w:rsidP="00BB3450">
      <w:pPr>
        <w:ind w:left="2160" w:firstLine="720"/>
        <w:rPr>
          <w:rFonts w:ascii="Cambria" w:hAnsi="Cambria" w:cs="Arial"/>
          <w:color w:val="000000" w:themeColor="text1"/>
          <w:spacing w:val="-5"/>
          <w:sz w:val="23"/>
          <w:szCs w:val="23"/>
        </w:rPr>
      </w:pPr>
      <w:r w:rsidRPr="009E54C9">
        <w:rPr>
          <w:rFonts w:ascii="Cambria" w:hAnsi="Cambria" w:cs="Arial"/>
          <w:i/>
          <w:iCs/>
          <w:color w:val="000000" w:themeColor="text1"/>
          <w:spacing w:val="-5"/>
          <w:sz w:val="23"/>
          <w:szCs w:val="23"/>
        </w:rPr>
        <w:t xml:space="preserve">via email: </w:t>
      </w:r>
      <w:hyperlink r:id="rId9" w:history="1">
        <w:r w:rsidRPr="009E54C9">
          <w:rPr>
            <w:rStyle w:val="Hyperlink"/>
            <w:rFonts w:ascii="Cambria" w:hAnsi="Cambria" w:cs="Arial"/>
            <w:i/>
            <w:iCs/>
            <w:spacing w:val="-5"/>
            <w:sz w:val="23"/>
            <w:szCs w:val="23"/>
          </w:rPr>
          <w:t>salri@adelaide.edu.au</w:t>
        </w:r>
      </w:hyperlink>
      <w:r w:rsidRPr="009E54C9">
        <w:rPr>
          <w:rFonts w:ascii="Cambria" w:hAnsi="Cambria" w:cs="Arial"/>
          <w:i/>
          <w:iCs/>
          <w:spacing w:val="-5"/>
          <w:sz w:val="23"/>
          <w:szCs w:val="23"/>
        </w:rPr>
        <w:t xml:space="preserve"> </w:t>
      </w:r>
      <w:r w:rsidRPr="009E54C9">
        <w:rPr>
          <w:rFonts w:ascii="Cambria" w:hAnsi="Cambria" w:cs="Arial"/>
          <w:i/>
          <w:iCs/>
          <w:color w:val="6F6F6F"/>
          <w:spacing w:val="-5"/>
          <w:sz w:val="23"/>
          <w:szCs w:val="23"/>
        </w:rPr>
        <w:t xml:space="preserve">   </w:t>
      </w:r>
    </w:p>
    <w:p w14:paraId="525F8F2B" w14:textId="77777777" w:rsidR="00BB3450" w:rsidRPr="009E54C9" w:rsidRDefault="00BB3450" w:rsidP="00BB3450">
      <w:pPr>
        <w:rPr>
          <w:rFonts w:ascii="Cambria" w:hAnsi="Cambria"/>
          <w:sz w:val="23"/>
          <w:szCs w:val="23"/>
        </w:rPr>
      </w:pPr>
    </w:p>
    <w:p w14:paraId="37044AF9" w14:textId="291C445B" w:rsidR="00BB3450" w:rsidRPr="009E54C9" w:rsidRDefault="00BB3450" w:rsidP="00BB3450">
      <w:pPr>
        <w:rPr>
          <w:rFonts w:ascii="Cambria" w:hAnsi="Cambria"/>
          <w:color w:val="000000" w:themeColor="text1"/>
          <w:sz w:val="23"/>
          <w:szCs w:val="23"/>
        </w:rPr>
      </w:pPr>
      <w:r w:rsidRPr="009E54C9">
        <w:rPr>
          <w:rFonts w:ascii="Cambria" w:hAnsi="Cambria"/>
          <w:color w:val="000000" w:themeColor="text1"/>
          <w:sz w:val="23"/>
          <w:szCs w:val="23"/>
        </w:rPr>
        <w:t xml:space="preserve">To Professor John Williams, </w:t>
      </w:r>
    </w:p>
    <w:p w14:paraId="3ABD10F1" w14:textId="78652B76" w:rsidR="00BB3450" w:rsidRPr="009E54C9" w:rsidRDefault="00BB3450" w:rsidP="00BB3450">
      <w:pPr>
        <w:pBdr>
          <w:bottom w:val="single" w:sz="6" w:space="1" w:color="auto"/>
        </w:pBdr>
        <w:rPr>
          <w:rFonts w:ascii="Cambria" w:hAnsi="Cambria"/>
          <w:b/>
          <w:bCs/>
          <w:color w:val="000000" w:themeColor="text1"/>
          <w:sz w:val="23"/>
          <w:szCs w:val="23"/>
        </w:rPr>
      </w:pPr>
      <w:r w:rsidRPr="009E54C9">
        <w:rPr>
          <w:rFonts w:ascii="Cambria" w:hAnsi="Cambria"/>
          <w:b/>
          <w:bCs/>
          <w:color w:val="000000" w:themeColor="text1"/>
          <w:sz w:val="23"/>
          <w:szCs w:val="23"/>
        </w:rPr>
        <w:t xml:space="preserve">Re: </w:t>
      </w:r>
      <w:r w:rsidRPr="009E54C9">
        <w:rPr>
          <w:rFonts w:ascii="Cambria" w:hAnsi="Cambria" w:cs="Arial"/>
          <w:b/>
          <w:bCs/>
          <w:color w:val="000000" w:themeColor="text1"/>
          <w:spacing w:val="-5"/>
          <w:sz w:val="23"/>
          <w:szCs w:val="23"/>
        </w:rPr>
        <w:t>Review of Tasmania Law Reform Institute</w:t>
      </w:r>
    </w:p>
    <w:p w14:paraId="023FC944" w14:textId="77777777" w:rsidR="00BB3450" w:rsidRPr="009E54C9" w:rsidRDefault="00BB3450" w:rsidP="00BB3450">
      <w:pPr>
        <w:rPr>
          <w:rFonts w:ascii="Cambria" w:hAnsi="Cambria"/>
          <w:color w:val="000000" w:themeColor="text1"/>
          <w:sz w:val="23"/>
          <w:szCs w:val="23"/>
        </w:rPr>
      </w:pPr>
    </w:p>
    <w:p w14:paraId="379779D5" w14:textId="04F5B881" w:rsidR="00546D48" w:rsidRPr="009E54C9" w:rsidRDefault="00BB3450" w:rsidP="00BB3450">
      <w:pPr>
        <w:pStyle w:val="NoSpacing"/>
        <w:jc w:val="both"/>
        <w:rPr>
          <w:rFonts w:ascii="Cambria" w:hAnsi="Cambria"/>
          <w:color w:val="FF0000"/>
          <w:sz w:val="23"/>
          <w:szCs w:val="23"/>
        </w:rPr>
      </w:pPr>
      <w:r w:rsidRPr="009E54C9">
        <w:rPr>
          <w:rFonts w:ascii="Cambria" w:hAnsi="Cambria" w:cs="Calibri"/>
          <w:color w:val="000000" w:themeColor="text1"/>
          <w:sz w:val="23"/>
          <w:szCs w:val="23"/>
        </w:rPr>
        <w:t>Community Legal Centres Tasmania</w:t>
      </w:r>
      <w:r w:rsidRPr="009E54C9">
        <w:rPr>
          <w:rFonts w:ascii="Cambria" w:hAnsi="Cambria"/>
          <w:color w:val="000000" w:themeColor="text1"/>
          <w:sz w:val="23"/>
          <w:szCs w:val="23"/>
        </w:rPr>
        <w:t xml:space="preserve"> </w:t>
      </w:r>
      <w:r w:rsidR="00AC204C" w:rsidRPr="009E54C9">
        <w:rPr>
          <w:rFonts w:ascii="Cambria" w:hAnsi="Cambria"/>
          <w:color w:val="000000" w:themeColor="text1"/>
          <w:sz w:val="23"/>
          <w:szCs w:val="23"/>
        </w:rPr>
        <w:t xml:space="preserve">(CLC Tas) </w:t>
      </w:r>
      <w:r w:rsidRPr="009E54C9">
        <w:rPr>
          <w:rFonts w:ascii="Cambria" w:hAnsi="Cambria"/>
          <w:color w:val="000000" w:themeColor="text1"/>
          <w:sz w:val="23"/>
          <w:szCs w:val="23"/>
        </w:rPr>
        <w:t xml:space="preserve">welcomes the opportunity to respond to the Review of the Tasmania Law Reform Institute (‘the Review’). </w:t>
      </w:r>
      <w:r w:rsidR="00546D48" w:rsidRPr="009E54C9">
        <w:rPr>
          <w:rFonts w:ascii="Cambria" w:hAnsi="Cambria"/>
          <w:color w:val="000000" w:themeColor="text1"/>
          <w:sz w:val="23"/>
          <w:szCs w:val="23"/>
        </w:rPr>
        <w:t xml:space="preserve">We strongly support the work of </w:t>
      </w:r>
      <w:r w:rsidR="00DC6AED" w:rsidRPr="009E54C9">
        <w:rPr>
          <w:rFonts w:ascii="Cambria" w:hAnsi="Cambria"/>
          <w:color w:val="000000" w:themeColor="text1"/>
          <w:sz w:val="23"/>
          <w:szCs w:val="23"/>
        </w:rPr>
        <w:t xml:space="preserve">the Tasmania Law Reform Institute </w:t>
      </w:r>
      <w:r w:rsidR="00546D48" w:rsidRPr="009E54C9">
        <w:rPr>
          <w:rFonts w:ascii="Cambria" w:hAnsi="Cambria"/>
          <w:color w:val="000000" w:themeColor="text1"/>
          <w:sz w:val="23"/>
          <w:szCs w:val="23"/>
        </w:rPr>
        <w:t>(‘the</w:t>
      </w:r>
      <w:r w:rsidR="00171F49" w:rsidRPr="009E54C9">
        <w:rPr>
          <w:rFonts w:ascii="Cambria" w:hAnsi="Cambria"/>
          <w:color w:val="000000" w:themeColor="text1"/>
          <w:sz w:val="23"/>
          <w:szCs w:val="23"/>
        </w:rPr>
        <w:t xml:space="preserve"> TLRI</w:t>
      </w:r>
      <w:r w:rsidR="00546D48" w:rsidRPr="009E54C9">
        <w:rPr>
          <w:rFonts w:ascii="Cambria" w:hAnsi="Cambria"/>
          <w:color w:val="000000" w:themeColor="text1"/>
          <w:sz w:val="23"/>
          <w:szCs w:val="23"/>
        </w:rPr>
        <w:t>’</w:t>
      </w:r>
      <w:r w:rsidR="00DC6AED" w:rsidRPr="009E54C9">
        <w:rPr>
          <w:rFonts w:ascii="Cambria" w:hAnsi="Cambria"/>
          <w:color w:val="000000" w:themeColor="text1"/>
          <w:sz w:val="23"/>
          <w:szCs w:val="23"/>
        </w:rPr>
        <w:t xml:space="preserve">) </w:t>
      </w:r>
      <w:r w:rsidR="00546D48" w:rsidRPr="009E54C9">
        <w:rPr>
          <w:rFonts w:ascii="Cambria" w:hAnsi="Cambria"/>
          <w:color w:val="000000" w:themeColor="text1"/>
          <w:sz w:val="23"/>
          <w:szCs w:val="23"/>
        </w:rPr>
        <w:t xml:space="preserve">and its work over twenty years </w:t>
      </w:r>
      <w:r w:rsidR="00DC6AED" w:rsidRPr="009E54C9">
        <w:rPr>
          <w:rFonts w:ascii="Cambria" w:hAnsi="Cambria"/>
          <w:color w:val="000000" w:themeColor="text1"/>
          <w:sz w:val="23"/>
          <w:szCs w:val="23"/>
        </w:rPr>
        <w:t>to</w:t>
      </w:r>
      <w:r w:rsidR="00546D48" w:rsidRPr="009E54C9">
        <w:rPr>
          <w:rFonts w:ascii="Cambria" w:hAnsi="Cambria"/>
          <w:color w:val="000000" w:themeColor="text1"/>
          <w:sz w:val="23"/>
          <w:szCs w:val="23"/>
        </w:rPr>
        <w:t xml:space="preserve"> modernise, simplify and consolidate Tasmania</w:t>
      </w:r>
      <w:r w:rsidR="004F2746" w:rsidRPr="009E54C9">
        <w:rPr>
          <w:rFonts w:ascii="Cambria" w:hAnsi="Cambria"/>
          <w:color w:val="000000" w:themeColor="text1"/>
          <w:sz w:val="23"/>
          <w:szCs w:val="23"/>
        </w:rPr>
        <w:t>n</w:t>
      </w:r>
      <w:r w:rsidR="00546D48" w:rsidRPr="009E54C9">
        <w:rPr>
          <w:rFonts w:ascii="Cambria" w:hAnsi="Cambria"/>
          <w:color w:val="000000" w:themeColor="text1"/>
          <w:sz w:val="23"/>
          <w:szCs w:val="23"/>
        </w:rPr>
        <w:t xml:space="preserve"> laws. As Tasmania’s peak independent law reform body, </w:t>
      </w:r>
      <w:r w:rsidR="0041467C" w:rsidRPr="009E54C9">
        <w:rPr>
          <w:rFonts w:ascii="Cambria" w:hAnsi="Cambria"/>
          <w:color w:val="000000" w:themeColor="text1"/>
          <w:sz w:val="23"/>
          <w:szCs w:val="23"/>
        </w:rPr>
        <w:t xml:space="preserve">its expertise has been invaluable in promoting best-practice law reform. We strongly recommend </w:t>
      </w:r>
      <w:r w:rsidR="00546D48" w:rsidRPr="009E54C9">
        <w:rPr>
          <w:rFonts w:ascii="Cambria" w:hAnsi="Cambria"/>
          <w:color w:val="000000" w:themeColor="text1"/>
          <w:sz w:val="23"/>
          <w:szCs w:val="23"/>
        </w:rPr>
        <w:t xml:space="preserve">that the </w:t>
      </w:r>
      <w:r w:rsidR="00171F49" w:rsidRPr="009E54C9">
        <w:rPr>
          <w:rFonts w:ascii="Cambria" w:hAnsi="Cambria"/>
          <w:color w:val="000000" w:themeColor="text1"/>
          <w:sz w:val="23"/>
          <w:szCs w:val="23"/>
        </w:rPr>
        <w:t>TLRI</w:t>
      </w:r>
      <w:r w:rsidR="00546D48" w:rsidRPr="009E54C9">
        <w:rPr>
          <w:rFonts w:ascii="Cambria" w:hAnsi="Cambria"/>
          <w:color w:val="000000" w:themeColor="text1"/>
          <w:sz w:val="23"/>
          <w:szCs w:val="23"/>
        </w:rPr>
        <w:t xml:space="preserve">’s independence and impartiality is guaranteed </w:t>
      </w:r>
      <w:r w:rsidR="00397346" w:rsidRPr="009E54C9">
        <w:rPr>
          <w:rFonts w:ascii="Cambria" w:hAnsi="Cambria"/>
          <w:color w:val="000000" w:themeColor="text1"/>
          <w:sz w:val="23"/>
          <w:szCs w:val="23"/>
        </w:rPr>
        <w:t xml:space="preserve">both in the Agreement and </w:t>
      </w:r>
      <w:r w:rsidR="00E07471" w:rsidRPr="009E54C9">
        <w:rPr>
          <w:rFonts w:ascii="Cambria" w:hAnsi="Cambria"/>
          <w:color w:val="000000" w:themeColor="text1"/>
          <w:sz w:val="23"/>
          <w:szCs w:val="23"/>
        </w:rPr>
        <w:t>through</w:t>
      </w:r>
      <w:r w:rsidR="00546D48" w:rsidRPr="009E54C9">
        <w:rPr>
          <w:rFonts w:ascii="Cambria" w:hAnsi="Cambria"/>
          <w:color w:val="000000" w:themeColor="text1"/>
          <w:sz w:val="23"/>
          <w:szCs w:val="23"/>
        </w:rPr>
        <w:t xml:space="preserve"> a more sustainable funding</w:t>
      </w:r>
      <w:r w:rsidR="00472259" w:rsidRPr="009E54C9">
        <w:rPr>
          <w:rFonts w:ascii="Cambria" w:hAnsi="Cambria"/>
          <w:color w:val="000000" w:themeColor="text1"/>
          <w:sz w:val="23"/>
          <w:szCs w:val="23"/>
        </w:rPr>
        <w:t xml:space="preserve"> </w:t>
      </w:r>
      <w:r w:rsidR="00546D48" w:rsidRPr="009E54C9">
        <w:rPr>
          <w:rFonts w:ascii="Cambria" w:hAnsi="Cambria"/>
          <w:color w:val="000000" w:themeColor="text1"/>
          <w:sz w:val="23"/>
          <w:szCs w:val="23"/>
        </w:rPr>
        <w:t>model</w:t>
      </w:r>
      <w:r w:rsidR="00DC6AED" w:rsidRPr="009E54C9">
        <w:rPr>
          <w:rFonts w:ascii="Cambria" w:hAnsi="Cambria"/>
          <w:color w:val="000000" w:themeColor="text1"/>
          <w:sz w:val="23"/>
          <w:szCs w:val="23"/>
        </w:rPr>
        <w:t xml:space="preserve">.   </w:t>
      </w:r>
    </w:p>
    <w:p w14:paraId="1ACCFD6D" w14:textId="77777777" w:rsidR="00397346" w:rsidRPr="009E54C9" w:rsidRDefault="00397346" w:rsidP="00BB3450">
      <w:pPr>
        <w:pStyle w:val="NoSpacing"/>
        <w:jc w:val="both"/>
        <w:rPr>
          <w:rFonts w:ascii="Cambria" w:hAnsi="Cambria"/>
          <w:color w:val="FF0000"/>
          <w:sz w:val="23"/>
          <w:szCs w:val="23"/>
        </w:rPr>
      </w:pPr>
    </w:p>
    <w:p w14:paraId="0F122CA1" w14:textId="307F32CF" w:rsidR="00BB3450" w:rsidRPr="009E54C9" w:rsidRDefault="00BB3450" w:rsidP="00BB3450">
      <w:pPr>
        <w:pStyle w:val="NoSpacing"/>
        <w:jc w:val="both"/>
        <w:rPr>
          <w:rFonts w:ascii="Cambria" w:hAnsi="Cambria" w:cs="Arial"/>
          <w:color w:val="000000" w:themeColor="text1"/>
          <w:sz w:val="23"/>
          <w:szCs w:val="23"/>
        </w:rPr>
      </w:pPr>
      <w:r w:rsidRPr="009E54C9">
        <w:rPr>
          <w:rFonts w:ascii="Cambria" w:hAnsi="Cambria" w:cs="Arial"/>
          <w:color w:val="000000" w:themeColor="text1"/>
          <w:sz w:val="23"/>
          <w:szCs w:val="23"/>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42B216ED" w14:textId="77777777" w:rsidR="00546D48" w:rsidRPr="009E54C9" w:rsidRDefault="00546D48" w:rsidP="00BB3450">
      <w:pPr>
        <w:pStyle w:val="NoSpacing"/>
        <w:jc w:val="both"/>
        <w:rPr>
          <w:rFonts w:ascii="Cambria" w:hAnsi="Cambria" w:cs="Arial"/>
          <w:b/>
          <w:bCs/>
          <w:color w:val="000000" w:themeColor="text1"/>
          <w:sz w:val="23"/>
          <w:szCs w:val="23"/>
        </w:rPr>
      </w:pPr>
    </w:p>
    <w:p w14:paraId="7C87A643" w14:textId="7499933A" w:rsidR="007434E8" w:rsidRPr="009E54C9" w:rsidRDefault="007434E8" w:rsidP="00BB3450">
      <w:pPr>
        <w:pStyle w:val="NoSpacing"/>
        <w:jc w:val="both"/>
        <w:rPr>
          <w:rFonts w:ascii="Cambria" w:hAnsi="Cambria" w:cs="Arial"/>
          <w:b/>
          <w:bCs/>
          <w:color w:val="000000" w:themeColor="text1"/>
          <w:sz w:val="23"/>
          <w:szCs w:val="23"/>
        </w:rPr>
      </w:pPr>
      <w:r w:rsidRPr="009E54C9">
        <w:rPr>
          <w:rFonts w:ascii="Cambria" w:hAnsi="Cambria" w:cs="Arial"/>
          <w:b/>
          <w:bCs/>
          <w:color w:val="000000" w:themeColor="text1"/>
          <w:sz w:val="23"/>
          <w:szCs w:val="23"/>
        </w:rPr>
        <w:t>Whether the aims and objectives of the TLRI, set out in its founding agreement, require modernisation, clarification or amendment</w:t>
      </w:r>
    </w:p>
    <w:p w14:paraId="034CEF35" w14:textId="09D29D28" w:rsidR="00C41276" w:rsidRPr="009E54C9" w:rsidRDefault="004F2746" w:rsidP="007434E8">
      <w:pPr>
        <w:pStyle w:val="NoSpacing"/>
        <w:jc w:val="both"/>
        <w:rPr>
          <w:rFonts w:ascii="Cambria" w:hAnsi="Cambria" w:cs="Arial"/>
          <w:color w:val="000000" w:themeColor="text1"/>
          <w:sz w:val="23"/>
          <w:szCs w:val="23"/>
        </w:rPr>
      </w:pPr>
      <w:r w:rsidRPr="009E54C9">
        <w:rPr>
          <w:rFonts w:ascii="Cambria" w:hAnsi="Cambria" w:cs="Arial"/>
          <w:color w:val="000000" w:themeColor="text1"/>
          <w:sz w:val="23"/>
          <w:szCs w:val="23"/>
        </w:rPr>
        <w:t xml:space="preserve">The aims of the </w:t>
      </w:r>
      <w:r w:rsidR="005657BC" w:rsidRPr="009E54C9">
        <w:rPr>
          <w:rFonts w:ascii="Cambria" w:hAnsi="Cambria" w:cs="Arial"/>
          <w:color w:val="000000" w:themeColor="text1"/>
          <w:sz w:val="23"/>
          <w:szCs w:val="23"/>
        </w:rPr>
        <w:t>TLRI</w:t>
      </w:r>
      <w:r w:rsidRPr="009E54C9">
        <w:rPr>
          <w:rFonts w:ascii="Cambria" w:hAnsi="Cambria" w:cs="Arial"/>
          <w:color w:val="000000" w:themeColor="text1"/>
          <w:sz w:val="23"/>
          <w:szCs w:val="23"/>
        </w:rPr>
        <w:t xml:space="preserve"> currently provide for the modernisation, simplification and consolidation of Tasmanian laws, as well as uniformity between laws of other States and the Commonwealth.</w:t>
      </w:r>
      <w:r w:rsidRPr="009E54C9">
        <w:rPr>
          <w:rStyle w:val="FootnoteReference"/>
          <w:rFonts w:ascii="Cambria" w:hAnsi="Cambria" w:cs="Arial"/>
          <w:color w:val="000000" w:themeColor="text1"/>
          <w:sz w:val="23"/>
          <w:szCs w:val="23"/>
        </w:rPr>
        <w:footnoteReference w:id="1"/>
      </w:r>
      <w:r w:rsidRPr="009E54C9">
        <w:rPr>
          <w:rFonts w:ascii="Cambria" w:hAnsi="Cambria" w:cs="Arial"/>
          <w:color w:val="000000" w:themeColor="text1"/>
          <w:sz w:val="23"/>
          <w:szCs w:val="23"/>
        </w:rPr>
        <w:t xml:space="preserve"> </w:t>
      </w:r>
      <w:r w:rsidR="007434E8" w:rsidRPr="009E54C9">
        <w:rPr>
          <w:rFonts w:ascii="Cambria" w:hAnsi="Cambria" w:cs="Arial"/>
          <w:color w:val="000000" w:themeColor="text1"/>
          <w:sz w:val="23"/>
          <w:szCs w:val="23"/>
        </w:rPr>
        <w:t>We note that the aims of the</w:t>
      </w:r>
      <w:r w:rsidR="00546D48" w:rsidRPr="009E54C9">
        <w:rPr>
          <w:rFonts w:ascii="Cambria" w:hAnsi="Cambria" w:cs="Arial"/>
          <w:color w:val="000000" w:themeColor="text1"/>
          <w:sz w:val="23"/>
          <w:szCs w:val="23"/>
        </w:rPr>
        <w:t xml:space="preserve"> </w:t>
      </w:r>
      <w:r w:rsidR="005657BC" w:rsidRPr="009E54C9">
        <w:rPr>
          <w:rFonts w:ascii="Cambria" w:hAnsi="Cambria" w:cs="Arial"/>
          <w:color w:val="000000" w:themeColor="text1"/>
          <w:sz w:val="23"/>
          <w:szCs w:val="23"/>
        </w:rPr>
        <w:t>TLRI</w:t>
      </w:r>
      <w:r w:rsidR="00546D48" w:rsidRPr="009E54C9">
        <w:rPr>
          <w:rFonts w:ascii="Cambria" w:hAnsi="Cambria" w:cs="Arial"/>
          <w:color w:val="000000" w:themeColor="text1"/>
          <w:sz w:val="23"/>
          <w:szCs w:val="23"/>
        </w:rPr>
        <w:t xml:space="preserve"> </w:t>
      </w:r>
      <w:r w:rsidR="007434E8" w:rsidRPr="009E54C9">
        <w:rPr>
          <w:rFonts w:ascii="Cambria" w:hAnsi="Cambria" w:cs="Arial"/>
          <w:color w:val="000000" w:themeColor="text1"/>
          <w:sz w:val="23"/>
          <w:szCs w:val="23"/>
        </w:rPr>
        <w:t xml:space="preserve">were broadened in 2019 </w:t>
      </w:r>
      <w:r w:rsidR="00546D48" w:rsidRPr="009E54C9">
        <w:rPr>
          <w:rFonts w:ascii="Cambria" w:hAnsi="Cambria" w:cs="Arial"/>
          <w:color w:val="000000" w:themeColor="text1"/>
          <w:sz w:val="23"/>
          <w:szCs w:val="23"/>
        </w:rPr>
        <w:t>to include improving access to justice.</w:t>
      </w:r>
      <w:r w:rsidR="007434E8" w:rsidRPr="009E54C9">
        <w:rPr>
          <w:rStyle w:val="FootnoteReference"/>
          <w:rFonts w:ascii="Cambria" w:hAnsi="Cambria" w:cs="Arial"/>
          <w:color w:val="000000" w:themeColor="text1"/>
          <w:sz w:val="23"/>
          <w:szCs w:val="23"/>
        </w:rPr>
        <w:footnoteReference w:id="2"/>
      </w:r>
      <w:r w:rsidR="007434E8" w:rsidRPr="009E54C9">
        <w:rPr>
          <w:rFonts w:ascii="Cambria" w:hAnsi="Cambria" w:cs="Arial"/>
          <w:color w:val="000000" w:themeColor="text1"/>
          <w:sz w:val="23"/>
          <w:szCs w:val="23"/>
        </w:rPr>
        <w:t xml:space="preserve"> We support the inclusion of an access to justice claus</w:t>
      </w:r>
      <w:r w:rsidRPr="009E54C9">
        <w:rPr>
          <w:rFonts w:ascii="Cambria" w:hAnsi="Cambria" w:cs="Arial"/>
          <w:color w:val="000000" w:themeColor="text1"/>
          <w:sz w:val="23"/>
          <w:szCs w:val="23"/>
        </w:rPr>
        <w:t xml:space="preserve">e because it recognises that law reform will often have a disproportionate impact on disadvantaged members of the community. </w:t>
      </w:r>
    </w:p>
    <w:p w14:paraId="3828839B" w14:textId="77777777" w:rsidR="00C41276" w:rsidRPr="009E54C9" w:rsidRDefault="00C41276" w:rsidP="007434E8">
      <w:pPr>
        <w:pStyle w:val="NoSpacing"/>
        <w:jc w:val="both"/>
        <w:rPr>
          <w:rFonts w:ascii="Cambria" w:hAnsi="Cambria" w:cs="Arial"/>
          <w:color w:val="000000" w:themeColor="text1"/>
          <w:sz w:val="23"/>
          <w:szCs w:val="23"/>
        </w:rPr>
      </w:pPr>
    </w:p>
    <w:p w14:paraId="59EA7546" w14:textId="015B59F9" w:rsidR="001E70B2" w:rsidRPr="009E54C9" w:rsidRDefault="007434E8" w:rsidP="007434E8">
      <w:pPr>
        <w:pStyle w:val="NoSpacing"/>
        <w:jc w:val="both"/>
        <w:rPr>
          <w:rFonts w:ascii="Cambria" w:hAnsi="Cambria" w:cs="Arial"/>
          <w:color w:val="000000" w:themeColor="text1"/>
          <w:sz w:val="23"/>
          <w:szCs w:val="23"/>
        </w:rPr>
      </w:pPr>
      <w:r w:rsidRPr="009E54C9">
        <w:rPr>
          <w:rFonts w:ascii="Cambria" w:hAnsi="Cambria" w:cs="Arial"/>
          <w:color w:val="000000" w:themeColor="text1"/>
          <w:sz w:val="23"/>
          <w:szCs w:val="23"/>
        </w:rPr>
        <w:lastRenderedPageBreak/>
        <w:t>If the review thought further clarification</w:t>
      </w:r>
      <w:r w:rsidR="00C41276" w:rsidRPr="009E54C9">
        <w:rPr>
          <w:rFonts w:ascii="Cambria" w:hAnsi="Cambria" w:cs="Arial"/>
          <w:color w:val="000000" w:themeColor="text1"/>
          <w:sz w:val="23"/>
          <w:szCs w:val="23"/>
        </w:rPr>
        <w:t xml:space="preserve"> of the </w:t>
      </w:r>
      <w:r w:rsidR="005657BC" w:rsidRPr="009E54C9">
        <w:rPr>
          <w:rFonts w:ascii="Cambria" w:hAnsi="Cambria" w:cs="Arial"/>
          <w:color w:val="000000" w:themeColor="text1"/>
          <w:sz w:val="23"/>
          <w:szCs w:val="23"/>
        </w:rPr>
        <w:t>TLRI</w:t>
      </w:r>
      <w:r w:rsidR="00C41276" w:rsidRPr="009E54C9">
        <w:rPr>
          <w:rFonts w:ascii="Cambria" w:hAnsi="Cambria" w:cs="Arial"/>
          <w:color w:val="000000" w:themeColor="text1"/>
          <w:sz w:val="23"/>
          <w:szCs w:val="23"/>
        </w:rPr>
        <w:t xml:space="preserve">’s </w:t>
      </w:r>
      <w:r w:rsidR="005657BC" w:rsidRPr="009E54C9">
        <w:rPr>
          <w:rFonts w:ascii="Cambria" w:hAnsi="Cambria" w:cs="Arial"/>
          <w:color w:val="000000" w:themeColor="text1"/>
          <w:sz w:val="23"/>
          <w:szCs w:val="23"/>
        </w:rPr>
        <w:t>aims and objectives</w:t>
      </w:r>
      <w:r w:rsidR="00292F31" w:rsidRPr="009E54C9">
        <w:rPr>
          <w:rFonts w:ascii="Cambria" w:hAnsi="Cambria" w:cs="Arial"/>
          <w:color w:val="000000" w:themeColor="text1"/>
          <w:sz w:val="23"/>
          <w:szCs w:val="23"/>
        </w:rPr>
        <w:t xml:space="preserve"> </w:t>
      </w:r>
      <w:r w:rsidRPr="009E54C9">
        <w:rPr>
          <w:rFonts w:ascii="Cambria" w:hAnsi="Cambria" w:cs="Arial"/>
          <w:color w:val="000000" w:themeColor="text1"/>
          <w:sz w:val="23"/>
          <w:szCs w:val="23"/>
        </w:rPr>
        <w:t xml:space="preserve">would </w:t>
      </w:r>
      <w:r w:rsidR="00292F31" w:rsidRPr="009E54C9">
        <w:rPr>
          <w:rFonts w:ascii="Cambria" w:hAnsi="Cambria" w:cs="Arial"/>
          <w:color w:val="000000" w:themeColor="text1"/>
          <w:sz w:val="23"/>
          <w:szCs w:val="23"/>
        </w:rPr>
        <w:t>be</w:t>
      </w:r>
      <w:r w:rsidR="00336ED0" w:rsidRPr="009E54C9">
        <w:rPr>
          <w:rFonts w:ascii="Cambria" w:hAnsi="Cambria" w:cs="Arial"/>
          <w:color w:val="000000" w:themeColor="text1"/>
          <w:sz w:val="23"/>
          <w:szCs w:val="23"/>
        </w:rPr>
        <w:t xml:space="preserve"> beneficial</w:t>
      </w:r>
      <w:r w:rsidR="00C41276" w:rsidRPr="009E54C9">
        <w:rPr>
          <w:rFonts w:ascii="Cambria" w:hAnsi="Cambria" w:cs="Arial"/>
          <w:color w:val="000000" w:themeColor="text1"/>
          <w:sz w:val="23"/>
          <w:szCs w:val="23"/>
        </w:rPr>
        <w:t xml:space="preserve">, </w:t>
      </w:r>
      <w:r w:rsidRPr="009E54C9">
        <w:rPr>
          <w:rFonts w:ascii="Cambria" w:hAnsi="Cambria" w:cs="Arial"/>
          <w:color w:val="000000" w:themeColor="text1"/>
          <w:sz w:val="23"/>
          <w:szCs w:val="23"/>
        </w:rPr>
        <w:t xml:space="preserve">the inclusion of a clause that saw the </w:t>
      </w:r>
      <w:r w:rsidR="005657BC" w:rsidRPr="009E54C9">
        <w:rPr>
          <w:rFonts w:ascii="Cambria" w:hAnsi="Cambria" w:cs="Arial"/>
          <w:color w:val="000000" w:themeColor="text1"/>
          <w:sz w:val="23"/>
          <w:szCs w:val="23"/>
        </w:rPr>
        <w:t>TLRI</w:t>
      </w:r>
      <w:r w:rsidRPr="009E54C9">
        <w:rPr>
          <w:rFonts w:ascii="Cambria" w:hAnsi="Cambria" w:cs="Arial"/>
          <w:color w:val="000000" w:themeColor="text1"/>
          <w:sz w:val="23"/>
          <w:szCs w:val="23"/>
        </w:rPr>
        <w:t xml:space="preserve"> able to consider new or more effective methods for administering the law</w:t>
      </w:r>
      <w:r w:rsidR="00984075" w:rsidRPr="009E54C9">
        <w:rPr>
          <w:rFonts w:ascii="Cambria" w:hAnsi="Cambria" w:cs="Arial"/>
          <w:color w:val="000000" w:themeColor="text1"/>
          <w:sz w:val="23"/>
          <w:szCs w:val="23"/>
        </w:rPr>
        <w:t xml:space="preserve"> is recommend</w:t>
      </w:r>
      <w:r w:rsidR="00171F49" w:rsidRPr="009E54C9">
        <w:rPr>
          <w:rFonts w:ascii="Cambria" w:hAnsi="Cambria" w:cs="Arial"/>
          <w:color w:val="000000" w:themeColor="text1"/>
          <w:sz w:val="23"/>
          <w:szCs w:val="23"/>
        </w:rPr>
        <w:t>ed</w:t>
      </w:r>
      <w:r w:rsidRPr="009E54C9">
        <w:rPr>
          <w:rFonts w:ascii="Cambria" w:hAnsi="Cambria" w:cs="Arial"/>
          <w:color w:val="000000" w:themeColor="text1"/>
          <w:sz w:val="23"/>
          <w:szCs w:val="23"/>
        </w:rPr>
        <w:t xml:space="preserve">. An example is </w:t>
      </w:r>
      <w:r w:rsidR="005657BC" w:rsidRPr="009E54C9">
        <w:rPr>
          <w:rFonts w:ascii="Cambria" w:hAnsi="Cambria" w:cs="Arial"/>
          <w:color w:val="000000" w:themeColor="text1"/>
          <w:sz w:val="23"/>
          <w:szCs w:val="23"/>
        </w:rPr>
        <w:t>found in</w:t>
      </w:r>
      <w:r w:rsidRPr="009E54C9">
        <w:rPr>
          <w:rFonts w:ascii="Cambria" w:hAnsi="Cambria" w:cs="Arial"/>
          <w:color w:val="000000" w:themeColor="text1"/>
          <w:sz w:val="23"/>
          <w:szCs w:val="23"/>
        </w:rPr>
        <w:t xml:space="preserve"> the </w:t>
      </w:r>
      <w:r w:rsidRPr="009E54C9">
        <w:rPr>
          <w:rFonts w:ascii="Cambria" w:hAnsi="Cambria" w:cs="Arial"/>
          <w:i/>
          <w:iCs/>
          <w:color w:val="000000" w:themeColor="text1"/>
          <w:sz w:val="23"/>
          <w:szCs w:val="23"/>
        </w:rPr>
        <w:t>Australian Law Reform Commission Act 1996</w:t>
      </w:r>
      <w:r w:rsidRPr="009E54C9">
        <w:rPr>
          <w:rFonts w:ascii="Cambria" w:hAnsi="Cambria" w:cs="Arial"/>
          <w:color w:val="000000" w:themeColor="text1"/>
          <w:sz w:val="23"/>
          <w:szCs w:val="23"/>
        </w:rPr>
        <w:t xml:space="preserve"> (</w:t>
      </w:r>
      <w:proofErr w:type="spellStart"/>
      <w:r w:rsidRPr="009E54C9">
        <w:rPr>
          <w:rFonts w:ascii="Cambria" w:hAnsi="Cambria" w:cs="Arial"/>
          <w:color w:val="000000" w:themeColor="text1"/>
          <w:sz w:val="23"/>
          <w:szCs w:val="23"/>
        </w:rPr>
        <w:t>Cth</w:t>
      </w:r>
      <w:proofErr w:type="spellEnd"/>
      <w:r w:rsidRPr="009E54C9">
        <w:rPr>
          <w:rFonts w:ascii="Cambria" w:hAnsi="Cambria" w:cs="Arial"/>
          <w:color w:val="000000" w:themeColor="text1"/>
          <w:sz w:val="23"/>
          <w:szCs w:val="23"/>
        </w:rPr>
        <w:t xml:space="preserve">) which </w:t>
      </w:r>
      <w:r w:rsidR="00B513A4" w:rsidRPr="009E54C9">
        <w:rPr>
          <w:rFonts w:ascii="Cambria" w:hAnsi="Cambria" w:cs="Arial"/>
          <w:color w:val="000000" w:themeColor="text1"/>
          <w:sz w:val="23"/>
          <w:szCs w:val="23"/>
        </w:rPr>
        <w:t xml:space="preserve">relevantly </w:t>
      </w:r>
      <w:r w:rsidRPr="009E54C9">
        <w:rPr>
          <w:rFonts w:ascii="Cambria" w:hAnsi="Cambria" w:cs="Arial"/>
          <w:color w:val="000000" w:themeColor="text1"/>
          <w:sz w:val="23"/>
          <w:szCs w:val="23"/>
        </w:rPr>
        <w:t>provides “</w:t>
      </w:r>
      <w:r w:rsidRPr="009E54C9">
        <w:rPr>
          <w:rFonts w:ascii="Cambria" w:hAnsi="Cambria"/>
          <w:color w:val="000000" w:themeColor="text1"/>
          <w:sz w:val="23"/>
          <w:szCs w:val="23"/>
          <w:shd w:val="clear" w:color="auto" w:fill="FFFFFF"/>
        </w:rPr>
        <w:t>adopting new or more effective methods for administering the law and dispensing justice”.</w:t>
      </w:r>
      <w:r w:rsidRPr="009E54C9">
        <w:rPr>
          <w:rStyle w:val="FootnoteReference"/>
          <w:rFonts w:ascii="Cambria" w:hAnsi="Cambria"/>
          <w:color w:val="000000" w:themeColor="text1"/>
          <w:sz w:val="23"/>
          <w:szCs w:val="23"/>
          <w:shd w:val="clear" w:color="auto" w:fill="FFFFFF"/>
        </w:rPr>
        <w:footnoteReference w:id="3"/>
      </w:r>
      <w:r w:rsidRPr="009E54C9">
        <w:rPr>
          <w:rFonts w:ascii="Cambria" w:hAnsi="Cambria"/>
          <w:color w:val="000000" w:themeColor="text1"/>
          <w:sz w:val="23"/>
          <w:szCs w:val="23"/>
          <w:shd w:val="clear" w:color="auto" w:fill="FFFFFF"/>
        </w:rPr>
        <w:t xml:space="preserve"> </w:t>
      </w:r>
      <w:r w:rsidRPr="009E54C9">
        <w:rPr>
          <w:rFonts w:ascii="Cambria" w:hAnsi="Cambria" w:cs="Arial"/>
          <w:color w:val="000000" w:themeColor="text1"/>
          <w:sz w:val="23"/>
          <w:szCs w:val="23"/>
        </w:rPr>
        <w:t xml:space="preserve"> Example</w:t>
      </w:r>
      <w:r w:rsidR="00C41276" w:rsidRPr="009E54C9">
        <w:rPr>
          <w:rFonts w:ascii="Cambria" w:hAnsi="Cambria" w:cs="Arial"/>
          <w:color w:val="000000" w:themeColor="text1"/>
          <w:sz w:val="23"/>
          <w:szCs w:val="23"/>
        </w:rPr>
        <w:t xml:space="preserve"> </w:t>
      </w:r>
      <w:r w:rsidRPr="009E54C9">
        <w:rPr>
          <w:rFonts w:ascii="Cambria" w:hAnsi="Cambria" w:cs="Arial"/>
          <w:color w:val="000000" w:themeColor="text1"/>
          <w:sz w:val="23"/>
          <w:szCs w:val="23"/>
        </w:rPr>
        <w:t xml:space="preserve">projects that would fall under this clause include </w:t>
      </w:r>
      <w:r w:rsidRPr="009E54C9">
        <w:rPr>
          <w:rFonts w:ascii="Cambria" w:hAnsi="Cambria" w:cs="Arial"/>
          <w:i/>
          <w:iCs/>
          <w:color w:val="000000" w:themeColor="text1"/>
          <w:sz w:val="23"/>
          <w:szCs w:val="23"/>
        </w:rPr>
        <w:t>Problem Trees and Hedges: Access to Sunlight and Views</w:t>
      </w:r>
      <w:r w:rsidRPr="009E54C9">
        <w:rPr>
          <w:rFonts w:ascii="Cambria" w:hAnsi="Cambria" w:cs="Arial"/>
          <w:color w:val="000000" w:themeColor="text1"/>
          <w:sz w:val="23"/>
          <w:szCs w:val="23"/>
        </w:rPr>
        <w:t xml:space="preserve"> where the </w:t>
      </w:r>
      <w:r w:rsidR="005657BC" w:rsidRPr="009E54C9">
        <w:rPr>
          <w:rFonts w:ascii="Cambria" w:hAnsi="Cambria" w:cs="Arial"/>
          <w:color w:val="000000" w:themeColor="text1"/>
          <w:sz w:val="23"/>
          <w:szCs w:val="23"/>
        </w:rPr>
        <w:t>TLRI</w:t>
      </w:r>
      <w:r w:rsidRPr="009E54C9">
        <w:rPr>
          <w:rFonts w:ascii="Cambria" w:hAnsi="Cambria" w:cs="Arial"/>
          <w:color w:val="000000" w:themeColor="text1"/>
          <w:sz w:val="23"/>
          <w:szCs w:val="23"/>
        </w:rPr>
        <w:t xml:space="preserve"> recommended alternative dispute resolution</w:t>
      </w:r>
      <w:r w:rsidR="00E07471" w:rsidRPr="009E54C9">
        <w:rPr>
          <w:rFonts w:ascii="Cambria" w:hAnsi="Cambria" w:cs="Arial"/>
          <w:color w:val="000000" w:themeColor="text1"/>
          <w:sz w:val="23"/>
          <w:szCs w:val="23"/>
        </w:rPr>
        <w:t xml:space="preserve"> for disputes between neighbours where trees and hedges on one property </w:t>
      </w:r>
      <w:r w:rsidR="00171F49" w:rsidRPr="009E54C9">
        <w:rPr>
          <w:rFonts w:ascii="Cambria" w:hAnsi="Cambria" w:cs="Arial"/>
          <w:color w:val="000000" w:themeColor="text1"/>
          <w:sz w:val="23"/>
          <w:szCs w:val="23"/>
        </w:rPr>
        <w:t xml:space="preserve">are </w:t>
      </w:r>
      <w:r w:rsidR="00E07471" w:rsidRPr="009E54C9">
        <w:rPr>
          <w:rFonts w:ascii="Cambria" w:hAnsi="Cambria" w:cs="Arial"/>
          <w:color w:val="000000" w:themeColor="text1"/>
          <w:sz w:val="23"/>
          <w:szCs w:val="23"/>
        </w:rPr>
        <w:t>obstruct</w:t>
      </w:r>
      <w:r w:rsidR="00171F49" w:rsidRPr="009E54C9">
        <w:rPr>
          <w:rFonts w:ascii="Cambria" w:hAnsi="Cambria" w:cs="Arial"/>
          <w:color w:val="000000" w:themeColor="text1"/>
          <w:sz w:val="23"/>
          <w:szCs w:val="23"/>
        </w:rPr>
        <w:t xml:space="preserve">ing </w:t>
      </w:r>
      <w:r w:rsidR="00E07471" w:rsidRPr="009E54C9">
        <w:rPr>
          <w:rFonts w:ascii="Cambria" w:hAnsi="Cambria" w:cs="Arial"/>
          <w:color w:val="000000" w:themeColor="text1"/>
          <w:sz w:val="23"/>
          <w:szCs w:val="23"/>
        </w:rPr>
        <w:t>access of sunlight to and/or views from a neighbouring property.</w:t>
      </w:r>
      <w:r w:rsidRPr="009E54C9">
        <w:rPr>
          <w:rStyle w:val="FootnoteReference"/>
          <w:rFonts w:ascii="Cambria" w:hAnsi="Cambria" w:cs="Arial"/>
          <w:color w:val="000000" w:themeColor="text1"/>
          <w:sz w:val="23"/>
          <w:szCs w:val="23"/>
        </w:rPr>
        <w:footnoteReference w:id="4"/>
      </w:r>
      <w:r w:rsidR="00E07471" w:rsidRPr="009E54C9">
        <w:rPr>
          <w:rFonts w:ascii="Cambria" w:hAnsi="Cambria" w:cs="Arial"/>
          <w:color w:val="000000" w:themeColor="text1"/>
          <w:sz w:val="23"/>
          <w:szCs w:val="23"/>
        </w:rPr>
        <w:t xml:space="preserve"> Another example is </w:t>
      </w:r>
      <w:r w:rsidR="00E07471" w:rsidRPr="009E54C9">
        <w:rPr>
          <w:rFonts w:ascii="Cambria" w:hAnsi="Cambria" w:cs="Arial"/>
          <w:i/>
          <w:iCs/>
          <w:color w:val="000000" w:themeColor="text1"/>
          <w:sz w:val="23"/>
          <w:szCs w:val="23"/>
        </w:rPr>
        <w:t>The Establishment of a Drug Court Pilot in Tasmania</w:t>
      </w:r>
      <w:r w:rsidR="00E07471" w:rsidRPr="009E54C9">
        <w:rPr>
          <w:rFonts w:ascii="Cambria" w:hAnsi="Cambria" w:cs="Arial"/>
          <w:color w:val="000000" w:themeColor="text1"/>
          <w:sz w:val="23"/>
          <w:szCs w:val="23"/>
        </w:rPr>
        <w:t xml:space="preserve"> </w:t>
      </w:r>
      <w:r w:rsidR="00195FCD" w:rsidRPr="009E54C9">
        <w:rPr>
          <w:rFonts w:ascii="Cambria" w:hAnsi="Cambria" w:cs="Arial"/>
          <w:color w:val="000000" w:themeColor="text1"/>
          <w:sz w:val="23"/>
          <w:szCs w:val="23"/>
        </w:rPr>
        <w:t>which assisted in the implementation of Tasmania’s court mandated drug diversion program.</w:t>
      </w:r>
      <w:r w:rsidR="00195FCD" w:rsidRPr="009E54C9">
        <w:rPr>
          <w:rStyle w:val="FootnoteReference"/>
          <w:rFonts w:ascii="Cambria" w:hAnsi="Cambria" w:cs="Arial"/>
          <w:color w:val="000000" w:themeColor="text1"/>
          <w:sz w:val="23"/>
          <w:szCs w:val="23"/>
        </w:rPr>
        <w:footnoteReference w:id="5"/>
      </w:r>
      <w:r w:rsidR="00E07471" w:rsidRPr="009E54C9">
        <w:rPr>
          <w:rFonts w:ascii="Cambria" w:hAnsi="Cambria" w:cs="Arial"/>
          <w:color w:val="000000" w:themeColor="text1"/>
          <w:sz w:val="23"/>
          <w:szCs w:val="23"/>
        </w:rPr>
        <w:t xml:space="preserve"> </w:t>
      </w:r>
      <w:r w:rsidRPr="009E54C9">
        <w:rPr>
          <w:rFonts w:ascii="Cambria" w:hAnsi="Cambria" w:cs="Arial"/>
          <w:color w:val="000000" w:themeColor="text1"/>
          <w:sz w:val="23"/>
          <w:szCs w:val="23"/>
        </w:rPr>
        <w:t xml:space="preserve"> </w:t>
      </w:r>
    </w:p>
    <w:p w14:paraId="67FDC933" w14:textId="77777777" w:rsidR="001E70B2" w:rsidRPr="009E54C9" w:rsidRDefault="001E70B2" w:rsidP="007434E8">
      <w:pPr>
        <w:pStyle w:val="NoSpacing"/>
        <w:jc w:val="both"/>
        <w:rPr>
          <w:rFonts w:ascii="Cambria" w:hAnsi="Cambria" w:cs="Arial"/>
          <w:color w:val="000000" w:themeColor="text1"/>
          <w:sz w:val="23"/>
          <w:szCs w:val="23"/>
        </w:rPr>
      </w:pPr>
    </w:p>
    <w:p w14:paraId="08F32D94" w14:textId="1AB62AA8" w:rsidR="007434E8" w:rsidRPr="009E54C9" w:rsidRDefault="001E70B2" w:rsidP="001E70B2">
      <w:pPr>
        <w:pStyle w:val="NoSpacing"/>
        <w:pBdr>
          <w:top w:val="single" w:sz="4" w:space="1" w:color="auto"/>
          <w:left w:val="single" w:sz="4" w:space="4" w:color="auto"/>
          <w:bottom w:val="single" w:sz="4" w:space="1" w:color="auto"/>
          <w:right w:val="single" w:sz="4" w:space="4" w:color="auto"/>
        </w:pBdr>
        <w:jc w:val="both"/>
        <w:rPr>
          <w:rFonts w:ascii="Cambria" w:hAnsi="Cambria" w:cs="Arial"/>
          <w:color w:val="000000" w:themeColor="text1"/>
          <w:sz w:val="23"/>
          <w:szCs w:val="23"/>
        </w:rPr>
      </w:pPr>
      <w:r w:rsidRPr="009E54C9">
        <w:rPr>
          <w:rFonts w:ascii="Cambria" w:hAnsi="Cambria" w:cs="Arial"/>
          <w:b/>
          <w:bCs/>
          <w:color w:val="000000" w:themeColor="text1"/>
          <w:sz w:val="23"/>
          <w:szCs w:val="23"/>
        </w:rPr>
        <w:t>Recommendation:</w:t>
      </w:r>
      <w:r w:rsidRPr="009E54C9">
        <w:rPr>
          <w:rFonts w:ascii="Cambria" w:hAnsi="Cambria" w:cs="Arial"/>
          <w:color w:val="000000" w:themeColor="text1"/>
          <w:sz w:val="23"/>
          <w:szCs w:val="23"/>
        </w:rPr>
        <w:t xml:space="preserve"> Broaden the aims of the </w:t>
      </w:r>
      <w:r w:rsidR="005657BC" w:rsidRPr="009E54C9">
        <w:rPr>
          <w:rFonts w:ascii="Cambria" w:hAnsi="Cambria" w:cs="Arial"/>
          <w:color w:val="000000" w:themeColor="text1"/>
          <w:sz w:val="23"/>
          <w:szCs w:val="23"/>
        </w:rPr>
        <w:t>TLRI</w:t>
      </w:r>
      <w:r w:rsidRPr="009E54C9">
        <w:rPr>
          <w:rFonts w:ascii="Cambria" w:hAnsi="Cambria" w:cs="Arial"/>
          <w:color w:val="000000" w:themeColor="text1"/>
          <w:sz w:val="23"/>
          <w:szCs w:val="23"/>
        </w:rPr>
        <w:t xml:space="preserve"> to include new or more effective methods for administering the law and dispensing justice</w:t>
      </w:r>
      <w:r w:rsidR="007434E8" w:rsidRPr="009E54C9">
        <w:rPr>
          <w:rFonts w:ascii="Cambria" w:hAnsi="Cambria" w:cs="Arial"/>
          <w:color w:val="000000" w:themeColor="text1"/>
          <w:sz w:val="23"/>
          <w:szCs w:val="23"/>
        </w:rPr>
        <w:t xml:space="preserve"> </w:t>
      </w:r>
    </w:p>
    <w:p w14:paraId="5CF4A7BD" w14:textId="201566C9" w:rsidR="007434E8" w:rsidRPr="009E54C9" w:rsidRDefault="007434E8" w:rsidP="00BB3450">
      <w:pPr>
        <w:pStyle w:val="NoSpacing"/>
        <w:jc w:val="both"/>
        <w:rPr>
          <w:rFonts w:ascii="Cambria" w:hAnsi="Cambria" w:cs="Arial"/>
          <w:color w:val="000000" w:themeColor="text1"/>
          <w:sz w:val="23"/>
          <w:szCs w:val="23"/>
        </w:rPr>
      </w:pPr>
      <w:r w:rsidRPr="009E54C9">
        <w:rPr>
          <w:rFonts w:ascii="Cambria" w:hAnsi="Cambria" w:cs="Arial"/>
          <w:color w:val="000000" w:themeColor="text1"/>
          <w:sz w:val="23"/>
          <w:szCs w:val="23"/>
        </w:rPr>
        <w:t xml:space="preserve">  </w:t>
      </w:r>
    </w:p>
    <w:p w14:paraId="5DA25C25" w14:textId="311B9178" w:rsidR="007434E8" w:rsidRPr="009E54C9" w:rsidRDefault="007434E8" w:rsidP="00BB3450">
      <w:pPr>
        <w:pStyle w:val="NoSpacing"/>
        <w:jc w:val="both"/>
        <w:rPr>
          <w:rFonts w:ascii="Cambria" w:hAnsi="Cambria" w:cs="Arial"/>
          <w:b/>
          <w:bCs/>
          <w:color w:val="000000" w:themeColor="text1"/>
          <w:sz w:val="23"/>
          <w:szCs w:val="23"/>
        </w:rPr>
      </w:pPr>
      <w:r w:rsidRPr="009E54C9">
        <w:rPr>
          <w:rFonts w:ascii="Cambria" w:hAnsi="Cambria" w:cs="Arial"/>
          <w:b/>
          <w:bCs/>
          <w:color w:val="000000" w:themeColor="text1"/>
          <w:sz w:val="23"/>
          <w:szCs w:val="23"/>
        </w:rPr>
        <w:t>Whether there are sufficient provisions for the protection and promotion of the institutional integrity and independence of the institute</w:t>
      </w:r>
    </w:p>
    <w:p w14:paraId="56DD889F" w14:textId="0B9CC399" w:rsidR="00984075" w:rsidRPr="009E54C9" w:rsidRDefault="00984075" w:rsidP="00984075">
      <w:pPr>
        <w:pStyle w:val="xmsonormal"/>
        <w:shd w:val="clear" w:color="auto" w:fill="FFFFFF"/>
        <w:spacing w:before="0" w:beforeAutospacing="0" w:after="0" w:afterAutospacing="0"/>
        <w:jc w:val="both"/>
        <w:rPr>
          <w:rFonts w:ascii="Cambria" w:hAnsi="Cambria"/>
          <w:color w:val="000000" w:themeColor="text1"/>
          <w:sz w:val="23"/>
          <w:szCs w:val="23"/>
        </w:rPr>
      </w:pPr>
      <w:r w:rsidRPr="009E54C9">
        <w:rPr>
          <w:rFonts w:ascii="Cambria" w:hAnsi="Cambria"/>
          <w:color w:val="000000" w:themeColor="text1"/>
          <w:sz w:val="23"/>
          <w:szCs w:val="23"/>
        </w:rPr>
        <w:t xml:space="preserve">There is no </w:t>
      </w:r>
      <w:r w:rsidR="005657BC" w:rsidRPr="009E54C9">
        <w:rPr>
          <w:rFonts w:ascii="Cambria" w:hAnsi="Cambria"/>
          <w:color w:val="000000" w:themeColor="text1"/>
          <w:sz w:val="23"/>
          <w:szCs w:val="23"/>
        </w:rPr>
        <w:t xml:space="preserve">express </w:t>
      </w:r>
      <w:r w:rsidRPr="009E54C9">
        <w:rPr>
          <w:rFonts w:ascii="Cambria" w:hAnsi="Cambria"/>
          <w:color w:val="000000" w:themeColor="text1"/>
          <w:sz w:val="23"/>
          <w:szCs w:val="23"/>
        </w:rPr>
        <w:t xml:space="preserve">protection contained within the founding agreement to ensure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’s integrity and independence. Although the 2019 Renewal Agreement was amended to note that the Director is responsible for “working to ensure the independence of the Institute”,</w:t>
      </w:r>
      <w:r w:rsidRPr="009E54C9">
        <w:rPr>
          <w:rStyle w:val="FootnoteReference"/>
          <w:rFonts w:ascii="Cambria" w:hAnsi="Cambria"/>
          <w:color w:val="000000" w:themeColor="text1"/>
          <w:sz w:val="23"/>
          <w:szCs w:val="23"/>
        </w:rPr>
        <w:footnoteReference w:id="6"/>
      </w:r>
      <w:r w:rsidRPr="009E54C9">
        <w:rPr>
          <w:rFonts w:ascii="Cambria" w:hAnsi="Cambria"/>
          <w:color w:val="000000" w:themeColor="text1"/>
          <w:sz w:val="23"/>
          <w:szCs w:val="23"/>
        </w:rPr>
        <w:t xml:space="preserve"> there is no </w:t>
      </w:r>
      <w:r w:rsidR="005657BC" w:rsidRPr="009E54C9">
        <w:rPr>
          <w:rFonts w:ascii="Cambria" w:hAnsi="Cambria"/>
          <w:color w:val="000000" w:themeColor="text1"/>
          <w:sz w:val="23"/>
          <w:szCs w:val="23"/>
        </w:rPr>
        <w:t xml:space="preserve">explicit </w:t>
      </w:r>
      <w:r w:rsidRPr="009E54C9">
        <w:rPr>
          <w:rFonts w:ascii="Cambria" w:hAnsi="Cambria"/>
          <w:color w:val="000000" w:themeColor="text1"/>
          <w:sz w:val="23"/>
          <w:szCs w:val="23"/>
        </w:rPr>
        <w:t xml:space="preserve">reference to the independence of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In our opinion, the impli</w:t>
      </w:r>
      <w:r w:rsidR="005657BC" w:rsidRPr="009E54C9">
        <w:rPr>
          <w:rFonts w:ascii="Cambria" w:hAnsi="Cambria"/>
          <w:color w:val="000000" w:themeColor="text1"/>
          <w:sz w:val="23"/>
          <w:szCs w:val="23"/>
        </w:rPr>
        <w:t xml:space="preserve">ed </w:t>
      </w:r>
      <w:r w:rsidRPr="009E54C9">
        <w:rPr>
          <w:rFonts w:ascii="Cambria" w:hAnsi="Cambria"/>
          <w:color w:val="000000" w:themeColor="text1"/>
          <w:sz w:val="23"/>
          <w:szCs w:val="23"/>
        </w:rPr>
        <w:t xml:space="preserve">independence and impartiality of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xml:space="preserve"> should be explicitly set out. A useful model is </w:t>
      </w:r>
      <w:r w:rsidR="005657BC" w:rsidRPr="009E54C9">
        <w:rPr>
          <w:rFonts w:ascii="Cambria" w:hAnsi="Cambria"/>
          <w:color w:val="000000" w:themeColor="text1"/>
          <w:sz w:val="23"/>
          <w:szCs w:val="23"/>
        </w:rPr>
        <w:t xml:space="preserve">Tasmania’s Commissioner for Children and Young People, who </w:t>
      </w:r>
      <w:r w:rsidRPr="009E54C9">
        <w:rPr>
          <w:rFonts w:ascii="Cambria" w:hAnsi="Cambria"/>
          <w:color w:val="000000" w:themeColor="text1"/>
          <w:sz w:val="23"/>
          <w:szCs w:val="23"/>
        </w:rPr>
        <w:t>“</w:t>
      </w:r>
      <w:r w:rsidRPr="009E54C9">
        <w:rPr>
          <w:rFonts w:ascii="Cambria" w:hAnsi="Cambria"/>
          <w:color w:val="000000" w:themeColor="text1"/>
          <w:sz w:val="23"/>
          <w:szCs w:val="23"/>
          <w:shd w:val="clear" w:color="auto" w:fill="FFFFFF"/>
        </w:rPr>
        <w:t>must act independently, impartially and in the public interest</w:t>
      </w:r>
      <w:r w:rsidRPr="009E54C9">
        <w:rPr>
          <w:rFonts w:ascii="Cambria" w:hAnsi="Cambria"/>
          <w:color w:val="000000" w:themeColor="text1"/>
          <w:sz w:val="23"/>
          <w:szCs w:val="23"/>
        </w:rPr>
        <w:t>”.</w:t>
      </w:r>
      <w:r w:rsidRPr="009E54C9">
        <w:rPr>
          <w:rStyle w:val="FootnoteReference"/>
          <w:rFonts w:ascii="Cambria" w:hAnsi="Cambria"/>
          <w:color w:val="000000" w:themeColor="text1"/>
          <w:sz w:val="23"/>
          <w:szCs w:val="23"/>
        </w:rPr>
        <w:footnoteReference w:id="7"/>
      </w:r>
      <w:r w:rsidRPr="009E54C9">
        <w:rPr>
          <w:rFonts w:ascii="Cambria" w:hAnsi="Cambria"/>
          <w:color w:val="000000" w:themeColor="text1"/>
          <w:sz w:val="23"/>
          <w:szCs w:val="23"/>
        </w:rPr>
        <w:t xml:space="preserve"> </w:t>
      </w:r>
      <w:r w:rsidRPr="009E54C9">
        <w:rPr>
          <w:rFonts w:ascii="Cambria" w:hAnsi="Cambria"/>
          <w:color w:val="000000" w:themeColor="text1"/>
          <w:sz w:val="23"/>
          <w:szCs w:val="23"/>
          <w:shd w:val="clear" w:color="auto" w:fill="FFFFFF"/>
        </w:rPr>
        <w:t>Another model that could be considered is the New Zealand Law Commission which “must act independently in performing its statutory functions and duties…”.</w:t>
      </w:r>
      <w:r w:rsidRPr="009E54C9">
        <w:rPr>
          <w:rStyle w:val="FootnoteReference"/>
          <w:rFonts w:ascii="Cambria" w:hAnsi="Cambria"/>
          <w:color w:val="000000" w:themeColor="text1"/>
          <w:sz w:val="23"/>
          <w:szCs w:val="23"/>
          <w:shd w:val="clear" w:color="auto" w:fill="FFFFFF"/>
        </w:rPr>
        <w:footnoteReference w:id="8"/>
      </w:r>
    </w:p>
    <w:p w14:paraId="7B8FCDF7" w14:textId="77777777" w:rsidR="00984075" w:rsidRPr="009E54C9" w:rsidRDefault="00984075" w:rsidP="005E5309">
      <w:pPr>
        <w:pStyle w:val="xmsonormal"/>
        <w:shd w:val="clear" w:color="auto" w:fill="FFFFFF"/>
        <w:spacing w:before="0" w:beforeAutospacing="0" w:after="0" w:afterAutospacing="0"/>
        <w:jc w:val="both"/>
        <w:rPr>
          <w:rFonts w:ascii="Cambria" w:hAnsi="Cambria"/>
          <w:color w:val="000000" w:themeColor="text1"/>
          <w:sz w:val="23"/>
          <w:szCs w:val="23"/>
        </w:rPr>
      </w:pPr>
    </w:p>
    <w:p w14:paraId="45FCC791" w14:textId="514726B0" w:rsidR="00607E01" w:rsidRPr="009E54C9" w:rsidRDefault="00C254B6" w:rsidP="005E5309">
      <w:pPr>
        <w:pStyle w:val="xmsonormal"/>
        <w:shd w:val="clear" w:color="auto" w:fill="FFFFFF"/>
        <w:spacing w:before="0" w:beforeAutospacing="0" w:after="0" w:afterAutospacing="0"/>
        <w:jc w:val="both"/>
        <w:rPr>
          <w:rFonts w:ascii="Cambria" w:hAnsi="Cambria"/>
          <w:color w:val="000000" w:themeColor="text1"/>
          <w:sz w:val="23"/>
          <w:szCs w:val="23"/>
        </w:rPr>
      </w:pPr>
      <w:r w:rsidRPr="009E54C9">
        <w:rPr>
          <w:rFonts w:ascii="Cambria" w:hAnsi="Cambria"/>
          <w:color w:val="000000" w:themeColor="text1"/>
          <w:sz w:val="23"/>
          <w:szCs w:val="23"/>
        </w:rPr>
        <w:t>Tasmania along with South Australia and the Northern Territory are the only jurisdictions whose</w:t>
      </w:r>
      <w:r w:rsidR="007C0C55" w:rsidRPr="009E54C9">
        <w:rPr>
          <w:rFonts w:ascii="Cambria" w:hAnsi="Cambria"/>
          <w:color w:val="000000" w:themeColor="text1"/>
          <w:sz w:val="23"/>
          <w:szCs w:val="23"/>
        </w:rPr>
        <w:t xml:space="preserve"> law reform bodies</w:t>
      </w:r>
      <w:r w:rsidR="00A75FFB" w:rsidRPr="009E54C9">
        <w:rPr>
          <w:rFonts w:ascii="Cambria" w:hAnsi="Cambria"/>
          <w:color w:val="000000" w:themeColor="text1"/>
          <w:sz w:val="23"/>
          <w:szCs w:val="23"/>
        </w:rPr>
        <w:t xml:space="preserve"> </w:t>
      </w:r>
      <w:r w:rsidR="007C0C55" w:rsidRPr="009E54C9">
        <w:rPr>
          <w:rFonts w:ascii="Cambria" w:hAnsi="Cambria"/>
          <w:color w:val="000000" w:themeColor="text1"/>
          <w:sz w:val="23"/>
          <w:szCs w:val="23"/>
        </w:rPr>
        <w:t>may</w:t>
      </w:r>
      <w:r w:rsidR="0062507B" w:rsidRPr="009E54C9">
        <w:rPr>
          <w:rFonts w:ascii="Cambria" w:hAnsi="Cambria"/>
          <w:color w:val="000000" w:themeColor="text1"/>
          <w:sz w:val="23"/>
          <w:szCs w:val="23"/>
        </w:rPr>
        <w:t xml:space="preserve"> </w:t>
      </w:r>
      <w:r w:rsidR="007C0C55" w:rsidRPr="009E54C9">
        <w:rPr>
          <w:rFonts w:ascii="Cambria" w:hAnsi="Cambria"/>
          <w:color w:val="000000" w:themeColor="text1"/>
          <w:sz w:val="23"/>
          <w:szCs w:val="23"/>
        </w:rPr>
        <w:t>accept law reform proposals or research projects from a wide range of stakeholder</w:t>
      </w:r>
      <w:r w:rsidR="00A75FFB" w:rsidRPr="009E54C9">
        <w:rPr>
          <w:rFonts w:ascii="Cambria" w:hAnsi="Cambria"/>
          <w:color w:val="000000" w:themeColor="text1"/>
          <w:sz w:val="23"/>
          <w:szCs w:val="23"/>
        </w:rPr>
        <w:t xml:space="preserve">s </w:t>
      </w:r>
      <w:r w:rsidR="007C0C55" w:rsidRPr="009E54C9">
        <w:rPr>
          <w:rFonts w:ascii="Cambria" w:hAnsi="Cambria"/>
          <w:color w:val="000000" w:themeColor="text1"/>
          <w:sz w:val="23"/>
          <w:szCs w:val="23"/>
        </w:rPr>
        <w:t>including the judiciary,</w:t>
      </w:r>
      <w:r w:rsidR="00053CBF" w:rsidRPr="009E54C9">
        <w:rPr>
          <w:rFonts w:ascii="Cambria" w:hAnsi="Cambria"/>
          <w:color w:val="000000" w:themeColor="text1"/>
          <w:sz w:val="23"/>
          <w:szCs w:val="23"/>
        </w:rPr>
        <w:t xml:space="preserve"> </w:t>
      </w:r>
      <w:r w:rsidR="007C0C55" w:rsidRPr="009E54C9">
        <w:rPr>
          <w:rFonts w:ascii="Cambria" w:hAnsi="Cambria"/>
          <w:color w:val="000000" w:themeColor="text1"/>
          <w:sz w:val="23"/>
          <w:szCs w:val="23"/>
        </w:rPr>
        <w:t>government departments, Parliament, the legal profession and members of the community or community groups.</w:t>
      </w:r>
      <w:r w:rsidR="007C0C55" w:rsidRPr="009E54C9">
        <w:rPr>
          <w:rStyle w:val="FootnoteReference"/>
          <w:rFonts w:ascii="Cambria" w:hAnsi="Cambria"/>
          <w:color w:val="000000" w:themeColor="text1"/>
          <w:sz w:val="23"/>
          <w:szCs w:val="23"/>
        </w:rPr>
        <w:footnoteReference w:id="9"/>
      </w:r>
      <w:r w:rsidRPr="009E54C9">
        <w:rPr>
          <w:rFonts w:ascii="Cambria" w:hAnsi="Cambria"/>
          <w:color w:val="000000" w:themeColor="text1"/>
          <w:sz w:val="23"/>
          <w:szCs w:val="23"/>
        </w:rPr>
        <w:t xml:space="preserve"> </w:t>
      </w:r>
      <w:r w:rsidR="00984075" w:rsidRPr="009E54C9">
        <w:rPr>
          <w:rFonts w:ascii="Cambria" w:hAnsi="Cambria"/>
          <w:color w:val="000000" w:themeColor="text1"/>
          <w:sz w:val="23"/>
          <w:szCs w:val="23"/>
        </w:rPr>
        <w:t xml:space="preserve">The Australian Law Reform Commission and the </w:t>
      </w:r>
      <w:r w:rsidR="007C0C55" w:rsidRPr="009E54C9">
        <w:rPr>
          <w:rFonts w:ascii="Cambria" w:hAnsi="Cambria"/>
          <w:color w:val="000000" w:themeColor="text1"/>
          <w:sz w:val="23"/>
          <w:szCs w:val="23"/>
        </w:rPr>
        <w:t xml:space="preserve">New South Wales and Queensland Law Reform Commissions </w:t>
      </w:r>
      <w:r w:rsidR="00984075" w:rsidRPr="009E54C9">
        <w:rPr>
          <w:rFonts w:ascii="Cambria" w:hAnsi="Cambria"/>
          <w:color w:val="000000" w:themeColor="text1"/>
          <w:sz w:val="23"/>
          <w:szCs w:val="23"/>
        </w:rPr>
        <w:t>are restricted</w:t>
      </w:r>
      <w:r w:rsidRPr="009E54C9">
        <w:rPr>
          <w:rFonts w:ascii="Cambria" w:hAnsi="Cambria"/>
          <w:color w:val="000000" w:themeColor="text1"/>
          <w:sz w:val="23"/>
          <w:szCs w:val="23"/>
        </w:rPr>
        <w:t xml:space="preserve"> </w:t>
      </w:r>
      <w:r w:rsidR="007C0C55" w:rsidRPr="009E54C9">
        <w:rPr>
          <w:rFonts w:ascii="Cambria" w:hAnsi="Cambria"/>
          <w:color w:val="000000" w:themeColor="text1"/>
          <w:sz w:val="23"/>
          <w:szCs w:val="23"/>
        </w:rPr>
        <w:t xml:space="preserve">to </w:t>
      </w:r>
      <w:r w:rsidR="00984075" w:rsidRPr="009E54C9">
        <w:rPr>
          <w:rFonts w:ascii="Cambria" w:hAnsi="Cambria"/>
          <w:color w:val="000000" w:themeColor="text1"/>
          <w:sz w:val="23"/>
          <w:szCs w:val="23"/>
        </w:rPr>
        <w:t xml:space="preserve">receiving </w:t>
      </w:r>
      <w:r w:rsidR="007C0C55" w:rsidRPr="009E54C9">
        <w:rPr>
          <w:rFonts w:ascii="Cambria" w:hAnsi="Cambria"/>
          <w:color w:val="000000" w:themeColor="text1"/>
          <w:sz w:val="23"/>
          <w:szCs w:val="23"/>
        </w:rPr>
        <w:t>referrals from the Attorney-General.</w:t>
      </w:r>
      <w:r w:rsidR="007C0C55" w:rsidRPr="009E54C9">
        <w:rPr>
          <w:rStyle w:val="FootnoteReference"/>
          <w:rFonts w:ascii="Cambria" w:hAnsi="Cambria"/>
          <w:color w:val="000000" w:themeColor="text1"/>
          <w:sz w:val="23"/>
          <w:szCs w:val="23"/>
        </w:rPr>
        <w:footnoteReference w:id="10"/>
      </w:r>
      <w:r w:rsidR="007C0C55" w:rsidRPr="009E54C9">
        <w:rPr>
          <w:rFonts w:ascii="Cambria" w:hAnsi="Cambria"/>
          <w:color w:val="000000" w:themeColor="text1"/>
          <w:sz w:val="23"/>
          <w:szCs w:val="23"/>
        </w:rPr>
        <w:t xml:space="preserve"> In Victoria, a mixed model </w:t>
      </w:r>
      <w:r w:rsidR="007C0C55" w:rsidRPr="009E54C9">
        <w:rPr>
          <w:rFonts w:ascii="Cambria" w:hAnsi="Cambria"/>
          <w:color w:val="000000" w:themeColor="text1"/>
          <w:sz w:val="23"/>
          <w:szCs w:val="23"/>
        </w:rPr>
        <w:lastRenderedPageBreak/>
        <w:t>is used with the Commission accepting referrals from the Attorney-General</w:t>
      </w:r>
      <w:r w:rsidR="007C0C55" w:rsidRPr="009E54C9">
        <w:rPr>
          <w:rStyle w:val="FootnoteReference"/>
          <w:rFonts w:ascii="Cambria" w:hAnsi="Cambria"/>
          <w:color w:val="000000" w:themeColor="text1"/>
          <w:sz w:val="23"/>
          <w:szCs w:val="23"/>
        </w:rPr>
        <w:footnoteReference w:id="11"/>
      </w:r>
      <w:r w:rsidR="007C0C55" w:rsidRPr="009E54C9">
        <w:rPr>
          <w:rFonts w:ascii="Cambria" w:hAnsi="Cambria"/>
          <w:color w:val="000000" w:themeColor="text1"/>
          <w:sz w:val="23"/>
          <w:szCs w:val="23"/>
        </w:rPr>
        <w:t xml:space="preserve"> but also able to review any area of law reform that is “of general community concern if the Commission is satisfied that the examination of that matter will not require a significant deployment of the resources available to the Commission”.</w:t>
      </w:r>
      <w:r w:rsidR="007C0C55" w:rsidRPr="009E54C9">
        <w:rPr>
          <w:rStyle w:val="FootnoteReference"/>
          <w:rFonts w:ascii="Cambria" w:hAnsi="Cambria"/>
          <w:color w:val="000000" w:themeColor="text1"/>
          <w:sz w:val="23"/>
          <w:szCs w:val="23"/>
        </w:rPr>
        <w:footnoteReference w:id="12"/>
      </w:r>
    </w:p>
    <w:p w14:paraId="2FF2F5B9" w14:textId="77777777" w:rsidR="00E376B2" w:rsidRPr="009E54C9" w:rsidRDefault="00E376B2" w:rsidP="005E5309">
      <w:pPr>
        <w:pStyle w:val="xmsonormal"/>
        <w:shd w:val="clear" w:color="auto" w:fill="FFFFFF"/>
        <w:spacing w:before="0" w:beforeAutospacing="0" w:after="0" w:afterAutospacing="0"/>
        <w:jc w:val="both"/>
        <w:rPr>
          <w:rFonts w:ascii="Cambria" w:hAnsi="Cambria"/>
          <w:color w:val="000000" w:themeColor="text1"/>
          <w:sz w:val="23"/>
          <w:szCs w:val="23"/>
        </w:rPr>
      </w:pPr>
    </w:p>
    <w:p w14:paraId="272003BC" w14:textId="1D9B95E6" w:rsidR="001F0A06" w:rsidRPr="009E54C9" w:rsidRDefault="00AA7316" w:rsidP="001F0A06">
      <w:pPr>
        <w:pStyle w:val="xmsonormal"/>
        <w:shd w:val="clear" w:color="auto" w:fill="FFFFFF"/>
        <w:spacing w:before="0" w:beforeAutospacing="0" w:after="0" w:afterAutospacing="0"/>
        <w:jc w:val="both"/>
        <w:rPr>
          <w:rFonts w:ascii="Cambria" w:hAnsi="Cambria"/>
          <w:color w:val="000000" w:themeColor="text1"/>
          <w:sz w:val="23"/>
          <w:szCs w:val="23"/>
        </w:rPr>
      </w:pPr>
      <w:r w:rsidRPr="009E54C9">
        <w:rPr>
          <w:rFonts w:ascii="Cambria" w:hAnsi="Cambria"/>
          <w:color w:val="000000" w:themeColor="text1"/>
          <w:sz w:val="23"/>
          <w:szCs w:val="23"/>
        </w:rPr>
        <w:t>Of</w:t>
      </w:r>
      <w:r w:rsidR="00336ED0" w:rsidRPr="009E54C9">
        <w:rPr>
          <w:rFonts w:ascii="Cambria" w:hAnsi="Cambria"/>
          <w:color w:val="000000" w:themeColor="text1"/>
          <w:sz w:val="23"/>
          <w:szCs w:val="23"/>
        </w:rPr>
        <w:t xml:space="preserve"> the 36 law reform projects completed by the </w:t>
      </w:r>
      <w:r w:rsidR="005657BC" w:rsidRPr="009E54C9">
        <w:rPr>
          <w:rFonts w:ascii="Cambria" w:hAnsi="Cambria"/>
          <w:color w:val="000000" w:themeColor="text1"/>
          <w:sz w:val="23"/>
          <w:szCs w:val="23"/>
        </w:rPr>
        <w:t>TLRI</w:t>
      </w:r>
      <w:r w:rsidR="00336ED0" w:rsidRPr="009E54C9">
        <w:rPr>
          <w:rFonts w:ascii="Cambria" w:hAnsi="Cambria"/>
          <w:color w:val="000000" w:themeColor="text1"/>
          <w:sz w:val="23"/>
          <w:szCs w:val="23"/>
        </w:rPr>
        <w:t>, 21 have been referrals from the Attorney-General and 15</w:t>
      </w:r>
      <w:r w:rsidR="00C07DFA" w:rsidRPr="009E54C9">
        <w:rPr>
          <w:rFonts w:ascii="Cambria" w:hAnsi="Cambria"/>
          <w:color w:val="000000" w:themeColor="text1"/>
          <w:sz w:val="23"/>
          <w:szCs w:val="23"/>
        </w:rPr>
        <w:t xml:space="preserve"> </w:t>
      </w:r>
      <w:r w:rsidRPr="009E54C9">
        <w:rPr>
          <w:rFonts w:ascii="Cambria" w:hAnsi="Cambria"/>
          <w:color w:val="000000" w:themeColor="text1"/>
          <w:sz w:val="23"/>
          <w:szCs w:val="23"/>
        </w:rPr>
        <w:t xml:space="preserve">proposals </w:t>
      </w:r>
      <w:r w:rsidR="00336ED0" w:rsidRPr="009E54C9">
        <w:rPr>
          <w:rFonts w:ascii="Cambria" w:hAnsi="Cambria"/>
          <w:color w:val="000000" w:themeColor="text1"/>
          <w:sz w:val="23"/>
          <w:szCs w:val="23"/>
        </w:rPr>
        <w:t>from a person or organisation other than the Attorney-General. The</w:t>
      </w:r>
      <w:r w:rsidRPr="009E54C9">
        <w:rPr>
          <w:rFonts w:ascii="Cambria" w:hAnsi="Cambria"/>
          <w:color w:val="000000" w:themeColor="text1"/>
          <w:sz w:val="23"/>
          <w:szCs w:val="23"/>
        </w:rPr>
        <w:t xml:space="preserve"> 15 proposals have come from a broad range of stakeholders as the following graph demonstrates</w:t>
      </w:r>
      <w:r w:rsidR="005F5816" w:rsidRPr="009E54C9">
        <w:rPr>
          <w:rFonts w:ascii="Cambria" w:hAnsi="Cambria"/>
          <w:color w:val="000000" w:themeColor="text1"/>
          <w:sz w:val="23"/>
          <w:szCs w:val="23"/>
        </w:rPr>
        <w:t>:</w:t>
      </w:r>
    </w:p>
    <w:p w14:paraId="56ACD651" w14:textId="77777777" w:rsidR="00EC05E8" w:rsidRDefault="00EC05E8" w:rsidP="001F0A06">
      <w:pPr>
        <w:pStyle w:val="xmsonormal"/>
        <w:shd w:val="clear" w:color="auto" w:fill="FFFFFF"/>
        <w:spacing w:before="0" w:beforeAutospacing="0" w:after="0" w:afterAutospacing="0"/>
        <w:jc w:val="both"/>
        <w:rPr>
          <w:rFonts w:ascii="Cambria" w:hAnsi="Cambria"/>
          <w:color w:val="000000" w:themeColor="text1"/>
        </w:rPr>
      </w:pPr>
    </w:p>
    <w:p w14:paraId="4E157D8F" w14:textId="67B1071F" w:rsidR="001F0A06" w:rsidRDefault="00A133F8" w:rsidP="001F0A06">
      <w:pPr>
        <w:pStyle w:val="xmsonormal"/>
        <w:shd w:val="clear" w:color="auto" w:fill="FFFFFF"/>
        <w:spacing w:before="0" w:beforeAutospacing="0" w:after="0" w:afterAutospacing="0"/>
        <w:jc w:val="both"/>
        <w:rPr>
          <w:rFonts w:ascii="Cambria" w:hAnsi="Cambria"/>
          <w:color w:val="000000" w:themeColor="text1"/>
        </w:rPr>
      </w:pPr>
      <w:r>
        <w:rPr>
          <w:rFonts w:ascii="Cambria" w:hAnsi="Cambria"/>
          <w:noProof/>
          <w:color w:val="000000" w:themeColor="text1"/>
        </w:rPr>
        <w:drawing>
          <wp:inline distT="0" distB="0" distL="0" distR="0" wp14:anchorId="0D6B1891" wp14:editId="38E93715">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1E80C5" w14:textId="77777777" w:rsidR="00AA7316" w:rsidRPr="009E54C9" w:rsidRDefault="00AA7316" w:rsidP="00FD18C5">
      <w:pPr>
        <w:pStyle w:val="xmsonormal"/>
        <w:shd w:val="clear" w:color="auto" w:fill="FFFFFF"/>
        <w:spacing w:before="0" w:beforeAutospacing="0" w:after="0" w:afterAutospacing="0"/>
        <w:jc w:val="both"/>
        <w:rPr>
          <w:rFonts w:ascii="Cambria" w:hAnsi="Cambria"/>
          <w:color w:val="000000" w:themeColor="text1"/>
          <w:sz w:val="23"/>
          <w:szCs w:val="23"/>
        </w:rPr>
      </w:pPr>
    </w:p>
    <w:p w14:paraId="21427FF1" w14:textId="44D1A3B7" w:rsidR="00DD1344" w:rsidRPr="009E54C9" w:rsidRDefault="00AA7316" w:rsidP="00FD18C5">
      <w:pPr>
        <w:pStyle w:val="xmsonormal"/>
        <w:shd w:val="clear" w:color="auto" w:fill="FFFFFF"/>
        <w:spacing w:before="0" w:beforeAutospacing="0" w:after="0" w:afterAutospacing="0"/>
        <w:jc w:val="both"/>
        <w:rPr>
          <w:rFonts w:ascii="Cambria" w:hAnsi="Cambria"/>
          <w:color w:val="000000" w:themeColor="text1"/>
          <w:sz w:val="23"/>
          <w:szCs w:val="23"/>
        </w:rPr>
      </w:pPr>
      <w:r w:rsidRPr="009E54C9">
        <w:rPr>
          <w:rFonts w:ascii="Cambria" w:hAnsi="Cambria"/>
          <w:color w:val="000000" w:themeColor="text1"/>
          <w:sz w:val="23"/>
          <w:szCs w:val="23"/>
        </w:rPr>
        <w:t xml:space="preserve">The ability to accept proposals from a wide-range of stakeholders provides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xml:space="preserve"> with a degree of independence that most other Australian law reform bodies lack. It also means that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xml:space="preserve"> is able to undertake cutting-edge law reform of national and even international significance</w:t>
      </w:r>
      <w:r w:rsidR="001F7896" w:rsidRPr="009E54C9">
        <w:rPr>
          <w:rFonts w:ascii="Cambria" w:hAnsi="Cambria"/>
          <w:color w:val="000000" w:themeColor="text1"/>
          <w:sz w:val="23"/>
          <w:szCs w:val="23"/>
        </w:rPr>
        <w:t xml:space="preserve"> without fear or favour</w:t>
      </w:r>
      <w:r w:rsidRPr="009E54C9">
        <w:rPr>
          <w:rFonts w:ascii="Cambria" w:hAnsi="Cambria"/>
          <w:color w:val="000000" w:themeColor="text1"/>
          <w:sz w:val="23"/>
          <w:szCs w:val="23"/>
        </w:rPr>
        <w:t xml:space="preserve">. We do not believe 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xml:space="preserve"> should be constrained to merely accepting referrals from the Attorney-General and </w:t>
      </w:r>
      <w:r w:rsidR="00DD1344" w:rsidRPr="009E54C9">
        <w:rPr>
          <w:rFonts w:ascii="Cambria" w:hAnsi="Cambria"/>
          <w:color w:val="000000" w:themeColor="text1"/>
          <w:sz w:val="23"/>
          <w:szCs w:val="23"/>
        </w:rPr>
        <w:t xml:space="preserve">strongly </w:t>
      </w:r>
      <w:r w:rsidR="005F5816" w:rsidRPr="009E54C9">
        <w:rPr>
          <w:rFonts w:ascii="Cambria" w:hAnsi="Cambria"/>
          <w:color w:val="000000" w:themeColor="text1"/>
          <w:sz w:val="23"/>
          <w:szCs w:val="23"/>
        </w:rPr>
        <w:t>recommend</w:t>
      </w:r>
      <w:r w:rsidR="00DD1344" w:rsidRPr="009E54C9">
        <w:rPr>
          <w:rFonts w:ascii="Cambria" w:hAnsi="Cambria"/>
          <w:color w:val="000000" w:themeColor="text1"/>
          <w:sz w:val="23"/>
          <w:szCs w:val="23"/>
        </w:rPr>
        <w:t xml:space="preserve"> that the</w:t>
      </w:r>
      <w:r w:rsidR="005F5816" w:rsidRPr="009E54C9">
        <w:rPr>
          <w:rFonts w:ascii="Cambria" w:hAnsi="Cambria"/>
          <w:color w:val="000000" w:themeColor="text1"/>
          <w:sz w:val="23"/>
          <w:szCs w:val="23"/>
        </w:rPr>
        <w:t xml:space="preserve"> </w:t>
      </w:r>
      <w:r w:rsidR="005657BC" w:rsidRPr="009E54C9">
        <w:rPr>
          <w:rFonts w:ascii="Cambria" w:hAnsi="Cambria"/>
          <w:color w:val="000000" w:themeColor="text1"/>
          <w:sz w:val="23"/>
          <w:szCs w:val="23"/>
        </w:rPr>
        <w:t>TLRI</w:t>
      </w:r>
      <w:r w:rsidR="005F5816" w:rsidRPr="009E54C9">
        <w:rPr>
          <w:rFonts w:ascii="Cambria" w:hAnsi="Cambria"/>
          <w:color w:val="000000" w:themeColor="text1"/>
          <w:sz w:val="23"/>
          <w:szCs w:val="23"/>
        </w:rPr>
        <w:t xml:space="preserve"> retain </w:t>
      </w:r>
      <w:r w:rsidR="00AC204C" w:rsidRPr="009E54C9">
        <w:rPr>
          <w:rFonts w:ascii="Cambria" w:hAnsi="Cambria"/>
          <w:color w:val="000000" w:themeColor="text1"/>
          <w:sz w:val="23"/>
          <w:szCs w:val="23"/>
        </w:rPr>
        <w:t>its</w:t>
      </w:r>
      <w:r w:rsidR="001F7896" w:rsidRPr="009E54C9">
        <w:rPr>
          <w:rFonts w:ascii="Cambria" w:hAnsi="Cambria"/>
          <w:color w:val="000000" w:themeColor="text1"/>
          <w:sz w:val="23"/>
          <w:szCs w:val="23"/>
        </w:rPr>
        <w:t xml:space="preserve"> </w:t>
      </w:r>
      <w:r w:rsidR="005F5816" w:rsidRPr="009E54C9">
        <w:rPr>
          <w:rFonts w:ascii="Cambria" w:hAnsi="Cambria"/>
          <w:color w:val="000000" w:themeColor="text1"/>
          <w:sz w:val="23"/>
          <w:szCs w:val="23"/>
        </w:rPr>
        <w:t>power</w:t>
      </w:r>
      <w:r w:rsidR="00AC204C" w:rsidRPr="009E54C9">
        <w:rPr>
          <w:rFonts w:ascii="Cambria" w:hAnsi="Cambria"/>
          <w:color w:val="000000" w:themeColor="text1"/>
          <w:sz w:val="23"/>
          <w:szCs w:val="23"/>
        </w:rPr>
        <w:t>s</w:t>
      </w:r>
      <w:r w:rsidR="001F7896" w:rsidRPr="009E54C9">
        <w:rPr>
          <w:rFonts w:ascii="Cambria" w:hAnsi="Cambria"/>
          <w:color w:val="000000" w:themeColor="text1"/>
          <w:sz w:val="23"/>
          <w:szCs w:val="23"/>
        </w:rPr>
        <w:t xml:space="preserve"> to accept proposals from any person or organisation</w:t>
      </w:r>
      <w:r w:rsidR="005F5816" w:rsidRPr="009E54C9">
        <w:rPr>
          <w:rFonts w:ascii="Cambria" w:hAnsi="Cambria"/>
          <w:color w:val="000000" w:themeColor="text1"/>
          <w:sz w:val="23"/>
          <w:szCs w:val="23"/>
        </w:rPr>
        <w:t>.</w:t>
      </w:r>
      <w:r w:rsidR="00472259" w:rsidRPr="009E54C9">
        <w:rPr>
          <w:rFonts w:ascii="Cambria" w:hAnsi="Cambria"/>
          <w:color w:val="000000" w:themeColor="text1"/>
          <w:sz w:val="23"/>
          <w:szCs w:val="23"/>
        </w:rPr>
        <w:t xml:space="preserve"> We do however support the express inclusion of independent statutory authorities</w:t>
      </w:r>
      <w:r w:rsidR="004C27B8" w:rsidRPr="009E54C9">
        <w:rPr>
          <w:rFonts w:ascii="Cambria" w:hAnsi="Cambria"/>
          <w:color w:val="000000" w:themeColor="text1"/>
          <w:sz w:val="23"/>
          <w:szCs w:val="23"/>
        </w:rPr>
        <w:t>/officers</w:t>
      </w:r>
      <w:r w:rsidR="00472259" w:rsidRPr="009E54C9">
        <w:rPr>
          <w:rFonts w:ascii="Cambria" w:hAnsi="Cambria"/>
          <w:color w:val="000000" w:themeColor="text1"/>
          <w:sz w:val="23"/>
          <w:szCs w:val="23"/>
        </w:rPr>
        <w:t xml:space="preserve"> as a source of referrals</w:t>
      </w:r>
      <w:r w:rsidR="004C27B8" w:rsidRPr="009E54C9">
        <w:rPr>
          <w:rFonts w:ascii="Cambria" w:hAnsi="Cambria"/>
          <w:color w:val="000000" w:themeColor="text1"/>
          <w:sz w:val="23"/>
          <w:szCs w:val="23"/>
        </w:rPr>
        <w:t xml:space="preserve">, particularly given that the Commissioner for Children and Young People has previously referred two proposals to the </w:t>
      </w:r>
      <w:r w:rsidR="005657BC" w:rsidRPr="009E54C9">
        <w:rPr>
          <w:rFonts w:ascii="Cambria" w:hAnsi="Cambria"/>
          <w:color w:val="000000" w:themeColor="text1"/>
          <w:sz w:val="23"/>
          <w:szCs w:val="23"/>
        </w:rPr>
        <w:t>TLRI</w:t>
      </w:r>
      <w:r w:rsidR="004C27B8" w:rsidRPr="009E54C9">
        <w:rPr>
          <w:rFonts w:ascii="Cambria" w:hAnsi="Cambria"/>
          <w:color w:val="000000" w:themeColor="text1"/>
          <w:sz w:val="23"/>
          <w:szCs w:val="23"/>
        </w:rPr>
        <w:t>.</w:t>
      </w:r>
      <w:r w:rsidR="004C27B8" w:rsidRPr="009E54C9">
        <w:rPr>
          <w:rStyle w:val="FootnoteReference"/>
          <w:rFonts w:ascii="Cambria" w:hAnsi="Cambria"/>
          <w:color w:val="000000" w:themeColor="text1"/>
          <w:sz w:val="23"/>
          <w:szCs w:val="23"/>
        </w:rPr>
        <w:footnoteReference w:id="13"/>
      </w:r>
      <w:r w:rsidR="00472259" w:rsidRPr="009E54C9">
        <w:rPr>
          <w:rFonts w:ascii="Cambria" w:hAnsi="Cambria"/>
          <w:color w:val="000000" w:themeColor="text1"/>
          <w:sz w:val="23"/>
          <w:szCs w:val="23"/>
        </w:rPr>
        <w:t xml:space="preserve"> </w:t>
      </w:r>
      <w:r w:rsidR="005F5816" w:rsidRPr="009E54C9">
        <w:rPr>
          <w:rFonts w:ascii="Cambria" w:hAnsi="Cambria"/>
          <w:color w:val="000000" w:themeColor="text1"/>
          <w:sz w:val="23"/>
          <w:szCs w:val="23"/>
        </w:rPr>
        <w:t xml:space="preserve"> </w:t>
      </w:r>
    </w:p>
    <w:p w14:paraId="1ECD0940" w14:textId="77777777" w:rsidR="0006762C" w:rsidRPr="009E54C9" w:rsidRDefault="0006762C" w:rsidP="0006762C">
      <w:pPr>
        <w:rPr>
          <w:rFonts w:ascii="Cambria" w:hAnsi="Cambria"/>
          <w:i/>
          <w:iCs/>
          <w:sz w:val="23"/>
          <w:szCs w:val="23"/>
        </w:rPr>
      </w:pPr>
    </w:p>
    <w:p w14:paraId="5AF2B54C" w14:textId="4ACC29FD" w:rsidR="00397346" w:rsidRPr="009E54C9" w:rsidRDefault="00566887" w:rsidP="00CC0785">
      <w:pPr>
        <w:pStyle w:val="xmsonormal"/>
        <w:shd w:val="clear" w:color="auto" w:fill="FFFFFF"/>
        <w:spacing w:before="0" w:beforeAutospacing="0" w:after="0" w:afterAutospacing="0"/>
        <w:jc w:val="both"/>
        <w:rPr>
          <w:rFonts w:ascii="Cambria" w:hAnsi="Cambria"/>
          <w:color w:val="000000"/>
          <w:sz w:val="23"/>
          <w:szCs w:val="23"/>
        </w:rPr>
      </w:pPr>
      <w:r w:rsidRPr="009E54C9">
        <w:rPr>
          <w:rFonts w:ascii="Cambria" w:hAnsi="Cambria"/>
          <w:color w:val="000000"/>
          <w:sz w:val="23"/>
          <w:szCs w:val="23"/>
        </w:rPr>
        <w:t xml:space="preserve">As well as </w:t>
      </w:r>
      <w:r w:rsidR="00397346" w:rsidRPr="009E54C9">
        <w:rPr>
          <w:rFonts w:ascii="Cambria" w:hAnsi="Cambria"/>
          <w:color w:val="000000"/>
          <w:sz w:val="23"/>
          <w:szCs w:val="23"/>
        </w:rPr>
        <w:t>greater</w:t>
      </w:r>
      <w:r w:rsidRPr="009E54C9">
        <w:rPr>
          <w:rFonts w:ascii="Cambria" w:hAnsi="Cambria"/>
          <w:color w:val="000000"/>
          <w:sz w:val="23"/>
          <w:szCs w:val="23"/>
        </w:rPr>
        <w:t xml:space="preserve"> independence, i</w:t>
      </w:r>
      <w:r w:rsidR="00C96C76" w:rsidRPr="009E54C9">
        <w:rPr>
          <w:rFonts w:ascii="Cambria" w:hAnsi="Cambria"/>
          <w:color w:val="000000"/>
          <w:sz w:val="23"/>
          <w:szCs w:val="23"/>
        </w:rPr>
        <w:t>t is also worth emphasising that t</w:t>
      </w:r>
      <w:r w:rsidR="00434930" w:rsidRPr="009E54C9">
        <w:rPr>
          <w:rFonts w:ascii="Cambria" w:hAnsi="Cambria"/>
          <w:color w:val="000000"/>
          <w:sz w:val="23"/>
          <w:szCs w:val="23"/>
        </w:rPr>
        <w:t xml:space="preserve">he </w:t>
      </w:r>
      <w:r w:rsidR="005657BC" w:rsidRPr="009E54C9">
        <w:rPr>
          <w:rFonts w:ascii="Cambria" w:hAnsi="Cambria"/>
          <w:color w:val="000000"/>
          <w:sz w:val="23"/>
          <w:szCs w:val="23"/>
        </w:rPr>
        <w:t>TLRI</w:t>
      </w:r>
      <w:r w:rsidR="00434930" w:rsidRPr="009E54C9">
        <w:rPr>
          <w:rFonts w:ascii="Cambria" w:hAnsi="Cambria"/>
          <w:color w:val="000000"/>
          <w:sz w:val="23"/>
          <w:szCs w:val="23"/>
        </w:rPr>
        <w:t xml:space="preserve"> retains more impartiality than most other Australian law reform bodies, </w:t>
      </w:r>
      <w:r w:rsidR="00E376B2" w:rsidRPr="009E54C9">
        <w:rPr>
          <w:rFonts w:ascii="Cambria" w:hAnsi="Cambria"/>
          <w:color w:val="000000"/>
          <w:sz w:val="23"/>
          <w:szCs w:val="23"/>
        </w:rPr>
        <w:t>with</w:t>
      </w:r>
      <w:r w:rsidR="00CC0785" w:rsidRPr="009E54C9">
        <w:rPr>
          <w:rFonts w:ascii="Cambria" w:hAnsi="Cambria"/>
          <w:color w:val="000000"/>
          <w:sz w:val="23"/>
          <w:szCs w:val="23"/>
        </w:rPr>
        <w:t xml:space="preserve"> the</w:t>
      </w:r>
      <w:r w:rsidRPr="009E54C9">
        <w:rPr>
          <w:rFonts w:ascii="Cambria" w:hAnsi="Cambria"/>
          <w:color w:val="000000"/>
          <w:sz w:val="23"/>
          <w:szCs w:val="23"/>
        </w:rPr>
        <w:t xml:space="preserve"> </w:t>
      </w:r>
      <w:r w:rsidR="00397346" w:rsidRPr="009E54C9">
        <w:rPr>
          <w:rFonts w:ascii="Cambria" w:hAnsi="Cambria"/>
          <w:color w:val="000000"/>
          <w:sz w:val="23"/>
          <w:szCs w:val="23"/>
        </w:rPr>
        <w:t xml:space="preserve">independent </w:t>
      </w:r>
      <w:r w:rsidR="00CC0785" w:rsidRPr="009E54C9">
        <w:rPr>
          <w:rFonts w:ascii="Cambria" w:hAnsi="Cambria"/>
          <w:color w:val="000000"/>
          <w:sz w:val="23"/>
          <w:szCs w:val="23"/>
        </w:rPr>
        <w:t>Board retaining a</w:t>
      </w:r>
      <w:r w:rsidR="008B502E" w:rsidRPr="009E54C9">
        <w:rPr>
          <w:rFonts w:ascii="Cambria" w:hAnsi="Cambria"/>
          <w:color w:val="000000"/>
          <w:sz w:val="23"/>
          <w:szCs w:val="23"/>
        </w:rPr>
        <w:t xml:space="preserve"> powerful</w:t>
      </w:r>
      <w:r w:rsidR="00CC0785" w:rsidRPr="009E54C9">
        <w:rPr>
          <w:rFonts w:ascii="Cambria" w:hAnsi="Cambria"/>
          <w:color w:val="000000"/>
          <w:sz w:val="23"/>
          <w:szCs w:val="23"/>
        </w:rPr>
        <w:t xml:space="preserve"> oversight role “</w:t>
      </w:r>
      <w:r w:rsidR="00E376B2" w:rsidRPr="009E54C9">
        <w:rPr>
          <w:rFonts w:ascii="Cambria" w:hAnsi="Cambria"/>
          <w:color w:val="000000"/>
          <w:sz w:val="23"/>
          <w:szCs w:val="23"/>
        </w:rPr>
        <w:t>with respect to the conduct of business at the Institute, including making recommendations as to whether a particular reform project should be undertaken”.</w:t>
      </w:r>
      <w:r w:rsidR="00E376B2" w:rsidRPr="009E54C9">
        <w:rPr>
          <w:rStyle w:val="FootnoteReference"/>
          <w:rFonts w:ascii="Cambria" w:hAnsi="Cambria"/>
          <w:color w:val="000000"/>
          <w:sz w:val="23"/>
          <w:szCs w:val="23"/>
        </w:rPr>
        <w:footnoteReference w:id="14"/>
      </w:r>
    </w:p>
    <w:p w14:paraId="2F64D0DD" w14:textId="77777777" w:rsidR="00397346" w:rsidRPr="009E54C9" w:rsidRDefault="00397346" w:rsidP="00CC0785">
      <w:pPr>
        <w:pStyle w:val="xmsonormal"/>
        <w:shd w:val="clear" w:color="auto" w:fill="FFFFFF"/>
        <w:spacing w:before="0" w:beforeAutospacing="0" w:after="0" w:afterAutospacing="0"/>
        <w:jc w:val="both"/>
        <w:rPr>
          <w:rFonts w:ascii="Cambria" w:hAnsi="Cambria"/>
          <w:color w:val="000000"/>
          <w:sz w:val="23"/>
          <w:szCs w:val="23"/>
        </w:rPr>
      </w:pPr>
    </w:p>
    <w:p w14:paraId="6AF1FCBF" w14:textId="77777777" w:rsidR="000628F0" w:rsidRPr="009E54C9" w:rsidRDefault="00566887" w:rsidP="00CC0785">
      <w:pPr>
        <w:pStyle w:val="xmsonormal"/>
        <w:shd w:val="clear" w:color="auto" w:fill="FFFFFF"/>
        <w:spacing w:before="0" w:beforeAutospacing="0" w:after="0" w:afterAutospacing="0"/>
        <w:jc w:val="both"/>
        <w:rPr>
          <w:rFonts w:ascii="Cambria" w:hAnsi="Cambria"/>
          <w:color w:val="000000" w:themeColor="text1"/>
          <w:sz w:val="23"/>
          <w:szCs w:val="23"/>
          <w:shd w:val="clear" w:color="auto" w:fill="FFFFFF"/>
        </w:rPr>
      </w:pPr>
      <w:r w:rsidRPr="009E54C9">
        <w:rPr>
          <w:rFonts w:ascii="Cambria" w:hAnsi="Cambria"/>
          <w:color w:val="000000"/>
          <w:sz w:val="23"/>
          <w:szCs w:val="23"/>
        </w:rPr>
        <w:t>T</w:t>
      </w:r>
      <w:r w:rsidR="00CC0785" w:rsidRPr="009E54C9">
        <w:rPr>
          <w:rFonts w:ascii="Cambria" w:hAnsi="Cambria"/>
          <w:color w:val="000000"/>
          <w:sz w:val="23"/>
          <w:szCs w:val="23"/>
        </w:rPr>
        <w:t xml:space="preserve">his can be contrasted with the Australian Law Reform Commission where the </w:t>
      </w:r>
      <w:r w:rsidR="00FD18C5" w:rsidRPr="009E54C9">
        <w:rPr>
          <w:rFonts w:ascii="Cambria" w:hAnsi="Cambria"/>
          <w:color w:val="000000"/>
          <w:sz w:val="23"/>
          <w:szCs w:val="23"/>
        </w:rPr>
        <w:t>Commonwealth Attorney-General has the power to “alter the terms of a reference”</w:t>
      </w:r>
      <w:r w:rsidR="00FD18C5" w:rsidRPr="009E54C9">
        <w:rPr>
          <w:rStyle w:val="FootnoteReference"/>
          <w:rFonts w:ascii="Cambria" w:hAnsi="Cambria"/>
          <w:color w:val="000000" w:themeColor="text1"/>
          <w:sz w:val="23"/>
          <w:szCs w:val="23"/>
        </w:rPr>
        <w:footnoteReference w:id="15"/>
      </w:r>
      <w:r w:rsidR="00FD18C5" w:rsidRPr="009E54C9">
        <w:rPr>
          <w:rFonts w:ascii="Cambria" w:hAnsi="Cambria"/>
          <w:color w:val="000000"/>
          <w:sz w:val="23"/>
          <w:szCs w:val="23"/>
        </w:rPr>
        <w:t xml:space="preserve"> </w:t>
      </w:r>
      <w:r w:rsidR="00FD18C5" w:rsidRPr="009E54C9">
        <w:rPr>
          <w:rFonts w:ascii="Cambria" w:hAnsi="Cambria"/>
          <w:color w:val="000000" w:themeColor="text1"/>
          <w:sz w:val="23"/>
          <w:szCs w:val="23"/>
        </w:rPr>
        <w:t>and may “give the Commission directions about the order in which it is to deal with references”.</w:t>
      </w:r>
      <w:r w:rsidR="00FD18C5" w:rsidRPr="009E54C9">
        <w:rPr>
          <w:rStyle w:val="FootnoteReference"/>
          <w:rFonts w:ascii="Cambria" w:hAnsi="Cambria"/>
          <w:color w:val="000000" w:themeColor="text1"/>
          <w:sz w:val="23"/>
          <w:szCs w:val="23"/>
        </w:rPr>
        <w:footnoteReference w:id="16"/>
      </w:r>
      <w:r w:rsidR="00CC0785" w:rsidRPr="009E54C9">
        <w:rPr>
          <w:rFonts w:ascii="Cambria" w:hAnsi="Cambria"/>
          <w:color w:val="000000" w:themeColor="text1"/>
          <w:sz w:val="23"/>
          <w:szCs w:val="23"/>
        </w:rPr>
        <w:t xml:space="preserve"> Similar provisions about the priority in which law reform references are finalised is also containe</w:t>
      </w:r>
      <w:r w:rsidR="007004DC" w:rsidRPr="009E54C9">
        <w:rPr>
          <w:rFonts w:ascii="Cambria" w:hAnsi="Cambria"/>
          <w:color w:val="000000" w:themeColor="text1"/>
          <w:sz w:val="23"/>
          <w:szCs w:val="23"/>
        </w:rPr>
        <w:t>d in</w:t>
      </w:r>
      <w:r w:rsidR="00CC0785" w:rsidRPr="009E54C9">
        <w:rPr>
          <w:rFonts w:ascii="Cambria" w:hAnsi="Cambria"/>
          <w:color w:val="000000" w:themeColor="text1"/>
          <w:sz w:val="23"/>
          <w:szCs w:val="23"/>
        </w:rPr>
        <w:t xml:space="preserve"> other Australian jurisdictions</w:t>
      </w:r>
      <w:r w:rsidR="007C0C55" w:rsidRPr="009E54C9">
        <w:rPr>
          <w:rStyle w:val="FootnoteReference"/>
          <w:rFonts w:ascii="Cambria" w:hAnsi="Cambria"/>
          <w:color w:val="000000" w:themeColor="text1"/>
          <w:sz w:val="23"/>
          <w:szCs w:val="23"/>
          <w:shd w:val="clear" w:color="auto" w:fill="FFFFFF"/>
        </w:rPr>
        <w:footnoteReference w:id="17"/>
      </w:r>
      <w:r w:rsidR="00A86701" w:rsidRPr="009E54C9">
        <w:rPr>
          <w:rFonts w:ascii="Cambria" w:hAnsi="Cambria"/>
          <w:color w:val="000000" w:themeColor="text1"/>
          <w:sz w:val="23"/>
          <w:szCs w:val="23"/>
          <w:shd w:val="clear" w:color="auto" w:fill="FFFFFF"/>
        </w:rPr>
        <w:t xml:space="preserve"> </w:t>
      </w:r>
      <w:r w:rsidR="00C0288E" w:rsidRPr="009E54C9">
        <w:rPr>
          <w:rFonts w:ascii="Cambria" w:hAnsi="Cambria"/>
          <w:color w:val="000000" w:themeColor="text1"/>
          <w:sz w:val="23"/>
          <w:szCs w:val="23"/>
          <w:shd w:val="clear" w:color="auto" w:fill="FFFFFF"/>
        </w:rPr>
        <w:t xml:space="preserve">which may give rise to concerns about political interference. </w:t>
      </w:r>
    </w:p>
    <w:p w14:paraId="4527283B" w14:textId="77777777" w:rsidR="000628F0" w:rsidRPr="009E54C9" w:rsidRDefault="000628F0" w:rsidP="00CC0785">
      <w:pPr>
        <w:pStyle w:val="xmsonormal"/>
        <w:shd w:val="clear" w:color="auto" w:fill="FFFFFF"/>
        <w:spacing w:before="0" w:beforeAutospacing="0" w:after="0" w:afterAutospacing="0"/>
        <w:jc w:val="both"/>
        <w:rPr>
          <w:rFonts w:ascii="Cambria" w:hAnsi="Cambria"/>
          <w:color w:val="000000" w:themeColor="text1"/>
          <w:sz w:val="23"/>
          <w:szCs w:val="23"/>
          <w:shd w:val="clear" w:color="auto" w:fill="FFFFFF"/>
        </w:rPr>
      </w:pPr>
    </w:p>
    <w:p w14:paraId="17F7A357" w14:textId="7EF14B4B" w:rsidR="0021584F" w:rsidRPr="009E54C9" w:rsidRDefault="000628F0" w:rsidP="00CC0785">
      <w:pPr>
        <w:pStyle w:val="xmsonormal"/>
        <w:shd w:val="clear" w:color="auto" w:fill="FFFFFF"/>
        <w:spacing w:before="0" w:beforeAutospacing="0" w:after="0" w:afterAutospacing="0"/>
        <w:jc w:val="both"/>
        <w:rPr>
          <w:rFonts w:ascii="Cambria" w:hAnsi="Cambria"/>
          <w:color w:val="000000" w:themeColor="text1"/>
          <w:sz w:val="23"/>
          <w:szCs w:val="23"/>
          <w:shd w:val="clear" w:color="auto" w:fill="FFFFFF"/>
        </w:rPr>
      </w:pPr>
      <w:r w:rsidRPr="009E54C9">
        <w:rPr>
          <w:rFonts w:ascii="Cambria" w:hAnsi="Cambria"/>
          <w:color w:val="000000" w:themeColor="text1"/>
          <w:sz w:val="23"/>
          <w:szCs w:val="23"/>
          <w:shd w:val="clear" w:color="auto" w:fill="FFFFFF"/>
        </w:rPr>
        <w:t>We also support the current structure of the Board, which is “established as an advisory board”</w:t>
      </w:r>
      <w:r w:rsidRPr="009E54C9">
        <w:rPr>
          <w:rStyle w:val="FootnoteReference"/>
          <w:rFonts w:ascii="Cambria" w:hAnsi="Cambria"/>
          <w:color w:val="000000" w:themeColor="text1"/>
          <w:sz w:val="23"/>
          <w:szCs w:val="23"/>
          <w:shd w:val="clear" w:color="auto" w:fill="FFFFFF"/>
        </w:rPr>
        <w:footnoteReference w:id="18"/>
      </w:r>
      <w:r w:rsidRPr="009E54C9">
        <w:rPr>
          <w:rFonts w:ascii="Cambria" w:hAnsi="Cambria"/>
          <w:color w:val="000000" w:themeColor="text1"/>
          <w:sz w:val="23"/>
          <w:szCs w:val="23"/>
          <w:shd w:val="clear" w:color="auto" w:fill="FFFFFF"/>
        </w:rPr>
        <w:t xml:space="preserve"> with membership provided from a variety of sources including the University of Tasmania, the Attorney-General, the Supreme Court of Tasmania and the Law Society of Tasmania.</w:t>
      </w:r>
      <w:r w:rsidRPr="009E54C9">
        <w:rPr>
          <w:rStyle w:val="FootnoteReference"/>
          <w:rFonts w:ascii="Cambria" w:hAnsi="Cambria"/>
          <w:color w:val="000000" w:themeColor="text1"/>
          <w:sz w:val="23"/>
          <w:szCs w:val="23"/>
          <w:shd w:val="clear" w:color="auto" w:fill="FFFFFF"/>
        </w:rPr>
        <w:footnoteReference w:id="19"/>
      </w:r>
      <w:r w:rsidRPr="009E54C9">
        <w:rPr>
          <w:rFonts w:ascii="Cambria" w:hAnsi="Cambria"/>
          <w:color w:val="000000" w:themeColor="text1"/>
          <w:sz w:val="23"/>
          <w:szCs w:val="23"/>
          <w:shd w:val="clear" w:color="auto" w:fill="FFFFFF"/>
        </w:rPr>
        <w:t xml:space="preserve"> We strongly support the amendment made to the Renewal Agreement to provide for “a member of the Tasmanian Aboriginal Community”</w:t>
      </w:r>
      <w:r w:rsidRPr="009E54C9">
        <w:rPr>
          <w:rStyle w:val="FootnoteReference"/>
          <w:rFonts w:ascii="Cambria" w:hAnsi="Cambria"/>
          <w:color w:val="000000" w:themeColor="text1"/>
          <w:sz w:val="23"/>
          <w:szCs w:val="23"/>
          <w:shd w:val="clear" w:color="auto" w:fill="FFFFFF"/>
        </w:rPr>
        <w:footnoteReference w:id="20"/>
      </w:r>
      <w:r w:rsidRPr="009E54C9">
        <w:rPr>
          <w:rFonts w:ascii="Cambria" w:hAnsi="Cambria"/>
          <w:color w:val="000000" w:themeColor="text1"/>
          <w:sz w:val="23"/>
          <w:szCs w:val="23"/>
          <w:shd w:val="clear" w:color="auto" w:fill="FFFFFF"/>
        </w:rPr>
        <w:t xml:space="preserve"> </w:t>
      </w:r>
      <w:r w:rsidR="00C1327B" w:rsidRPr="009E54C9">
        <w:rPr>
          <w:rFonts w:ascii="Cambria" w:hAnsi="Cambria"/>
          <w:color w:val="000000" w:themeColor="text1"/>
          <w:sz w:val="23"/>
          <w:szCs w:val="23"/>
          <w:shd w:val="clear" w:color="auto" w:fill="FFFFFF"/>
        </w:rPr>
        <w:t xml:space="preserve">particularly given that law reform and in particular criminal law reform can have a disproportionate impact on our First Nations people. </w:t>
      </w:r>
      <w:r w:rsidR="00A436D9" w:rsidRPr="009E54C9">
        <w:rPr>
          <w:rFonts w:ascii="Cambria" w:hAnsi="Cambria"/>
          <w:color w:val="000000" w:themeColor="text1"/>
          <w:sz w:val="23"/>
          <w:szCs w:val="23"/>
          <w:shd w:val="clear" w:color="auto" w:fill="FFFFFF"/>
        </w:rPr>
        <w:t xml:space="preserve">In our view, the </w:t>
      </w:r>
      <w:r w:rsidR="00425488" w:rsidRPr="009E54C9">
        <w:rPr>
          <w:rFonts w:ascii="Cambria" w:hAnsi="Cambria"/>
          <w:color w:val="000000" w:themeColor="text1"/>
          <w:sz w:val="23"/>
          <w:szCs w:val="23"/>
          <w:shd w:val="clear" w:color="auto" w:fill="FFFFFF"/>
        </w:rPr>
        <w:t xml:space="preserve">Board’s </w:t>
      </w:r>
      <w:r w:rsidR="00A436D9" w:rsidRPr="009E54C9">
        <w:rPr>
          <w:rFonts w:ascii="Cambria" w:hAnsi="Cambria"/>
          <w:color w:val="000000" w:themeColor="text1"/>
          <w:sz w:val="23"/>
          <w:szCs w:val="23"/>
          <w:shd w:val="clear" w:color="auto" w:fill="FFFFFF"/>
        </w:rPr>
        <w:t>current membership</w:t>
      </w:r>
      <w:r w:rsidR="00425488" w:rsidRPr="009E54C9">
        <w:rPr>
          <w:rFonts w:ascii="Cambria" w:hAnsi="Cambria"/>
          <w:color w:val="000000" w:themeColor="text1"/>
          <w:sz w:val="23"/>
          <w:szCs w:val="23"/>
          <w:shd w:val="clear" w:color="auto" w:fill="FFFFFF"/>
        </w:rPr>
        <w:t xml:space="preserve"> </w:t>
      </w:r>
      <w:r w:rsidR="00A436D9" w:rsidRPr="009E54C9">
        <w:rPr>
          <w:rFonts w:ascii="Cambria" w:hAnsi="Cambria"/>
          <w:color w:val="000000" w:themeColor="text1"/>
          <w:sz w:val="23"/>
          <w:szCs w:val="23"/>
          <w:shd w:val="clear" w:color="auto" w:fill="FFFFFF"/>
        </w:rPr>
        <w:t xml:space="preserve">should remain </w:t>
      </w:r>
      <w:r w:rsidR="00425488" w:rsidRPr="009E54C9">
        <w:rPr>
          <w:rFonts w:ascii="Cambria" w:hAnsi="Cambria"/>
          <w:color w:val="000000" w:themeColor="text1"/>
          <w:sz w:val="23"/>
          <w:szCs w:val="23"/>
          <w:shd w:val="clear" w:color="auto" w:fill="FFFFFF"/>
        </w:rPr>
        <w:t xml:space="preserve">unchanged, </w:t>
      </w:r>
      <w:r w:rsidR="00A436D9" w:rsidRPr="009E54C9">
        <w:rPr>
          <w:rFonts w:ascii="Cambria" w:hAnsi="Cambria"/>
          <w:color w:val="000000" w:themeColor="text1"/>
          <w:sz w:val="23"/>
          <w:szCs w:val="23"/>
          <w:shd w:val="clear" w:color="auto" w:fill="FFFFFF"/>
        </w:rPr>
        <w:t xml:space="preserve">as </w:t>
      </w:r>
      <w:r w:rsidR="00425488" w:rsidRPr="009E54C9">
        <w:rPr>
          <w:rFonts w:ascii="Cambria" w:hAnsi="Cambria"/>
          <w:color w:val="000000" w:themeColor="text1"/>
          <w:sz w:val="23"/>
          <w:szCs w:val="23"/>
          <w:shd w:val="clear" w:color="auto" w:fill="FFFFFF"/>
        </w:rPr>
        <w:t>the</w:t>
      </w:r>
      <w:r w:rsidR="00A436D9" w:rsidRPr="009E54C9">
        <w:rPr>
          <w:rFonts w:ascii="Cambria" w:hAnsi="Cambria"/>
          <w:color w:val="000000" w:themeColor="text1"/>
          <w:sz w:val="23"/>
          <w:szCs w:val="23"/>
          <w:shd w:val="clear" w:color="auto" w:fill="FFFFFF"/>
        </w:rPr>
        <w:t xml:space="preserve"> Board</w:t>
      </w:r>
      <w:r w:rsidR="00425488" w:rsidRPr="009E54C9">
        <w:rPr>
          <w:rFonts w:ascii="Cambria" w:hAnsi="Cambria"/>
          <w:color w:val="000000" w:themeColor="text1"/>
          <w:sz w:val="23"/>
          <w:szCs w:val="23"/>
          <w:shd w:val="clear" w:color="auto" w:fill="FFFFFF"/>
        </w:rPr>
        <w:t>’s composition means that it</w:t>
      </w:r>
      <w:r w:rsidR="00A436D9" w:rsidRPr="009E54C9">
        <w:rPr>
          <w:rFonts w:ascii="Cambria" w:hAnsi="Cambria"/>
          <w:color w:val="000000" w:themeColor="text1"/>
          <w:sz w:val="23"/>
          <w:szCs w:val="23"/>
          <w:shd w:val="clear" w:color="auto" w:fill="FFFFFF"/>
        </w:rPr>
        <w:t xml:space="preserve"> is less likely to be constrained by political considerations.   </w:t>
      </w:r>
      <w:r w:rsidR="00CC0785" w:rsidRPr="009E54C9">
        <w:rPr>
          <w:rFonts w:ascii="Cambria" w:hAnsi="Cambria"/>
          <w:color w:val="000000" w:themeColor="text1"/>
          <w:sz w:val="23"/>
          <w:szCs w:val="23"/>
        </w:rPr>
        <w:t>We strongly recommend that</w:t>
      </w:r>
      <w:r w:rsidR="007004DC" w:rsidRPr="009E54C9">
        <w:rPr>
          <w:rFonts w:ascii="Cambria" w:hAnsi="Cambria"/>
          <w:color w:val="000000" w:themeColor="text1"/>
          <w:sz w:val="23"/>
          <w:szCs w:val="23"/>
        </w:rPr>
        <w:t xml:space="preserve"> </w:t>
      </w:r>
      <w:r w:rsidR="00CC0785" w:rsidRPr="009E54C9">
        <w:rPr>
          <w:rFonts w:ascii="Cambria" w:hAnsi="Cambria"/>
          <w:color w:val="000000" w:themeColor="text1"/>
          <w:sz w:val="23"/>
          <w:szCs w:val="23"/>
        </w:rPr>
        <w:t xml:space="preserve">the </w:t>
      </w:r>
      <w:r w:rsidR="005657BC" w:rsidRPr="009E54C9">
        <w:rPr>
          <w:rFonts w:ascii="Cambria" w:hAnsi="Cambria"/>
          <w:color w:val="000000" w:themeColor="text1"/>
          <w:sz w:val="23"/>
          <w:szCs w:val="23"/>
        </w:rPr>
        <w:t>TLRI</w:t>
      </w:r>
      <w:r w:rsidR="007004DC" w:rsidRPr="009E54C9">
        <w:rPr>
          <w:rFonts w:ascii="Cambria" w:hAnsi="Cambria"/>
          <w:color w:val="000000" w:themeColor="text1"/>
          <w:sz w:val="23"/>
          <w:szCs w:val="23"/>
        </w:rPr>
        <w:t xml:space="preserve"> retains its current level of impartiality through the</w:t>
      </w:r>
      <w:r w:rsidR="00CC0785" w:rsidRPr="009E54C9">
        <w:rPr>
          <w:rFonts w:ascii="Cambria" w:hAnsi="Cambria"/>
          <w:color w:val="000000" w:themeColor="text1"/>
          <w:sz w:val="23"/>
          <w:szCs w:val="23"/>
        </w:rPr>
        <w:t xml:space="preserve"> Board retain</w:t>
      </w:r>
      <w:r w:rsidR="007004DC" w:rsidRPr="009E54C9">
        <w:rPr>
          <w:rFonts w:ascii="Cambria" w:hAnsi="Cambria"/>
          <w:color w:val="000000" w:themeColor="text1"/>
          <w:sz w:val="23"/>
          <w:szCs w:val="23"/>
        </w:rPr>
        <w:t>ing</w:t>
      </w:r>
      <w:r w:rsidR="00CC0785" w:rsidRPr="009E54C9">
        <w:rPr>
          <w:rFonts w:ascii="Cambria" w:hAnsi="Cambria"/>
          <w:color w:val="000000" w:themeColor="text1"/>
          <w:sz w:val="23"/>
          <w:szCs w:val="23"/>
        </w:rPr>
        <w:t xml:space="preserve"> </w:t>
      </w:r>
      <w:r w:rsidR="00425488" w:rsidRPr="009E54C9">
        <w:rPr>
          <w:rFonts w:ascii="Cambria" w:hAnsi="Cambria"/>
          <w:color w:val="000000" w:themeColor="text1"/>
          <w:sz w:val="23"/>
          <w:szCs w:val="23"/>
        </w:rPr>
        <w:t>both its</w:t>
      </w:r>
      <w:r w:rsidR="00650DD0" w:rsidRPr="009E54C9">
        <w:rPr>
          <w:rFonts w:ascii="Cambria" w:hAnsi="Cambria"/>
          <w:color w:val="000000" w:themeColor="text1"/>
          <w:sz w:val="23"/>
          <w:szCs w:val="23"/>
        </w:rPr>
        <w:t xml:space="preserve"> oversight</w:t>
      </w:r>
      <w:r w:rsidR="008B502E" w:rsidRPr="009E54C9">
        <w:rPr>
          <w:rFonts w:ascii="Cambria" w:hAnsi="Cambria"/>
          <w:color w:val="000000" w:themeColor="text1"/>
          <w:sz w:val="23"/>
          <w:szCs w:val="23"/>
        </w:rPr>
        <w:t xml:space="preserve"> powers</w:t>
      </w:r>
      <w:r w:rsidR="00425488" w:rsidRPr="009E54C9">
        <w:rPr>
          <w:rFonts w:ascii="Cambria" w:hAnsi="Cambria"/>
          <w:color w:val="000000" w:themeColor="text1"/>
          <w:sz w:val="23"/>
          <w:szCs w:val="23"/>
        </w:rPr>
        <w:t xml:space="preserve"> and current membership</w:t>
      </w:r>
      <w:r w:rsidR="00A86701" w:rsidRPr="009E54C9">
        <w:rPr>
          <w:rFonts w:ascii="Cambria" w:hAnsi="Cambria"/>
          <w:color w:val="000000" w:themeColor="text1"/>
          <w:sz w:val="23"/>
          <w:szCs w:val="23"/>
        </w:rPr>
        <w:t xml:space="preserve">. </w:t>
      </w:r>
      <w:r w:rsidR="00CC0785" w:rsidRPr="009E54C9">
        <w:rPr>
          <w:rFonts w:ascii="Cambria" w:hAnsi="Cambria"/>
          <w:color w:val="000000" w:themeColor="text1"/>
          <w:sz w:val="23"/>
          <w:szCs w:val="23"/>
        </w:rPr>
        <w:t xml:space="preserve"> </w:t>
      </w:r>
    </w:p>
    <w:p w14:paraId="09A9C563" w14:textId="5106223B" w:rsidR="001E70B2" w:rsidRPr="009E54C9" w:rsidRDefault="001E70B2" w:rsidP="00CC0785">
      <w:pPr>
        <w:pStyle w:val="xmsonormal"/>
        <w:shd w:val="clear" w:color="auto" w:fill="FFFFFF"/>
        <w:spacing w:before="0" w:beforeAutospacing="0" w:after="0" w:afterAutospacing="0"/>
        <w:jc w:val="both"/>
        <w:rPr>
          <w:rFonts w:ascii="Cambria" w:hAnsi="Cambria"/>
          <w:color w:val="000000" w:themeColor="text1"/>
          <w:sz w:val="23"/>
          <w:szCs w:val="23"/>
        </w:rPr>
      </w:pPr>
    </w:p>
    <w:p w14:paraId="0A09F636" w14:textId="4D4B5A18" w:rsidR="001E70B2" w:rsidRPr="009E54C9" w:rsidRDefault="001E70B2" w:rsidP="001E70B2">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b/>
          <w:bCs/>
          <w:color w:val="000000" w:themeColor="text1"/>
          <w:sz w:val="23"/>
          <w:szCs w:val="23"/>
        </w:rPr>
      </w:pPr>
      <w:r w:rsidRPr="009E54C9">
        <w:rPr>
          <w:rFonts w:ascii="Cambria" w:hAnsi="Cambria"/>
          <w:b/>
          <w:bCs/>
          <w:color w:val="000000" w:themeColor="text1"/>
          <w:sz w:val="23"/>
          <w:szCs w:val="23"/>
        </w:rPr>
        <w:t xml:space="preserve">Recommendations: </w:t>
      </w:r>
      <w:r w:rsidR="001F7896" w:rsidRPr="009E54C9">
        <w:rPr>
          <w:rFonts w:ascii="Cambria" w:hAnsi="Cambria"/>
          <w:color w:val="000000" w:themeColor="text1"/>
          <w:sz w:val="23"/>
          <w:szCs w:val="23"/>
        </w:rPr>
        <w:t xml:space="preserve">The independence and impartiality of the </w:t>
      </w:r>
      <w:r w:rsidR="005657BC" w:rsidRPr="009E54C9">
        <w:rPr>
          <w:rFonts w:ascii="Cambria" w:hAnsi="Cambria"/>
          <w:color w:val="000000" w:themeColor="text1"/>
          <w:sz w:val="23"/>
          <w:szCs w:val="23"/>
        </w:rPr>
        <w:t>TLRI</w:t>
      </w:r>
      <w:r w:rsidR="001F7896" w:rsidRPr="009E54C9">
        <w:rPr>
          <w:rFonts w:ascii="Cambria" w:hAnsi="Cambria"/>
          <w:color w:val="000000" w:themeColor="text1"/>
          <w:sz w:val="23"/>
          <w:szCs w:val="23"/>
        </w:rPr>
        <w:t xml:space="preserve"> should be explicitly set out. </w:t>
      </w:r>
      <w:r w:rsidRPr="009E54C9">
        <w:rPr>
          <w:rFonts w:ascii="Cambria" w:hAnsi="Cambria"/>
          <w:color w:val="000000" w:themeColor="text1"/>
          <w:sz w:val="23"/>
          <w:szCs w:val="23"/>
        </w:rPr>
        <w:t xml:space="preserve">The </w:t>
      </w:r>
      <w:r w:rsidR="005657BC" w:rsidRPr="009E54C9">
        <w:rPr>
          <w:rFonts w:ascii="Cambria" w:hAnsi="Cambria"/>
          <w:color w:val="000000" w:themeColor="text1"/>
          <w:sz w:val="23"/>
          <w:szCs w:val="23"/>
        </w:rPr>
        <w:t>TLRI</w:t>
      </w:r>
      <w:r w:rsidRPr="009E54C9">
        <w:rPr>
          <w:rFonts w:ascii="Cambria" w:hAnsi="Cambria"/>
          <w:color w:val="000000" w:themeColor="text1"/>
          <w:sz w:val="23"/>
          <w:szCs w:val="23"/>
        </w:rPr>
        <w:t xml:space="preserve"> should retain the power to accept proposals from a wide-range of stakeholders</w:t>
      </w:r>
      <w:r w:rsidR="001F7896" w:rsidRPr="009E54C9">
        <w:rPr>
          <w:rFonts w:ascii="Cambria" w:hAnsi="Cambria"/>
          <w:color w:val="000000" w:themeColor="text1"/>
          <w:sz w:val="23"/>
          <w:szCs w:val="23"/>
        </w:rPr>
        <w:t xml:space="preserve"> including independent statutory authorities/officers</w:t>
      </w:r>
      <w:r w:rsidRPr="009E54C9">
        <w:rPr>
          <w:rFonts w:ascii="Cambria" w:hAnsi="Cambria"/>
          <w:color w:val="000000" w:themeColor="text1"/>
          <w:sz w:val="23"/>
          <w:szCs w:val="23"/>
        </w:rPr>
        <w:t>.</w:t>
      </w:r>
      <w:r w:rsidR="00FA4434" w:rsidRPr="009E54C9">
        <w:rPr>
          <w:rFonts w:ascii="Cambria" w:hAnsi="Cambria"/>
          <w:color w:val="000000" w:themeColor="text1"/>
          <w:sz w:val="23"/>
          <w:szCs w:val="23"/>
        </w:rPr>
        <w:t xml:space="preserve"> The </w:t>
      </w:r>
      <w:r w:rsidR="005657BC" w:rsidRPr="009E54C9">
        <w:rPr>
          <w:rFonts w:ascii="Cambria" w:hAnsi="Cambria"/>
          <w:color w:val="000000" w:themeColor="text1"/>
          <w:sz w:val="23"/>
          <w:szCs w:val="23"/>
        </w:rPr>
        <w:t>TLRI</w:t>
      </w:r>
      <w:r w:rsidR="00FA4434" w:rsidRPr="009E54C9">
        <w:rPr>
          <w:rFonts w:ascii="Cambria" w:hAnsi="Cambria"/>
          <w:color w:val="000000" w:themeColor="text1"/>
          <w:sz w:val="23"/>
          <w:szCs w:val="23"/>
        </w:rPr>
        <w:t xml:space="preserve">’s Board should retain oversight. </w:t>
      </w:r>
    </w:p>
    <w:p w14:paraId="0578975A" w14:textId="77777777" w:rsidR="005657BC" w:rsidRPr="009E54C9" w:rsidRDefault="005657BC" w:rsidP="00566887">
      <w:pPr>
        <w:pStyle w:val="xmsonormal"/>
        <w:shd w:val="clear" w:color="auto" w:fill="FFFFFF"/>
        <w:spacing w:before="0" w:beforeAutospacing="0" w:after="0" w:afterAutospacing="0"/>
        <w:jc w:val="both"/>
        <w:rPr>
          <w:rFonts w:ascii="Cambria" w:hAnsi="Cambria"/>
          <w:b/>
          <w:bCs/>
          <w:color w:val="000000" w:themeColor="text1"/>
          <w:sz w:val="23"/>
          <w:szCs w:val="23"/>
        </w:rPr>
      </w:pPr>
    </w:p>
    <w:p w14:paraId="29263194" w14:textId="17BE9576" w:rsidR="005C3F96" w:rsidRPr="009E54C9" w:rsidRDefault="005C3F96" w:rsidP="00566887">
      <w:pPr>
        <w:pStyle w:val="xmsonormal"/>
        <w:shd w:val="clear" w:color="auto" w:fill="FFFFFF"/>
        <w:spacing w:before="0" w:beforeAutospacing="0" w:after="0" w:afterAutospacing="0"/>
        <w:jc w:val="both"/>
        <w:rPr>
          <w:rFonts w:ascii="Cambria" w:hAnsi="Cambria"/>
          <w:b/>
          <w:bCs/>
          <w:color w:val="000000" w:themeColor="text1"/>
          <w:sz w:val="23"/>
          <w:szCs w:val="23"/>
        </w:rPr>
      </w:pPr>
      <w:r w:rsidRPr="009E54C9">
        <w:rPr>
          <w:rFonts w:ascii="Cambria" w:hAnsi="Cambria"/>
          <w:b/>
          <w:bCs/>
          <w:color w:val="000000" w:themeColor="text1"/>
          <w:sz w:val="23"/>
          <w:szCs w:val="23"/>
        </w:rPr>
        <w:t>The appropriateness and sustainability of the Institute’s resourcing and staffing having regard to the size of the jurisdiction in which it operates</w:t>
      </w:r>
    </w:p>
    <w:p w14:paraId="3EA6D088" w14:textId="337E6A2B" w:rsidR="00566887" w:rsidRPr="009251F2" w:rsidRDefault="002B73E5" w:rsidP="00566887">
      <w:pPr>
        <w:pStyle w:val="xmsonormal"/>
        <w:shd w:val="clear" w:color="auto" w:fill="FFFFFF"/>
        <w:spacing w:before="0" w:beforeAutospacing="0" w:after="0" w:afterAutospacing="0"/>
        <w:jc w:val="both"/>
        <w:rPr>
          <w:rFonts w:ascii="Cambria" w:hAnsi="Cambria"/>
          <w:color w:val="000000" w:themeColor="text1"/>
          <w:sz w:val="23"/>
          <w:szCs w:val="23"/>
        </w:rPr>
      </w:pPr>
      <w:r w:rsidRPr="009E54C9">
        <w:rPr>
          <w:rFonts w:ascii="Cambria" w:hAnsi="Cambria"/>
          <w:color w:val="000000" w:themeColor="text1"/>
          <w:sz w:val="23"/>
          <w:szCs w:val="23"/>
        </w:rPr>
        <w:t xml:space="preserve">The </w:t>
      </w:r>
      <w:r w:rsidR="009E54C9" w:rsidRPr="009E54C9">
        <w:rPr>
          <w:rFonts w:ascii="Cambria" w:hAnsi="Cambria"/>
          <w:color w:val="000000" w:themeColor="text1"/>
          <w:sz w:val="23"/>
          <w:szCs w:val="23"/>
        </w:rPr>
        <w:t xml:space="preserve">2001 </w:t>
      </w:r>
      <w:r w:rsidRPr="009E54C9">
        <w:rPr>
          <w:rFonts w:ascii="Cambria" w:hAnsi="Cambria"/>
          <w:color w:val="000000" w:themeColor="text1"/>
          <w:sz w:val="23"/>
          <w:szCs w:val="23"/>
        </w:rPr>
        <w:t xml:space="preserve">founding agreement </w:t>
      </w:r>
      <w:r w:rsidR="00DC3D1F" w:rsidRPr="009E54C9">
        <w:rPr>
          <w:rFonts w:ascii="Cambria" w:hAnsi="Cambria"/>
          <w:color w:val="000000" w:themeColor="text1"/>
          <w:sz w:val="23"/>
          <w:szCs w:val="23"/>
        </w:rPr>
        <w:t>provided</w:t>
      </w:r>
      <w:r w:rsidR="004C5796" w:rsidRPr="009E54C9">
        <w:rPr>
          <w:rFonts w:ascii="Cambria" w:hAnsi="Cambria"/>
          <w:color w:val="000000" w:themeColor="text1"/>
          <w:sz w:val="23"/>
          <w:szCs w:val="23"/>
        </w:rPr>
        <w:t xml:space="preserve"> that the</w:t>
      </w:r>
      <w:r w:rsidRPr="009E54C9">
        <w:rPr>
          <w:rFonts w:ascii="Cambria" w:hAnsi="Cambria"/>
          <w:color w:val="000000" w:themeColor="text1"/>
          <w:sz w:val="23"/>
          <w:szCs w:val="23"/>
        </w:rPr>
        <w:t xml:space="preserve"> University of Tasmania</w:t>
      </w:r>
      <w:r w:rsidR="00AE29A6" w:rsidRPr="009E54C9">
        <w:rPr>
          <w:rFonts w:ascii="Cambria" w:hAnsi="Cambria"/>
          <w:color w:val="000000" w:themeColor="text1"/>
          <w:sz w:val="23"/>
          <w:szCs w:val="23"/>
        </w:rPr>
        <w:t xml:space="preserve"> </w:t>
      </w:r>
      <w:r w:rsidR="004C5796" w:rsidRPr="009E54C9">
        <w:rPr>
          <w:rFonts w:ascii="Cambria" w:hAnsi="Cambria"/>
          <w:color w:val="000000" w:themeColor="text1"/>
          <w:sz w:val="23"/>
          <w:szCs w:val="23"/>
        </w:rPr>
        <w:t>would</w:t>
      </w:r>
      <w:r w:rsidR="00AE29A6" w:rsidRPr="009E54C9">
        <w:rPr>
          <w:rFonts w:ascii="Cambria" w:hAnsi="Cambria"/>
          <w:color w:val="000000" w:themeColor="text1"/>
          <w:sz w:val="23"/>
          <w:szCs w:val="23"/>
        </w:rPr>
        <w:t xml:space="preserve"> </w:t>
      </w:r>
      <w:r w:rsidR="004C5796" w:rsidRPr="009E54C9">
        <w:rPr>
          <w:rFonts w:ascii="Cambria" w:hAnsi="Cambria"/>
          <w:color w:val="000000" w:themeColor="text1"/>
          <w:sz w:val="23"/>
          <w:szCs w:val="23"/>
        </w:rPr>
        <w:t xml:space="preserve">provide </w:t>
      </w:r>
      <w:r w:rsidR="00FA4434" w:rsidRPr="009E54C9">
        <w:rPr>
          <w:rFonts w:ascii="Cambria" w:hAnsi="Cambria"/>
          <w:color w:val="000000" w:themeColor="text1"/>
          <w:sz w:val="23"/>
          <w:szCs w:val="23"/>
        </w:rPr>
        <w:t xml:space="preserve">the </w:t>
      </w:r>
      <w:r w:rsidR="005657BC" w:rsidRPr="009E54C9">
        <w:rPr>
          <w:rFonts w:ascii="Cambria" w:hAnsi="Cambria"/>
          <w:color w:val="000000" w:themeColor="text1"/>
          <w:sz w:val="23"/>
          <w:szCs w:val="23"/>
        </w:rPr>
        <w:t>TLRI</w:t>
      </w:r>
      <w:r w:rsidR="00FA4434" w:rsidRPr="009E54C9">
        <w:rPr>
          <w:rFonts w:ascii="Cambria" w:hAnsi="Cambria"/>
          <w:color w:val="000000" w:themeColor="text1"/>
          <w:sz w:val="23"/>
          <w:szCs w:val="23"/>
        </w:rPr>
        <w:t xml:space="preserve"> with </w:t>
      </w:r>
      <w:r w:rsidR="004C5796" w:rsidRPr="009E54C9">
        <w:rPr>
          <w:rFonts w:ascii="Cambria" w:hAnsi="Cambria"/>
          <w:color w:val="000000" w:themeColor="text1"/>
          <w:sz w:val="23"/>
          <w:szCs w:val="23"/>
        </w:rPr>
        <w:t>$80,000</w:t>
      </w:r>
      <w:r w:rsidR="00397346" w:rsidRPr="009E54C9">
        <w:rPr>
          <w:rFonts w:ascii="Cambria" w:hAnsi="Cambria"/>
          <w:color w:val="000000" w:themeColor="text1"/>
          <w:sz w:val="23"/>
          <w:szCs w:val="23"/>
        </w:rPr>
        <w:t xml:space="preserve"> </w:t>
      </w:r>
      <w:r w:rsidR="00FA4434" w:rsidRPr="009E54C9">
        <w:rPr>
          <w:rFonts w:ascii="Cambria" w:hAnsi="Cambria"/>
          <w:color w:val="000000" w:themeColor="text1"/>
          <w:sz w:val="23"/>
          <w:szCs w:val="23"/>
        </w:rPr>
        <w:t>p</w:t>
      </w:r>
      <w:r w:rsidR="00397346" w:rsidRPr="009E54C9">
        <w:rPr>
          <w:rFonts w:ascii="Cambria" w:hAnsi="Cambria"/>
          <w:color w:val="000000" w:themeColor="text1"/>
          <w:sz w:val="23"/>
          <w:szCs w:val="23"/>
        </w:rPr>
        <w:t xml:space="preserve">er annum </w:t>
      </w:r>
      <w:r w:rsidR="004C5796" w:rsidRPr="009E54C9">
        <w:rPr>
          <w:rFonts w:ascii="Cambria" w:hAnsi="Cambria"/>
          <w:color w:val="000000" w:themeColor="text1"/>
          <w:sz w:val="23"/>
          <w:szCs w:val="23"/>
        </w:rPr>
        <w:t xml:space="preserve">worth of funding </w:t>
      </w:r>
      <w:r w:rsidR="000C44BB" w:rsidRPr="009E54C9">
        <w:rPr>
          <w:rFonts w:ascii="Cambria" w:hAnsi="Cambria"/>
          <w:color w:val="000000" w:themeColor="text1"/>
          <w:sz w:val="23"/>
          <w:szCs w:val="23"/>
        </w:rPr>
        <w:t xml:space="preserve">(including in-kind contributions) </w:t>
      </w:r>
      <w:r w:rsidR="00FA4434" w:rsidRPr="009E54C9">
        <w:rPr>
          <w:rFonts w:ascii="Cambria" w:hAnsi="Cambria"/>
          <w:color w:val="000000" w:themeColor="text1"/>
          <w:sz w:val="23"/>
          <w:szCs w:val="23"/>
        </w:rPr>
        <w:t>and</w:t>
      </w:r>
      <w:r w:rsidR="004C5796" w:rsidRPr="009E54C9">
        <w:rPr>
          <w:rFonts w:ascii="Cambria" w:hAnsi="Cambria"/>
          <w:color w:val="000000" w:themeColor="text1"/>
          <w:sz w:val="23"/>
          <w:szCs w:val="23"/>
        </w:rPr>
        <w:t xml:space="preserve"> </w:t>
      </w:r>
      <w:r w:rsidR="00AE29A6" w:rsidRPr="009E54C9">
        <w:rPr>
          <w:rFonts w:ascii="Cambria" w:hAnsi="Cambria"/>
          <w:color w:val="000000" w:themeColor="text1"/>
          <w:sz w:val="23"/>
          <w:szCs w:val="23"/>
        </w:rPr>
        <w:t>appoint a Director</w:t>
      </w:r>
      <w:r w:rsidR="00FA4434" w:rsidRPr="009E54C9">
        <w:rPr>
          <w:rFonts w:ascii="Cambria" w:hAnsi="Cambria"/>
          <w:color w:val="000000" w:themeColor="text1"/>
          <w:sz w:val="23"/>
          <w:szCs w:val="23"/>
        </w:rPr>
        <w:t>,</w:t>
      </w:r>
      <w:r w:rsidR="00FA4434" w:rsidRPr="009E54C9">
        <w:rPr>
          <w:rStyle w:val="FootnoteReference"/>
          <w:rFonts w:ascii="Cambria" w:hAnsi="Cambria"/>
          <w:color w:val="000000" w:themeColor="text1"/>
          <w:sz w:val="23"/>
          <w:szCs w:val="23"/>
        </w:rPr>
        <w:footnoteReference w:id="21"/>
      </w:r>
      <w:r w:rsidR="0067202D" w:rsidRPr="009E54C9">
        <w:rPr>
          <w:rFonts w:ascii="Cambria" w:hAnsi="Cambria"/>
          <w:color w:val="000000" w:themeColor="text1"/>
          <w:sz w:val="23"/>
          <w:szCs w:val="23"/>
        </w:rPr>
        <w:t xml:space="preserve"> </w:t>
      </w:r>
      <w:r w:rsidR="00FA4434" w:rsidRPr="009E54C9">
        <w:rPr>
          <w:rFonts w:ascii="Cambria" w:hAnsi="Cambria"/>
          <w:color w:val="000000" w:themeColor="text1"/>
          <w:sz w:val="23"/>
          <w:szCs w:val="23"/>
        </w:rPr>
        <w:t>t</w:t>
      </w:r>
      <w:r w:rsidR="0067202D" w:rsidRPr="009E54C9">
        <w:rPr>
          <w:rFonts w:ascii="Cambria" w:hAnsi="Cambria"/>
          <w:color w:val="000000" w:themeColor="text1"/>
          <w:sz w:val="23"/>
          <w:szCs w:val="23"/>
        </w:rPr>
        <w:t xml:space="preserve">he Government </w:t>
      </w:r>
      <w:r w:rsidR="00FA4434" w:rsidRPr="009E54C9">
        <w:rPr>
          <w:rFonts w:ascii="Cambria" w:hAnsi="Cambria"/>
          <w:color w:val="000000" w:themeColor="text1"/>
          <w:sz w:val="23"/>
          <w:szCs w:val="23"/>
        </w:rPr>
        <w:t>would</w:t>
      </w:r>
      <w:r w:rsidR="0067202D" w:rsidRPr="009E54C9">
        <w:rPr>
          <w:rFonts w:ascii="Cambria" w:hAnsi="Cambria"/>
          <w:color w:val="000000" w:themeColor="text1"/>
          <w:sz w:val="23"/>
          <w:szCs w:val="23"/>
        </w:rPr>
        <w:t xml:space="preserve"> provide $50,000</w:t>
      </w:r>
      <w:r w:rsidR="00397346" w:rsidRPr="009E54C9">
        <w:rPr>
          <w:rFonts w:ascii="Cambria" w:hAnsi="Cambria"/>
          <w:color w:val="000000" w:themeColor="text1"/>
          <w:sz w:val="23"/>
          <w:szCs w:val="23"/>
        </w:rPr>
        <w:t xml:space="preserve"> per annum</w:t>
      </w:r>
      <w:r w:rsidR="00FA4434" w:rsidRPr="009E54C9">
        <w:rPr>
          <w:rStyle w:val="FootnoteReference"/>
          <w:rFonts w:ascii="Cambria" w:hAnsi="Cambria"/>
          <w:color w:val="000000" w:themeColor="text1"/>
          <w:sz w:val="23"/>
          <w:szCs w:val="23"/>
        </w:rPr>
        <w:footnoteReference w:id="22"/>
      </w:r>
      <w:r w:rsidR="00FA4434" w:rsidRPr="009E54C9">
        <w:rPr>
          <w:rFonts w:ascii="Cambria" w:hAnsi="Cambria"/>
          <w:color w:val="000000" w:themeColor="text1"/>
          <w:sz w:val="23"/>
          <w:szCs w:val="23"/>
        </w:rPr>
        <w:t xml:space="preserve"> </w:t>
      </w:r>
      <w:r w:rsidR="0067202D" w:rsidRPr="009E54C9">
        <w:rPr>
          <w:rFonts w:ascii="Cambria" w:hAnsi="Cambria"/>
          <w:color w:val="000000" w:themeColor="text1"/>
          <w:sz w:val="23"/>
          <w:szCs w:val="23"/>
        </w:rPr>
        <w:t xml:space="preserve">and the Law Society </w:t>
      </w:r>
      <w:r w:rsidR="00FA4434" w:rsidRPr="009E54C9">
        <w:rPr>
          <w:rFonts w:ascii="Cambria" w:hAnsi="Cambria"/>
          <w:color w:val="000000" w:themeColor="text1"/>
          <w:sz w:val="23"/>
          <w:szCs w:val="23"/>
        </w:rPr>
        <w:t>would</w:t>
      </w:r>
      <w:r w:rsidR="0067202D" w:rsidRPr="009E54C9">
        <w:rPr>
          <w:rFonts w:ascii="Cambria" w:hAnsi="Cambria"/>
          <w:color w:val="000000" w:themeColor="text1"/>
          <w:sz w:val="23"/>
          <w:szCs w:val="23"/>
        </w:rPr>
        <w:t xml:space="preserve"> “support the operation of the Institute by the provision of advice on proposals for research projects… and the provision of funding on a case by case basis”.</w:t>
      </w:r>
      <w:r w:rsidR="004C5796" w:rsidRPr="009E54C9">
        <w:rPr>
          <w:rStyle w:val="FootnoteReference"/>
          <w:rFonts w:ascii="Cambria" w:hAnsi="Cambria"/>
          <w:color w:val="000000" w:themeColor="text1"/>
          <w:sz w:val="23"/>
          <w:szCs w:val="23"/>
        </w:rPr>
        <w:footnoteReference w:id="23"/>
      </w:r>
      <w:r w:rsidR="00401FEA" w:rsidRPr="009E54C9">
        <w:rPr>
          <w:rFonts w:ascii="Cambria" w:hAnsi="Cambria"/>
          <w:color w:val="000000" w:themeColor="text1"/>
          <w:sz w:val="23"/>
          <w:szCs w:val="23"/>
        </w:rPr>
        <w:t xml:space="preserve"> As the following table establishes, </w:t>
      </w:r>
      <w:r w:rsidR="00E60DDA" w:rsidRPr="009E54C9">
        <w:rPr>
          <w:rFonts w:ascii="Cambria" w:hAnsi="Cambria"/>
          <w:color w:val="000000" w:themeColor="text1"/>
          <w:sz w:val="23"/>
          <w:szCs w:val="23"/>
        </w:rPr>
        <w:t xml:space="preserve">over the last ten years </w:t>
      </w:r>
      <w:r w:rsidR="00401FEA" w:rsidRPr="009E54C9">
        <w:rPr>
          <w:rFonts w:ascii="Cambria" w:hAnsi="Cambria"/>
          <w:color w:val="000000" w:themeColor="text1"/>
          <w:sz w:val="23"/>
          <w:szCs w:val="23"/>
        </w:rPr>
        <w:t>the</w:t>
      </w:r>
      <w:r w:rsidR="00DC3D1F" w:rsidRPr="009E54C9">
        <w:rPr>
          <w:rFonts w:ascii="Cambria" w:hAnsi="Cambria"/>
          <w:color w:val="000000" w:themeColor="text1"/>
          <w:sz w:val="23"/>
          <w:szCs w:val="23"/>
        </w:rPr>
        <w:t xml:space="preserve"> </w:t>
      </w:r>
      <w:r w:rsidR="00E60DDA" w:rsidRPr="009E54C9">
        <w:rPr>
          <w:rFonts w:ascii="Cambria" w:hAnsi="Cambria"/>
          <w:color w:val="000000" w:themeColor="text1"/>
          <w:sz w:val="23"/>
          <w:szCs w:val="23"/>
        </w:rPr>
        <w:t xml:space="preserve">commitment made by the </w:t>
      </w:r>
      <w:r w:rsidR="00DC3D1F" w:rsidRPr="009E54C9">
        <w:rPr>
          <w:rFonts w:ascii="Cambria" w:hAnsi="Cambria"/>
          <w:color w:val="000000" w:themeColor="text1"/>
          <w:sz w:val="23"/>
          <w:szCs w:val="23"/>
        </w:rPr>
        <w:t>Universit</w:t>
      </w:r>
      <w:r w:rsidR="00E60DDA" w:rsidRPr="009E54C9">
        <w:rPr>
          <w:rFonts w:ascii="Cambria" w:hAnsi="Cambria"/>
          <w:color w:val="000000" w:themeColor="text1"/>
          <w:sz w:val="23"/>
          <w:szCs w:val="23"/>
        </w:rPr>
        <w:t xml:space="preserve">y </w:t>
      </w:r>
      <w:r w:rsidR="00DC3D1F" w:rsidRPr="009E54C9">
        <w:rPr>
          <w:rFonts w:ascii="Cambria" w:hAnsi="Cambria"/>
          <w:color w:val="000000" w:themeColor="text1"/>
          <w:sz w:val="23"/>
          <w:szCs w:val="23"/>
        </w:rPr>
        <w:t>has bee</w:t>
      </w:r>
      <w:r w:rsidR="00401FEA" w:rsidRPr="009E54C9">
        <w:rPr>
          <w:rFonts w:ascii="Cambria" w:hAnsi="Cambria"/>
          <w:color w:val="000000" w:themeColor="text1"/>
          <w:sz w:val="23"/>
          <w:szCs w:val="23"/>
        </w:rPr>
        <w:t>n</w:t>
      </w:r>
      <w:r w:rsidR="00E60DDA" w:rsidRPr="009E54C9">
        <w:rPr>
          <w:rFonts w:ascii="Cambria" w:hAnsi="Cambria"/>
          <w:color w:val="000000" w:themeColor="text1"/>
          <w:sz w:val="23"/>
          <w:szCs w:val="23"/>
        </w:rPr>
        <w:t xml:space="preserve"> at least </w:t>
      </w:r>
      <w:r w:rsidR="00401FEA" w:rsidRPr="009E54C9">
        <w:rPr>
          <w:rFonts w:ascii="Cambria" w:hAnsi="Cambria"/>
          <w:color w:val="000000" w:themeColor="text1"/>
          <w:sz w:val="23"/>
          <w:szCs w:val="23"/>
        </w:rPr>
        <w:t xml:space="preserve">24  per cent higher (2011) and as much as </w:t>
      </w:r>
      <w:r w:rsidR="00566887" w:rsidRPr="009E54C9">
        <w:rPr>
          <w:rFonts w:ascii="Cambria" w:hAnsi="Cambria"/>
          <w:color w:val="000000" w:themeColor="text1"/>
          <w:sz w:val="23"/>
          <w:szCs w:val="23"/>
        </w:rPr>
        <w:t>40</w:t>
      </w:r>
      <w:r w:rsidR="00401FEA" w:rsidRPr="009E54C9">
        <w:rPr>
          <w:rFonts w:ascii="Cambria" w:hAnsi="Cambria"/>
          <w:color w:val="000000" w:themeColor="text1"/>
          <w:sz w:val="23"/>
          <w:szCs w:val="23"/>
        </w:rPr>
        <w:t xml:space="preserve"> per cent higher (201</w:t>
      </w:r>
      <w:r w:rsidR="00566887" w:rsidRPr="009E54C9">
        <w:rPr>
          <w:rFonts w:ascii="Cambria" w:hAnsi="Cambria"/>
          <w:color w:val="000000" w:themeColor="text1"/>
          <w:sz w:val="23"/>
          <w:szCs w:val="23"/>
        </w:rPr>
        <w:t>8</w:t>
      </w:r>
      <w:r w:rsidR="00401FEA" w:rsidRPr="009E54C9">
        <w:rPr>
          <w:rFonts w:ascii="Cambria" w:hAnsi="Cambria"/>
          <w:color w:val="000000" w:themeColor="text1"/>
          <w:sz w:val="23"/>
          <w:szCs w:val="23"/>
        </w:rPr>
        <w:t>) th</w:t>
      </w:r>
      <w:r w:rsidR="00E60DDA" w:rsidRPr="009E54C9">
        <w:rPr>
          <w:rFonts w:ascii="Cambria" w:hAnsi="Cambria"/>
          <w:color w:val="000000" w:themeColor="text1"/>
          <w:sz w:val="23"/>
          <w:szCs w:val="23"/>
        </w:rPr>
        <w:t xml:space="preserve">an </w:t>
      </w:r>
      <w:r w:rsidR="00566887" w:rsidRPr="009E54C9">
        <w:rPr>
          <w:rFonts w:ascii="Cambria" w:hAnsi="Cambria"/>
          <w:color w:val="000000" w:themeColor="text1"/>
          <w:sz w:val="23"/>
          <w:szCs w:val="23"/>
        </w:rPr>
        <w:t xml:space="preserve">originally </w:t>
      </w:r>
      <w:r w:rsidR="00CB76B7" w:rsidRPr="009E54C9">
        <w:rPr>
          <w:rFonts w:ascii="Cambria" w:hAnsi="Cambria"/>
          <w:color w:val="000000" w:themeColor="text1"/>
          <w:sz w:val="23"/>
          <w:szCs w:val="23"/>
        </w:rPr>
        <w:t xml:space="preserve">agreed </w:t>
      </w:r>
      <w:r w:rsidR="00CB76B7" w:rsidRPr="009251F2">
        <w:rPr>
          <w:rFonts w:ascii="Cambria" w:hAnsi="Cambria"/>
          <w:color w:val="000000" w:themeColor="text1"/>
          <w:sz w:val="23"/>
          <w:szCs w:val="23"/>
        </w:rPr>
        <w:lastRenderedPageBreak/>
        <w:t>upon</w:t>
      </w:r>
      <w:r w:rsidR="00401FEA" w:rsidRPr="009251F2">
        <w:rPr>
          <w:rFonts w:ascii="Cambria" w:hAnsi="Cambria"/>
          <w:color w:val="000000" w:themeColor="text1"/>
          <w:sz w:val="23"/>
          <w:szCs w:val="23"/>
        </w:rPr>
        <w:t>.</w:t>
      </w:r>
      <w:r w:rsidR="00566887" w:rsidRPr="009251F2">
        <w:rPr>
          <w:rFonts w:ascii="Cambria" w:hAnsi="Cambria"/>
          <w:color w:val="000000" w:themeColor="text1"/>
          <w:sz w:val="23"/>
          <w:szCs w:val="23"/>
        </w:rPr>
        <w:t xml:space="preserve"> In 2019 the agreement was renewed with the University agreeing to provide up to $206,000 (including in-kind contributions) per annum.</w:t>
      </w:r>
      <w:r w:rsidR="00566887" w:rsidRPr="009251F2">
        <w:rPr>
          <w:rStyle w:val="FootnoteReference"/>
          <w:rFonts w:ascii="Cambria" w:hAnsi="Cambria"/>
          <w:color w:val="000000" w:themeColor="text1"/>
          <w:sz w:val="23"/>
          <w:szCs w:val="23"/>
        </w:rPr>
        <w:footnoteReference w:id="24"/>
      </w:r>
      <w:r w:rsidR="00566887" w:rsidRPr="009251F2">
        <w:rPr>
          <w:rFonts w:ascii="Cambria" w:hAnsi="Cambria"/>
          <w:color w:val="000000" w:themeColor="text1"/>
          <w:sz w:val="23"/>
          <w:szCs w:val="23"/>
        </w:rPr>
        <w:t xml:space="preserve"> </w:t>
      </w:r>
    </w:p>
    <w:p w14:paraId="6C5B54B4" w14:textId="7D830680" w:rsidR="000C44BB" w:rsidRPr="009251F2" w:rsidRDefault="00401FEA" w:rsidP="00566887">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 </w:t>
      </w:r>
    </w:p>
    <w:p w14:paraId="269D5416" w14:textId="24E8935E" w:rsidR="00566887" w:rsidRPr="009251F2" w:rsidRDefault="00566887" w:rsidP="00566887">
      <w:pPr>
        <w:pStyle w:val="xmsonormal"/>
        <w:shd w:val="clear" w:color="auto" w:fill="FFFFFF"/>
        <w:spacing w:before="0" w:beforeAutospacing="0" w:after="0" w:afterAutospacing="0"/>
        <w:jc w:val="center"/>
        <w:rPr>
          <w:rFonts w:ascii="Cambria" w:hAnsi="Cambria"/>
          <w:b/>
          <w:bCs/>
          <w:color w:val="000000" w:themeColor="text1"/>
          <w:sz w:val="23"/>
          <w:szCs w:val="23"/>
        </w:rPr>
      </w:pPr>
      <w:r w:rsidRPr="009251F2">
        <w:rPr>
          <w:rFonts w:ascii="Cambria" w:hAnsi="Cambria"/>
          <w:b/>
          <w:bCs/>
          <w:color w:val="000000" w:themeColor="text1"/>
          <w:sz w:val="23"/>
          <w:szCs w:val="23"/>
        </w:rPr>
        <w:t>Tasmania Law Reform Institute Funding Sources</w:t>
      </w:r>
      <w:r w:rsidR="000F21D1" w:rsidRPr="009251F2">
        <w:rPr>
          <w:rFonts w:ascii="Cambria" w:hAnsi="Cambria"/>
          <w:b/>
          <w:bCs/>
          <w:color w:val="000000" w:themeColor="text1"/>
          <w:sz w:val="23"/>
          <w:szCs w:val="23"/>
        </w:rPr>
        <w:t xml:space="preserve"> 2011-2020</w:t>
      </w:r>
    </w:p>
    <w:tbl>
      <w:tblPr>
        <w:tblStyle w:val="TableGrid"/>
        <w:tblW w:w="7933" w:type="dxa"/>
        <w:jc w:val="center"/>
        <w:tblLook w:val="04A0" w:firstRow="1" w:lastRow="0" w:firstColumn="1" w:lastColumn="0" w:noHBand="0" w:noVBand="1"/>
      </w:tblPr>
      <w:tblGrid>
        <w:gridCol w:w="988"/>
        <w:gridCol w:w="1701"/>
        <w:gridCol w:w="2409"/>
        <w:gridCol w:w="2835"/>
      </w:tblGrid>
      <w:tr w:rsidR="00FD3C4D" w:rsidRPr="009251F2" w14:paraId="4A8126F1" w14:textId="1F8E5B5E" w:rsidTr="00566887">
        <w:trPr>
          <w:jc w:val="center"/>
        </w:trPr>
        <w:tc>
          <w:tcPr>
            <w:tcW w:w="988" w:type="dxa"/>
          </w:tcPr>
          <w:p w14:paraId="06CD6133" w14:textId="77777777" w:rsidR="00FD3C4D" w:rsidRPr="009251F2" w:rsidRDefault="00FD3C4D" w:rsidP="00FD3C4D">
            <w:pPr>
              <w:pStyle w:val="xmsonormal"/>
              <w:spacing w:before="0" w:beforeAutospacing="0" w:after="0" w:afterAutospacing="0"/>
              <w:rPr>
                <w:rFonts w:ascii="Cambria" w:hAnsi="Cambria"/>
                <w:b/>
                <w:bCs/>
                <w:color w:val="000000"/>
                <w:sz w:val="23"/>
                <w:szCs w:val="23"/>
                <w:bdr w:val="none" w:sz="0" w:space="0" w:color="auto" w:frame="1"/>
              </w:rPr>
            </w:pPr>
            <w:r w:rsidRPr="009251F2">
              <w:rPr>
                <w:rFonts w:ascii="Cambria" w:hAnsi="Cambria"/>
                <w:b/>
                <w:bCs/>
                <w:color w:val="000000"/>
                <w:sz w:val="23"/>
                <w:szCs w:val="23"/>
                <w:bdr w:val="none" w:sz="0" w:space="0" w:color="auto" w:frame="1"/>
              </w:rPr>
              <w:t>Year</w:t>
            </w:r>
          </w:p>
        </w:tc>
        <w:tc>
          <w:tcPr>
            <w:tcW w:w="1701" w:type="dxa"/>
          </w:tcPr>
          <w:p w14:paraId="3966BE3F" w14:textId="77777777" w:rsidR="00FD3C4D" w:rsidRPr="009251F2" w:rsidRDefault="00FD3C4D" w:rsidP="00FD3C4D">
            <w:pPr>
              <w:pStyle w:val="xmsonormal"/>
              <w:spacing w:before="0" w:beforeAutospacing="0" w:after="0" w:afterAutospacing="0"/>
              <w:rPr>
                <w:rFonts w:ascii="Cambria" w:hAnsi="Cambria"/>
                <w:b/>
                <w:bCs/>
                <w:color w:val="000000"/>
                <w:sz w:val="23"/>
                <w:szCs w:val="23"/>
                <w:bdr w:val="none" w:sz="0" w:space="0" w:color="auto" w:frame="1"/>
              </w:rPr>
            </w:pPr>
            <w:r w:rsidRPr="009251F2">
              <w:rPr>
                <w:rFonts w:ascii="Cambria" w:hAnsi="Cambria"/>
                <w:b/>
                <w:bCs/>
                <w:color w:val="000000"/>
                <w:sz w:val="23"/>
                <w:szCs w:val="23"/>
                <w:bdr w:val="none" w:sz="0" w:space="0" w:color="auto" w:frame="1"/>
              </w:rPr>
              <w:t xml:space="preserve">State </w:t>
            </w:r>
          </w:p>
          <w:p w14:paraId="101692E9" w14:textId="4A5BA8C7" w:rsidR="00FD3C4D" w:rsidRPr="009251F2" w:rsidRDefault="00FD3C4D" w:rsidP="00FD3C4D">
            <w:pPr>
              <w:pStyle w:val="xmsonormal"/>
              <w:spacing w:before="0" w:beforeAutospacing="0" w:after="0" w:afterAutospacing="0"/>
              <w:rPr>
                <w:rFonts w:ascii="Cambria" w:hAnsi="Cambria"/>
                <w:b/>
                <w:bCs/>
                <w:color w:val="000000"/>
                <w:sz w:val="23"/>
                <w:szCs w:val="23"/>
                <w:bdr w:val="none" w:sz="0" w:space="0" w:color="auto" w:frame="1"/>
              </w:rPr>
            </w:pPr>
            <w:r w:rsidRPr="009251F2">
              <w:rPr>
                <w:rFonts w:ascii="Cambria" w:hAnsi="Cambria"/>
                <w:b/>
                <w:bCs/>
                <w:color w:val="000000"/>
                <w:sz w:val="23"/>
                <w:szCs w:val="23"/>
                <w:bdr w:val="none" w:sz="0" w:space="0" w:color="auto" w:frame="1"/>
              </w:rPr>
              <w:t>Government Funding</w:t>
            </w:r>
          </w:p>
        </w:tc>
        <w:tc>
          <w:tcPr>
            <w:tcW w:w="2409" w:type="dxa"/>
          </w:tcPr>
          <w:p w14:paraId="449CB2B8" w14:textId="55B4FDBB" w:rsidR="00FD3C4D" w:rsidRPr="009251F2" w:rsidRDefault="00FD3C4D" w:rsidP="00FD3C4D">
            <w:pPr>
              <w:pStyle w:val="xmsonormal"/>
              <w:spacing w:before="0" w:beforeAutospacing="0" w:after="0" w:afterAutospacing="0"/>
              <w:rPr>
                <w:rFonts w:ascii="Cambria" w:hAnsi="Cambria"/>
                <w:b/>
                <w:bCs/>
                <w:color w:val="000000"/>
                <w:sz w:val="23"/>
                <w:szCs w:val="23"/>
                <w:bdr w:val="none" w:sz="0" w:space="0" w:color="auto" w:frame="1"/>
              </w:rPr>
            </w:pPr>
            <w:r w:rsidRPr="009251F2">
              <w:rPr>
                <w:rFonts w:ascii="Cambria" w:hAnsi="Cambria"/>
                <w:b/>
                <w:bCs/>
                <w:color w:val="000000"/>
                <w:sz w:val="23"/>
                <w:szCs w:val="23"/>
                <w:bdr w:val="none" w:sz="0" w:space="0" w:color="auto" w:frame="1"/>
              </w:rPr>
              <w:t>University Funding (including in-kind contributions)</w:t>
            </w:r>
          </w:p>
        </w:tc>
        <w:tc>
          <w:tcPr>
            <w:tcW w:w="2835" w:type="dxa"/>
          </w:tcPr>
          <w:p w14:paraId="3353EA75" w14:textId="2BD849B0" w:rsidR="00FD3C4D" w:rsidRPr="009251F2" w:rsidRDefault="00FD3C4D" w:rsidP="00FD3C4D">
            <w:pPr>
              <w:pStyle w:val="xmsonormal"/>
              <w:spacing w:before="0" w:beforeAutospacing="0" w:after="0" w:afterAutospacing="0"/>
              <w:rPr>
                <w:rFonts w:ascii="Cambria" w:hAnsi="Cambria"/>
                <w:b/>
                <w:bCs/>
                <w:color w:val="000000"/>
                <w:sz w:val="23"/>
                <w:szCs w:val="23"/>
                <w:bdr w:val="none" w:sz="0" w:space="0" w:color="auto" w:frame="1"/>
              </w:rPr>
            </w:pPr>
            <w:r w:rsidRPr="009251F2">
              <w:rPr>
                <w:rFonts w:ascii="Cambria" w:hAnsi="Cambria"/>
                <w:b/>
                <w:bCs/>
                <w:color w:val="000000"/>
                <w:sz w:val="23"/>
                <w:szCs w:val="23"/>
                <w:bdr w:val="none" w:sz="0" w:space="0" w:color="auto" w:frame="1"/>
              </w:rPr>
              <w:t>Grants</w:t>
            </w:r>
          </w:p>
        </w:tc>
      </w:tr>
      <w:tr w:rsidR="00FD3C4D" w:rsidRPr="009251F2" w14:paraId="3AA0E81A" w14:textId="35566505" w:rsidTr="00566887">
        <w:trPr>
          <w:jc w:val="center"/>
        </w:trPr>
        <w:tc>
          <w:tcPr>
            <w:tcW w:w="988" w:type="dxa"/>
          </w:tcPr>
          <w:p w14:paraId="54A4BABE"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2011</w:t>
            </w:r>
          </w:p>
        </w:tc>
        <w:tc>
          <w:tcPr>
            <w:tcW w:w="1701" w:type="dxa"/>
          </w:tcPr>
          <w:p w14:paraId="4E9CEF47"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5619E632"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$99,620 </w:t>
            </w:r>
          </w:p>
        </w:tc>
        <w:tc>
          <w:tcPr>
            <w:tcW w:w="2835" w:type="dxa"/>
          </w:tcPr>
          <w:p w14:paraId="4E6E347A" w14:textId="238F9F4F"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$9,344.73</w:t>
            </w:r>
          </w:p>
        </w:tc>
      </w:tr>
      <w:tr w:rsidR="00FD3C4D" w:rsidRPr="009251F2" w14:paraId="4E16F14F" w14:textId="74E006FB" w:rsidTr="00566887">
        <w:trPr>
          <w:jc w:val="center"/>
        </w:trPr>
        <w:tc>
          <w:tcPr>
            <w:tcW w:w="988" w:type="dxa"/>
          </w:tcPr>
          <w:p w14:paraId="49F5026A"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2012</w:t>
            </w:r>
          </w:p>
        </w:tc>
        <w:tc>
          <w:tcPr>
            <w:tcW w:w="1701" w:type="dxa"/>
          </w:tcPr>
          <w:p w14:paraId="576A7599"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4C720AD8"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$102,460 </w:t>
            </w:r>
          </w:p>
        </w:tc>
        <w:tc>
          <w:tcPr>
            <w:tcW w:w="2835" w:type="dxa"/>
          </w:tcPr>
          <w:p w14:paraId="5178C325" w14:textId="57DF6048"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$14, 501.50</w:t>
            </w:r>
          </w:p>
        </w:tc>
      </w:tr>
      <w:tr w:rsidR="00FD3C4D" w:rsidRPr="009251F2" w14:paraId="342A506B" w14:textId="20E334F1" w:rsidTr="00566887">
        <w:trPr>
          <w:jc w:val="center"/>
        </w:trPr>
        <w:tc>
          <w:tcPr>
            <w:tcW w:w="988" w:type="dxa"/>
          </w:tcPr>
          <w:p w14:paraId="613452AB"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2013</w:t>
            </w:r>
          </w:p>
        </w:tc>
        <w:tc>
          <w:tcPr>
            <w:tcW w:w="1701" w:type="dxa"/>
          </w:tcPr>
          <w:p w14:paraId="2F544456"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5F149879"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$106,172.00 </w:t>
            </w:r>
          </w:p>
        </w:tc>
        <w:tc>
          <w:tcPr>
            <w:tcW w:w="2835" w:type="dxa"/>
          </w:tcPr>
          <w:p w14:paraId="4772B480" w14:textId="2F7D880B"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$41,681.73</w:t>
            </w:r>
          </w:p>
        </w:tc>
      </w:tr>
      <w:tr w:rsidR="00FD3C4D" w:rsidRPr="009251F2" w14:paraId="2FB78F20" w14:textId="1683801F" w:rsidTr="00566887">
        <w:trPr>
          <w:jc w:val="center"/>
        </w:trPr>
        <w:tc>
          <w:tcPr>
            <w:tcW w:w="988" w:type="dxa"/>
          </w:tcPr>
          <w:p w14:paraId="565BF961"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2014</w:t>
            </w:r>
          </w:p>
        </w:tc>
        <w:tc>
          <w:tcPr>
            <w:tcW w:w="1701" w:type="dxa"/>
          </w:tcPr>
          <w:p w14:paraId="217AD648"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15210B34"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$107,560.00 </w:t>
            </w:r>
          </w:p>
        </w:tc>
        <w:tc>
          <w:tcPr>
            <w:tcW w:w="2835" w:type="dxa"/>
          </w:tcPr>
          <w:p w14:paraId="4DD6F522" w14:textId="7DD8D852"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$19,256.14</w:t>
            </w:r>
          </w:p>
        </w:tc>
      </w:tr>
      <w:tr w:rsidR="00FD3C4D" w:rsidRPr="009251F2" w14:paraId="5E4E90EE" w14:textId="4A870B51" w:rsidTr="00566887">
        <w:trPr>
          <w:jc w:val="center"/>
        </w:trPr>
        <w:tc>
          <w:tcPr>
            <w:tcW w:w="988" w:type="dxa"/>
          </w:tcPr>
          <w:p w14:paraId="2FFA9DAC"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2015</w:t>
            </w:r>
          </w:p>
        </w:tc>
        <w:tc>
          <w:tcPr>
            <w:tcW w:w="1701" w:type="dxa"/>
          </w:tcPr>
          <w:p w14:paraId="3C7FA5EA"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707BF40D"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$110,641.00 </w:t>
            </w:r>
          </w:p>
        </w:tc>
        <w:tc>
          <w:tcPr>
            <w:tcW w:w="2835" w:type="dxa"/>
          </w:tcPr>
          <w:p w14:paraId="39CA06D5" w14:textId="02EFC930"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$33,684.00</w:t>
            </w:r>
          </w:p>
        </w:tc>
      </w:tr>
      <w:tr w:rsidR="00FD3C4D" w:rsidRPr="009251F2" w14:paraId="0BB5A946" w14:textId="1674DC25" w:rsidTr="00566887">
        <w:trPr>
          <w:jc w:val="center"/>
        </w:trPr>
        <w:tc>
          <w:tcPr>
            <w:tcW w:w="988" w:type="dxa"/>
          </w:tcPr>
          <w:p w14:paraId="071ADE32"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2016</w:t>
            </w:r>
          </w:p>
        </w:tc>
        <w:tc>
          <w:tcPr>
            <w:tcW w:w="1701" w:type="dxa"/>
          </w:tcPr>
          <w:p w14:paraId="2CCACE93"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3A5FE3DF"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$96,761.00 </w:t>
            </w:r>
          </w:p>
        </w:tc>
        <w:tc>
          <w:tcPr>
            <w:tcW w:w="2835" w:type="dxa"/>
          </w:tcPr>
          <w:p w14:paraId="1C2E24DA" w14:textId="4405F29B"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$60,000.00</w:t>
            </w:r>
          </w:p>
        </w:tc>
      </w:tr>
      <w:tr w:rsidR="00FD3C4D" w:rsidRPr="009251F2" w14:paraId="0FAA2508" w14:textId="31487585" w:rsidTr="00566887">
        <w:trPr>
          <w:jc w:val="center"/>
        </w:trPr>
        <w:tc>
          <w:tcPr>
            <w:tcW w:w="988" w:type="dxa"/>
          </w:tcPr>
          <w:p w14:paraId="532B8BF0"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2017</w:t>
            </w:r>
          </w:p>
        </w:tc>
        <w:tc>
          <w:tcPr>
            <w:tcW w:w="1701" w:type="dxa"/>
          </w:tcPr>
          <w:p w14:paraId="48A46827"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3AB6BE2A"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$106,753.00 </w:t>
            </w:r>
          </w:p>
        </w:tc>
        <w:tc>
          <w:tcPr>
            <w:tcW w:w="2835" w:type="dxa"/>
          </w:tcPr>
          <w:p w14:paraId="43D13D3E" w14:textId="3338F8AE"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$250,039.27</w:t>
            </w:r>
          </w:p>
        </w:tc>
      </w:tr>
      <w:tr w:rsidR="00FD3C4D" w:rsidRPr="009251F2" w14:paraId="112F0BBB" w14:textId="4D2749C4" w:rsidTr="00566887">
        <w:trPr>
          <w:jc w:val="center"/>
        </w:trPr>
        <w:tc>
          <w:tcPr>
            <w:tcW w:w="988" w:type="dxa"/>
          </w:tcPr>
          <w:p w14:paraId="0D5B5A3C"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2018</w:t>
            </w:r>
          </w:p>
        </w:tc>
        <w:tc>
          <w:tcPr>
            <w:tcW w:w="1701" w:type="dxa"/>
          </w:tcPr>
          <w:p w14:paraId="04A1575D"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10546839"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$112,715.00 </w:t>
            </w:r>
          </w:p>
        </w:tc>
        <w:tc>
          <w:tcPr>
            <w:tcW w:w="2835" w:type="dxa"/>
          </w:tcPr>
          <w:p w14:paraId="7745C0A9" w14:textId="2BA909EC" w:rsidR="00FD3C4D" w:rsidRPr="009251F2" w:rsidRDefault="00FD3C4D" w:rsidP="00FD3C4D">
            <w:pPr>
              <w:pStyle w:val="xmsonormal"/>
              <w:spacing w:before="0" w:beforeAutospacing="0" w:after="0" w:afterAutospacing="0"/>
              <w:rPr>
                <w:rFonts w:ascii="Cambria" w:hAnsi="Cambria"/>
                <w:color w:val="000000"/>
                <w:sz w:val="23"/>
                <w:szCs w:val="23"/>
              </w:rPr>
            </w:pPr>
            <w:r w:rsidRPr="009251F2">
              <w:rPr>
                <w:rFonts w:ascii="Cambria" w:hAnsi="Cambria"/>
                <w:color w:val="000000"/>
                <w:sz w:val="23"/>
                <w:szCs w:val="23"/>
              </w:rPr>
              <w:t>$50,019.95</w:t>
            </w:r>
          </w:p>
        </w:tc>
      </w:tr>
      <w:tr w:rsidR="00FD3C4D" w:rsidRPr="009251F2" w14:paraId="5EF64955" w14:textId="49FD1924" w:rsidTr="00566887">
        <w:trPr>
          <w:jc w:val="center"/>
        </w:trPr>
        <w:tc>
          <w:tcPr>
            <w:tcW w:w="988" w:type="dxa"/>
          </w:tcPr>
          <w:p w14:paraId="54E1C12D"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2019</w:t>
            </w:r>
          </w:p>
        </w:tc>
        <w:tc>
          <w:tcPr>
            <w:tcW w:w="1701" w:type="dxa"/>
          </w:tcPr>
          <w:p w14:paraId="73BCB6AF"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$50,000</w:t>
            </w:r>
          </w:p>
        </w:tc>
        <w:tc>
          <w:tcPr>
            <w:tcW w:w="2409" w:type="dxa"/>
          </w:tcPr>
          <w:p w14:paraId="43138586"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rPr>
              <w:t>$206,867.92 </w:t>
            </w:r>
          </w:p>
        </w:tc>
        <w:tc>
          <w:tcPr>
            <w:tcW w:w="2835" w:type="dxa"/>
          </w:tcPr>
          <w:p w14:paraId="0DBA5CC3" w14:textId="0A39EA2B" w:rsidR="00FD3C4D" w:rsidRPr="009251F2" w:rsidRDefault="00FD3C4D" w:rsidP="00FD3C4D">
            <w:pPr>
              <w:pStyle w:val="xmsonormal"/>
              <w:spacing w:before="0" w:beforeAutospacing="0" w:after="0" w:afterAutospacing="0"/>
              <w:rPr>
                <w:rFonts w:ascii="Cambria" w:hAnsi="Cambria"/>
                <w:color w:val="000000"/>
                <w:sz w:val="23"/>
                <w:szCs w:val="23"/>
              </w:rPr>
            </w:pPr>
          </w:p>
        </w:tc>
      </w:tr>
      <w:tr w:rsidR="00FD3C4D" w:rsidRPr="009251F2" w14:paraId="1BB4ABE1" w14:textId="418560C8" w:rsidTr="00566887">
        <w:trPr>
          <w:jc w:val="center"/>
        </w:trPr>
        <w:tc>
          <w:tcPr>
            <w:tcW w:w="988" w:type="dxa"/>
          </w:tcPr>
          <w:p w14:paraId="2968320C"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2020</w:t>
            </w:r>
          </w:p>
        </w:tc>
        <w:tc>
          <w:tcPr>
            <w:tcW w:w="1701" w:type="dxa"/>
          </w:tcPr>
          <w:p w14:paraId="1D54CCFB" w14:textId="6AD92C44"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p>
        </w:tc>
        <w:tc>
          <w:tcPr>
            <w:tcW w:w="2409" w:type="dxa"/>
          </w:tcPr>
          <w:p w14:paraId="4A5AE29E" w14:textId="77777777"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$173,759.51</w:t>
            </w:r>
          </w:p>
        </w:tc>
        <w:tc>
          <w:tcPr>
            <w:tcW w:w="2835" w:type="dxa"/>
          </w:tcPr>
          <w:p w14:paraId="34DEBE7C" w14:textId="0EEE6CFE" w:rsidR="00FD3C4D" w:rsidRPr="009251F2" w:rsidRDefault="00FD3C4D" w:rsidP="00FD3C4D">
            <w:pPr>
              <w:pStyle w:val="xmsonormal"/>
              <w:spacing w:before="0" w:beforeAutospacing="0" w:after="0" w:afterAutospacing="0"/>
              <w:rPr>
                <w:rFonts w:ascii="Cambria" w:hAnsi="Cambria"/>
                <w:color w:val="000000"/>
                <w:sz w:val="23"/>
                <w:szCs w:val="23"/>
                <w:bdr w:val="none" w:sz="0" w:space="0" w:color="auto" w:frame="1"/>
              </w:rPr>
            </w:pPr>
            <w:r w:rsidRPr="009251F2">
              <w:rPr>
                <w:rFonts w:ascii="Cambria" w:hAnsi="Cambria"/>
                <w:color w:val="000000"/>
                <w:sz w:val="23"/>
                <w:szCs w:val="23"/>
                <w:bdr w:val="none" w:sz="0" w:space="0" w:color="auto" w:frame="1"/>
              </w:rPr>
              <w:t>$1958.56</w:t>
            </w:r>
          </w:p>
        </w:tc>
      </w:tr>
    </w:tbl>
    <w:p w14:paraId="1A42EB3F" w14:textId="49086F8E" w:rsidR="000C44BB" w:rsidRPr="009251F2" w:rsidRDefault="00025263" w:rsidP="00566887">
      <w:pPr>
        <w:pStyle w:val="xmsonormal"/>
        <w:shd w:val="clear" w:color="auto" w:fill="FFFFFF"/>
        <w:spacing w:before="0" w:beforeAutospacing="0" w:after="0" w:afterAutospacing="0"/>
        <w:ind w:left="560"/>
        <w:rPr>
          <w:rFonts w:ascii="Cambria" w:hAnsi="Cambria"/>
          <w:color w:val="000000"/>
          <w:sz w:val="18"/>
          <w:szCs w:val="18"/>
        </w:rPr>
      </w:pPr>
      <w:r w:rsidRPr="009251F2">
        <w:rPr>
          <w:rFonts w:ascii="Cambria" w:hAnsi="Cambria"/>
          <w:color w:val="000000"/>
          <w:sz w:val="18"/>
          <w:szCs w:val="18"/>
        </w:rPr>
        <w:t xml:space="preserve">Source: Tasmania Law Reform Institute Annual Reports. As found at </w:t>
      </w:r>
      <w:hyperlink r:id="rId11" w:history="1">
        <w:r w:rsidR="00566887" w:rsidRPr="009251F2">
          <w:rPr>
            <w:rStyle w:val="Hyperlink"/>
            <w:rFonts w:ascii="Cambria" w:hAnsi="Cambria"/>
            <w:sz w:val="18"/>
            <w:szCs w:val="18"/>
          </w:rPr>
          <w:t>https://www.utas.edu.au/law-reform/publications/annual-reports</w:t>
        </w:r>
      </w:hyperlink>
      <w:r w:rsidR="009251F2">
        <w:rPr>
          <w:rStyle w:val="Hyperlink"/>
          <w:rFonts w:ascii="Cambria" w:hAnsi="Cambria"/>
          <w:sz w:val="18"/>
          <w:szCs w:val="18"/>
          <w:u w:val="none"/>
        </w:rPr>
        <w:t xml:space="preserve"> </w:t>
      </w:r>
      <w:r w:rsidR="009251F2" w:rsidRPr="009251F2">
        <w:rPr>
          <w:rStyle w:val="Hyperlink"/>
          <w:rFonts w:ascii="Cambria" w:hAnsi="Cambria"/>
          <w:color w:val="000000" w:themeColor="text1"/>
          <w:sz w:val="18"/>
          <w:szCs w:val="18"/>
          <w:u w:val="none"/>
        </w:rPr>
        <w:t>(accessed 14 April 2022)</w:t>
      </w:r>
    </w:p>
    <w:p w14:paraId="77287A01" w14:textId="77777777" w:rsidR="001B6BD6" w:rsidRPr="009251F2" w:rsidRDefault="001B6BD6" w:rsidP="00E60DDA">
      <w:pPr>
        <w:pStyle w:val="xmsonormal"/>
        <w:shd w:val="clear" w:color="auto" w:fill="FFFFFF"/>
        <w:spacing w:before="0" w:beforeAutospacing="0" w:after="0" w:afterAutospacing="0"/>
        <w:jc w:val="both"/>
        <w:rPr>
          <w:rFonts w:ascii="Cambria" w:hAnsi="Cambria"/>
          <w:color w:val="000000" w:themeColor="text1"/>
          <w:sz w:val="23"/>
          <w:szCs w:val="23"/>
        </w:rPr>
      </w:pPr>
    </w:p>
    <w:p w14:paraId="28F010B7" w14:textId="43F78716" w:rsidR="001B6BD6" w:rsidRPr="009251F2" w:rsidRDefault="00030C67" w:rsidP="00E60DDA">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Ove</w:t>
      </w:r>
      <w:r w:rsidR="001B6BD6" w:rsidRPr="009251F2">
        <w:rPr>
          <w:rFonts w:ascii="Cambria" w:hAnsi="Cambria"/>
          <w:color w:val="000000" w:themeColor="text1"/>
          <w:sz w:val="23"/>
          <w:szCs w:val="23"/>
        </w:rPr>
        <w:t>r</w:t>
      </w:r>
      <w:r w:rsidRPr="009251F2">
        <w:rPr>
          <w:rFonts w:ascii="Cambria" w:hAnsi="Cambria"/>
          <w:color w:val="000000" w:themeColor="text1"/>
          <w:sz w:val="23"/>
          <w:szCs w:val="23"/>
        </w:rPr>
        <w:t xml:space="preserve"> the years</w:t>
      </w:r>
      <w:r w:rsidR="009E54C9" w:rsidRPr="009251F2">
        <w:rPr>
          <w:rFonts w:ascii="Cambria" w:hAnsi="Cambria"/>
          <w:color w:val="000000" w:themeColor="text1"/>
          <w:sz w:val="23"/>
          <w:szCs w:val="23"/>
        </w:rPr>
        <w:t xml:space="preserve">, </w:t>
      </w:r>
      <w:r w:rsidRPr="009251F2">
        <w:rPr>
          <w:rFonts w:ascii="Cambria" w:hAnsi="Cambria"/>
          <w:color w:val="000000" w:themeColor="text1"/>
          <w:sz w:val="23"/>
          <w:szCs w:val="23"/>
        </w:rPr>
        <w:t xml:space="preserve">the Law Foundation of Tasmania, the Solicitors’ Guarantee Fund and other funding sources have provided the </w:t>
      </w:r>
      <w:r w:rsidR="005657BC" w:rsidRPr="009251F2">
        <w:rPr>
          <w:rFonts w:ascii="Cambria" w:hAnsi="Cambria"/>
          <w:color w:val="000000" w:themeColor="text1"/>
          <w:sz w:val="23"/>
          <w:szCs w:val="23"/>
        </w:rPr>
        <w:t>TLRI</w:t>
      </w:r>
      <w:r w:rsidRPr="009251F2">
        <w:rPr>
          <w:rFonts w:ascii="Cambria" w:hAnsi="Cambria"/>
          <w:color w:val="000000" w:themeColor="text1"/>
          <w:sz w:val="23"/>
          <w:szCs w:val="23"/>
        </w:rPr>
        <w:t xml:space="preserve"> with one-off funding through the provision of grants. This is one-off discretionary funding that may not be available every year. </w:t>
      </w:r>
      <w:r w:rsidR="001B6BD6" w:rsidRPr="009251F2">
        <w:rPr>
          <w:rFonts w:ascii="Cambria" w:hAnsi="Cambria"/>
          <w:color w:val="000000" w:themeColor="text1"/>
          <w:sz w:val="23"/>
          <w:szCs w:val="23"/>
        </w:rPr>
        <w:t xml:space="preserve">It </w:t>
      </w:r>
      <w:r w:rsidR="00397346" w:rsidRPr="009251F2">
        <w:rPr>
          <w:rFonts w:ascii="Cambria" w:hAnsi="Cambria"/>
          <w:color w:val="000000" w:themeColor="text1"/>
          <w:sz w:val="23"/>
          <w:szCs w:val="23"/>
        </w:rPr>
        <w:t xml:space="preserve">is </w:t>
      </w:r>
      <w:r w:rsidR="001B6BD6" w:rsidRPr="009251F2">
        <w:rPr>
          <w:rFonts w:ascii="Cambria" w:hAnsi="Cambria"/>
          <w:color w:val="000000" w:themeColor="text1"/>
          <w:sz w:val="23"/>
          <w:szCs w:val="23"/>
        </w:rPr>
        <w:t xml:space="preserve">also </w:t>
      </w:r>
      <w:r w:rsidR="0062507B" w:rsidRPr="009251F2">
        <w:rPr>
          <w:rFonts w:ascii="Cambria" w:hAnsi="Cambria"/>
          <w:color w:val="000000" w:themeColor="text1"/>
          <w:sz w:val="23"/>
          <w:szCs w:val="23"/>
        </w:rPr>
        <w:t xml:space="preserve">time-consuming, </w:t>
      </w:r>
      <w:r w:rsidR="001B6BD6" w:rsidRPr="009251F2">
        <w:rPr>
          <w:rFonts w:ascii="Cambria" w:hAnsi="Cambria"/>
          <w:color w:val="000000" w:themeColor="text1"/>
          <w:sz w:val="23"/>
          <w:szCs w:val="23"/>
        </w:rPr>
        <w:t>requir</w:t>
      </w:r>
      <w:r w:rsidR="0062507B" w:rsidRPr="009251F2">
        <w:rPr>
          <w:rFonts w:ascii="Cambria" w:hAnsi="Cambria"/>
          <w:color w:val="000000" w:themeColor="text1"/>
          <w:sz w:val="23"/>
          <w:szCs w:val="23"/>
        </w:rPr>
        <w:t>ing</w:t>
      </w:r>
      <w:r w:rsidR="001B6BD6" w:rsidRPr="009251F2">
        <w:rPr>
          <w:rFonts w:ascii="Cambria" w:hAnsi="Cambria"/>
          <w:color w:val="000000" w:themeColor="text1"/>
          <w:sz w:val="23"/>
          <w:szCs w:val="23"/>
        </w:rPr>
        <w:t xml:space="preserve"> the drafting of funding applications that take away from the core business of the </w:t>
      </w:r>
      <w:r w:rsidR="005657BC" w:rsidRPr="009251F2">
        <w:rPr>
          <w:rFonts w:ascii="Cambria" w:hAnsi="Cambria"/>
          <w:color w:val="000000" w:themeColor="text1"/>
          <w:sz w:val="23"/>
          <w:szCs w:val="23"/>
        </w:rPr>
        <w:t>TLRI</w:t>
      </w:r>
      <w:r w:rsidR="001B6BD6" w:rsidRPr="009251F2">
        <w:rPr>
          <w:rFonts w:ascii="Cambria" w:hAnsi="Cambria"/>
          <w:color w:val="000000" w:themeColor="text1"/>
          <w:sz w:val="23"/>
          <w:szCs w:val="23"/>
        </w:rPr>
        <w:t>, namely to modernise, simplify and consolidate Tasmanian laws.</w:t>
      </w:r>
    </w:p>
    <w:p w14:paraId="35D264C7" w14:textId="6370F74A" w:rsidR="001B6BD6" w:rsidRPr="009251F2" w:rsidRDefault="001B6BD6" w:rsidP="00E60DDA">
      <w:pPr>
        <w:pStyle w:val="xmsonormal"/>
        <w:shd w:val="clear" w:color="auto" w:fill="FFFFFF"/>
        <w:spacing w:before="0" w:beforeAutospacing="0" w:after="0" w:afterAutospacing="0"/>
        <w:jc w:val="both"/>
        <w:rPr>
          <w:rFonts w:ascii="Cambria" w:hAnsi="Cambria"/>
          <w:color w:val="000000" w:themeColor="text1"/>
          <w:sz w:val="23"/>
          <w:szCs w:val="23"/>
        </w:rPr>
      </w:pPr>
    </w:p>
    <w:p w14:paraId="5446A590" w14:textId="6D8AD1AE" w:rsidR="00E60DDA" w:rsidRPr="009251F2" w:rsidRDefault="00E60DDA" w:rsidP="00E60DDA">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The Government’s </w:t>
      </w:r>
      <w:r w:rsidR="00025263" w:rsidRPr="009251F2">
        <w:rPr>
          <w:rFonts w:ascii="Cambria" w:hAnsi="Cambria"/>
          <w:color w:val="000000" w:themeColor="text1"/>
          <w:sz w:val="23"/>
          <w:szCs w:val="23"/>
        </w:rPr>
        <w:t xml:space="preserve">commitment to provide $50,000 per annum </w:t>
      </w:r>
      <w:r w:rsidR="00CB76B7" w:rsidRPr="009251F2">
        <w:rPr>
          <w:rFonts w:ascii="Cambria" w:hAnsi="Cambria"/>
          <w:color w:val="000000" w:themeColor="text1"/>
          <w:sz w:val="23"/>
          <w:szCs w:val="23"/>
        </w:rPr>
        <w:t>has not changed</w:t>
      </w:r>
      <w:r w:rsidR="00025263" w:rsidRPr="009251F2">
        <w:rPr>
          <w:rFonts w:ascii="Cambria" w:hAnsi="Cambria"/>
          <w:color w:val="000000" w:themeColor="text1"/>
          <w:sz w:val="23"/>
          <w:szCs w:val="23"/>
        </w:rPr>
        <w:t xml:space="preserve"> in twenty years</w:t>
      </w:r>
      <w:r w:rsidR="001E70B2" w:rsidRPr="009251F2">
        <w:rPr>
          <w:rFonts w:ascii="Cambria" w:hAnsi="Cambria"/>
          <w:color w:val="000000" w:themeColor="text1"/>
          <w:sz w:val="23"/>
          <w:szCs w:val="23"/>
        </w:rPr>
        <w:t xml:space="preserve"> </w:t>
      </w:r>
      <w:r w:rsidR="00CB76B7" w:rsidRPr="009251F2">
        <w:rPr>
          <w:rFonts w:ascii="Cambria" w:hAnsi="Cambria"/>
          <w:color w:val="000000" w:themeColor="text1"/>
          <w:sz w:val="23"/>
          <w:szCs w:val="23"/>
        </w:rPr>
        <w:t xml:space="preserve">with the </w:t>
      </w:r>
      <w:r w:rsidR="005657BC" w:rsidRPr="009251F2">
        <w:rPr>
          <w:rFonts w:ascii="Cambria" w:hAnsi="Cambria"/>
          <w:color w:val="000000" w:themeColor="text1"/>
          <w:sz w:val="23"/>
          <w:szCs w:val="23"/>
        </w:rPr>
        <w:t>TLRI</w:t>
      </w:r>
      <w:r w:rsidR="00CB76B7" w:rsidRPr="009251F2">
        <w:rPr>
          <w:rFonts w:ascii="Cambria" w:hAnsi="Cambria"/>
          <w:color w:val="000000" w:themeColor="text1"/>
          <w:sz w:val="23"/>
          <w:szCs w:val="23"/>
        </w:rPr>
        <w:t xml:space="preserve"> </w:t>
      </w:r>
      <w:r w:rsidR="00397346" w:rsidRPr="009251F2">
        <w:rPr>
          <w:rFonts w:ascii="Cambria" w:hAnsi="Cambria"/>
          <w:color w:val="000000" w:themeColor="text1"/>
          <w:sz w:val="23"/>
          <w:szCs w:val="23"/>
        </w:rPr>
        <w:t xml:space="preserve">observing </w:t>
      </w:r>
      <w:r w:rsidR="00025263" w:rsidRPr="009251F2">
        <w:rPr>
          <w:rFonts w:ascii="Cambria" w:hAnsi="Cambria"/>
          <w:color w:val="000000" w:themeColor="text1"/>
          <w:sz w:val="23"/>
          <w:szCs w:val="23"/>
        </w:rPr>
        <w:t xml:space="preserve">recently </w:t>
      </w:r>
      <w:r w:rsidR="00CB76B7" w:rsidRPr="009251F2">
        <w:rPr>
          <w:rFonts w:ascii="Cambria" w:hAnsi="Cambria"/>
          <w:color w:val="000000" w:themeColor="text1"/>
          <w:sz w:val="23"/>
          <w:szCs w:val="23"/>
        </w:rPr>
        <w:t>that this amount “leaves the Institute unable to undertake its role as the State’s peak independent law reform body”.</w:t>
      </w:r>
      <w:r w:rsidR="00CB76B7" w:rsidRPr="009251F2">
        <w:rPr>
          <w:rStyle w:val="FootnoteReference"/>
          <w:rFonts w:ascii="Cambria" w:hAnsi="Cambria"/>
          <w:color w:val="000000" w:themeColor="text1"/>
          <w:sz w:val="23"/>
          <w:szCs w:val="23"/>
        </w:rPr>
        <w:footnoteReference w:id="25"/>
      </w:r>
      <w:r w:rsidR="00CB76B7" w:rsidRPr="009251F2">
        <w:rPr>
          <w:rFonts w:ascii="Cambria" w:hAnsi="Cambria"/>
          <w:color w:val="000000" w:themeColor="text1"/>
          <w:sz w:val="23"/>
          <w:szCs w:val="23"/>
        </w:rPr>
        <w:t xml:space="preserve"> Expressed in another way, </w:t>
      </w:r>
      <w:r w:rsidR="00FD3C4D" w:rsidRPr="009251F2">
        <w:rPr>
          <w:rFonts w:ascii="Cambria" w:hAnsi="Cambria"/>
          <w:color w:val="000000" w:themeColor="text1"/>
          <w:sz w:val="23"/>
          <w:szCs w:val="23"/>
        </w:rPr>
        <w:t xml:space="preserve">whilst the University </w:t>
      </w:r>
      <w:r w:rsidR="008C491A" w:rsidRPr="009251F2">
        <w:rPr>
          <w:rFonts w:ascii="Cambria" w:hAnsi="Cambria"/>
          <w:color w:val="000000" w:themeColor="text1"/>
          <w:sz w:val="23"/>
          <w:szCs w:val="23"/>
        </w:rPr>
        <w:t xml:space="preserve">is now providing more than twice as much </w:t>
      </w:r>
      <w:r w:rsidR="00FD3C4D" w:rsidRPr="009251F2">
        <w:rPr>
          <w:rFonts w:ascii="Cambria" w:hAnsi="Cambria"/>
          <w:color w:val="000000" w:themeColor="text1"/>
          <w:sz w:val="23"/>
          <w:szCs w:val="23"/>
        </w:rPr>
        <w:t xml:space="preserve">resourcing </w:t>
      </w:r>
      <w:r w:rsidR="0016068B" w:rsidRPr="009251F2">
        <w:rPr>
          <w:rFonts w:ascii="Cambria" w:hAnsi="Cambria"/>
          <w:color w:val="000000" w:themeColor="text1"/>
          <w:sz w:val="23"/>
          <w:szCs w:val="23"/>
        </w:rPr>
        <w:t>to</w:t>
      </w:r>
      <w:r w:rsidR="00FD3C4D" w:rsidRPr="009251F2">
        <w:rPr>
          <w:rFonts w:ascii="Cambria" w:hAnsi="Cambria"/>
          <w:color w:val="000000" w:themeColor="text1"/>
          <w:sz w:val="23"/>
          <w:szCs w:val="23"/>
        </w:rPr>
        <w:t xml:space="preserve"> the </w:t>
      </w:r>
      <w:r w:rsidR="005657BC" w:rsidRPr="009251F2">
        <w:rPr>
          <w:rFonts w:ascii="Cambria" w:hAnsi="Cambria"/>
          <w:color w:val="000000" w:themeColor="text1"/>
          <w:sz w:val="23"/>
          <w:szCs w:val="23"/>
        </w:rPr>
        <w:t>TLRI</w:t>
      </w:r>
      <w:r w:rsidR="008C491A" w:rsidRPr="009251F2">
        <w:rPr>
          <w:rFonts w:ascii="Cambria" w:hAnsi="Cambria"/>
          <w:color w:val="000000" w:themeColor="text1"/>
          <w:sz w:val="23"/>
          <w:szCs w:val="23"/>
        </w:rPr>
        <w:t xml:space="preserve"> as was originally agreed</w:t>
      </w:r>
      <w:r w:rsidR="00FD3C4D" w:rsidRPr="009251F2">
        <w:rPr>
          <w:rFonts w:ascii="Cambria" w:hAnsi="Cambria"/>
          <w:color w:val="000000" w:themeColor="text1"/>
          <w:sz w:val="23"/>
          <w:szCs w:val="23"/>
        </w:rPr>
        <w:t xml:space="preserve">, </w:t>
      </w:r>
      <w:r w:rsidR="00CB76B7" w:rsidRPr="009251F2">
        <w:rPr>
          <w:rFonts w:ascii="Cambria" w:hAnsi="Cambria"/>
          <w:color w:val="000000" w:themeColor="text1"/>
          <w:sz w:val="23"/>
          <w:szCs w:val="23"/>
        </w:rPr>
        <w:t xml:space="preserve">the Government’s commitment </w:t>
      </w:r>
      <w:r w:rsidRPr="009251F2">
        <w:rPr>
          <w:rFonts w:ascii="Cambria" w:hAnsi="Cambria"/>
          <w:color w:val="000000" w:themeColor="text1"/>
          <w:sz w:val="23"/>
          <w:szCs w:val="23"/>
        </w:rPr>
        <w:t xml:space="preserve">has gone backwards in real terms </w:t>
      </w:r>
      <w:r w:rsidR="00397346" w:rsidRPr="009251F2">
        <w:rPr>
          <w:rFonts w:ascii="Cambria" w:hAnsi="Cambria"/>
          <w:color w:val="000000" w:themeColor="text1"/>
          <w:sz w:val="23"/>
          <w:szCs w:val="23"/>
        </w:rPr>
        <w:t xml:space="preserve">over the last </w:t>
      </w:r>
      <w:r w:rsidR="0016068B" w:rsidRPr="009251F2">
        <w:rPr>
          <w:rFonts w:ascii="Cambria" w:hAnsi="Cambria"/>
          <w:color w:val="000000" w:themeColor="text1"/>
          <w:sz w:val="23"/>
          <w:szCs w:val="23"/>
        </w:rPr>
        <w:t xml:space="preserve">two </w:t>
      </w:r>
      <w:r w:rsidR="00397346" w:rsidRPr="009251F2">
        <w:rPr>
          <w:rFonts w:ascii="Cambria" w:hAnsi="Cambria"/>
          <w:color w:val="000000" w:themeColor="text1"/>
          <w:sz w:val="23"/>
          <w:szCs w:val="23"/>
        </w:rPr>
        <w:t>decade</w:t>
      </w:r>
      <w:r w:rsidR="0016068B" w:rsidRPr="009251F2">
        <w:rPr>
          <w:rFonts w:ascii="Cambria" w:hAnsi="Cambria"/>
          <w:color w:val="000000" w:themeColor="text1"/>
          <w:sz w:val="23"/>
          <w:szCs w:val="23"/>
        </w:rPr>
        <w:t xml:space="preserve"> as is made clear in Annexure 1. </w:t>
      </w:r>
    </w:p>
    <w:p w14:paraId="33865CDD" w14:textId="77777777" w:rsidR="00397346" w:rsidRPr="009251F2" w:rsidRDefault="00397346" w:rsidP="000C44BB">
      <w:pPr>
        <w:rPr>
          <w:rFonts w:ascii="Cambria" w:hAnsi="Cambria"/>
          <w:sz w:val="23"/>
          <w:szCs w:val="23"/>
        </w:rPr>
      </w:pPr>
    </w:p>
    <w:p w14:paraId="3B1AD42F" w14:textId="6045B9F5" w:rsidR="00456FFD" w:rsidRPr="009251F2" w:rsidRDefault="00025263" w:rsidP="00DC3D1F">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It is clear the </w:t>
      </w:r>
      <w:r w:rsidR="005657BC" w:rsidRPr="009251F2">
        <w:rPr>
          <w:rFonts w:ascii="Cambria" w:hAnsi="Cambria"/>
          <w:color w:val="000000" w:themeColor="text1"/>
          <w:sz w:val="23"/>
          <w:szCs w:val="23"/>
        </w:rPr>
        <w:t>TLRI</w:t>
      </w:r>
      <w:r w:rsidRPr="009251F2">
        <w:rPr>
          <w:rFonts w:ascii="Cambria" w:hAnsi="Cambria"/>
          <w:color w:val="000000" w:themeColor="text1"/>
          <w:sz w:val="23"/>
          <w:szCs w:val="23"/>
        </w:rPr>
        <w:t xml:space="preserve"> requires a more sustainable funding model.</w:t>
      </w:r>
      <w:r w:rsidR="005C3F96" w:rsidRPr="009251F2">
        <w:rPr>
          <w:rFonts w:ascii="Cambria" w:hAnsi="Cambria"/>
          <w:color w:val="000000" w:themeColor="text1"/>
          <w:sz w:val="23"/>
          <w:szCs w:val="23"/>
        </w:rPr>
        <w:t xml:space="preserve"> </w:t>
      </w:r>
      <w:r w:rsidR="00D01719" w:rsidRPr="009251F2">
        <w:rPr>
          <w:rFonts w:ascii="Cambria" w:hAnsi="Cambria"/>
          <w:color w:val="000000" w:themeColor="text1"/>
          <w:sz w:val="23"/>
          <w:szCs w:val="23"/>
        </w:rPr>
        <w:t xml:space="preserve">Appropriate </w:t>
      </w:r>
      <w:r w:rsidR="005C3F96" w:rsidRPr="009251F2">
        <w:rPr>
          <w:rFonts w:ascii="Cambria" w:hAnsi="Cambria"/>
          <w:color w:val="000000" w:themeColor="text1"/>
          <w:sz w:val="23"/>
          <w:szCs w:val="23"/>
        </w:rPr>
        <w:t>funding will</w:t>
      </w:r>
      <w:r w:rsidR="00FF4FD6" w:rsidRPr="009251F2">
        <w:rPr>
          <w:rFonts w:ascii="Cambria" w:hAnsi="Cambria"/>
          <w:color w:val="000000" w:themeColor="text1"/>
          <w:sz w:val="23"/>
          <w:szCs w:val="23"/>
        </w:rPr>
        <w:t xml:space="preserve"> ensure that the </w:t>
      </w:r>
      <w:r w:rsidR="005657BC" w:rsidRPr="009251F2">
        <w:rPr>
          <w:rFonts w:ascii="Cambria" w:hAnsi="Cambria"/>
          <w:color w:val="000000" w:themeColor="text1"/>
          <w:sz w:val="23"/>
          <w:szCs w:val="23"/>
        </w:rPr>
        <w:t>TLRI</w:t>
      </w:r>
      <w:r w:rsidR="00FF4FD6" w:rsidRPr="009251F2">
        <w:rPr>
          <w:rFonts w:ascii="Cambria" w:hAnsi="Cambria"/>
          <w:color w:val="000000" w:themeColor="text1"/>
          <w:sz w:val="23"/>
          <w:szCs w:val="23"/>
        </w:rPr>
        <w:t xml:space="preserve"> can </w:t>
      </w:r>
      <w:r w:rsidR="001B6BD6" w:rsidRPr="009251F2">
        <w:rPr>
          <w:rFonts w:ascii="Cambria" w:hAnsi="Cambria"/>
          <w:color w:val="000000" w:themeColor="text1"/>
          <w:sz w:val="23"/>
          <w:szCs w:val="23"/>
        </w:rPr>
        <w:t xml:space="preserve">appropriately </w:t>
      </w:r>
      <w:r w:rsidR="009E54C9" w:rsidRPr="009251F2">
        <w:rPr>
          <w:rFonts w:ascii="Cambria" w:hAnsi="Cambria"/>
          <w:color w:val="000000" w:themeColor="text1"/>
          <w:sz w:val="23"/>
          <w:szCs w:val="23"/>
        </w:rPr>
        <w:t>unravel</w:t>
      </w:r>
      <w:r w:rsidR="00FF4FD6" w:rsidRPr="009251F2">
        <w:rPr>
          <w:rFonts w:ascii="Cambria" w:hAnsi="Cambria"/>
          <w:color w:val="000000" w:themeColor="text1"/>
          <w:sz w:val="23"/>
          <w:szCs w:val="23"/>
        </w:rPr>
        <w:t xml:space="preserve"> complex </w:t>
      </w:r>
      <w:r w:rsidR="00456FFD" w:rsidRPr="009251F2">
        <w:rPr>
          <w:rFonts w:ascii="Cambria" w:hAnsi="Cambria"/>
          <w:color w:val="000000" w:themeColor="text1"/>
          <w:sz w:val="23"/>
          <w:szCs w:val="23"/>
        </w:rPr>
        <w:t xml:space="preserve">legal </w:t>
      </w:r>
      <w:r w:rsidR="00FF4FD6" w:rsidRPr="009251F2">
        <w:rPr>
          <w:rFonts w:ascii="Cambria" w:hAnsi="Cambria"/>
          <w:color w:val="000000" w:themeColor="text1"/>
          <w:sz w:val="23"/>
          <w:szCs w:val="23"/>
        </w:rPr>
        <w:t xml:space="preserve">issues and recommend best-practice law reform. Improved funding will also provide the </w:t>
      </w:r>
      <w:r w:rsidR="005657BC" w:rsidRPr="009251F2">
        <w:rPr>
          <w:rFonts w:ascii="Cambria" w:hAnsi="Cambria"/>
          <w:color w:val="000000" w:themeColor="text1"/>
          <w:sz w:val="23"/>
          <w:szCs w:val="23"/>
        </w:rPr>
        <w:t>TLRI</w:t>
      </w:r>
      <w:r w:rsidR="00FF4FD6" w:rsidRPr="009251F2">
        <w:rPr>
          <w:rFonts w:ascii="Cambria" w:hAnsi="Cambria"/>
          <w:color w:val="000000" w:themeColor="text1"/>
          <w:sz w:val="23"/>
          <w:szCs w:val="23"/>
        </w:rPr>
        <w:t xml:space="preserve"> with the ability to engage </w:t>
      </w:r>
      <w:r w:rsidR="001B6BD6" w:rsidRPr="009251F2">
        <w:rPr>
          <w:rFonts w:ascii="Cambria" w:hAnsi="Cambria"/>
          <w:color w:val="000000" w:themeColor="text1"/>
          <w:sz w:val="23"/>
          <w:szCs w:val="23"/>
        </w:rPr>
        <w:t>in</w:t>
      </w:r>
      <w:r w:rsidR="00FF4FD6" w:rsidRPr="009251F2">
        <w:rPr>
          <w:rFonts w:ascii="Cambria" w:hAnsi="Cambria"/>
          <w:color w:val="000000" w:themeColor="text1"/>
          <w:sz w:val="23"/>
          <w:szCs w:val="23"/>
        </w:rPr>
        <w:t xml:space="preserve"> </w:t>
      </w:r>
      <w:r w:rsidR="002C2B95" w:rsidRPr="009251F2">
        <w:rPr>
          <w:rFonts w:ascii="Cambria" w:hAnsi="Cambria"/>
          <w:color w:val="000000" w:themeColor="text1"/>
          <w:sz w:val="23"/>
          <w:szCs w:val="23"/>
        </w:rPr>
        <w:t xml:space="preserve">improved </w:t>
      </w:r>
      <w:r w:rsidR="00FF4FD6" w:rsidRPr="009251F2">
        <w:rPr>
          <w:rFonts w:ascii="Cambria" w:hAnsi="Cambria"/>
          <w:color w:val="000000" w:themeColor="text1"/>
          <w:sz w:val="23"/>
          <w:szCs w:val="23"/>
        </w:rPr>
        <w:t xml:space="preserve">community </w:t>
      </w:r>
      <w:r w:rsidR="001B6BD6" w:rsidRPr="009251F2">
        <w:rPr>
          <w:rFonts w:ascii="Cambria" w:hAnsi="Cambria"/>
          <w:color w:val="000000" w:themeColor="text1"/>
          <w:sz w:val="23"/>
          <w:szCs w:val="23"/>
        </w:rPr>
        <w:t>consultation</w:t>
      </w:r>
      <w:r w:rsidR="002C2B95" w:rsidRPr="009251F2">
        <w:rPr>
          <w:rFonts w:ascii="Cambria" w:hAnsi="Cambria"/>
          <w:color w:val="000000" w:themeColor="text1"/>
          <w:sz w:val="23"/>
          <w:szCs w:val="23"/>
        </w:rPr>
        <w:t>,</w:t>
      </w:r>
      <w:r w:rsidR="001B6BD6" w:rsidRPr="009251F2">
        <w:rPr>
          <w:rFonts w:ascii="Cambria" w:hAnsi="Cambria"/>
          <w:color w:val="000000" w:themeColor="text1"/>
          <w:sz w:val="23"/>
          <w:szCs w:val="23"/>
        </w:rPr>
        <w:t xml:space="preserve"> </w:t>
      </w:r>
      <w:r w:rsidR="0016068B" w:rsidRPr="009251F2">
        <w:rPr>
          <w:rFonts w:ascii="Cambria" w:hAnsi="Cambria"/>
          <w:color w:val="000000" w:themeColor="text1"/>
          <w:sz w:val="23"/>
          <w:szCs w:val="23"/>
        </w:rPr>
        <w:t xml:space="preserve">an important </w:t>
      </w:r>
      <w:r w:rsidR="00456FFD" w:rsidRPr="009251F2">
        <w:rPr>
          <w:rFonts w:ascii="Cambria" w:hAnsi="Cambria"/>
          <w:color w:val="000000" w:themeColor="text1"/>
          <w:sz w:val="23"/>
          <w:szCs w:val="23"/>
        </w:rPr>
        <w:t>function</w:t>
      </w:r>
      <w:r w:rsidR="0016068B" w:rsidRPr="009251F2">
        <w:rPr>
          <w:rFonts w:ascii="Cambria" w:hAnsi="Cambria"/>
          <w:color w:val="000000" w:themeColor="text1"/>
          <w:sz w:val="23"/>
          <w:szCs w:val="23"/>
        </w:rPr>
        <w:t xml:space="preserve"> that ensures </w:t>
      </w:r>
      <w:r w:rsidR="006832F5" w:rsidRPr="009251F2">
        <w:rPr>
          <w:rFonts w:ascii="Cambria" w:hAnsi="Cambria"/>
          <w:color w:val="000000" w:themeColor="text1"/>
          <w:sz w:val="23"/>
          <w:szCs w:val="23"/>
        </w:rPr>
        <w:t>community confidence</w:t>
      </w:r>
      <w:r w:rsidR="005657BC" w:rsidRPr="009251F2">
        <w:rPr>
          <w:rFonts w:ascii="Cambria" w:hAnsi="Cambria"/>
          <w:color w:val="000000" w:themeColor="text1"/>
          <w:sz w:val="23"/>
          <w:szCs w:val="23"/>
        </w:rPr>
        <w:t xml:space="preserve"> in law reform</w:t>
      </w:r>
      <w:r w:rsidR="0016068B" w:rsidRPr="009251F2">
        <w:rPr>
          <w:rFonts w:ascii="Cambria" w:hAnsi="Cambria"/>
          <w:color w:val="000000" w:themeColor="text1"/>
          <w:sz w:val="23"/>
          <w:szCs w:val="23"/>
        </w:rPr>
        <w:t xml:space="preserve">. </w:t>
      </w:r>
      <w:r w:rsidR="00456FFD" w:rsidRPr="009251F2">
        <w:rPr>
          <w:rFonts w:ascii="Cambria" w:hAnsi="Cambria"/>
          <w:color w:val="000000" w:themeColor="text1"/>
          <w:sz w:val="23"/>
          <w:szCs w:val="23"/>
        </w:rPr>
        <w:t xml:space="preserve">As current Emeritus Professor of Law </w:t>
      </w:r>
      <w:r w:rsidR="006832F5" w:rsidRPr="009251F2">
        <w:rPr>
          <w:rFonts w:ascii="Cambria" w:hAnsi="Cambria"/>
          <w:color w:val="000000" w:themeColor="text1"/>
          <w:sz w:val="23"/>
          <w:szCs w:val="23"/>
        </w:rPr>
        <w:t xml:space="preserve">Kate Warner but formerly Director of the Tasmania Law </w:t>
      </w:r>
      <w:r w:rsidR="005657BC" w:rsidRPr="009251F2">
        <w:rPr>
          <w:rFonts w:ascii="Cambria" w:hAnsi="Cambria"/>
          <w:color w:val="000000" w:themeColor="text1"/>
          <w:sz w:val="23"/>
          <w:szCs w:val="23"/>
        </w:rPr>
        <w:t>R</w:t>
      </w:r>
      <w:r w:rsidR="006832F5" w:rsidRPr="009251F2">
        <w:rPr>
          <w:rFonts w:ascii="Cambria" w:hAnsi="Cambria"/>
          <w:color w:val="000000" w:themeColor="text1"/>
          <w:sz w:val="23"/>
          <w:szCs w:val="23"/>
        </w:rPr>
        <w:t xml:space="preserve">eform Institute </w:t>
      </w:r>
      <w:r w:rsidR="00456FFD" w:rsidRPr="009251F2">
        <w:rPr>
          <w:rFonts w:ascii="Cambria" w:hAnsi="Cambria"/>
          <w:color w:val="000000" w:themeColor="text1"/>
          <w:sz w:val="23"/>
          <w:szCs w:val="23"/>
        </w:rPr>
        <w:t>observed:</w:t>
      </w:r>
      <w:r w:rsidR="006832F5" w:rsidRPr="009251F2">
        <w:rPr>
          <w:rStyle w:val="FootnoteReference"/>
          <w:rFonts w:ascii="Cambria" w:hAnsi="Cambria"/>
          <w:color w:val="000000" w:themeColor="text1"/>
          <w:sz w:val="23"/>
          <w:szCs w:val="23"/>
        </w:rPr>
        <w:footnoteReference w:id="26"/>
      </w:r>
    </w:p>
    <w:p w14:paraId="484EE53F" w14:textId="77777777" w:rsidR="00456FFD" w:rsidRPr="009251F2" w:rsidRDefault="00456FFD" w:rsidP="00DC3D1F">
      <w:pPr>
        <w:pStyle w:val="xmsonormal"/>
        <w:shd w:val="clear" w:color="auto" w:fill="FFFFFF"/>
        <w:spacing w:before="0" w:beforeAutospacing="0" w:after="0" w:afterAutospacing="0"/>
        <w:jc w:val="both"/>
        <w:rPr>
          <w:rFonts w:ascii="Cambria" w:hAnsi="Cambria"/>
          <w:color w:val="000000" w:themeColor="text1"/>
          <w:sz w:val="23"/>
          <w:szCs w:val="23"/>
        </w:rPr>
      </w:pPr>
    </w:p>
    <w:p w14:paraId="0F44631A" w14:textId="77777777" w:rsidR="00456FFD" w:rsidRPr="009251F2" w:rsidRDefault="00456FFD" w:rsidP="00456FFD">
      <w:pPr>
        <w:ind w:left="720"/>
        <w:jc w:val="both"/>
        <w:rPr>
          <w:rFonts w:ascii="Cambria" w:hAnsi="Cambria"/>
          <w:color w:val="000000" w:themeColor="text1"/>
          <w:sz w:val="23"/>
          <w:szCs w:val="23"/>
        </w:rPr>
      </w:pPr>
      <w:r w:rsidRPr="009251F2">
        <w:rPr>
          <w:rFonts w:ascii="Cambria" w:hAnsi="Cambria"/>
          <w:color w:val="000000" w:themeColor="text1"/>
          <w:sz w:val="23"/>
          <w:szCs w:val="23"/>
        </w:rPr>
        <w:t>The fact that law reform bodies are independent of government is what sets the consultation process apart from community consultations conducted by governments. It provides a level of confidence, which is essential to achieving wide community input. While the nature and extent of community engagement depends upon the subject matter of the reference, it is no longer considered enough for a law reform body to publish a discussion or issues paper, schedule a public hearing or two and wait for the submissions to flow in. Greater creativity is expected.</w:t>
      </w:r>
    </w:p>
    <w:p w14:paraId="01A18980" w14:textId="25247356" w:rsidR="00456FFD" w:rsidRPr="009251F2" w:rsidRDefault="00456FFD" w:rsidP="00DC3D1F">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 </w:t>
      </w:r>
    </w:p>
    <w:p w14:paraId="4D9E1294" w14:textId="3E5B9183" w:rsidR="0016068B" w:rsidRPr="009251F2" w:rsidRDefault="000F21D1" w:rsidP="00DC3D1F">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lastRenderedPageBreak/>
        <w:t xml:space="preserve">Finally, increased funding will also mean that the </w:t>
      </w:r>
      <w:r w:rsidR="005657BC" w:rsidRPr="009251F2">
        <w:rPr>
          <w:rFonts w:ascii="Cambria" w:hAnsi="Cambria"/>
          <w:color w:val="000000" w:themeColor="text1"/>
          <w:sz w:val="23"/>
          <w:szCs w:val="23"/>
        </w:rPr>
        <w:t>TLRI</w:t>
      </w:r>
      <w:r w:rsidRPr="009251F2">
        <w:rPr>
          <w:rFonts w:ascii="Cambria" w:hAnsi="Cambria"/>
          <w:color w:val="000000" w:themeColor="text1"/>
          <w:sz w:val="23"/>
          <w:szCs w:val="23"/>
        </w:rPr>
        <w:t xml:space="preserve">’s findings are more accessible, with resourcing made available for the </w:t>
      </w:r>
      <w:r w:rsidR="00FF4FD6" w:rsidRPr="009251F2">
        <w:rPr>
          <w:rFonts w:ascii="Cambria" w:hAnsi="Cambria"/>
          <w:color w:val="000000" w:themeColor="text1"/>
          <w:sz w:val="23"/>
          <w:szCs w:val="23"/>
        </w:rPr>
        <w:t>publication of easy-to-read issues papers and final reports.</w:t>
      </w:r>
      <w:r w:rsidR="0016068B" w:rsidRPr="009251F2">
        <w:rPr>
          <w:rFonts w:ascii="Cambria" w:hAnsi="Cambria"/>
          <w:color w:val="000000" w:themeColor="text1"/>
          <w:sz w:val="23"/>
          <w:szCs w:val="23"/>
        </w:rPr>
        <w:t xml:space="preserve"> </w:t>
      </w:r>
    </w:p>
    <w:p w14:paraId="4C11A670" w14:textId="59F7913A" w:rsidR="008C491A" w:rsidRPr="009251F2" w:rsidRDefault="008C491A" w:rsidP="00DC3D1F">
      <w:pPr>
        <w:pStyle w:val="xmsonormal"/>
        <w:shd w:val="clear" w:color="auto" w:fill="FFFFFF"/>
        <w:spacing w:before="0" w:beforeAutospacing="0" w:after="0" w:afterAutospacing="0"/>
        <w:jc w:val="both"/>
        <w:rPr>
          <w:rFonts w:ascii="Cambria" w:hAnsi="Cambria"/>
          <w:color w:val="000000" w:themeColor="text1"/>
          <w:sz w:val="23"/>
          <w:szCs w:val="23"/>
        </w:rPr>
      </w:pPr>
    </w:p>
    <w:p w14:paraId="4AF3EE3A" w14:textId="3F78BF98" w:rsidR="001B6BD6" w:rsidRPr="009251F2" w:rsidRDefault="0062507B" w:rsidP="00DC3D1F">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Given that law reform ultimately benefits the community it is clear that the Tasmanian Government needs to significantly increase its core funding of the </w:t>
      </w:r>
      <w:r w:rsidR="005657BC" w:rsidRPr="009251F2">
        <w:rPr>
          <w:rFonts w:ascii="Cambria" w:hAnsi="Cambria"/>
          <w:color w:val="000000" w:themeColor="text1"/>
          <w:sz w:val="23"/>
          <w:szCs w:val="23"/>
        </w:rPr>
        <w:t>TLRI</w:t>
      </w:r>
      <w:r w:rsidRPr="009251F2">
        <w:rPr>
          <w:rFonts w:ascii="Cambria" w:hAnsi="Cambria"/>
          <w:color w:val="000000" w:themeColor="text1"/>
          <w:sz w:val="23"/>
          <w:szCs w:val="23"/>
        </w:rPr>
        <w:t xml:space="preserve">. </w:t>
      </w:r>
      <w:r w:rsidR="001B6BD6" w:rsidRPr="009251F2">
        <w:rPr>
          <w:rFonts w:ascii="Cambria" w:hAnsi="Cambria"/>
          <w:color w:val="000000" w:themeColor="text1"/>
          <w:sz w:val="23"/>
          <w:szCs w:val="23"/>
        </w:rPr>
        <w:t>A</w:t>
      </w:r>
      <w:r w:rsidR="008C491A" w:rsidRPr="009251F2">
        <w:rPr>
          <w:rFonts w:ascii="Cambria" w:hAnsi="Cambria"/>
          <w:color w:val="000000" w:themeColor="text1"/>
          <w:sz w:val="23"/>
          <w:szCs w:val="23"/>
        </w:rPr>
        <w:t xml:space="preserve">dditional Government funding is also </w:t>
      </w:r>
      <w:r w:rsidR="005C3F96" w:rsidRPr="009251F2">
        <w:rPr>
          <w:rFonts w:ascii="Cambria" w:hAnsi="Cambria"/>
          <w:color w:val="000000" w:themeColor="text1"/>
          <w:sz w:val="23"/>
          <w:szCs w:val="23"/>
        </w:rPr>
        <w:t>necessary to</w:t>
      </w:r>
      <w:r w:rsidR="008C491A" w:rsidRPr="009251F2">
        <w:rPr>
          <w:rFonts w:ascii="Cambria" w:hAnsi="Cambria"/>
          <w:color w:val="000000" w:themeColor="text1"/>
          <w:sz w:val="23"/>
          <w:szCs w:val="23"/>
        </w:rPr>
        <w:t xml:space="preserve"> ensure that the </w:t>
      </w:r>
      <w:r w:rsidR="005C3F96" w:rsidRPr="009251F2">
        <w:rPr>
          <w:rFonts w:ascii="Cambria" w:hAnsi="Cambria"/>
          <w:color w:val="000000" w:themeColor="text1"/>
          <w:sz w:val="23"/>
          <w:szCs w:val="23"/>
        </w:rPr>
        <w:t>University</w:t>
      </w:r>
      <w:r w:rsidR="008C491A" w:rsidRPr="009251F2">
        <w:rPr>
          <w:rFonts w:ascii="Cambria" w:hAnsi="Cambria"/>
          <w:color w:val="000000" w:themeColor="text1"/>
          <w:sz w:val="23"/>
          <w:szCs w:val="23"/>
        </w:rPr>
        <w:t xml:space="preserve"> </w:t>
      </w:r>
      <w:r w:rsidR="00397346" w:rsidRPr="009251F2">
        <w:rPr>
          <w:rFonts w:ascii="Cambria" w:hAnsi="Cambria"/>
          <w:color w:val="000000" w:themeColor="text1"/>
          <w:sz w:val="23"/>
          <w:szCs w:val="23"/>
        </w:rPr>
        <w:t>can</w:t>
      </w:r>
      <w:r w:rsidR="005C3F96" w:rsidRPr="009251F2">
        <w:rPr>
          <w:rFonts w:ascii="Cambria" w:hAnsi="Cambria"/>
          <w:color w:val="000000" w:themeColor="text1"/>
          <w:sz w:val="23"/>
          <w:szCs w:val="23"/>
        </w:rPr>
        <w:t xml:space="preserve"> appoint a</w:t>
      </w:r>
      <w:r w:rsidR="008C491A" w:rsidRPr="009251F2">
        <w:rPr>
          <w:rFonts w:ascii="Cambria" w:hAnsi="Cambria"/>
          <w:color w:val="000000" w:themeColor="text1"/>
          <w:sz w:val="23"/>
          <w:szCs w:val="23"/>
        </w:rPr>
        <w:t xml:space="preserve"> suitably qualified academic in the role of Director</w:t>
      </w:r>
      <w:r w:rsidR="00AE29A6" w:rsidRPr="009251F2">
        <w:rPr>
          <w:rFonts w:ascii="Cambria" w:hAnsi="Cambria"/>
          <w:color w:val="000000" w:themeColor="text1"/>
          <w:sz w:val="23"/>
          <w:szCs w:val="23"/>
        </w:rPr>
        <w:t xml:space="preserve"> “</w:t>
      </w:r>
      <w:r w:rsidR="00AE29A6" w:rsidRPr="009251F2">
        <w:rPr>
          <w:rFonts w:ascii="Cambria" w:hAnsi="Cambria" w:cs="Segoe UI"/>
          <w:color w:val="000000" w:themeColor="text1"/>
          <w:sz w:val="23"/>
          <w:szCs w:val="23"/>
        </w:rPr>
        <w:t>with 15 academic teaching staff resigning or leaving the</w:t>
      </w:r>
      <w:r w:rsidR="005C3F96" w:rsidRPr="009251F2">
        <w:rPr>
          <w:rFonts w:ascii="Cambria" w:hAnsi="Cambria" w:cs="Segoe UI"/>
          <w:color w:val="000000" w:themeColor="text1"/>
          <w:sz w:val="23"/>
          <w:szCs w:val="23"/>
        </w:rPr>
        <w:t xml:space="preserve"> university</w:t>
      </w:r>
      <w:r w:rsidR="00AE29A6" w:rsidRPr="009251F2">
        <w:rPr>
          <w:rFonts w:ascii="Cambria" w:hAnsi="Cambria" w:cs="Segoe UI"/>
          <w:color w:val="000000" w:themeColor="text1"/>
          <w:sz w:val="23"/>
          <w:szCs w:val="23"/>
        </w:rPr>
        <w:t xml:space="preserve"> since 2020</w:t>
      </w:r>
      <w:r w:rsidR="00AE29A6" w:rsidRPr="009251F2">
        <w:rPr>
          <w:rFonts w:ascii="Cambria" w:hAnsi="Cambria"/>
          <w:color w:val="000000" w:themeColor="text1"/>
          <w:sz w:val="23"/>
          <w:szCs w:val="23"/>
        </w:rPr>
        <w:t>”</w:t>
      </w:r>
      <w:r w:rsidR="00245293" w:rsidRPr="009251F2">
        <w:rPr>
          <w:rFonts w:ascii="Cambria" w:hAnsi="Cambria"/>
          <w:color w:val="000000" w:themeColor="text1"/>
          <w:sz w:val="23"/>
          <w:szCs w:val="23"/>
        </w:rPr>
        <w:t xml:space="preserve"> </w:t>
      </w:r>
      <w:r w:rsidR="00AE29A6" w:rsidRPr="009251F2">
        <w:rPr>
          <w:rFonts w:ascii="Cambria" w:hAnsi="Cambria"/>
          <w:color w:val="000000" w:themeColor="text1"/>
          <w:sz w:val="23"/>
          <w:szCs w:val="23"/>
        </w:rPr>
        <w:t>a</w:t>
      </w:r>
      <w:r w:rsidR="00AD6A40" w:rsidRPr="009251F2">
        <w:rPr>
          <w:rFonts w:ascii="Cambria" w:hAnsi="Cambria"/>
          <w:color w:val="000000" w:themeColor="text1"/>
          <w:sz w:val="23"/>
          <w:szCs w:val="23"/>
        </w:rPr>
        <w:t>ccording to</w:t>
      </w:r>
      <w:r w:rsidR="00245293" w:rsidRPr="009251F2">
        <w:rPr>
          <w:rFonts w:ascii="Cambria" w:hAnsi="Cambria"/>
          <w:color w:val="000000" w:themeColor="text1"/>
          <w:sz w:val="23"/>
          <w:szCs w:val="23"/>
        </w:rPr>
        <w:t xml:space="preserve"> a recent news story</w:t>
      </w:r>
      <w:r w:rsidR="008C491A" w:rsidRPr="009251F2">
        <w:rPr>
          <w:rFonts w:ascii="Cambria" w:hAnsi="Cambria"/>
          <w:color w:val="000000" w:themeColor="text1"/>
          <w:sz w:val="23"/>
          <w:szCs w:val="23"/>
        </w:rPr>
        <w:t xml:space="preserve"> about the Law School</w:t>
      </w:r>
      <w:r w:rsidR="00AE29A6" w:rsidRPr="009251F2">
        <w:rPr>
          <w:rFonts w:ascii="Cambria" w:hAnsi="Cambria"/>
          <w:color w:val="000000" w:themeColor="text1"/>
          <w:sz w:val="23"/>
          <w:szCs w:val="23"/>
        </w:rPr>
        <w:t>.</w:t>
      </w:r>
      <w:r w:rsidR="00AE29A6" w:rsidRPr="009251F2">
        <w:rPr>
          <w:rStyle w:val="FootnoteReference"/>
          <w:rFonts w:ascii="Cambria" w:hAnsi="Cambria"/>
          <w:color w:val="000000" w:themeColor="text1"/>
          <w:sz w:val="23"/>
          <w:szCs w:val="23"/>
        </w:rPr>
        <w:footnoteReference w:id="27"/>
      </w:r>
      <w:r w:rsidR="00AE29A6" w:rsidRPr="009251F2">
        <w:rPr>
          <w:rFonts w:ascii="Cambria" w:hAnsi="Cambria"/>
          <w:color w:val="000000" w:themeColor="text1"/>
          <w:sz w:val="23"/>
          <w:szCs w:val="23"/>
        </w:rPr>
        <w:t xml:space="preserve"> </w:t>
      </w:r>
      <w:r w:rsidR="005C3F96" w:rsidRPr="009251F2">
        <w:rPr>
          <w:rFonts w:ascii="Cambria" w:hAnsi="Cambria"/>
          <w:color w:val="000000" w:themeColor="text1"/>
          <w:sz w:val="23"/>
          <w:szCs w:val="23"/>
        </w:rPr>
        <w:t>If the Director continues to remain an academic</w:t>
      </w:r>
      <w:r w:rsidRPr="009251F2">
        <w:rPr>
          <w:rFonts w:ascii="Cambria" w:hAnsi="Cambria"/>
          <w:color w:val="000000" w:themeColor="text1"/>
          <w:sz w:val="23"/>
          <w:szCs w:val="23"/>
        </w:rPr>
        <w:t xml:space="preserve"> </w:t>
      </w:r>
      <w:r w:rsidR="005C3F96" w:rsidRPr="009251F2">
        <w:rPr>
          <w:rFonts w:ascii="Cambria" w:hAnsi="Cambria"/>
          <w:color w:val="000000" w:themeColor="text1"/>
          <w:sz w:val="23"/>
          <w:szCs w:val="23"/>
        </w:rPr>
        <w:t xml:space="preserve">appointed by the University, appropriate </w:t>
      </w:r>
      <w:r w:rsidRPr="009251F2">
        <w:rPr>
          <w:rFonts w:ascii="Cambria" w:hAnsi="Cambria"/>
          <w:color w:val="000000" w:themeColor="text1"/>
          <w:sz w:val="23"/>
          <w:szCs w:val="23"/>
        </w:rPr>
        <w:t>research</w:t>
      </w:r>
      <w:r w:rsidR="005C3F96" w:rsidRPr="009251F2">
        <w:rPr>
          <w:rFonts w:ascii="Cambria" w:hAnsi="Cambria"/>
          <w:color w:val="000000" w:themeColor="text1"/>
          <w:sz w:val="23"/>
          <w:szCs w:val="23"/>
        </w:rPr>
        <w:t xml:space="preserve"> allocations must be made available.</w:t>
      </w:r>
      <w:r w:rsidR="00D01719" w:rsidRPr="009251F2">
        <w:rPr>
          <w:rFonts w:ascii="Cambria" w:hAnsi="Cambria"/>
          <w:color w:val="000000" w:themeColor="text1"/>
          <w:sz w:val="23"/>
          <w:szCs w:val="23"/>
        </w:rPr>
        <w:t xml:space="preserve"> As well as a Director, we strongly believe that the </w:t>
      </w:r>
      <w:r w:rsidR="005657BC" w:rsidRPr="009251F2">
        <w:rPr>
          <w:rFonts w:ascii="Cambria" w:hAnsi="Cambria"/>
          <w:color w:val="000000" w:themeColor="text1"/>
          <w:sz w:val="23"/>
          <w:szCs w:val="23"/>
        </w:rPr>
        <w:t>TLRI</w:t>
      </w:r>
      <w:r w:rsidR="00D01719" w:rsidRPr="009251F2">
        <w:rPr>
          <w:rFonts w:ascii="Cambria" w:hAnsi="Cambria"/>
          <w:color w:val="000000" w:themeColor="text1"/>
          <w:sz w:val="23"/>
          <w:szCs w:val="23"/>
        </w:rPr>
        <w:t xml:space="preserve"> requires at least one permanent researcher to undertake the research and provide continuity in the role. </w:t>
      </w:r>
    </w:p>
    <w:p w14:paraId="7B247895" w14:textId="4132E6C9" w:rsidR="001B6BD6" w:rsidRPr="009251F2" w:rsidRDefault="001B6BD6" w:rsidP="00DC3D1F">
      <w:pPr>
        <w:pStyle w:val="xmsonormal"/>
        <w:shd w:val="clear" w:color="auto" w:fill="FFFFFF"/>
        <w:spacing w:before="0" w:beforeAutospacing="0" w:after="0" w:afterAutospacing="0"/>
        <w:jc w:val="both"/>
        <w:rPr>
          <w:rFonts w:ascii="Cambria" w:hAnsi="Cambria"/>
          <w:color w:val="000000" w:themeColor="text1"/>
          <w:sz w:val="23"/>
          <w:szCs w:val="23"/>
        </w:rPr>
      </w:pPr>
    </w:p>
    <w:p w14:paraId="73D32ADA" w14:textId="780B663D" w:rsidR="00D01719" w:rsidRPr="009251F2" w:rsidRDefault="00397346" w:rsidP="00DC3D1F">
      <w:pPr>
        <w:pStyle w:val="xmsonormal"/>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color w:val="000000" w:themeColor="text1"/>
          <w:sz w:val="23"/>
          <w:szCs w:val="23"/>
        </w:rPr>
        <w:t xml:space="preserve">The </w:t>
      </w:r>
      <w:r w:rsidR="005657BC" w:rsidRPr="009251F2">
        <w:rPr>
          <w:rFonts w:ascii="Cambria" w:hAnsi="Cambria"/>
          <w:color w:val="000000" w:themeColor="text1"/>
          <w:sz w:val="23"/>
          <w:szCs w:val="23"/>
        </w:rPr>
        <w:t>TLRI</w:t>
      </w:r>
      <w:r w:rsidR="001B6BD6" w:rsidRPr="009251F2">
        <w:rPr>
          <w:rFonts w:ascii="Cambria" w:hAnsi="Cambria"/>
          <w:color w:val="000000" w:themeColor="text1"/>
          <w:sz w:val="23"/>
          <w:szCs w:val="23"/>
        </w:rPr>
        <w:t xml:space="preserve"> must also be provided with longer-term funding cycles. Funding cycles of </w:t>
      </w:r>
      <w:r w:rsidR="005657BC" w:rsidRPr="009251F2">
        <w:rPr>
          <w:rFonts w:ascii="Cambria" w:hAnsi="Cambria"/>
          <w:color w:val="000000" w:themeColor="text1"/>
          <w:sz w:val="23"/>
          <w:szCs w:val="23"/>
        </w:rPr>
        <w:t>five</w:t>
      </w:r>
      <w:r w:rsidR="001B6BD6" w:rsidRPr="009251F2">
        <w:rPr>
          <w:rFonts w:ascii="Cambria" w:hAnsi="Cambria"/>
          <w:color w:val="000000" w:themeColor="text1"/>
          <w:sz w:val="23"/>
          <w:szCs w:val="23"/>
        </w:rPr>
        <w:t xml:space="preserve"> years will provide the </w:t>
      </w:r>
      <w:r w:rsidR="005657BC" w:rsidRPr="009251F2">
        <w:rPr>
          <w:rFonts w:ascii="Cambria" w:hAnsi="Cambria"/>
          <w:color w:val="000000" w:themeColor="text1"/>
          <w:sz w:val="23"/>
          <w:szCs w:val="23"/>
        </w:rPr>
        <w:t>TLRI</w:t>
      </w:r>
      <w:r w:rsidR="001B6BD6" w:rsidRPr="009251F2">
        <w:rPr>
          <w:rFonts w:ascii="Cambria" w:hAnsi="Cambria"/>
          <w:color w:val="000000" w:themeColor="text1"/>
          <w:sz w:val="23"/>
          <w:szCs w:val="23"/>
        </w:rPr>
        <w:t xml:space="preserve"> with the ability to better budget and plan their operations</w:t>
      </w:r>
      <w:r w:rsidR="0062507B" w:rsidRPr="009251F2">
        <w:rPr>
          <w:rFonts w:ascii="Cambria" w:hAnsi="Cambria"/>
          <w:color w:val="000000" w:themeColor="text1"/>
          <w:sz w:val="23"/>
          <w:szCs w:val="23"/>
        </w:rPr>
        <w:t xml:space="preserve"> as well as allaying concerns about the independence and impartiality of the </w:t>
      </w:r>
      <w:r w:rsidR="005657BC" w:rsidRPr="009251F2">
        <w:rPr>
          <w:rFonts w:ascii="Cambria" w:hAnsi="Cambria"/>
          <w:color w:val="000000" w:themeColor="text1"/>
          <w:sz w:val="23"/>
          <w:szCs w:val="23"/>
        </w:rPr>
        <w:t>TLRI</w:t>
      </w:r>
      <w:r w:rsidR="0062507B" w:rsidRPr="009251F2">
        <w:rPr>
          <w:rFonts w:ascii="Cambria" w:hAnsi="Cambria"/>
          <w:color w:val="000000" w:themeColor="text1"/>
          <w:sz w:val="23"/>
          <w:szCs w:val="23"/>
        </w:rPr>
        <w:t xml:space="preserve">.   </w:t>
      </w:r>
    </w:p>
    <w:p w14:paraId="6E9E36E7" w14:textId="77777777" w:rsidR="00D01719" w:rsidRPr="009251F2" w:rsidRDefault="00D01719" w:rsidP="00DC3D1F">
      <w:pPr>
        <w:pStyle w:val="xmsonormal"/>
        <w:shd w:val="clear" w:color="auto" w:fill="FFFFFF"/>
        <w:spacing w:before="0" w:beforeAutospacing="0" w:after="0" w:afterAutospacing="0"/>
        <w:jc w:val="both"/>
        <w:rPr>
          <w:rFonts w:ascii="Cambria" w:hAnsi="Cambria"/>
          <w:color w:val="000000" w:themeColor="text1"/>
          <w:sz w:val="23"/>
          <w:szCs w:val="23"/>
        </w:rPr>
      </w:pPr>
    </w:p>
    <w:p w14:paraId="58CC9432" w14:textId="7A9FAB6B" w:rsidR="001B6BD6" w:rsidRPr="009251F2" w:rsidRDefault="00D01719" w:rsidP="00D01719">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ambria" w:hAnsi="Cambria"/>
          <w:color w:val="000000" w:themeColor="text1"/>
          <w:sz w:val="23"/>
          <w:szCs w:val="23"/>
        </w:rPr>
      </w:pPr>
      <w:r w:rsidRPr="009251F2">
        <w:rPr>
          <w:rFonts w:ascii="Cambria" w:hAnsi="Cambria"/>
          <w:b/>
          <w:bCs/>
          <w:color w:val="000000" w:themeColor="text1"/>
          <w:sz w:val="23"/>
          <w:szCs w:val="23"/>
        </w:rPr>
        <w:t>Recommendations:</w:t>
      </w:r>
      <w:r w:rsidRPr="009251F2">
        <w:rPr>
          <w:rFonts w:ascii="Cambria" w:hAnsi="Cambria"/>
          <w:color w:val="000000" w:themeColor="text1"/>
          <w:sz w:val="23"/>
          <w:szCs w:val="23"/>
        </w:rPr>
        <w:t xml:space="preserve"> The </w:t>
      </w:r>
      <w:r w:rsidR="005657BC" w:rsidRPr="009251F2">
        <w:rPr>
          <w:rFonts w:ascii="Cambria" w:hAnsi="Cambria"/>
          <w:color w:val="000000" w:themeColor="text1"/>
          <w:sz w:val="23"/>
          <w:szCs w:val="23"/>
        </w:rPr>
        <w:t>TLRI</w:t>
      </w:r>
      <w:r w:rsidRPr="009251F2">
        <w:rPr>
          <w:rFonts w:ascii="Cambria" w:hAnsi="Cambria"/>
          <w:color w:val="000000" w:themeColor="text1"/>
          <w:sz w:val="23"/>
          <w:szCs w:val="23"/>
        </w:rPr>
        <w:t xml:space="preserve"> be provided with a sustainable funding model provided predominantly by the Tasmanian Government. Longer-term funding cycles of around </w:t>
      </w:r>
      <w:r w:rsidR="005657BC" w:rsidRPr="009251F2">
        <w:rPr>
          <w:rFonts w:ascii="Cambria" w:hAnsi="Cambria"/>
          <w:color w:val="000000" w:themeColor="text1"/>
          <w:sz w:val="23"/>
          <w:szCs w:val="23"/>
        </w:rPr>
        <w:t>five</w:t>
      </w:r>
      <w:r w:rsidRPr="009251F2">
        <w:rPr>
          <w:rFonts w:ascii="Cambria" w:hAnsi="Cambria"/>
          <w:color w:val="000000" w:themeColor="text1"/>
          <w:sz w:val="23"/>
          <w:szCs w:val="23"/>
        </w:rPr>
        <w:t xml:space="preserve"> years </w:t>
      </w:r>
      <w:r w:rsidR="009E54C9" w:rsidRPr="009251F2">
        <w:rPr>
          <w:rFonts w:ascii="Cambria" w:hAnsi="Cambria"/>
          <w:color w:val="000000" w:themeColor="text1"/>
          <w:sz w:val="23"/>
          <w:szCs w:val="23"/>
        </w:rPr>
        <w:t>are assured</w:t>
      </w:r>
      <w:r w:rsidRPr="009251F2">
        <w:rPr>
          <w:rFonts w:ascii="Cambria" w:hAnsi="Cambria"/>
          <w:color w:val="000000" w:themeColor="text1"/>
          <w:sz w:val="23"/>
          <w:szCs w:val="23"/>
        </w:rPr>
        <w:t xml:space="preserve">. </w:t>
      </w:r>
    </w:p>
    <w:p w14:paraId="22CA561C" w14:textId="77777777" w:rsidR="009E54C9" w:rsidRPr="009251F2" w:rsidRDefault="009E54C9" w:rsidP="00CC0785">
      <w:pPr>
        <w:pStyle w:val="xmsonormal"/>
        <w:shd w:val="clear" w:color="auto" w:fill="FFFFFF"/>
        <w:spacing w:before="0" w:beforeAutospacing="0" w:after="0" w:afterAutospacing="0"/>
        <w:jc w:val="both"/>
        <w:rPr>
          <w:rFonts w:ascii="Cambria" w:hAnsi="Cambria"/>
          <w:color w:val="000000" w:themeColor="text1"/>
          <w:sz w:val="23"/>
          <w:szCs w:val="23"/>
        </w:rPr>
      </w:pPr>
    </w:p>
    <w:p w14:paraId="2E8E4E46" w14:textId="77777777" w:rsidR="00BB3450" w:rsidRPr="009251F2" w:rsidRDefault="00BB3450" w:rsidP="00BB3450">
      <w:pPr>
        <w:rPr>
          <w:rFonts w:ascii="Cambria" w:hAnsi="Cambria"/>
          <w:sz w:val="23"/>
          <w:szCs w:val="23"/>
        </w:rPr>
      </w:pPr>
      <w:r w:rsidRPr="009251F2">
        <w:rPr>
          <w:rFonts w:ascii="Cambria" w:hAnsi="Cambria"/>
          <w:sz w:val="23"/>
          <w:szCs w:val="23"/>
        </w:rPr>
        <w:t xml:space="preserve">If you have any queries, or would like to discuss our submission further, please do not hesitate to contact us. </w:t>
      </w:r>
    </w:p>
    <w:p w14:paraId="245DA8ED" w14:textId="77777777" w:rsidR="00BB3450" w:rsidRPr="009251F2" w:rsidRDefault="00BB3450" w:rsidP="00BB3450">
      <w:pPr>
        <w:rPr>
          <w:rFonts w:ascii="Cambria" w:hAnsi="Cambria"/>
          <w:sz w:val="23"/>
          <w:szCs w:val="23"/>
        </w:rPr>
      </w:pPr>
    </w:p>
    <w:p w14:paraId="3826493D" w14:textId="77777777" w:rsidR="00BB3450" w:rsidRPr="009251F2" w:rsidRDefault="00BB3450" w:rsidP="00BB3450">
      <w:pPr>
        <w:rPr>
          <w:rFonts w:ascii="Cambria" w:hAnsi="Cambria"/>
          <w:sz w:val="23"/>
          <w:szCs w:val="23"/>
        </w:rPr>
      </w:pPr>
    </w:p>
    <w:p w14:paraId="2FD48B64" w14:textId="77777777" w:rsidR="00BB3450" w:rsidRPr="009251F2" w:rsidRDefault="00BB3450" w:rsidP="00BB3450">
      <w:pPr>
        <w:rPr>
          <w:rFonts w:ascii="Cambria" w:hAnsi="Cambria"/>
          <w:sz w:val="23"/>
          <w:szCs w:val="23"/>
        </w:rPr>
      </w:pPr>
      <w:r w:rsidRPr="009251F2">
        <w:rPr>
          <w:rFonts w:ascii="Cambria" w:hAnsi="Cambria"/>
          <w:sz w:val="23"/>
          <w:szCs w:val="23"/>
        </w:rPr>
        <w:t>Yours faithfully,</w:t>
      </w:r>
    </w:p>
    <w:p w14:paraId="07F45A31" w14:textId="77777777" w:rsidR="00BB3450" w:rsidRPr="009251F2" w:rsidRDefault="00BB3450" w:rsidP="00BB3450">
      <w:pPr>
        <w:rPr>
          <w:rFonts w:ascii="Cambria" w:hAnsi="Cambria"/>
          <w:sz w:val="23"/>
          <w:szCs w:val="23"/>
        </w:rPr>
      </w:pPr>
    </w:p>
    <w:p w14:paraId="4434BBA1" w14:textId="77777777" w:rsidR="00BB3450" w:rsidRPr="009251F2" w:rsidRDefault="00BB3450" w:rsidP="00BB3450">
      <w:pPr>
        <w:rPr>
          <w:rFonts w:ascii="Cambria" w:hAnsi="Cambria"/>
          <w:sz w:val="23"/>
          <w:szCs w:val="23"/>
        </w:rPr>
      </w:pPr>
    </w:p>
    <w:p w14:paraId="360EE150" w14:textId="77777777" w:rsidR="00BB3450" w:rsidRPr="009251F2" w:rsidRDefault="00BB3450" w:rsidP="00BB3450">
      <w:pPr>
        <w:rPr>
          <w:rFonts w:ascii="Cambria" w:hAnsi="Cambria"/>
          <w:sz w:val="23"/>
          <w:szCs w:val="23"/>
        </w:rPr>
      </w:pPr>
    </w:p>
    <w:p w14:paraId="73E67B06" w14:textId="77777777" w:rsidR="00BB3450" w:rsidRPr="009251F2" w:rsidRDefault="00BB3450" w:rsidP="00BB3450">
      <w:pPr>
        <w:rPr>
          <w:rFonts w:ascii="Cambria" w:hAnsi="Cambria"/>
          <w:sz w:val="23"/>
          <w:szCs w:val="23"/>
        </w:rPr>
      </w:pPr>
      <w:r w:rsidRPr="009251F2">
        <w:rPr>
          <w:rFonts w:ascii="Cambria" w:hAnsi="Cambria"/>
          <w:sz w:val="23"/>
          <w:szCs w:val="23"/>
        </w:rPr>
        <w:t xml:space="preserve">Benedict </w:t>
      </w:r>
      <w:proofErr w:type="spellStart"/>
      <w:r w:rsidRPr="009251F2">
        <w:rPr>
          <w:rFonts w:ascii="Cambria" w:hAnsi="Cambria"/>
          <w:sz w:val="23"/>
          <w:szCs w:val="23"/>
        </w:rPr>
        <w:t>Bartl</w:t>
      </w:r>
      <w:proofErr w:type="spellEnd"/>
    </w:p>
    <w:p w14:paraId="6C0A8186" w14:textId="77777777" w:rsidR="00BB3450" w:rsidRPr="009251F2" w:rsidRDefault="00BB3450" w:rsidP="00BB3450">
      <w:pPr>
        <w:rPr>
          <w:rFonts w:ascii="Cambria" w:hAnsi="Cambria"/>
          <w:sz w:val="23"/>
          <w:szCs w:val="23"/>
        </w:rPr>
      </w:pPr>
      <w:r w:rsidRPr="009251F2">
        <w:rPr>
          <w:rFonts w:ascii="Cambria" w:hAnsi="Cambria"/>
          <w:sz w:val="23"/>
          <w:szCs w:val="23"/>
        </w:rPr>
        <w:t>Policy Officer</w:t>
      </w:r>
    </w:p>
    <w:p w14:paraId="6A17E4B1" w14:textId="77777777" w:rsidR="00BB3450" w:rsidRPr="009251F2" w:rsidRDefault="00BB3450" w:rsidP="00BB3450">
      <w:pPr>
        <w:pBdr>
          <w:bottom w:val="single" w:sz="6" w:space="1" w:color="auto"/>
        </w:pBdr>
        <w:rPr>
          <w:rFonts w:ascii="Cambria" w:hAnsi="Cambria"/>
          <w:b/>
          <w:bCs/>
          <w:sz w:val="23"/>
          <w:szCs w:val="23"/>
        </w:rPr>
      </w:pPr>
      <w:r w:rsidRPr="009251F2">
        <w:rPr>
          <w:rFonts w:ascii="Cambria" w:hAnsi="Cambria"/>
          <w:b/>
          <w:bCs/>
          <w:sz w:val="23"/>
          <w:szCs w:val="23"/>
        </w:rPr>
        <w:t>Community Legal Centres Tasmania</w:t>
      </w:r>
    </w:p>
    <w:p w14:paraId="3686E4BF" w14:textId="6268DE20" w:rsidR="0016068B" w:rsidRPr="009251F2" w:rsidRDefault="0016068B" w:rsidP="00C86120">
      <w:pPr>
        <w:rPr>
          <w:rFonts w:ascii="Cambria" w:hAnsi="Cambria"/>
          <w:sz w:val="23"/>
          <w:szCs w:val="23"/>
        </w:rPr>
      </w:pPr>
    </w:p>
    <w:p w14:paraId="6C1E63AA" w14:textId="5A802C91" w:rsidR="00F81E1D" w:rsidRPr="009251F2" w:rsidRDefault="00F81E1D" w:rsidP="00C86120">
      <w:pPr>
        <w:rPr>
          <w:rFonts w:ascii="Cambria" w:hAnsi="Cambria"/>
        </w:rPr>
      </w:pPr>
    </w:p>
    <w:p w14:paraId="023AAAE5" w14:textId="1FBABC1B" w:rsidR="009E54C9" w:rsidRDefault="009E54C9" w:rsidP="00C86120"/>
    <w:p w14:paraId="59CF1207" w14:textId="77F38C8D" w:rsidR="009E54C9" w:rsidRDefault="009E54C9" w:rsidP="00C86120"/>
    <w:p w14:paraId="556400A5" w14:textId="7879AADB" w:rsidR="009E54C9" w:rsidRDefault="009E54C9" w:rsidP="00C86120"/>
    <w:p w14:paraId="6E9C897E" w14:textId="0653A362" w:rsidR="009E54C9" w:rsidRDefault="009E54C9" w:rsidP="00C86120"/>
    <w:p w14:paraId="51AF9CC6" w14:textId="591E3E48" w:rsidR="009E54C9" w:rsidRDefault="009E54C9" w:rsidP="00C86120"/>
    <w:p w14:paraId="78482EA3" w14:textId="0432254B" w:rsidR="009E54C9" w:rsidRDefault="009E54C9" w:rsidP="00C86120"/>
    <w:p w14:paraId="12CD6E50" w14:textId="6E0DB226" w:rsidR="009E54C9" w:rsidRDefault="009E54C9" w:rsidP="00C86120"/>
    <w:p w14:paraId="1E7859C3" w14:textId="0A184E5B" w:rsidR="009E54C9" w:rsidRDefault="009E54C9" w:rsidP="00C86120"/>
    <w:p w14:paraId="6182BB98" w14:textId="6F639B72" w:rsidR="009E54C9" w:rsidRDefault="009E54C9" w:rsidP="00C86120"/>
    <w:p w14:paraId="472AD1C3" w14:textId="77777777" w:rsidR="009E54C9" w:rsidRDefault="009E54C9" w:rsidP="00C86120"/>
    <w:p w14:paraId="2A930177" w14:textId="77777777" w:rsidR="009251F2" w:rsidRDefault="009251F2" w:rsidP="00F81E1D">
      <w:pPr>
        <w:jc w:val="center"/>
        <w:rPr>
          <w:b/>
          <w:bCs/>
          <w:color w:val="000000" w:themeColor="text1"/>
        </w:rPr>
      </w:pPr>
    </w:p>
    <w:p w14:paraId="3310C87D" w14:textId="77777777" w:rsidR="009251F2" w:rsidRDefault="009251F2" w:rsidP="00F81E1D">
      <w:pPr>
        <w:jc w:val="center"/>
        <w:rPr>
          <w:b/>
          <w:bCs/>
          <w:color w:val="000000" w:themeColor="text1"/>
        </w:rPr>
      </w:pPr>
    </w:p>
    <w:p w14:paraId="57AB2721" w14:textId="77777777" w:rsidR="009251F2" w:rsidRDefault="009251F2" w:rsidP="00F81E1D">
      <w:pPr>
        <w:jc w:val="center"/>
        <w:rPr>
          <w:b/>
          <w:bCs/>
          <w:color w:val="000000" w:themeColor="text1"/>
        </w:rPr>
      </w:pPr>
    </w:p>
    <w:p w14:paraId="626D0C98" w14:textId="77777777" w:rsidR="009251F2" w:rsidRDefault="009251F2" w:rsidP="00F81E1D">
      <w:pPr>
        <w:jc w:val="center"/>
        <w:rPr>
          <w:b/>
          <w:bCs/>
          <w:color w:val="000000" w:themeColor="text1"/>
        </w:rPr>
      </w:pPr>
    </w:p>
    <w:p w14:paraId="1AB9180A" w14:textId="5C090E0E" w:rsidR="00F81E1D" w:rsidRPr="009251F2" w:rsidRDefault="00F81E1D" w:rsidP="00F81E1D">
      <w:pPr>
        <w:jc w:val="center"/>
        <w:rPr>
          <w:rFonts w:ascii="Cambria" w:hAnsi="Cambria"/>
          <w:b/>
          <w:bCs/>
          <w:color w:val="000000" w:themeColor="text1"/>
        </w:rPr>
      </w:pPr>
      <w:r w:rsidRPr="009251F2">
        <w:rPr>
          <w:rFonts w:ascii="Cambria" w:hAnsi="Cambria"/>
          <w:b/>
          <w:bCs/>
          <w:color w:val="000000" w:themeColor="text1"/>
        </w:rPr>
        <w:t xml:space="preserve">Annexure 1 </w:t>
      </w:r>
    </w:p>
    <w:p w14:paraId="5CAD0F5A" w14:textId="455CF894" w:rsidR="00F81E1D" w:rsidRPr="009251F2" w:rsidRDefault="00F81E1D" w:rsidP="00F81E1D">
      <w:pPr>
        <w:jc w:val="center"/>
        <w:rPr>
          <w:rFonts w:ascii="Cambria" w:hAnsi="Cambria"/>
          <w:b/>
          <w:bCs/>
          <w:color w:val="000000" w:themeColor="text1"/>
        </w:rPr>
      </w:pPr>
      <w:r w:rsidRPr="009251F2">
        <w:rPr>
          <w:rFonts w:ascii="Cambria" w:hAnsi="Cambria"/>
          <w:b/>
          <w:bCs/>
          <w:color w:val="000000" w:themeColor="text1"/>
        </w:rPr>
        <w:t xml:space="preserve">State Government Funding + CPI </w:t>
      </w:r>
    </w:p>
    <w:p w14:paraId="20A4BAE9" w14:textId="6AA351D6" w:rsidR="0016068B" w:rsidRPr="009251F2" w:rsidRDefault="0016068B" w:rsidP="00C86120">
      <w:pPr>
        <w:rPr>
          <w:rFonts w:ascii="Cambria" w:hAnsi="Cambria"/>
          <w:color w:val="000000" w:themeColor="text1"/>
        </w:rPr>
      </w:pPr>
    </w:p>
    <w:tbl>
      <w:tblPr>
        <w:tblStyle w:val="TableGrid"/>
        <w:tblW w:w="0" w:type="auto"/>
        <w:jc w:val="center"/>
        <w:tblLook w:val="04A0" w:firstRow="1" w:lastRow="0" w:firstColumn="1" w:lastColumn="0" w:noHBand="0" w:noVBand="1"/>
      </w:tblPr>
      <w:tblGrid>
        <w:gridCol w:w="988"/>
        <w:gridCol w:w="1701"/>
        <w:gridCol w:w="1701"/>
        <w:gridCol w:w="1842"/>
        <w:gridCol w:w="1909"/>
      </w:tblGrid>
      <w:tr w:rsidR="009E54C9" w:rsidRPr="009251F2" w14:paraId="7E5920F1" w14:textId="77777777" w:rsidTr="00666BCF">
        <w:trPr>
          <w:jc w:val="center"/>
        </w:trPr>
        <w:tc>
          <w:tcPr>
            <w:tcW w:w="988" w:type="dxa"/>
          </w:tcPr>
          <w:p w14:paraId="64635B03"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Year</w:t>
            </w:r>
          </w:p>
        </w:tc>
        <w:tc>
          <w:tcPr>
            <w:tcW w:w="1701" w:type="dxa"/>
          </w:tcPr>
          <w:p w14:paraId="52A75F73"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 xml:space="preserve">State </w:t>
            </w:r>
          </w:p>
          <w:p w14:paraId="7A05A50D"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Government Funding</w:t>
            </w:r>
          </w:p>
        </w:tc>
        <w:tc>
          <w:tcPr>
            <w:tcW w:w="1701" w:type="dxa"/>
          </w:tcPr>
          <w:p w14:paraId="4599E19A"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CPI – annual change (%)</w:t>
            </w:r>
          </w:p>
        </w:tc>
        <w:tc>
          <w:tcPr>
            <w:tcW w:w="1842" w:type="dxa"/>
          </w:tcPr>
          <w:p w14:paraId="3B70B0C7"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Government Funding + CPI</w:t>
            </w:r>
          </w:p>
        </w:tc>
        <w:tc>
          <w:tcPr>
            <w:tcW w:w="1909" w:type="dxa"/>
          </w:tcPr>
          <w:p w14:paraId="6D3AA858"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Amount not paid per year</w:t>
            </w:r>
          </w:p>
        </w:tc>
      </w:tr>
      <w:tr w:rsidR="009E54C9" w:rsidRPr="009251F2" w14:paraId="6EAE1C7F" w14:textId="77777777" w:rsidTr="00666BCF">
        <w:trPr>
          <w:jc w:val="center"/>
        </w:trPr>
        <w:tc>
          <w:tcPr>
            <w:tcW w:w="988" w:type="dxa"/>
          </w:tcPr>
          <w:p w14:paraId="3BE81B4F" w14:textId="089F0314"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2001</w:t>
            </w:r>
          </w:p>
        </w:tc>
        <w:tc>
          <w:tcPr>
            <w:tcW w:w="1701" w:type="dxa"/>
          </w:tcPr>
          <w:p w14:paraId="526C7606" w14:textId="10E3D59A"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25F8933B" w14:textId="387A2E53"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4.3</w:t>
            </w:r>
          </w:p>
        </w:tc>
        <w:tc>
          <w:tcPr>
            <w:tcW w:w="1842" w:type="dxa"/>
          </w:tcPr>
          <w:p w14:paraId="4C350A1C" w14:textId="5B108CDB"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$52,150.00</w:t>
            </w:r>
          </w:p>
        </w:tc>
        <w:tc>
          <w:tcPr>
            <w:tcW w:w="1909" w:type="dxa"/>
          </w:tcPr>
          <w:p w14:paraId="29D1BF8C" w14:textId="4E1B5BFA" w:rsidR="0016068B" w:rsidRPr="009251F2" w:rsidRDefault="0016068B" w:rsidP="00B5445F">
            <w:pPr>
              <w:pStyle w:val="xmsonormal"/>
              <w:numPr>
                <w:ilvl w:val="0"/>
                <w:numId w:val="5"/>
              </w:numPr>
              <w:spacing w:before="0" w:beforeAutospacing="0" w:after="0" w:afterAutospacing="0"/>
              <w:rPr>
                <w:rFonts w:ascii="Cambria" w:hAnsi="Cambria"/>
                <w:color w:val="000000" w:themeColor="text1"/>
                <w:bdr w:val="none" w:sz="0" w:space="0" w:color="auto" w:frame="1"/>
              </w:rPr>
            </w:pPr>
          </w:p>
        </w:tc>
      </w:tr>
      <w:tr w:rsidR="009E54C9" w:rsidRPr="009251F2" w14:paraId="01A67805" w14:textId="77777777" w:rsidTr="00666BCF">
        <w:trPr>
          <w:jc w:val="center"/>
        </w:trPr>
        <w:tc>
          <w:tcPr>
            <w:tcW w:w="988" w:type="dxa"/>
          </w:tcPr>
          <w:p w14:paraId="1568BD11" w14:textId="326EB931"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02</w:t>
            </w:r>
          </w:p>
        </w:tc>
        <w:tc>
          <w:tcPr>
            <w:tcW w:w="1701" w:type="dxa"/>
          </w:tcPr>
          <w:p w14:paraId="6E29E5CD" w14:textId="7CCD1672"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861E541" w14:textId="530907D2"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2.1</w:t>
            </w:r>
          </w:p>
        </w:tc>
        <w:tc>
          <w:tcPr>
            <w:tcW w:w="1842" w:type="dxa"/>
          </w:tcPr>
          <w:p w14:paraId="3EA4CB26" w14:textId="11CE8673"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$53,245.15</w:t>
            </w:r>
          </w:p>
        </w:tc>
        <w:tc>
          <w:tcPr>
            <w:tcW w:w="1909" w:type="dxa"/>
          </w:tcPr>
          <w:p w14:paraId="53125728" w14:textId="0BB9F4E6" w:rsidR="0016068B" w:rsidRPr="009251F2" w:rsidRDefault="00F81E1D"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$2,150.00</w:t>
            </w:r>
          </w:p>
        </w:tc>
      </w:tr>
      <w:tr w:rsidR="009E54C9" w:rsidRPr="009251F2" w14:paraId="02EFAEF1" w14:textId="77777777" w:rsidTr="00666BCF">
        <w:trPr>
          <w:jc w:val="center"/>
        </w:trPr>
        <w:tc>
          <w:tcPr>
            <w:tcW w:w="988" w:type="dxa"/>
          </w:tcPr>
          <w:p w14:paraId="3C51A9D3" w14:textId="11ACDA9C"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03</w:t>
            </w:r>
          </w:p>
        </w:tc>
        <w:tc>
          <w:tcPr>
            <w:tcW w:w="1701" w:type="dxa"/>
          </w:tcPr>
          <w:p w14:paraId="23ECC943"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4DF1DF5D" w14:textId="6F407DA4"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p>
        </w:tc>
        <w:tc>
          <w:tcPr>
            <w:tcW w:w="1842" w:type="dxa"/>
          </w:tcPr>
          <w:p w14:paraId="5312CC53" w14:textId="7DC8642A"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$54,310.05</w:t>
            </w:r>
          </w:p>
        </w:tc>
        <w:tc>
          <w:tcPr>
            <w:tcW w:w="1909" w:type="dxa"/>
          </w:tcPr>
          <w:p w14:paraId="13356851" w14:textId="73C07F09" w:rsidR="0016068B" w:rsidRPr="009251F2" w:rsidRDefault="00F81E1D"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$3,245.15</w:t>
            </w:r>
          </w:p>
        </w:tc>
      </w:tr>
      <w:tr w:rsidR="009E54C9" w:rsidRPr="009251F2" w14:paraId="20350C2F" w14:textId="77777777" w:rsidTr="00666BCF">
        <w:trPr>
          <w:jc w:val="center"/>
        </w:trPr>
        <w:tc>
          <w:tcPr>
            <w:tcW w:w="988" w:type="dxa"/>
          </w:tcPr>
          <w:p w14:paraId="4016F9EA" w14:textId="5C979ACF"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04</w:t>
            </w:r>
          </w:p>
        </w:tc>
        <w:tc>
          <w:tcPr>
            <w:tcW w:w="1701" w:type="dxa"/>
          </w:tcPr>
          <w:p w14:paraId="4C7E5FD9"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272FF082" w14:textId="78EF107A"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p>
        </w:tc>
        <w:tc>
          <w:tcPr>
            <w:tcW w:w="1842" w:type="dxa"/>
          </w:tcPr>
          <w:p w14:paraId="752A7B8C" w14:textId="24AAA854"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$55,396.25</w:t>
            </w:r>
          </w:p>
        </w:tc>
        <w:tc>
          <w:tcPr>
            <w:tcW w:w="1909" w:type="dxa"/>
          </w:tcPr>
          <w:p w14:paraId="79D29F45" w14:textId="285A15A5" w:rsidR="0016068B" w:rsidRPr="009251F2" w:rsidRDefault="00F81E1D"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$4,310.05</w:t>
            </w:r>
          </w:p>
        </w:tc>
      </w:tr>
      <w:tr w:rsidR="009E54C9" w:rsidRPr="009251F2" w14:paraId="7D5CCED9" w14:textId="77777777" w:rsidTr="00666BCF">
        <w:trPr>
          <w:jc w:val="center"/>
        </w:trPr>
        <w:tc>
          <w:tcPr>
            <w:tcW w:w="988" w:type="dxa"/>
          </w:tcPr>
          <w:p w14:paraId="2E213321" w14:textId="47A0E8E4"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05</w:t>
            </w:r>
          </w:p>
        </w:tc>
        <w:tc>
          <w:tcPr>
            <w:tcW w:w="1701" w:type="dxa"/>
          </w:tcPr>
          <w:p w14:paraId="4AB33A7A"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8D72AB8" w14:textId="51996514"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2</w:t>
            </w:r>
            <w:r w:rsidR="00B5445F" w:rsidRPr="009251F2">
              <w:rPr>
                <w:rFonts w:ascii="Cambria" w:hAnsi="Cambria"/>
                <w:color w:val="000000" w:themeColor="text1"/>
              </w:rPr>
              <w:t>.0</w:t>
            </w:r>
          </w:p>
        </w:tc>
        <w:tc>
          <w:tcPr>
            <w:tcW w:w="1842" w:type="dxa"/>
          </w:tcPr>
          <w:p w14:paraId="518EAADC" w14:textId="082178A8"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$56,504.18</w:t>
            </w:r>
            <w:r w:rsidR="0016068B" w:rsidRPr="009251F2">
              <w:rPr>
                <w:rFonts w:ascii="Cambria" w:hAnsi="Cambria"/>
                <w:color w:val="000000" w:themeColor="text1"/>
              </w:rPr>
              <w:t> </w:t>
            </w:r>
          </w:p>
        </w:tc>
        <w:tc>
          <w:tcPr>
            <w:tcW w:w="1909" w:type="dxa"/>
          </w:tcPr>
          <w:p w14:paraId="693DA7D7" w14:textId="37FC17B3" w:rsidR="0016068B" w:rsidRPr="009251F2" w:rsidRDefault="00F81E1D"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$5,396.25</w:t>
            </w:r>
            <w:r w:rsidR="0016068B" w:rsidRPr="009251F2">
              <w:rPr>
                <w:rFonts w:ascii="Cambria" w:hAnsi="Cambria"/>
                <w:color w:val="000000" w:themeColor="text1"/>
              </w:rPr>
              <w:t> </w:t>
            </w:r>
          </w:p>
        </w:tc>
      </w:tr>
      <w:tr w:rsidR="009E54C9" w:rsidRPr="009251F2" w14:paraId="376CA85E" w14:textId="77777777" w:rsidTr="00666BCF">
        <w:trPr>
          <w:jc w:val="center"/>
        </w:trPr>
        <w:tc>
          <w:tcPr>
            <w:tcW w:w="988" w:type="dxa"/>
          </w:tcPr>
          <w:p w14:paraId="6C7862AD" w14:textId="780264BD"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06</w:t>
            </w:r>
          </w:p>
        </w:tc>
        <w:tc>
          <w:tcPr>
            <w:tcW w:w="1701" w:type="dxa"/>
          </w:tcPr>
          <w:p w14:paraId="616E6CD3"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6451BCBB" w14:textId="77D3194D"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3.</w:t>
            </w:r>
            <w:r w:rsidR="00B5445F" w:rsidRPr="009251F2">
              <w:rPr>
                <w:rFonts w:ascii="Cambria" w:hAnsi="Cambria"/>
                <w:color w:val="000000" w:themeColor="text1"/>
              </w:rPr>
              <w:t>3</w:t>
            </w:r>
          </w:p>
        </w:tc>
        <w:tc>
          <w:tcPr>
            <w:tcW w:w="1842" w:type="dxa"/>
          </w:tcPr>
          <w:p w14:paraId="2EC24939" w14:textId="3E034EE1"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$58,368.82</w:t>
            </w:r>
          </w:p>
        </w:tc>
        <w:tc>
          <w:tcPr>
            <w:tcW w:w="1909" w:type="dxa"/>
          </w:tcPr>
          <w:p w14:paraId="6E7FC9C6" w14:textId="0F31C7FA" w:rsidR="0016068B" w:rsidRPr="009251F2" w:rsidRDefault="00F81E1D"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$6,504.18</w:t>
            </w:r>
          </w:p>
        </w:tc>
      </w:tr>
      <w:tr w:rsidR="009E54C9" w:rsidRPr="009251F2" w14:paraId="5456A862" w14:textId="77777777" w:rsidTr="00666BCF">
        <w:trPr>
          <w:jc w:val="center"/>
        </w:trPr>
        <w:tc>
          <w:tcPr>
            <w:tcW w:w="988" w:type="dxa"/>
          </w:tcPr>
          <w:p w14:paraId="5E83E64E" w14:textId="09B2C035"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07</w:t>
            </w:r>
          </w:p>
        </w:tc>
        <w:tc>
          <w:tcPr>
            <w:tcW w:w="1701" w:type="dxa"/>
          </w:tcPr>
          <w:p w14:paraId="0527151B"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47616D52" w14:textId="2B6E4160"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1.</w:t>
            </w:r>
            <w:r w:rsidR="00B5445F" w:rsidRPr="009251F2">
              <w:rPr>
                <w:rFonts w:ascii="Cambria" w:hAnsi="Cambria"/>
                <w:color w:val="000000" w:themeColor="text1"/>
              </w:rPr>
              <w:t>8</w:t>
            </w:r>
          </w:p>
        </w:tc>
        <w:tc>
          <w:tcPr>
            <w:tcW w:w="1842" w:type="dxa"/>
          </w:tcPr>
          <w:p w14:paraId="7FABCBAF" w14:textId="1FF5DEBD"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$59,419.46</w:t>
            </w:r>
            <w:r w:rsidR="0016068B" w:rsidRPr="009251F2">
              <w:rPr>
                <w:rFonts w:ascii="Cambria" w:hAnsi="Cambria"/>
                <w:color w:val="000000" w:themeColor="text1"/>
              </w:rPr>
              <w:t> </w:t>
            </w:r>
          </w:p>
        </w:tc>
        <w:tc>
          <w:tcPr>
            <w:tcW w:w="1909" w:type="dxa"/>
          </w:tcPr>
          <w:p w14:paraId="7CB2042A" w14:textId="27DDC58C" w:rsidR="0016068B" w:rsidRPr="009251F2" w:rsidRDefault="00F81E1D"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$8,368.82</w:t>
            </w:r>
            <w:r w:rsidR="0016068B" w:rsidRPr="009251F2">
              <w:rPr>
                <w:rFonts w:ascii="Cambria" w:hAnsi="Cambria"/>
                <w:color w:val="000000" w:themeColor="text1"/>
              </w:rPr>
              <w:t> </w:t>
            </w:r>
          </w:p>
        </w:tc>
      </w:tr>
      <w:tr w:rsidR="009E54C9" w:rsidRPr="009251F2" w14:paraId="1798AE1B" w14:textId="77777777" w:rsidTr="00666BCF">
        <w:trPr>
          <w:jc w:val="center"/>
        </w:trPr>
        <w:tc>
          <w:tcPr>
            <w:tcW w:w="988" w:type="dxa"/>
          </w:tcPr>
          <w:p w14:paraId="1B868B73" w14:textId="6C3C8B4E"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08</w:t>
            </w:r>
          </w:p>
        </w:tc>
        <w:tc>
          <w:tcPr>
            <w:tcW w:w="1701" w:type="dxa"/>
          </w:tcPr>
          <w:p w14:paraId="13A07812"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0E2B1459" w14:textId="45D2D16E"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3.6</w:t>
            </w:r>
          </w:p>
        </w:tc>
        <w:tc>
          <w:tcPr>
            <w:tcW w:w="1842" w:type="dxa"/>
          </w:tcPr>
          <w:p w14:paraId="25B84A96" w14:textId="366EB9B3"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$61,558.56</w:t>
            </w:r>
            <w:r w:rsidR="0016068B" w:rsidRPr="009251F2">
              <w:rPr>
                <w:rFonts w:ascii="Cambria" w:hAnsi="Cambria"/>
                <w:color w:val="000000" w:themeColor="text1"/>
              </w:rPr>
              <w:t> </w:t>
            </w:r>
          </w:p>
        </w:tc>
        <w:tc>
          <w:tcPr>
            <w:tcW w:w="1909" w:type="dxa"/>
          </w:tcPr>
          <w:p w14:paraId="2A12356F" w14:textId="45F20476" w:rsidR="0016068B" w:rsidRPr="009251F2" w:rsidRDefault="00F81E1D"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$9,419.46</w:t>
            </w:r>
            <w:r w:rsidR="0016068B" w:rsidRPr="009251F2">
              <w:rPr>
                <w:rFonts w:ascii="Cambria" w:hAnsi="Cambria"/>
                <w:color w:val="000000" w:themeColor="text1"/>
              </w:rPr>
              <w:t> </w:t>
            </w:r>
          </w:p>
        </w:tc>
      </w:tr>
      <w:tr w:rsidR="009E54C9" w:rsidRPr="009251F2" w14:paraId="1D3D2C32" w14:textId="77777777" w:rsidTr="00666BCF">
        <w:trPr>
          <w:jc w:val="center"/>
        </w:trPr>
        <w:tc>
          <w:tcPr>
            <w:tcW w:w="988" w:type="dxa"/>
          </w:tcPr>
          <w:p w14:paraId="575BFFEC" w14:textId="6AE53CAB"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09</w:t>
            </w:r>
          </w:p>
        </w:tc>
        <w:tc>
          <w:tcPr>
            <w:tcW w:w="1701" w:type="dxa"/>
          </w:tcPr>
          <w:p w14:paraId="7F75F0D3"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6AA4C4AA" w14:textId="12735BA4"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1.3</w:t>
            </w:r>
          </w:p>
        </w:tc>
        <w:tc>
          <w:tcPr>
            <w:tcW w:w="1842" w:type="dxa"/>
          </w:tcPr>
          <w:p w14:paraId="4E198AE5" w14:textId="50D6D4FA"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$62,358.82</w:t>
            </w:r>
            <w:r w:rsidR="0016068B" w:rsidRPr="009251F2">
              <w:rPr>
                <w:rFonts w:ascii="Cambria" w:hAnsi="Cambria"/>
                <w:color w:val="000000" w:themeColor="text1"/>
              </w:rPr>
              <w:t> </w:t>
            </w:r>
          </w:p>
        </w:tc>
        <w:tc>
          <w:tcPr>
            <w:tcW w:w="1909" w:type="dxa"/>
          </w:tcPr>
          <w:p w14:paraId="44F24490" w14:textId="654ECE00" w:rsidR="0016068B" w:rsidRPr="009251F2" w:rsidRDefault="00B5445F"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$11,558</w:t>
            </w:r>
            <w:r w:rsidR="00F81E1D" w:rsidRPr="009251F2">
              <w:rPr>
                <w:rFonts w:ascii="Cambria" w:hAnsi="Cambria"/>
                <w:color w:val="000000" w:themeColor="text1"/>
              </w:rPr>
              <w:t>.56</w:t>
            </w:r>
            <w:r w:rsidR="0016068B" w:rsidRPr="009251F2">
              <w:rPr>
                <w:rFonts w:ascii="Cambria" w:hAnsi="Cambria"/>
                <w:color w:val="000000" w:themeColor="text1"/>
              </w:rPr>
              <w:t> </w:t>
            </w:r>
          </w:p>
        </w:tc>
      </w:tr>
      <w:tr w:rsidR="009E54C9" w:rsidRPr="009251F2" w14:paraId="71AAA2C0" w14:textId="77777777" w:rsidTr="00666BCF">
        <w:trPr>
          <w:jc w:val="center"/>
        </w:trPr>
        <w:tc>
          <w:tcPr>
            <w:tcW w:w="988" w:type="dxa"/>
          </w:tcPr>
          <w:p w14:paraId="4ED53282" w14:textId="7BC27DF5"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10</w:t>
            </w:r>
          </w:p>
        </w:tc>
        <w:tc>
          <w:tcPr>
            <w:tcW w:w="1701" w:type="dxa"/>
          </w:tcPr>
          <w:p w14:paraId="63FF95D8"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F245988" w14:textId="70C8407A"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2.9</w:t>
            </w:r>
          </w:p>
        </w:tc>
        <w:tc>
          <w:tcPr>
            <w:tcW w:w="1842" w:type="dxa"/>
          </w:tcPr>
          <w:p w14:paraId="108B9CFC" w14:textId="5CB56990"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$64,167.22</w:t>
            </w:r>
            <w:r w:rsidR="0016068B" w:rsidRPr="009251F2">
              <w:rPr>
                <w:rFonts w:ascii="Cambria" w:hAnsi="Cambria"/>
                <w:color w:val="000000" w:themeColor="text1"/>
              </w:rPr>
              <w:t> </w:t>
            </w:r>
          </w:p>
        </w:tc>
        <w:tc>
          <w:tcPr>
            <w:tcW w:w="1909" w:type="dxa"/>
          </w:tcPr>
          <w:p w14:paraId="57123C92" w14:textId="15906BD8" w:rsidR="0016068B" w:rsidRPr="009251F2" w:rsidRDefault="00B5445F"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$12,358.82</w:t>
            </w:r>
            <w:r w:rsidR="0016068B" w:rsidRPr="009251F2">
              <w:rPr>
                <w:rFonts w:ascii="Cambria" w:hAnsi="Cambria"/>
                <w:color w:val="000000" w:themeColor="text1"/>
              </w:rPr>
              <w:t> </w:t>
            </w:r>
          </w:p>
        </w:tc>
      </w:tr>
      <w:tr w:rsidR="009E54C9" w:rsidRPr="009251F2" w14:paraId="195EEC6B" w14:textId="77777777" w:rsidTr="00666BCF">
        <w:trPr>
          <w:jc w:val="center"/>
        </w:trPr>
        <w:tc>
          <w:tcPr>
            <w:tcW w:w="988" w:type="dxa"/>
          </w:tcPr>
          <w:p w14:paraId="3A32874D" w14:textId="7FCD65E0"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11</w:t>
            </w:r>
          </w:p>
        </w:tc>
        <w:tc>
          <w:tcPr>
            <w:tcW w:w="1701" w:type="dxa"/>
          </w:tcPr>
          <w:p w14:paraId="3F7D7003"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4A3EF12A" w14:textId="30520FE7"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3.4</w:t>
            </w:r>
          </w:p>
        </w:tc>
        <w:tc>
          <w:tcPr>
            <w:tcW w:w="1842" w:type="dxa"/>
          </w:tcPr>
          <w:p w14:paraId="6BB6BC6F" w14:textId="369FA4FC"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rPr>
              <w:t>$66,348.91</w:t>
            </w:r>
            <w:r w:rsidR="0016068B" w:rsidRPr="009251F2">
              <w:rPr>
                <w:rFonts w:ascii="Cambria" w:hAnsi="Cambria"/>
                <w:color w:val="000000" w:themeColor="text1"/>
              </w:rPr>
              <w:t> </w:t>
            </w:r>
          </w:p>
        </w:tc>
        <w:tc>
          <w:tcPr>
            <w:tcW w:w="1909" w:type="dxa"/>
          </w:tcPr>
          <w:p w14:paraId="5C67E8E8" w14:textId="21C3D570" w:rsidR="0016068B" w:rsidRPr="009251F2" w:rsidRDefault="00B5445F" w:rsidP="00666BCF">
            <w:pPr>
              <w:pStyle w:val="xmsonormal"/>
              <w:spacing w:before="0" w:beforeAutospacing="0" w:after="0" w:afterAutospacing="0"/>
              <w:rPr>
                <w:rFonts w:ascii="Cambria" w:hAnsi="Cambria"/>
                <w:color w:val="000000" w:themeColor="text1"/>
              </w:rPr>
            </w:pPr>
            <w:r w:rsidRPr="009251F2">
              <w:rPr>
                <w:rFonts w:ascii="Cambria" w:hAnsi="Cambria"/>
                <w:color w:val="000000" w:themeColor="text1"/>
              </w:rPr>
              <w:t>$14,167.22</w:t>
            </w:r>
            <w:r w:rsidR="0016068B" w:rsidRPr="009251F2">
              <w:rPr>
                <w:rFonts w:ascii="Cambria" w:hAnsi="Cambria"/>
                <w:color w:val="000000" w:themeColor="text1"/>
              </w:rPr>
              <w:t> </w:t>
            </w:r>
          </w:p>
        </w:tc>
      </w:tr>
      <w:tr w:rsidR="009E54C9" w:rsidRPr="009251F2" w14:paraId="65FABE65" w14:textId="77777777" w:rsidTr="00666BCF">
        <w:trPr>
          <w:jc w:val="center"/>
        </w:trPr>
        <w:tc>
          <w:tcPr>
            <w:tcW w:w="988" w:type="dxa"/>
          </w:tcPr>
          <w:p w14:paraId="69A07A11" w14:textId="49053AEF"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w:t>
            </w:r>
            <w:r w:rsidR="00B5445F" w:rsidRPr="009251F2">
              <w:rPr>
                <w:rFonts w:ascii="Cambria" w:hAnsi="Cambria"/>
                <w:color w:val="000000" w:themeColor="text1"/>
                <w:bdr w:val="none" w:sz="0" w:space="0" w:color="auto" w:frame="1"/>
              </w:rPr>
              <w:t>12</w:t>
            </w:r>
          </w:p>
        </w:tc>
        <w:tc>
          <w:tcPr>
            <w:tcW w:w="1701" w:type="dxa"/>
          </w:tcPr>
          <w:p w14:paraId="4C77DD07"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2D67433D" w14:textId="10836C6B"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1.2</w:t>
            </w:r>
          </w:p>
        </w:tc>
        <w:tc>
          <w:tcPr>
            <w:tcW w:w="1842" w:type="dxa"/>
          </w:tcPr>
          <w:p w14:paraId="6D8B5200" w14:textId="4059239F"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$67,145.10</w:t>
            </w:r>
          </w:p>
        </w:tc>
        <w:tc>
          <w:tcPr>
            <w:tcW w:w="1909" w:type="dxa"/>
          </w:tcPr>
          <w:p w14:paraId="14D5B7D9" w14:textId="3A508150" w:rsidR="0016068B"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$16,348.91</w:t>
            </w:r>
          </w:p>
        </w:tc>
      </w:tr>
      <w:tr w:rsidR="009E54C9" w:rsidRPr="009251F2" w14:paraId="536D2DA3" w14:textId="77777777" w:rsidTr="00666BCF">
        <w:trPr>
          <w:jc w:val="center"/>
        </w:trPr>
        <w:tc>
          <w:tcPr>
            <w:tcW w:w="988" w:type="dxa"/>
          </w:tcPr>
          <w:p w14:paraId="3D455E78" w14:textId="07BD57F4"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2013</w:t>
            </w:r>
          </w:p>
        </w:tc>
        <w:tc>
          <w:tcPr>
            <w:tcW w:w="1701" w:type="dxa"/>
          </w:tcPr>
          <w:p w14:paraId="2945FF2E" w14:textId="402399C5"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7D5B5C87" w14:textId="6F7747E4"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2.4</w:t>
            </w:r>
          </w:p>
        </w:tc>
        <w:tc>
          <w:tcPr>
            <w:tcW w:w="1842" w:type="dxa"/>
          </w:tcPr>
          <w:p w14:paraId="34F9988F" w14:textId="36B85C5C"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$68,756.58</w:t>
            </w:r>
          </w:p>
        </w:tc>
        <w:tc>
          <w:tcPr>
            <w:tcW w:w="1909" w:type="dxa"/>
          </w:tcPr>
          <w:p w14:paraId="665E86FB" w14:textId="1D2865E0"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$17,145.10</w:t>
            </w:r>
          </w:p>
        </w:tc>
      </w:tr>
      <w:tr w:rsidR="009E54C9" w:rsidRPr="009251F2" w14:paraId="25610DB1" w14:textId="77777777" w:rsidTr="00666BCF">
        <w:trPr>
          <w:jc w:val="center"/>
        </w:trPr>
        <w:tc>
          <w:tcPr>
            <w:tcW w:w="988" w:type="dxa"/>
          </w:tcPr>
          <w:p w14:paraId="3505900B" w14:textId="0BD77E8B"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2014</w:t>
            </w:r>
          </w:p>
        </w:tc>
        <w:tc>
          <w:tcPr>
            <w:tcW w:w="1701" w:type="dxa"/>
          </w:tcPr>
          <w:p w14:paraId="3173C486" w14:textId="29025136"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414709F1" w14:textId="7E288CAD"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3.1</w:t>
            </w:r>
          </w:p>
        </w:tc>
        <w:tc>
          <w:tcPr>
            <w:tcW w:w="1842" w:type="dxa"/>
          </w:tcPr>
          <w:p w14:paraId="5D554468" w14:textId="2BB230FB"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$70,888.03</w:t>
            </w:r>
          </w:p>
        </w:tc>
        <w:tc>
          <w:tcPr>
            <w:tcW w:w="1909" w:type="dxa"/>
          </w:tcPr>
          <w:p w14:paraId="2B2E2C2A" w14:textId="61690C02"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$18,756.58</w:t>
            </w:r>
          </w:p>
        </w:tc>
      </w:tr>
      <w:tr w:rsidR="009E54C9" w:rsidRPr="009251F2" w14:paraId="5D22B730" w14:textId="77777777" w:rsidTr="00666BCF">
        <w:trPr>
          <w:jc w:val="center"/>
        </w:trPr>
        <w:tc>
          <w:tcPr>
            <w:tcW w:w="988" w:type="dxa"/>
          </w:tcPr>
          <w:p w14:paraId="1EE9998B" w14:textId="437C6674"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2015</w:t>
            </w:r>
          </w:p>
        </w:tc>
        <w:tc>
          <w:tcPr>
            <w:tcW w:w="1701" w:type="dxa"/>
          </w:tcPr>
          <w:p w14:paraId="02B43A33" w14:textId="4123238C"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7295BB1" w14:textId="5D140646"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1.6</w:t>
            </w:r>
          </w:p>
        </w:tc>
        <w:tc>
          <w:tcPr>
            <w:tcW w:w="1842" w:type="dxa"/>
          </w:tcPr>
          <w:p w14:paraId="68AF72BD" w14:textId="5BE5C8E1"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$72,022.24</w:t>
            </w:r>
          </w:p>
        </w:tc>
        <w:tc>
          <w:tcPr>
            <w:tcW w:w="1909" w:type="dxa"/>
          </w:tcPr>
          <w:p w14:paraId="2DD19A8C" w14:textId="58545149"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$20,888.03</w:t>
            </w:r>
          </w:p>
        </w:tc>
      </w:tr>
      <w:tr w:rsidR="009E54C9" w:rsidRPr="009251F2" w14:paraId="7F920B53" w14:textId="77777777" w:rsidTr="00666BCF">
        <w:trPr>
          <w:jc w:val="center"/>
        </w:trPr>
        <w:tc>
          <w:tcPr>
            <w:tcW w:w="988" w:type="dxa"/>
          </w:tcPr>
          <w:p w14:paraId="2DAFD0B7" w14:textId="4E0AB9D4"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2016</w:t>
            </w:r>
          </w:p>
        </w:tc>
        <w:tc>
          <w:tcPr>
            <w:tcW w:w="1701" w:type="dxa"/>
          </w:tcPr>
          <w:p w14:paraId="4CE6BB0C" w14:textId="4BBECBB2"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4AA28889" w14:textId="5F30DDD0"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1.1</w:t>
            </w:r>
          </w:p>
        </w:tc>
        <w:tc>
          <w:tcPr>
            <w:tcW w:w="1842" w:type="dxa"/>
          </w:tcPr>
          <w:p w14:paraId="585CCD0E" w14:textId="377366A2"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$72,814.48</w:t>
            </w:r>
          </w:p>
        </w:tc>
        <w:tc>
          <w:tcPr>
            <w:tcW w:w="1909" w:type="dxa"/>
          </w:tcPr>
          <w:p w14:paraId="7B337164" w14:textId="09DAC07F"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$22,022.24</w:t>
            </w:r>
          </w:p>
        </w:tc>
      </w:tr>
      <w:tr w:rsidR="009E54C9" w:rsidRPr="009251F2" w14:paraId="6E271FAD" w14:textId="77777777" w:rsidTr="00666BCF">
        <w:trPr>
          <w:jc w:val="center"/>
        </w:trPr>
        <w:tc>
          <w:tcPr>
            <w:tcW w:w="988" w:type="dxa"/>
          </w:tcPr>
          <w:p w14:paraId="38F37FD3" w14:textId="5E41E51B"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2017</w:t>
            </w:r>
          </w:p>
        </w:tc>
        <w:tc>
          <w:tcPr>
            <w:tcW w:w="1701" w:type="dxa"/>
          </w:tcPr>
          <w:p w14:paraId="707BA36E" w14:textId="6AE1F469"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239B4BC" w14:textId="126F700A"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2.1</w:t>
            </w:r>
          </w:p>
        </w:tc>
        <w:tc>
          <w:tcPr>
            <w:tcW w:w="1842" w:type="dxa"/>
          </w:tcPr>
          <w:p w14:paraId="0AD78138" w14:textId="1C344A27"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$74,343.59</w:t>
            </w:r>
          </w:p>
        </w:tc>
        <w:tc>
          <w:tcPr>
            <w:tcW w:w="1909" w:type="dxa"/>
          </w:tcPr>
          <w:p w14:paraId="0884EA8F" w14:textId="50210E4E"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$22,814.48</w:t>
            </w:r>
          </w:p>
        </w:tc>
      </w:tr>
      <w:tr w:rsidR="009E54C9" w:rsidRPr="009251F2" w14:paraId="6984BECD" w14:textId="77777777" w:rsidTr="00666BCF">
        <w:trPr>
          <w:jc w:val="center"/>
        </w:trPr>
        <w:tc>
          <w:tcPr>
            <w:tcW w:w="988" w:type="dxa"/>
          </w:tcPr>
          <w:p w14:paraId="1B17D031" w14:textId="270D8E4F"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2018</w:t>
            </w:r>
          </w:p>
        </w:tc>
        <w:tc>
          <w:tcPr>
            <w:tcW w:w="1701" w:type="dxa"/>
          </w:tcPr>
          <w:p w14:paraId="7B9AB114" w14:textId="542CD069"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78883ED4" w14:textId="7CB7FAA9"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2.3</w:t>
            </w:r>
          </w:p>
        </w:tc>
        <w:tc>
          <w:tcPr>
            <w:tcW w:w="1842" w:type="dxa"/>
          </w:tcPr>
          <w:p w14:paraId="1DDF40E1" w14:textId="66DEB094"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$76,053.49</w:t>
            </w:r>
          </w:p>
        </w:tc>
        <w:tc>
          <w:tcPr>
            <w:tcW w:w="1909" w:type="dxa"/>
          </w:tcPr>
          <w:p w14:paraId="18C8C6F1" w14:textId="4C98A35D"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$24,343.59</w:t>
            </w:r>
          </w:p>
        </w:tc>
      </w:tr>
      <w:tr w:rsidR="009E54C9" w:rsidRPr="009251F2" w14:paraId="48FA4E70" w14:textId="77777777" w:rsidTr="00666BCF">
        <w:trPr>
          <w:jc w:val="center"/>
        </w:trPr>
        <w:tc>
          <w:tcPr>
            <w:tcW w:w="988" w:type="dxa"/>
          </w:tcPr>
          <w:p w14:paraId="326514F8" w14:textId="66587786"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2019</w:t>
            </w:r>
          </w:p>
        </w:tc>
        <w:tc>
          <w:tcPr>
            <w:tcW w:w="1701" w:type="dxa"/>
          </w:tcPr>
          <w:p w14:paraId="6AE246A8" w14:textId="3C1DFD21"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05BD8FB3" w14:textId="3A9E6DD1"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1.8</w:t>
            </w:r>
          </w:p>
        </w:tc>
        <w:tc>
          <w:tcPr>
            <w:tcW w:w="1842" w:type="dxa"/>
          </w:tcPr>
          <w:p w14:paraId="543E7275" w14:textId="60C16B1D"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$77,422.45</w:t>
            </w:r>
          </w:p>
        </w:tc>
        <w:tc>
          <w:tcPr>
            <w:tcW w:w="1909" w:type="dxa"/>
          </w:tcPr>
          <w:p w14:paraId="7AB9E7B0" w14:textId="6B308FE7"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$26,053.49</w:t>
            </w:r>
          </w:p>
        </w:tc>
      </w:tr>
      <w:tr w:rsidR="009E54C9" w:rsidRPr="009251F2" w14:paraId="430407EA" w14:textId="77777777" w:rsidTr="00666BCF">
        <w:trPr>
          <w:jc w:val="center"/>
        </w:trPr>
        <w:tc>
          <w:tcPr>
            <w:tcW w:w="988" w:type="dxa"/>
          </w:tcPr>
          <w:p w14:paraId="708A5EC2" w14:textId="2C626788"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2020</w:t>
            </w:r>
          </w:p>
        </w:tc>
        <w:tc>
          <w:tcPr>
            <w:tcW w:w="1701" w:type="dxa"/>
          </w:tcPr>
          <w:p w14:paraId="07622337" w14:textId="316BD533"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$50,000</w:t>
            </w:r>
          </w:p>
        </w:tc>
        <w:tc>
          <w:tcPr>
            <w:tcW w:w="1701" w:type="dxa"/>
          </w:tcPr>
          <w:p w14:paraId="5AEDB20C" w14:textId="21E1BF56"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-0.4</w:t>
            </w:r>
          </w:p>
        </w:tc>
        <w:tc>
          <w:tcPr>
            <w:tcW w:w="1842" w:type="dxa"/>
          </w:tcPr>
          <w:p w14:paraId="6BD4519F" w14:textId="0E6DD5EB"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$77,112.76</w:t>
            </w:r>
          </w:p>
        </w:tc>
        <w:tc>
          <w:tcPr>
            <w:tcW w:w="1909" w:type="dxa"/>
          </w:tcPr>
          <w:p w14:paraId="4B4C23BE" w14:textId="3F8AA90D" w:rsidR="00B5445F" w:rsidRPr="009251F2" w:rsidRDefault="00B5445F" w:rsidP="00666BCF">
            <w:pPr>
              <w:pStyle w:val="xmsonormal"/>
              <w:spacing w:before="0" w:beforeAutospacing="0" w:after="0" w:afterAutospacing="0"/>
              <w:rPr>
                <w:rFonts w:ascii="Cambria" w:hAnsi="Cambria"/>
                <w:color w:val="000000" w:themeColor="text1"/>
                <w:bdr w:val="none" w:sz="0" w:space="0" w:color="auto" w:frame="1"/>
              </w:rPr>
            </w:pPr>
            <w:r w:rsidRPr="009251F2">
              <w:rPr>
                <w:rFonts w:ascii="Cambria" w:hAnsi="Cambria"/>
                <w:color w:val="000000" w:themeColor="text1"/>
                <w:bdr w:val="none" w:sz="0" w:space="0" w:color="auto" w:frame="1"/>
              </w:rPr>
              <w:t>$27,422.45</w:t>
            </w:r>
          </w:p>
        </w:tc>
      </w:tr>
      <w:tr w:rsidR="009E54C9" w:rsidRPr="009251F2" w14:paraId="1708D1D3" w14:textId="77777777" w:rsidTr="00666BCF">
        <w:trPr>
          <w:jc w:val="center"/>
        </w:trPr>
        <w:tc>
          <w:tcPr>
            <w:tcW w:w="988" w:type="dxa"/>
          </w:tcPr>
          <w:p w14:paraId="5F671C3B" w14:textId="77777777"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TOTAL</w:t>
            </w:r>
          </w:p>
        </w:tc>
        <w:tc>
          <w:tcPr>
            <w:tcW w:w="1701" w:type="dxa"/>
          </w:tcPr>
          <w:p w14:paraId="11B2E0B9"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p>
        </w:tc>
        <w:tc>
          <w:tcPr>
            <w:tcW w:w="1701" w:type="dxa"/>
          </w:tcPr>
          <w:p w14:paraId="1663D228"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p>
        </w:tc>
        <w:tc>
          <w:tcPr>
            <w:tcW w:w="1842" w:type="dxa"/>
          </w:tcPr>
          <w:p w14:paraId="0E81FDCF" w14:textId="77777777" w:rsidR="0016068B" w:rsidRPr="009251F2" w:rsidRDefault="0016068B" w:rsidP="00666BCF">
            <w:pPr>
              <w:pStyle w:val="xmsonormal"/>
              <w:spacing w:before="0" w:beforeAutospacing="0" w:after="0" w:afterAutospacing="0"/>
              <w:rPr>
                <w:rFonts w:ascii="Cambria" w:hAnsi="Cambria"/>
                <w:color w:val="000000" w:themeColor="text1"/>
                <w:bdr w:val="none" w:sz="0" w:space="0" w:color="auto" w:frame="1"/>
              </w:rPr>
            </w:pPr>
          </w:p>
        </w:tc>
        <w:tc>
          <w:tcPr>
            <w:tcW w:w="1909" w:type="dxa"/>
          </w:tcPr>
          <w:p w14:paraId="2BF2A74C" w14:textId="00B2B225" w:rsidR="0016068B" w:rsidRPr="009251F2" w:rsidRDefault="0016068B" w:rsidP="00666BCF">
            <w:pPr>
              <w:pStyle w:val="xmsonormal"/>
              <w:spacing w:before="0" w:beforeAutospacing="0" w:after="0" w:afterAutospacing="0"/>
              <w:rPr>
                <w:rFonts w:ascii="Cambria" w:hAnsi="Cambria"/>
                <w:b/>
                <w:bCs/>
                <w:color w:val="000000" w:themeColor="text1"/>
                <w:bdr w:val="none" w:sz="0" w:space="0" w:color="auto" w:frame="1"/>
              </w:rPr>
            </w:pPr>
            <w:r w:rsidRPr="009251F2">
              <w:rPr>
                <w:rFonts w:ascii="Cambria" w:hAnsi="Cambria"/>
                <w:b/>
                <w:bCs/>
                <w:color w:val="000000" w:themeColor="text1"/>
                <w:bdr w:val="none" w:sz="0" w:space="0" w:color="auto" w:frame="1"/>
              </w:rPr>
              <w:t>$</w:t>
            </w:r>
            <w:r w:rsidR="00F81E1D" w:rsidRPr="009251F2">
              <w:rPr>
                <w:rFonts w:ascii="Cambria" w:hAnsi="Cambria"/>
                <w:b/>
                <w:bCs/>
                <w:color w:val="000000" w:themeColor="text1"/>
                <w:bdr w:val="none" w:sz="0" w:space="0" w:color="auto" w:frame="1"/>
              </w:rPr>
              <w:t>195,794.87</w:t>
            </w:r>
          </w:p>
        </w:tc>
      </w:tr>
    </w:tbl>
    <w:p w14:paraId="1409DA43" w14:textId="71BC39C2" w:rsidR="004A2C73" w:rsidRPr="009251F2" w:rsidRDefault="004A2C73" w:rsidP="004A2C73">
      <w:pPr>
        <w:pStyle w:val="xmsonormal"/>
        <w:shd w:val="clear" w:color="auto" w:fill="FFFFFF"/>
        <w:spacing w:before="0" w:beforeAutospacing="0" w:after="0" w:afterAutospacing="0"/>
        <w:ind w:left="560"/>
        <w:rPr>
          <w:rFonts w:ascii="Cambria" w:hAnsi="Cambria"/>
          <w:color w:val="000000"/>
          <w:sz w:val="18"/>
          <w:szCs w:val="18"/>
        </w:rPr>
      </w:pPr>
      <w:r w:rsidRPr="009251F2">
        <w:rPr>
          <w:rFonts w:ascii="Cambria" w:hAnsi="Cambria"/>
          <w:color w:val="000000" w:themeColor="text1"/>
          <w:sz w:val="18"/>
          <w:szCs w:val="18"/>
        </w:rPr>
        <w:t xml:space="preserve">Source: Australian Bureau of Statistics, </w:t>
      </w:r>
      <w:r w:rsidRPr="009251F2">
        <w:rPr>
          <w:rFonts w:ascii="Cambria" w:hAnsi="Cambria"/>
          <w:i/>
          <w:iCs/>
          <w:color w:val="000000" w:themeColor="text1"/>
          <w:sz w:val="18"/>
          <w:szCs w:val="18"/>
        </w:rPr>
        <w:t>Consumer Price Index, Australia</w:t>
      </w:r>
      <w:r w:rsidRPr="009251F2">
        <w:rPr>
          <w:rFonts w:ascii="Cambria" w:hAnsi="Cambria"/>
          <w:color w:val="000000" w:themeColor="text1"/>
          <w:sz w:val="18"/>
          <w:szCs w:val="18"/>
        </w:rPr>
        <w:t xml:space="preserve"> (6401.0). As found at </w:t>
      </w:r>
      <w:hyperlink r:id="rId12" w:anchor="data-download" w:history="1">
        <w:r w:rsidRPr="009251F2">
          <w:rPr>
            <w:rStyle w:val="Hyperlink"/>
            <w:rFonts w:ascii="Cambria" w:hAnsi="Cambria"/>
            <w:sz w:val="18"/>
            <w:szCs w:val="18"/>
          </w:rPr>
          <w:t>https://www.abs.gov.au/statistics/economy/price-indexes-and-inflation/consumer-price-index-australia/latest-release#data-download</w:t>
        </w:r>
      </w:hyperlink>
      <w:r w:rsidRPr="009251F2">
        <w:rPr>
          <w:rFonts w:ascii="Cambria" w:hAnsi="Cambria"/>
          <w:sz w:val="18"/>
          <w:szCs w:val="18"/>
        </w:rPr>
        <w:t xml:space="preserve"> </w:t>
      </w:r>
      <w:r w:rsidR="005657BC" w:rsidRPr="009251F2">
        <w:rPr>
          <w:rFonts w:ascii="Cambria" w:hAnsi="Cambria"/>
          <w:sz w:val="18"/>
          <w:szCs w:val="18"/>
        </w:rPr>
        <w:t>(accessed 14 April 2022)</w:t>
      </w:r>
    </w:p>
    <w:p w14:paraId="48663C81" w14:textId="77777777" w:rsidR="0016068B" w:rsidRPr="009251F2" w:rsidRDefault="0016068B" w:rsidP="0016068B">
      <w:pPr>
        <w:pStyle w:val="xmsonormal"/>
        <w:shd w:val="clear" w:color="auto" w:fill="FFFFFF"/>
        <w:spacing w:before="0" w:beforeAutospacing="0" w:after="0" w:afterAutospacing="0"/>
        <w:jc w:val="both"/>
        <w:rPr>
          <w:rFonts w:ascii="Cambria" w:hAnsi="Cambria"/>
          <w:color w:val="FF0000"/>
        </w:rPr>
      </w:pPr>
    </w:p>
    <w:p w14:paraId="16876CBD" w14:textId="77777777" w:rsidR="0016068B" w:rsidRPr="00C86120" w:rsidRDefault="0016068B" w:rsidP="00C86120"/>
    <w:p w14:paraId="3D18874A" w14:textId="77777777" w:rsidR="0016068B" w:rsidRDefault="0016068B" w:rsidP="0016068B">
      <w:pPr>
        <w:pStyle w:val="xmsonormal"/>
        <w:shd w:val="clear" w:color="auto" w:fill="FFFFFF"/>
        <w:spacing w:before="0" w:beforeAutospacing="0" w:after="0" w:afterAutospacing="0"/>
        <w:jc w:val="both"/>
        <w:rPr>
          <w:rFonts w:ascii="Cambria" w:hAnsi="Cambria"/>
          <w:color w:val="000000" w:themeColor="text1"/>
        </w:rPr>
      </w:pPr>
    </w:p>
    <w:p w14:paraId="3F5815F9" w14:textId="77777777" w:rsidR="00C86120" w:rsidRDefault="00C86120" w:rsidP="00C86120"/>
    <w:p w14:paraId="48116FB5" w14:textId="77777777" w:rsidR="00C86120" w:rsidRPr="00B513A4" w:rsidRDefault="00C86120">
      <w:pPr>
        <w:rPr>
          <w:rFonts w:ascii="Cambria" w:hAnsi="Cambria"/>
          <w:color w:val="000000"/>
        </w:rPr>
      </w:pPr>
    </w:p>
    <w:sectPr w:rsidR="00C86120" w:rsidRPr="00B513A4" w:rsidSect="00215FCE">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63CDA" w14:textId="77777777" w:rsidR="00386CDF" w:rsidRDefault="00386CDF" w:rsidP="00BB3450">
      <w:r>
        <w:separator/>
      </w:r>
    </w:p>
  </w:endnote>
  <w:endnote w:type="continuationSeparator" w:id="0">
    <w:p w14:paraId="513EE088" w14:textId="77777777" w:rsidR="00386CDF" w:rsidRDefault="00386CDF" w:rsidP="00BB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742174"/>
      <w:docPartObj>
        <w:docPartGallery w:val="Page Numbers (Bottom of Page)"/>
        <w:docPartUnique/>
      </w:docPartObj>
    </w:sdtPr>
    <w:sdtEndPr>
      <w:rPr>
        <w:rStyle w:val="PageNumber"/>
      </w:rPr>
    </w:sdtEndPr>
    <w:sdtContent>
      <w:p w14:paraId="72D21774" w14:textId="5F4BD0FF" w:rsidR="00FD3C4D" w:rsidRDefault="00FD3C4D" w:rsidP="00E505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05FA4" w14:textId="77777777" w:rsidR="00FD3C4D" w:rsidRDefault="00FD3C4D" w:rsidP="00FD3C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0044749"/>
      <w:docPartObj>
        <w:docPartGallery w:val="Page Numbers (Bottom of Page)"/>
        <w:docPartUnique/>
      </w:docPartObj>
    </w:sdtPr>
    <w:sdtEndPr>
      <w:rPr>
        <w:rStyle w:val="PageNumber"/>
      </w:rPr>
    </w:sdtEndPr>
    <w:sdtContent>
      <w:p w14:paraId="474FDDD5" w14:textId="264BB5C2" w:rsidR="00FD3C4D" w:rsidRDefault="00FD3C4D" w:rsidP="00E505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38638D" w14:textId="77777777" w:rsidR="00FD3C4D" w:rsidRDefault="00FD3C4D" w:rsidP="00FD3C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D5A91" w14:textId="77777777" w:rsidR="00386CDF" w:rsidRDefault="00386CDF" w:rsidP="00BB3450">
      <w:r>
        <w:separator/>
      </w:r>
    </w:p>
  </w:footnote>
  <w:footnote w:type="continuationSeparator" w:id="0">
    <w:p w14:paraId="48745059" w14:textId="77777777" w:rsidR="00386CDF" w:rsidRDefault="00386CDF" w:rsidP="00BB3450">
      <w:r>
        <w:continuationSeparator/>
      </w:r>
    </w:p>
  </w:footnote>
  <w:footnote w:id="1">
    <w:p w14:paraId="4384F079" w14:textId="60A22890"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Clause 2.2 of the Tasmania Law Reform Institute ‘Founding Agreement’. As found at </w:t>
      </w:r>
      <w:hyperlink r:id="rId1" w:history="1">
        <w:r w:rsidRPr="009E54C9">
          <w:rPr>
            <w:rStyle w:val="Hyperlink"/>
            <w:rFonts w:ascii="Cambria" w:hAnsi="Cambria"/>
            <w:sz w:val="20"/>
            <w:szCs w:val="20"/>
            <w:lang w:val="en-AU"/>
          </w:rPr>
          <w:t>https://www.utas.edu.au/__data/assets/pdf_file/0003/302943/FoundingAgreement-1.pdf</w:t>
        </w:r>
      </w:hyperlink>
      <w:r w:rsidRPr="009E54C9">
        <w:rPr>
          <w:rFonts w:ascii="Cambria" w:hAnsi="Cambria"/>
          <w:sz w:val="20"/>
          <w:szCs w:val="20"/>
          <w:lang w:val="en-AU"/>
        </w:rPr>
        <w:t xml:space="preserve"> </w:t>
      </w:r>
      <w:r w:rsidR="00EC05E8" w:rsidRPr="009E54C9">
        <w:rPr>
          <w:rFonts w:ascii="Cambria" w:hAnsi="Cambria"/>
          <w:sz w:val="20"/>
          <w:szCs w:val="20"/>
          <w:lang w:val="en-AU"/>
        </w:rPr>
        <w:t xml:space="preserve">(accessed </w:t>
      </w:r>
      <w:r w:rsidR="005657BC" w:rsidRPr="009E54C9">
        <w:rPr>
          <w:rFonts w:ascii="Cambria" w:hAnsi="Cambria"/>
          <w:sz w:val="20"/>
          <w:szCs w:val="20"/>
          <w:lang w:val="en-AU"/>
        </w:rPr>
        <w:t>14</w:t>
      </w:r>
      <w:r w:rsidR="00EC05E8" w:rsidRPr="009E54C9">
        <w:rPr>
          <w:rFonts w:ascii="Cambria" w:hAnsi="Cambria"/>
          <w:sz w:val="20"/>
          <w:szCs w:val="20"/>
          <w:lang w:val="en-AU"/>
        </w:rPr>
        <w:t xml:space="preserve"> April 2022). </w:t>
      </w:r>
      <w:r w:rsidRPr="009E54C9">
        <w:rPr>
          <w:rFonts w:ascii="Cambria" w:hAnsi="Cambria"/>
          <w:sz w:val="20"/>
          <w:szCs w:val="20"/>
          <w:lang w:val="en-AU"/>
        </w:rPr>
        <w:t xml:space="preserve">    </w:t>
      </w:r>
    </w:p>
  </w:footnote>
  <w:footnote w:id="2">
    <w:p w14:paraId="2FE98E33" w14:textId="22763F83"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Clause 2.2(e) of the </w:t>
      </w:r>
      <w:r w:rsidR="005657BC" w:rsidRPr="009E54C9">
        <w:rPr>
          <w:rFonts w:ascii="Cambria" w:hAnsi="Cambria"/>
          <w:sz w:val="20"/>
          <w:szCs w:val="20"/>
        </w:rPr>
        <w:t xml:space="preserve">2019 Renewal Agreement </w:t>
      </w:r>
      <w:r w:rsidRPr="009E54C9">
        <w:rPr>
          <w:rFonts w:ascii="Cambria" w:hAnsi="Cambria"/>
          <w:sz w:val="20"/>
          <w:szCs w:val="20"/>
        </w:rPr>
        <w:t xml:space="preserve">sets out the functions of the Institute including </w:t>
      </w:r>
      <w:r w:rsidRPr="009E54C9">
        <w:rPr>
          <w:rFonts w:ascii="Cambria" w:hAnsi="Cambria" w:cs="Arial"/>
          <w:color w:val="000000" w:themeColor="text1"/>
          <w:sz w:val="20"/>
          <w:szCs w:val="20"/>
        </w:rPr>
        <w:t>“</w:t>
      </w:r>
      <w:proofErr w:type="spellStart"/>
      <w:r w:rsidRPr="009E54C9">
        <w:rPr>
          <w:rFonts w:ascii="Cambria" w:hAnsi="Cambria" w:cs="Arial"/>
          <w:color w:val="000000" w:themeColor="text1"/>
          <w:sz w:val="20"/>
          <w:szCs w:val="20"/>
        </w:rPr>
        <w:t>optimising</w:t>
      </w:r>
      <w:proofErr w:type="spellEnd"/>
      <w:r w:rsidRPr="009E54C9">
        <w:rPr>
          <w:rFonts w:ascii="Cambria" w:hAnsi="Cambria" w:cs="Arial"/>
          <w:color w:val="000000" w:themeColor="text1"/>
          <w:sz w:val="20"/>
          <w:szCs w:val="20"/>
        </w:rPr>
        <w:t xml:space="preserve"> the operation of the law and facilitating access to justice”</w:t>
      </w:r>
      <w:r w:rsidR="005657BC" w:rsidRPr="009E54C9">
        <w:rPr>
          <w:rFonts w:ascii="Cambria" w:hAnsi="Cambria" w:cs="Arial"/>
          <w:color w:val="000000" w:themeColor="text1"/>
          <w:sz w:val="20"/>
          <w:szCs w:val="20"/>
        </w:rPr>
        <w:t xml:space="preserve">: </w:t>
      </w:r>
      <w:r w:rsidRPr="009E54C9">
        <w:rPr>
          <w:rFonts w:ascii="Cambria" w:hAnsi="Cambria" w:cs="Arial"/>
          <w:color w:val="000000" w:themeColor="text1"/>
          <w:sz w:val="20"/>
          <w:szCs w:val="20"/>
        </w:rPr>
        <w:t xml:space="preserve">Tasmania </w:t>
      </w:r>
      <w:r w:rsidRPr="009E54C9">
        <w:rPr>
          <w:rFonts w:ascii="Cambria" w:hAnsi="Cambria"/>
          <w:sz w:val="20"/>
          <w:szCs w:val="20"/>
          <w:lang w:val="en-AU"/>
        </w:rPr>
        <w:t xml:space="preserve">Law Reform Institute, ‘Renewal of Agreement’. As found at </w:t>
      </w:r>
      <w:hyperlink r:id="rId2" w:history="1">
        <w:r w:rsidRPr="009E54C9">
          <w:rPr>
            <w:rStyle w:val="Hyperlink"/>
            <w:rFonts w:ascii="Cambria" w:hAnsi="Cambria"/>
            <w:sz w:val="20"/>
            <w:szCs w:val="20"/>
            <w:lang w:val="en-AU"/>
          </w:rPr>
          <w:t>https://www.utas.edu.au/__data/assets/pdf_file/0008/1338614/TLRI-Renewal-of-Agreement-2019.pdf</w:t>
        </w:r>
      </w:hyperlink>
      <w:r w:rsidRPr="009E54C9">
        <w:rPr>
          <w:rFonts w:ascii="Cambria" w:hAnsi="Cambria"/>
          <w:sz w:val="20"/>
          <w:szCs w:val="20"/>
          <w:lang w:val="en-AU"/>
        </w:rPr>
        <w:t xml:space="preserve"> </w:t>
      </w:r>
      <w:r w:rsidR="00EC05E8" w:rsidRPr="009E54C9">
        <w:rPr>
          <w:rFonts w:ascii="Cambria" w:hAnsi="Cambria"/>
          <w:sz w:val="20"/>
          <w:szCs w:val="20"/>
          <w:lang w:val="en-AU"/>
        </w:rPr>
        <w:t xml:space="preserve">(accessed </w:t>
      </w:r>
      <w:r w:rsidR="005657BC" w:rsidRPr="009E54C9">
        <w:rPr>
          <w:rFonts w:ascii="Cambria" w:hAnsi="Cambria"/>
          <w:sz w:val="20"/>
          <w:szCs w:val="20"/>
          <w:lang w:val="en-AU"/>
        </w:rPr>
        <w:t>14</w:t>
      </w:r>
      <w:r w:rsidR="00EC05E8" w:rsidRPr="009E54C9">
        <w:rPr>
          <w:rFonts w:ascii="Cambria" w:hAnsi="Cambria"/>
          <w:sz w:val="20"/>
          <w:szCs w:val="20"/>
          <w:lang w:val="en-AU"/>
        </w:rPr>
        <w:t xml:space="preserve"> April 2022).</w:t>
      </w:r>
    </w:p>
  </w:footnote>
  <w:footnote w:id="3">
    <w:p w14:paraId="593658C0" w14:textId="2ED6AC67"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cs="Arial"/>
          <w:color w:val="000000" w:themeColor="text1"/>
          <w:sz w:val="20"/>
          <w:szCs w:val="20"/>
        </w:rPr>
        <w:t xml:space="preserve">Section 21(1)(iv) of the </w:t>
      </w:r>
      <w:r w:rsidRPr="009E54C9">
        <w:rPr>
          <w:rFonts w:ascii="Cambria" w:hAnsi="Cambria" w:cs="Arial"/>
          <w:i/>
          <w:iCs/>
          <w:color w:val="000000" w:themeColor="text1"/>
          <w:sz w:val="20"/>
          <w:szCs w:val="20"/>
        </w:rPr>
        <w:t>Australian Law Reform Commission Act 1996</w:t>
      </w:r>
      <w:r w:rsidRPr="009E54C9">
        <w:rPr>
          <w:rFonts w:ascii="Cambria" w:hAnsi="Cambria" w:cs="Arial"/>
          <w:color w:val="000000" w:themeColor="text1"/>
          <w:sz w:val="20"/>
          <w:szCs w:val="20"/>
        </w:rPr>
        <w:t xml:space="preserve"> (</w:t>
      </w:r>
      <w:proofErr w:type="spellStart"/>
      <w:r w:rsidRPr="009E54C9">
        <w:rPr>
          <w:rFonts w:ascii="Cambria" w:hAnsi="Cambria" w:cs="Arial"/>
          <w:color w:val="000000" w:themeColor="text1"/>
          <w:sz w:val="20"/>
          <w:szCs w:val="20"/>
        </w:rPr>
        <w:t>Cth</w:t>
      </w:r>
      <w:proofErr w:type="spellEnd"/>
      <w:r w:rsidRPr="009E54C9">
        <w:rPr>
          <w:rFonts w:ascii="Cambria" w:hAnsi="Cambria" w:cs="Arial"/>
          <w:color w:val="000000" w:themeColor="text1"/>
          <w:sz w:val="20"/>
          <w:szCs w:val="20"/>
        </w:rPr>
        <w:t xml:space="preserve">). Also see section 10(1)(v) of the </w:t>
      </w:r>
      <w:r w:rsidRPr="009E54C9">
        <w:rPr>
          <w:rFonts w:ascii="Cambria" w:hAnsi="Cambria" w:cs="Arial"/>
          <w:i/>
          <w:iCs/>
          <w:color w:val="000000" w:themeColor="text1"/>
          <w:sz w:val="20"/>
          <w:szCs w:val="20"/>
        </w:rPr>
        <w:t>Law Reform Commission Act 1967</w:t>
      </w:r>
      <w:r w:rsidRPr="009E54C9">
        <w:rPr>
          <w:rFonts w:ascii="Cambria" w:hAnsi="Cambria" w:cs="Arial"/>
          <w:color w:val="000000" w:themeColor="text1"/>
          <w:sz w:val="20"/>
          <w:szCs w:val="20"/>
        </w:rPr>
        <w:t xml:space="preserve"> (NSW) which states “adopting new or more effective methods for the administration of the law and the dispensation of justice”. </w:t>
      </w:r>
    </w:p>
  </w:footnote>
  <w:footnote w:id="4">
    <w:p w14:paraId="30C09624" w14:textId="6DD27843"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Tasmania Law Reform Institute, </w:t>
      </w:r>
      <w:r w:rsidRPr="009E54C9">
        <w:rPr>
          <w:rFonts w:ascii="Cambria" w:hAnsi="Cambria"/>
          <w:i/>
          <w:iCs/>
          <w:sz w:val="20"/>
          <w:szCs w:val="20"/>
          <w:lang w:val="en-AU"/>
        </w:rPr>
        <w:t>Problem Trees and Hedges: Access to Sunlight and Views</w:t>
      </w:r>
      <w:r w:rsidRPr="009E54C9">
        <w:rPr>
          <w:rFonts w:ascii="Cambria" w:hAnsi="Cambria"/>
          <w:sz w:val="20"/>
          <w:szCs w:val="20"/>
          <w:lang w:val="en-AU"/>
        </w:rPr>
        <w:t xml:space="preserve"> (Final Report No. 21: January 2016). </w:t>
      </w:r>
    </w:p>
  </w:footnote>
  <w:footnote w:id="5">
    <w:p w14:paraId="7A6D917F" w14:textId="3E5C926F"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Tasmania Law Reform Institute, </w:t>
      </w:r>
      <w:r w:rsidRPr="009E54C9">
        <w:rPr>
          <w:rFonts w:ascii="Cambria" w:hAnsi="Cambria" w:cs="Arial"/>
          <w:i/>
          <w:iCs/>
          <w:color w:val="000000" w:themeColor="text1"/>
          <w:sz w:val="20"/>
          <w:szCs w:val="20"/>
        </w:rPr>
        <w:t>The Establishment of a Drug Court Pilot in Tasmania</w:t>
      </w:r>
      <w:r w:rsidRPr="009E54C9">
        <w:rPr>
          <w:rFonts w:ascii="Cambria" w:hAnsi="Cambria" w:cs="Arial"/>
          <w:color w:val="000000" w:themeColor="text1"/>
          <w:sz w:val="20"/>
          <w:szCs w:val="20"/>
        </w:rPr>
        <w:t xml:space="preserve"> </w:t>
      </w:r>
      <w:r w:rsidRPr="009E54C9">
        <w:rPr>
          <w:rFonts w:ascii="Cambria" w:hAnsi="Cambria"/>
          <w:sz w:val="20"/>
          <w:szCs w:val="20"/>
          <w:lang w:val="en-AU"/>
        </w:rPr>
        <w:t xml:space="preserve">(Research Paper No. 2: December 2006). </w:t>
      </w:r>
    </w:p>
  </w:footnote>
  <w:footnote w:id="6">
    <w:p w14:paraId="0BCF1A66" w14:textId="77777777" w:rsidR="00984075" w:rsidRPr="009E54C9" w:rsidRDefault="00984075" w:rsidP="0098407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5.3 of the 2019 Renewal Agreement.</w:t>
      </w:r>
    </w:p>
  </w:footnote>
  <w:footnote w:id="7">
    <w:p w14:paraId="23347E58" w14:textId="77777777" w:rsidR="00984075" w:rsidRPr="009E54C9" w:rsidRDefault="00984075" w:rsidP="0098407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Section 8(3) of the </w:t>
      </w:r>
      <w:r w:rsidRPr="009E54C9">
        <w:rPr>
          <w:rFonts w:ascii="Cambria" w:hAnsi="Cambria"/>
          <w:i/>
          <w:iCs/>
          <w:sz w:val="20"/>
          <w:szCs w:val="20"/>
          <w:lang w:val="en-AU"/>
        </w:rPr>
        <w:t>Commissioner for Children and Young People Act 2016</w:t>
      </w:r>
      <w:r w:rsidRPr="009E54C9">
        <w:rPr>
          <w:rFonts w:ascii="Cambria" w:hAnsi="Cambria"/>
          <w:sz w:val="20"/>
          <w:szCs w:val="20"/>
          <w:lang w:val="en-AU"/>
        </w:rPr>
        <w:t xml:space="preserve"> (Tas).</w:t>
      </w:r>
    </w:p>
  </w:footnote>
  <w:footnote w:id="8">
    <w:p w14:paraId="2FDFADCB" w14:textId="77777777" w:rsidR="00984075" w:rsidRPr="009E54C9" w:rsidRDefault="00984075" w:rsidP="0098407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Section 5(3) of the </w:t>
      </w:r>
      <w:r w:rsidRPr="009E54C9">
        <w:rPr>
          <w:rFonts w:ascii="Cambria" w:hAnsi="Cambria"/>
          <w:i/>
          <w:iCs/>
          <w:sz w:val="20"/>
          <w:szCs w:val="20"/>
          <w:lang w:val="en-AU"/>
        </w:rPr>
        <w:t>Law Commission Act 1985</w:t>
      </w:r>
      <w:r w:rsidRPr="009E54C9">
        <w:rPr>
          <w:rFonts w:ascii="Cambria" w:hAnsi="Cambria"/>
          <w:sz w:val="20"/>
          <w:szCs w:val="20"/>
          <w:lang w:val="en-AU"/>
        </w:rPr>
        <w:t xml:space="preserve"> (NZ). </w:t>
      </w:r>
    </w:p>
  </w:footnote>
  <w:footnote w:id="9">
    <w:p w14:paraId="34E5B6EA" w14:textId="5CB0B97D" w:rsidR="0067202D" w:rsidRPr="009E54C9" w:rsidRDefault="0067202D" w:rsidP="007C0C5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4</w:t>
      </w:r>
      <w:r w:rsidR="00984075" w:rsidRPr="009E54C9">
        <w:rPr>
          <w:rFonts w:ascii="Cambria" w:hAnsi="Cambria"/>
          <w:sz w:val="20"/>
          <w:szCs w:val="20"/>
          <w:lang w:val="en-AU"/>
        </w:rPr>
        <w:t>.1</w:t>
      </w:r>
      <w:r w:rsidRPr="009E54C9">
        <w:rPr>
          <w:rFonts w:ascii="Cambria" w:hAnsi="Cambria"/>
          <w:sz w:val="20"/>
          <w:szCs w:val="20"/>
          <w:lang w:val="en-AU"/>
        </w:rPr>
        <w:t xml:space="preserve"> of the </w:t>
      </w:r>
      <w:r w:rsidR="00984075" w:rsidRPr="009E54C9">
        <w:rPr>
          <w:rFonts w:ascii="Cambria" w:hAnsi="Cambria"/>
          <w:sz w:val="20"/>
          <w:szCs w:val="20"/>
          <w:lang w:val="en-AU"/>
        </w:rPr>
        <w:t xml:space="preserve">2019 Renewal </w:t>
      </w:r>
      <w:r w:rsidRPr="009E54C9">
        <w:rPr>
          <w:rFonts w:ascii="Cambria" w:hAnsi="Cambria"/>
          <w:sz w:val="20"/>
          <w:szCs w:val="20"/>
          <w:lang w:val="en-AU"/>
        </w:rPr>
        <w:t xml:space="preserve">Agreement. </w:t>
      </w:r>
      <w:r w:rsidR="00984075" w:rsidRPr="009E54C9">
        <w:rPr>
          <w:rFonts w:ascii="Cambria" w:hAnsi="Cambria"/>
          <w:sz w:val="20"/>
          <w:szCs w:val="20"/>
          <w:lang w:val="en-AU"/>
        </w:rPr>
        <w:t xml:space="preserve">See also </w:t>
      </w:r>
      <w:r w:rsidRPr="009E54C9">
        <w:rPr>
          <w:rFonts w:ascii="Cambria" w:hAnsi="Cambria"/>
          <w:sz w:val="20"/>
          <w:szCs w:val="20"/>
          <w:lang w:val="en-AU"/>
        </w:rPr>
        <w:t xml:space="preserve">South Australian Law Reform Institute, Sources for Institute’s Work. As found at </w:t>
      </w:r>
      <w:hyperlink r:id="rId3" w:anchor="sources-for-institutes-work" w:history="1">
        <w:r w:rsidRPr="009E54C9">
          <w:rPr>
            <w:rStyle w:val="Hyperlink"/>
            <w:rFonts w:ascii="Cambria" w:hAnsi="Cambria"/>
            <w:sz w:val="20"/>
            <w:szCs w:val="20"/>
            <w:lang w:val="en-AU"/>
          </w:rPr>
          <w:t>https://law.adelaide.edu.au/research/south-australian-law-reform-institute#sources-for-institutes-work</w:t>
        </w:r>
      </w:hyperlink>
      <w:r w:rsidRPr="009E54C9">
        <w:rPr>
          <w:rFonts w:ascii="Cambria" w:hAnsi="Cambria"/>
          <w:sz w:val="20"/>
          <w:szCs w:val="20"/>
          <w:lang w:val="en-AU"/>
        </w:rPr>
        <w:t xml:space="preserve"> </w:t>
      </w:r>
      <w:r w:rsidR="00EC05E8" w:rsidRPr="009E54C9">
        <w:rPr>
          <w:rFonts w:ascii="Cambria" w:hAnsi="Cambria"/>
          <w:sz w:val="20"/>
          <w:szCs w:val="20"/>
          <w:lang w:val="en-AU"/>
        </w:rPr>
        <w:t xml:space="preserve">(accessed </w:t>
      </w:r>
      <w:r w:rsidR="005657BC" w:rsidRPr="009E54C9">
        <w:rPr>
          <w:rFonts w:ascii="Cambria" w:hAnsi="Cambria"/>
          <w:sz w:val="20"/>
          <w:szCs w:val="20"/>
          <w:lang w:val="en-AU"/>
        </w:rPr>
        <w:t>14</w:t>
      </w:r>
      <w:r w:rsidR="00EC05E8" w:rsidRPr="009E54C9">
        <w:rPr>
          <w:rFonts w:ascii="Cambria" w:hAnsi="Cambria"/>
          <w:sz w:val="20"/>
          <w:szCs w:val="20"/>
          <w:lang w:val="en-AU"/>
        </w:rPr>
        <w:t xml:space="preserve"> April 2022); </w:t>
      </w:r>
      <w:r w:rsidR="00984075" w:rsidRPr="009E54C9">
        <w:rPr>
          <w:rFonts w:ascii="Cambria" w:hAnsi="Cambria"/>
          <w:sz w:val="20"/>
          <w:szCs w:val="20"/>
          <w:lang w:val="en-AU"/>
        </w:rPr>
        <w:t>c</w:t>
      </w:r>
      <w:r w:rsidRPr="009E54C9">
        <w:rPr>
          <w:rFonts w:ascii="Cambria" w:hAnsi="Cambria"/>
          <w:sz w:val="20"/>
          <w:szCs w:val="20"/>
          <w:lang w:val="en-AU"/>
        </w:rPr>
        <w:t>lause</w:t>
      </w:r>
      <w:r w:rsidR="00984075" w:rsidRPr="009E54C9">
        <w:rPr>
          <w:rFonts w:ascii="Cambria" w:hAnsi="Cambria"/>
          <w:sz w:val="20"/>
          <w:szCs w:val="20"/>
          <w:lang w:val="en-AU"/>
        </w:rPr>
        <w:t xml:space="preserve"> </w:t>
      </w:r>
      <w:r w:rsidRPr="009E54C9">
        <w:rPr>
          <w:rFonts w:ascii="Cambria" w:hAnsi="Cambria"/>
          <w:sz w:val="20"/>
          <w:szCs w:val="20"/>
          <w:lang w:val="en-AU"/>
        </w:rPr>
        <w:t xml:space="preserve">2(a) of the </w:t>
      </w:r>
      <w:r w:rsidRPr="009E54C9">
        <w:rPr>
          <w:rFonts w:ascii="Cambria" w:hAnsi="Cambria"/>
          <w:i/>
          <w:iCs/>
          <w:sz w:val="20"/>
          <w:szCs w:val="20"/>
          <w:lang w:val="en-AU"/>
        </w:rPr>
        <w:t>Constitution of the Law Reform Committee of the Northern Territory</w:t>
      </w:r>
      <w:r w:rsidRPr="009E54C9">
        <w:rPr>
          <w:rFonts w:ascii="Cambria" w:hAnsi="Cambria"/>
          <w:sz w:val="20"/>
          <w:szCs w:val="20"/>
          <w:lang w:val="en-AU"/>
        </w:rPr>
        <w:t xml:space="preserve">. As found at </w:t>
      </w:r>
      <w:hyperlink r:id="rId4" w:history="1">
        <w:r w:rsidRPr="009E54C9">
          <w:rPr>
            <w:rStyle w:val="Hyperlink"/>
            <w:rFonts w:ascii="Cambria" w:hAnsi="Cambria"/>
            <w:sz w:val="20"/>
            <w:szCs w:val="20"/>
            <w:lang w:val="en-AU"/>
          </w:rPr>
          <w:t>https://justice.nt.gov.au/__data/assets/pdf_file/0004/621922/constitution-law-reform-committee.pdf</w:t>
        </w:r>
      </w:hyperlink>
      <w:r w:rsidRPr="009E54C9">
        <w:rPr>
          <w:rFonts w:ascii="Cambria" w:hAnsi="Cambria"/>
          <w:sz w:val="20"/>
          <w:szCs w:val="20"/>
          <w:lang w:val="en-AU"/>
        </w:rPr>
        <w:t xml:space="preserve"> </w:t>
      </w:r>
      <w:r w:rsidR="00EC05E8" w:rsidRPr="009E54C9">
        <w:rPr>
          <w:rFonts w:ascii="Cambria" w:hAnsi="Cambria"/>
          <w:sz w:val="20"/>
          <w:szCs w:val="20"/>
          <w:lang w:val="en-AU"/>
        </w:rPr>
        <w:t xml:space="preserve">(accessed </w:t>
      </w:r>
      <w:r w:rsidR="005657BC" w:rsidRPr="009E54C9">
        <w:rPr>
          <w:rFonts w:ascii="Cambria" w:hAnsi="Cambria"/>
          <w:sz w:val="20"/>
          <w:szCs w:val="20"/>
          <w:lang w:val="en-AU"/>
        </w:rPr>
        <w:t>14</w:t>
      </w:r>
      <w:r w:rsidR="00EC05E8" w:rsidRPr="009E54C9">
        <w:rPr>
          <w:rFonts w:ascii="Cambria" w:hAnsi="Cambria"/>
          <w:sz w:val="20"/>
          <w:szCs w:val="20"/>
          <w:lang w:val="en-AU"/>
        </w:rPr>
        <w:t xml:space="preserve"> April 2022).</w:t>
      </w:r>
    </w:p>
  </w:footnote>
  <w:footnote w:id="10">
    <w:p w14:paraId="6BA6FB95" w14:textId="139B559A" w:rsidR="0067202D" w:rsidRPr="009E54C9" w:rsidRDefault="0067202D" w:rsidP="007C0C55">
      <w:pPr>
        <w:rPr>
          <w:rFonts w:ascii="Cambria" w:hAnsi="Cambria"/>
          <w:sz w:val="20"/>
          <w:szCs w:val="20"/>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color w:val="000000" w:themeColor="text1"/>
          <w:sz w:val="20"/>
          <w:szCs w:val="20"/>
        </w:rPr>
        <w:t xml:space="preserve">See, for example section 20 of the </w:t>
      </w:r>
      <w:r w:rsidRPr="009E54C9">
        <w:rPr>
          <w:rFonts w:ascii="Cambria" w:hAnsi="Cambria"/>
          <w:i/>
          <w:iCs/>
          <w:color w:val="000000" w:themeColor="text1"/>
          <w:sz w:val="20"/>
          <w:szCs w:val="20"/>
        </w:rPr>
        <w:t>Australian Law Reform Commission Act 1996</w:t>
      </w:r>
      <w:r w:rsidRPr="009E54C9">
        <w:rPr>
          <w:rFonts w:ascii="Cambria" w:hAnsi="Cambria"/>
          <w:color w:val="000000" w:themeColor="text1"/>
          <w:sz w:val="20"/>
          <w:szCs w:val="20"/>
        </w:rPr>
        <w:t> (</w:t>
      </w:r>
      <w:proofErr w:type="spellStart"/>
      <w:r w:rsidRPr="009E54C9">
        <w:rPr>
          <w:rFonts w:ascii="Cambria" w:hAnsi="Cambria"/>
          <w:color w:val="000000" w:themeColor="text1"/>
          <w:sz w:val="20"/>
          <w:szCs w:val="20"/>
        </w:rPr>
        <w:t>Cth</w:t>
      </w:r>
      <w:proofErr w:type="spellEnd"/>
      <w:r w:rsidRPr="009E54C9">
        <w:rPr>
          <w:rFonts w:ascii="Cambria" w:hAnsi="Cambria"/>
          <w:color w:val="000000" w:themeColor="text1"/>
          <w:sz w:val="20"/>
          <w:szCs w:val="20"/>
        </w:rPr>
        <w:t xml:space="preserve">); </w:t>
      </w:r>
      <w:r w:rsidRPr="009E54C9">
        <w:rPr>
          <w:rFonts w:ascii="Cambria" w:hAnsi="Cambria" w:cs="Arial"/>
          <w:color w:val="000000" w:themeColor="text1"/>
          <w:sz w:val="20"/>
          <w:szCs w:val="20"/>
        </w:rPr>
        <w:t xml:space="preserve">section 10(1) of the </w:t>
      </w:r>
      <w:r w:rsidRPr="009E54C9">
        <w:rPr>
          <w:rFonts w:ascii="Cambria" w:hAnsi="Cambria" w:cs="Arial"/>
          <w:i/>
          <w:iCs/>
          <w:color w:val="000000" w:themeColor="text1"/>
          <w:sz w:val="20"/>
          <w:szCs w:val="20"/>
        </w:rPr>
        <w:t>Law Reform Commission Act 1967</w:t>
      </w:r>
      <w:r w:rsidRPr="009E54C9">
        <w:rPr>
          <w:rFonts w:ascii="Cambria" w:hAnsi="Cambria" w:cs="Arial"/>
          <w:color w:val="000000" w:themeColor="text1"/>
          <w:sz w:val="20"/>
          <w:szCs w:val="20"/>
        </w:rPr>
        <w:t xml:space="preserve"> (NSW). In Queensland, section 10(2) of the </w:t>
      </w:r>
      <w:r w:rsidRPr="009E54C9">
        <w:rPr>
          <w:rFonts w:ascii="Cambria" w:hAnsi="Cambria" w:cs="Arial"/>
          <w:i/>
          <w:iCs/>
          <w:color w:val="000000" w:themeColor="text1"/>
          <w:sz w:val="20"/>
          <w:szCs w:val="20"/>
        </w:rPr>
        <w:t xml:space="preserve">Law Reform Commission Act 1968 </w:t>
      </w:r>
      <w:r w:rsidRPr="009E54C9">
        <w:rPr>
          <w:rFonts w:ascii="Cambria" w:hAnsi="Cambria" w:cs="Arial"/>
          <w:color w:val="000000" w:themeColor="text1"/>
          <w:sz w:val="20"/>
          <w:szCs w:val="20"/>
        </w:rPr>
        <w:t>provides that the Queensland Law Reform Commission may “</w:t>
      </w:r>
      <w:r w:rsidRPr="009E54C9">
        <w:rPr>
          <w:rFonts w:ascii="Cambria" w:hAnsi="Cambria"/>
          <w:color w:val="000000" w:themeColor="text1"/>
          <w:sz w:val="20"/>
          <w:szCs w:val="20"/>
          <w:shd w:val="clear" w:color="auto" w:fill="FFFFFF"/>
        </w:rPr>
        <w:t xml:space="preserve">receive and consider any proposal for the reform of the law which may be made or referred to it” however on its website it notes that “the Commission’s role is limited to reviewing particular areas of Queensland law referred to it by the Attorney-General at any given time”: </w:t>
      </w:r>
      <w:hyperlink r:id="rId5" w:anchor="Function" w:history="1">
        <w:r w:rsidRPr="009E54C9">
          <w:rPr>
            <w:rStyle w:val="Hyperlink"/>
            <w:rFonts w:ascii="Cambria" w:hAnsi="Cambria"/>
            <w:sz w:val="20"/>
            <w:szCs w:val="20"/>
          </w:rPr>
          <w:t>https://www.qlrc.qld.gov.au/about-us#Function</w:t>
        </w:r>
      </w:hyperlink>
      <w:r w:rsidRPr="009E54C9">
        <w:rPr>
          <w:rStyle w:val="Strong"/>
          <w:rFonts w:ascii="Cambria" w:hAnsi="Cambria"/>
          <w:color w:val="000000" w:themeColor="text1"/>
          <w:sz w:val="20"/>
          <w:szCs w:val="20"/>
        </w:rPr>
        <w:t xml:space="preserve">  </w:t>
      </w:r>
      <w:r w:rsidR="00EC05E8" w:rsidRPr="009E54C9">
        <w:rPr>
          <w:rFonts w:ascii="Cambria" w:hAnsi="Cambria"/>
          <w:sz w:val="20"/>
          <w:szCs w:val="20"/>
        </w:rPr>
        <w:t xml:space="preserve">(accessed </w:t>
      </w:r>
      <w:r w:rsidR="005657BC" w:rsidRPr="009E54C9">
        <w:rPr>
          <w:rFonts w:ascii="Cambria" w:hAnsi="Cambria"/>
          <w:sz w:val="20"/>
          <w:szCs w:val="20"/>
        </w:rPr>
        <w:t>14</w:t>
      </w:r>
      <w:r w:rsidR="00EC05E8" w:rsidRPr="009E54C9">
        <w:rPr>
          <w:rFonts w:ascii="Cambria" w:hAnsi="Cambria"/>
          <w:sz w:val="20"/>
          <w:szCs w:val="20"/>
        </w:rPr>
        <w:t xml:space="preserve"> April 2022). </w:t>
      </w:r>
      <w:r w:rsidRPr="009E54C9">
        <w:rPr>
          <w:rStyle w:val="Strong"/>
          <w:rFonts w:ascii="Cambria" w:hAnsi="Cambria"/>
          <w:b w:val="0"/>
          <w:bCs w:val="0"/>
          <w:color w:val="000000" w:themeColor="text1"/>
          <w:sz w:val="20"/>
          <w:szCs w:val="20"/>
        </w:rPr>
        <w:t xml:space="preserve">   </w:t>
      </w:r>
    </w:p>
  </w:footnote>
  <w:footnote w:id="11">
    <w:p w14:paraId="000E7566" w14:textId="77777777" w:rsidR="0067202D" w:rsidRPr="009E54C9" w:rsidRDefault="0067202D" w:rsidP="007C0C5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color w:val="000000"/>
          <w:sz w:val="20"/>
          <w:szCs w:val="20"/>
        </w:rPr>
        <w:t xml:space="preserve">Section 5(1)(a) of the </w:t>
      </w:r>
      <w:r w:rsidRPr="009E54C9">
        <w:rPr>
          <w:rFonts w:ascii="Cambria" w:hAnsi="Cambria"/>
          <w:i/>
          <w:iCs/>
          <w:color w:val="000000"/>
          <w:sz w:val="20"/>
          <w:szCs w:val="20"/>
        </w:rPr>
        <w:t>Victorian Law Reform Commission Act 2000.</w:t>
      </w:r>
    </w:p>
  </w:footnote>
  <w:footnote w:id="12">
    <w:p w14:paraId="45BA7DAE" w14:textId="2487C7EF" w:rsidR="0067202D" w:rsidRPr="009E54C9" w:rsidRDefault="0067202D" w:rsidP="007C0C55">
      <w:pPr>
        <w:pStyle w:val="FootnoteText"/>
        <w:rPr>
          <w:rFonts w:ascii="Cambria" w:hAnsi="Cambria"/>
          <w:color w:val="000000"/>
          <w:sz w:val="20"/>
          <w:szCs w:val="20"/>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color w:val="000000"/>
          <w:sz w:val="20"/>
          <w:szCs w:val="20"/>
        </w:rPr>
        <w:t xml:space="preserve">Section 5(1)(b) of the </w:t>
      </w:r>
      <w:r w:rsidRPr="009E54C9">
        <w:rPr>
          <w:rFonts w:ascii="Cambria" w:hAnsi="Cambria"/>
          <w:i/>
          <w:iCs/>
          <w:color w:val="000000"/>
          <w:sz w:val="20"/>
          <w:szCs w:val="20"/>
        </w:rPr>
        <w:t>Victorian Law Reform Commission Act 2000.</w:t>
      </w:r>
      <w:r w:rsidRPr="009E54C9">
        <w:rPr>
          <w:rFonts w:ascii="Cambria" w:hAnsi="Cambria"/>
          <w:color w:val="000000"/>
          <w:sz w:val="20"/>
          <w:szCs w:val="20"/>
        </w:rPr>
        <w:t xml:space="preserve"> Similarly, in Western Australia section 11(1) of the</w:t>
      </w:r>
      <w:r w:rsidRPr="009E54C9">
        <w:rPr>
          <w:rFonts w:ascii="Cambria" w:hAnsi="Cambria"/>
          <w:i/>
          <w:iCs/>
          <w:color w:val="000000"/>
          <w:sz w:val="20"/>
          <w:szCs w:val="20"/>
        </w:rPr>
        <w:t xml:space="preserve"> Law Reform Commission Act 1972</w:t>
      </w:r>
      <w:r w:rsidR="005657BC" w:rsidRPr="009E54C9">
        <w:rPr>
          <w:rFonts w:ascii="Cambria" w:hAnsi="Cambria"/>
          <w:color w:val="000000"/>
          <w:sz w:val="20"/>
          <w:szCs w:val="20"/>
        </w:rPr>
        <w:t xml:space="preserve"> </w:t>
      </w:r>
      <w:r w:rsidRPr="009E54C9">
        <w:rPr>
          <w:rFonts w:ascii="Cambria" w:hAnsi="Cambria"/>
          <w:color w:val="000000"/>
          <w:sz w:val="20"/>
          <w:szCs w:val="20"/>
        </w:rPr>
        <w:t xml:space="preserve">provides that the Commission “may consider any proposal for the reform of the law which may be made to it by any person” but in practice the Commission will only “research and make recommendations to the government if the law reform idea involves minor changes”: </w:t>
      </w:r>
      <w:hyperlink r:id="rId6" w:history="1">
        <w:r w:rsidRPr="009E54C9">
          <w:rPr>
            <w:rStyle w:val="Hyperlink"/>
            <w:rFonts w:ascii="Cambria" w:hAnsi="Cambria"/>
            <w:sz w:val="20"/>
            <w:szCs w:val="20"/>
          </w:rPr>
          <w:t>https://www.wa.gov.au/organisation/law-reform-commission-of-western-australia/contribute-law-reform</w:t>
        </w:r>
      </w:hyperlink>
      <w:r w:rsidRPr="009E54C9">
        <w:rPr>
          <w:rFonts w:ascii="Cambria" w:hAnsi="Cambria"/>
          <w:color w:val="000000"/>
          <w:sz w:val="20"/>
          <w:szCs w:val="20"/>
        </w:rPr>
        <w:t xml:space="preserve"> </w:t>
      </w:r>
      <w:r w:rsidR="00EC05E8" w:rsidRPr="009E54C9">
        <w:rPr>
          <w:rFonts w:ascii="Cambria" w:hAnsi="Cambria"/>
          <w:sz w:val="20"/>
          <w:szCs w:val="20"/>
          <w:lang w:val="en-AU"/>
        </w:rPr>
        <w:t xml:space="preserve">(accessed </w:t>
      </w:r>
      <w:r w:rsidR="005657BC" w:rsidRPr="009E54C9">
        <w:rPr>
          <w:rFonts w:ascii="Cambria" w:hAnsi="Cambria"/>
          <w:sz w:val="20"/>
          <w:szCs w:val="20"/>
          <w:lang w:val="en-AU"/>
        </w:rPr>
        <w:t>14</w:t>
      </w:r>
      <w:r w:rsidR="00EC05E8" w:rsidRPr="009E54C9">
        <w:rPr>
          <w:rFonts w:ascii="Cambria" w:hAnsi="Cambria"/>
          <w:sz w:val="20"/>
          <w:szCs w:val="20"/>
          <w:lang w:val="en-AU"/>
        </w:rPr>
        <w:t xml:space="preserve"> April 2022).</w:t>
      </w:r>
    </w:p>
  </w:footnote>
  <w:footnote w:id="13">
    <w:p w14:paraId="1E84879D" w14:textId="0436BFD7" w:rsidR="004C27B8" w:rsidRPr="009E54C9" w:rsidRDefault="004C27B8" w:rsidP="00D01719">
      <w:pPr>
        <w:rPr>
          <w:rFonts w:ascii="Cambria" w:hAnsi="Cambria"/>
          <w:sz w:val="20"/>
          <w:szCs w:val="20"/>
        </w:rPr>
      </w:pPr>
      <w:r w:rsidRPr="009E54C9">
        <w:rPr>
          <w:rStyle w:val="FootnoteReference"/>
          <w:rFonts w:ascii="Cambria" w:hAnsi="Cambria"/>
          <w:sz w:val="20"/>
          <w:szCs w:val="20"/>
        </w:rPr>
        <w:footnoteRef/>
      </w:r>
      <w:r w:rsidRPr="009E54C9">
        <w:rPr>
          <w:rFonts w:ascii="Cambria" w:hAnsi="Cambria"/>
          <w:sz w:val="20"/>
          <w:szCs w:val="20"/>
        </w:rPr>
        <w:t xml:space="preserve"> Tasmania Law Reform Institute, </w:t>
      </w:r>
      <w:r w:rsidRPr="009E54C9">
        <w:rPr>
          <w:rFonts w:ascii="Cambria" w:hAnsi="Cambria"/>
          <w:i/>
          <w:iCs/>
          <w:color w:val="000000"/>
          <w:sz w:val="20"/>
          <w:szCs w:val="20"/>
        </w:rPr>
        <w:t>Non-Therapeutic Male Circumcision</w:t>
      </w:r>
      <w:r w:rsidRPr="009E54C9">
        <w:rPr>
          <w:rFonts w:ascii="Cambria" w:hAnsi="Cambria"/>
          <w:color w:val="000000"/>
          <w:sz w:val="20"/>
          <w:szCs w:val="20"/>
        </w:rPr>
        <w:t xml:space="preserve"> (Final Report No. 17: August 2012); </w:t>
      </w:r>
      <w:r w:rsidRPr="009E54C9">
        <w:rPr>
          <w:rFonts w:ascii="Cambria" w:hAnsi="Cambria"/>
          <w:sz w:val="20"/>
          <w:szCs w:val="20"/>
        </w:rPr>
        <w:t xml:space="preserve">Tasmania Law Reform Institute, </w:t>
      </w:r>
      <w:r w:rsidRPr="009E54C9">
        <w:rPr>
          <w:rFonts w:ascii="Cambria" w:hAnsi="Cambria"/>
          <w:i/>
          <w:iCs/>
          <w:color w:val="000000"/>
          <w:sz w:val="20"/>
          <w:szCs w:val="20"/>
        </w:rPr>
        <w:t>Physical Punishment of Children</w:t>
      </w:r>
      <w:r w:rsidRPr="009E54C9">
        <w:rPr>
          <w:rFonts w:ascii="Cambria" w:hAnsi="Cambria"/>
          <w:color w:val="000000"/>
          <w:sz w:val="20"/>
          <w:szCs w:val="20"/>
        </w:rPr>
        <w:t xml:space="preserve"> (Final Report No. 4: October 2003). </w:t>
      </w:r>
    </w:p>
  </w:footnote>
  <w:footnote w:id="14">
    <w:p w14:paraId="060152FC" w14:textId="086CCE9F"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3.3 of the 2019 Renewal Agreement.</w:t>
      </w:r>
      <w:r w:rsidR="00397346" w:rsidRPr="009E54C9">
        <w:rPr>
          <w:rFonts w:ascii="Cambria" w:hAnsi="Cambria"/>
          <w:sz w:val="20"/>
          <w:szCs w:val="20"/>
          <w:lang w:val="en-AU"/>
        </w:rPr>
        <w:t xml:space="preserve"> See also Clause 4.4 </w:t>
      </w:r>
      <w:r w:rsidR="00397346" w:rsidRPr="009E54C9">
        <w:rPr>
          <w:rFonts w:ascii="Cambria" w:hAnsi="Cambria"/>
          <w:color w:val="000000"/>
          <w:sz w:val="20"/>
          <w:szCs w:val="20"/>
        </w:rPr>
        <w:t>which outlines that the Board “will identify the extent of the project, the time for completion, the expected output and the cost of the project”.</w:t>
      </w:r>
    </w:p>
  </w:footnote>
  <w:footnote w:id="15">
    <w:p w14:paraId="52385ED7" w14:textId="77777777" w:rsidR="0067202D" w:rsidRPr="009E54C9" w:rsidRDefault="0067202D" w:rsidP="00FD18C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See section 20(2) of the </w:t>
      </w:r>
      <w:r w:rsidRPr="009E54C9">
        <w:rPr>
          <w:rFonts w:ascii="Cambria" w:hAnsi="Cambria"/>
          <w:i/>
          <w:iCs/>
          <w:sz w:val="20"/>
          <w:szCs w:val="20"/>
          <w:lang w:val="en-AU"/>
        </w:rPr>
        <w:t>Australian Law Reform Commission Act 1996</w:t>
      </w:r>
      <w:r w:rsidRPr="009E54C9">
        <w:rPr>
          <w:rFonts w:ascii="Cambria" w:hAnsi="Cambria"/>
          <w:sz w:val="20"/>
          <w:szCs w:val="20"/>
          <w:lang w:val="en-AU"/>
        </w:rPr>
        <w:t xml:space="preserve"> (</w:t>
      </w:r>
      <w:proofErr w:type="spellStart"/>
      <w:r w:rsidRPr="009E54C9">
        <w:rPr>
          <w:rFonts w:ascii="Cambria" w:hAnsi="Cambria"/>
          <w:sz w:val="20"/>
          <w:szCs w:val="20"/>
          <w:lang w:val="en-AU"/>
        </w:rPr>
        <w:t>Cth</w:t>
      </w:r>
      <w:proofErr w:type="spellEnd"/>
      <w:r w:rsidRPr="009E54C9">
        <w:rPr>
          <w:rFonts w:ascii="Cambria" w:hAnsi="Cambria"/>
          <w:sz w:val="20"/>
          <w:szCs w:val="20"/>
          <w:lang w:val="en-AU"/>
        </w:rPr>
        <w:t xml:space="preserve">). See also </w:t>
      </w:r>
      <w:r w:rsidRPr="009E54C9">
        <w:rPr>
          <w:rFonts w:ascii="Cambria" w:hAnsi="Cambria"/>
          <w:color w:val="000000"/>
          <w:sz w:val="20"/>
          <w:szCs w:val="20"/>
        </w:rPr>
        <w:t xml:space="preserve">section 20(2)(a) of the </w:t>
      </w:r>
      <w:r w:rsidRPr="009E54C9">
        <w:rPr>
          <w:rFonts w:ascii="Cambria" w:hAnsi="Cambria"/>
          <w:i/>
          <w:iCs/>
          <w:color w:val="000000"/>
          <w:sz w:val="20"/>
          <w:szCs w:val="20"/>
        </w:rPr>
        <w:t>Victorian Law Reform Commission Act 2000.</w:t>
      </w:r>
      <w:r w:rsidRPr="009E54C9">
        <w:rPr>
          <w:rFonts w:ascii="Cambria" w:hAnsi="Cambria"/>
          <w:sz w:val="20"/>
          <w:szCs w:val="20"/>
          <w:lang w:val="en-AU"/>
        </w:rPr>
        <w:t xml:space="preserve">  </w:t>
      </w:r>
    </w:p>
  </w:footnote>
  <w:footnote w:id="16">
    <w:p w14:paraId="579B3DA3" w14:textId="4042F555" w:rsidR="0067202D" w:rsidRPr="009E54C9" w:rsidRDefault="0067202D" w:rsidP="00FD18C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Section 20(3) of the </w:t>
      </w:r>
      <w:r w:rsidRPr="009E54C9">
        <w:rPr>
          <w:rFonts w:ascii="Cambria" w:hAnsi="Cambria"/>
          <w:i/>
          <w:iCs/>
          <w:sz w:val="20"/>
          <w:szCs w:val="20"/>
          <w:lang w:val="en-AU"/>
        </w:rPr>
        <w:t>Australian Law Reform Commission Act 1996</w:t>
      </w:r>
      <w:r w:rsidRPr="009E54C9">
        <w:rPr>
          <w:rFonts w:ascii="Cambria" w:hAnsi="Cambria"/>
          <w:sz w:val="20"/>
          <w:szCs w:val="20"/>
          <w:lang w:val="en-AU"/>
        </w:rPr>
        <w:t xml:space="preserve"> (</w:t>
      </w:r>
      <w:proofErr w:type="spellStart"/>
      <w:r w:rsidRPr="009E54C9">
        <w:rPr>
          <w:rFonts w:ascii="Cambria" w:hAnsi="Cambria"/>
          <w:sz w:val="20"/>
          <w:szCs w:val="20"/>
          <w:lang w:val="en-AU"/>
        </w:rPr>
        <w:t>Cth</w:t>
      </w:r>
      <w:proofErr w:type="spellEnd"/>
      <w:r w:rsidRPr="009E54C9">
        <w:rPr>
          <w:rFonts w:ascii="Cambria" w:hAnsi="Cambria"/>
          <w:sz w:val="20"/>
          <w:szCs w:val="20"/>
          <w:lang w:val="en-AU"/>
        </w:rPr>
        <w:t xml:space="preserve">). </w:t>
      </w:r>
    </w:p>
  </w:footnote>
  <w:footnote w:id="17">
    <w:p w14:paraId="410DC7CD" w14:textId="1483C685" w:rsidR="0067202D" w:rsidRPr="009E54C9"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S</w:t>
      </w:r>
      <w:proofErr w:type="spellStart"/>
      <w:r w:rsidRPr="009E54C9">
        <w:rPr>
          <w:rFonts w:ascii="Cambria" w:hAnsi="Cambria"/>
          <w:color w:val="000000"/>
          <w:sz w:val="20"/>
          <w:szCs w:val="20"/>
        </w:rPr>
        <w:t>ection</w:t>
      </w:r>
      <w:proofErr w:type="spellEnd"/>
      <w:r w:rsidRPr="009E54C9">
        <w:rPr>
          <w:rFonts w:ascii="Cambria" w:hAnsi="Cambria"/>
          <w:color w:val="000000"/>
          <w:sz w:val="20"/>
          <w:szCs w:val="20"/>
        </w:rPr>
        <w:t xml:space="preserve"> 20(2)(b)(</w:t>
      </w:r>
      <w:proofErr w:type="spellStart"/>
      <w:r w:rsidRPr="009E54C9">
        <w:rPr>
          <w:rFonts w:ascii="Cambria" w:hAnsi="Cambria"/>
          <w:color w:val="000000"/>
          <w:sz w:val="20"/>
          <w:szCs w:val="20"/>
        </w:rPr>
        <w:t>i</w:t>
      </w:r>
      <w:proofErr w:type="spellEnd"/>
      <w:r w:rsidRPr="009E54C9">
        <w:rPr>
          <w:rFonts w:ascii="Cambria" w:hAnsi="Cambria"/>
          <w:color w:val="000000"/>
          <w:sz w:val="20"/>
          <w:szCs w:val="20"/>
        </w:rPr>
        <w:t xml:space="preserve">) of the </w:t>
      </w:r>
      <w:r w:rsidRPr="009E54C9">
        <w:rPr>
          <w:rFonts w:ascii="Cambria" w:hAnsi="Cambria"/>
          <w:i/>
          <w:iCs/>
          <w:color w:val="000000"/>
          <w:sz w:val="20"/>
          <w:szCs w:val="20"/>
        </w:rPr>
        <w:t xml:space="preserve">Victorian Law Reform Commission Act 2000; </w:t>
      </w:r>
      <w:r w:rsidRPr="009E54C9">
        <w:rPr>
          <w:rFonts w:ascii="Cambria" w:hAnsi="Cambria"/>
          <w:color w:val="000000" w:themeColor="text1"/>
          <w:sz w:val="20"/>
          <w:szCs w:val="20"/>
          <w:shd w:val="clear" w:color="auto" w:fill="FFFFFF"/>
        </w:rPr>
        <w:t xml:space="preserve">section 10(3)(d) of the </w:t>
      </w:r>
      <w:r w:rsidRPr="009E54C9">
        <w:rPr>
          <w:rFonts w:ascii="Cambria" w:hAnsi="Cambria"/>
          <w:i/>
          <w:iCs/>
          <w:color w:val="000000" w:themeColor="text1"/>
          <w:sz w:val="20"/>
          <w:szCs w:val="20"/>
        </w:rPr>
        <w:t xml:space="preserve">Law Reform Commission Act 1968 </w:t>
      </w:r>
      <w:r w:rsidRPr="009E54C9">
        <w:rPr>
          <w:rFonts w:ascii="Cambria" w:hAnsi="Cambria"/>
          <w:color w:val="000000" w:themeColor="text1"/>
          <w:sz w:val="20"/>
          <w:szCs w:val="20"/>
        </w:rPr>
        <w:t xml:space="preserve">(Qld); </w:t>
      </w:r>
      <w:r w:rsidRPr="009E54C9">
        <w:rPr>
          <w:rFonts w:ascii="Cambria" w:hAnsi="Cambria"/>
          <w:color w:val="000000"/>
          <w:sz w:val="20"/>
          <w:szCs w:val="20"/>
        </w:rPr>
        <w:t>s</w:t>
      </w:r>
      <w:r w:rsidRPr="009E54C9">
        <w:rPr>
          <w:rFonts w:ascii="Cambria" w:hAnsi="Cambria"/>
          <w:color w:val="000000" w:themeColor="text1"/>
          <w:sz w:val="20"/>
          <w:szCs w:val="20"/>
          <w:shd w:val="clear" w:color="auto" w:fill="FFFFFF"/>
        </w:rPr>
        <w:t xml:space="preserve">ection 11(5) </w:t>
      </w:r>
      <w:r w:rsidRPr="009E54C9">
        <w:rPr>
          <w:rFonts w:ascii="Cambria" w:hAnsi="Cambria"/>
          <w:color w:val="000000"/>
          <w:sz w:val="20"/>
          <w:szCs w:val="20"/>
        </w:rPr>
        <w:t>of the</w:t>
      </w:r>
      <w:r w:rsidRPr="009E54C9">
        <w:rPr>
          <w:rFonts w:ascii="Cambria" w:hAnsi="Cambria"/>
          <w:i/>
          <w:iCs/>
          <w:color w:val="000000"/>
          <w:sz w:val="20"/>
          <w:szCs w:val="20"/>
        </w:rPr>
        <w:t xml:space="preserve"> Law Reform Commission Act 1972 </w:t>
      </w:r>
      <w:r w:rsidRPr="009E54C9">
        <w:rPr>
          <w:rFonts w:ascii="Cambria" w:hAnsi="Cambria"/>
          <w:color w:val="000000"/>
          <w:sz w:val="20"/>
          <w:szCs w:val="20"/>
        </w:rPr>
        <w:t>(WA).</w:t>
      </w:r>
      <w:r w:rsidRPr="009E54C9">
        <w:rPr>
          <w:rFonts w:ascii="Cambria" w:hAnsi="Cambria"/>
          <w:color w:val="000000" w:themeColor="text1"/>
          <w:sz w:val="20"/>
          <w:szCs w:val="20"/>
        </w:rPr>
        <w:t xml:space="preserve"> </w:t>
      </w:r>
    </w:p>
  </w:footnote>
  <w:footnote w:id="18">
    <w:p w14:paraId="67B061C3" w14:textId="25F7A3D3" w:rsidR="000628F0" w:rsidRPr="009E54C9" w:rsidRDefault="000628F0">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3.1 of the 2019 Renewal Agreement.</w:t>
      </w:r>
    </w:p>
  </w:footnote>
  <w:footnote w:id="19">
    <w:p w14:paraId="213393E0" w14:textId="519050FF" w:rsidR="000628F0" w:rsidRPr="009E54C9" w:rsidRDefault="000628F0" w:rsidP="000628F0">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3.2 of the 2019 Renewal Agreement.</w:t>
      </w:r>
    </w:p>
  </w:footnote>
  <w:footnote w:id="20">
    <w:p w14:paraId="16B5431C" w14:textId="15F7B79D" w:rsidR="000628F0" w:rsidRPr="009E54C9" w:rsidRDefault="000628F0">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3.2(h) of the 2019 Renewal Agreement.</w:t>
      </w:r>
    </w:p>
  </w:footnote>
  <w:footnote w:id="21">
    <w:p w14:paraId="55B17728" w14:textId="674950E9" w:rsidR="00FA4434" w:rsidRPr="009E54C9" w:rsidRDefault="00FA4434" w:rsidP="00FA4434">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Clauses 5.1, 5.2 and 6.1(b) of the Founding Agreement.    </w:t>
      </w:r>
    </w:p>
  </w:footnote>
  <w:footnote w:id="22">
    <w:p w14:paraId="1114CB8E" w14:textId="008F6CE8" w:rsidR="00FA4434" w:rsidRPr="009E54C9" w:rsidRDefault="00FA4434" w:rsidP="00FA4434">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6.1(</w:t>
      </w:r>
      <w:r w:rsidR="00621DA0" w:rsidRPr="009E54C9">
        <w:rPr>
          <w:rFonts w:ascii="Cambria" w:hAnsi="Cambria"/>
          <w:sz w:val="20"/>
          <w:szCs w:val="20"/>
          <w:lang w:val="en-AU"/>
        </w:rPr>
        <w:t>a</w:t>
      </w:r>
      <w:r w:rsidRPr="009E54C9">
        <w:rPr>
          <w:rFonts w:ascii="Cambria" w:hAnsi="Cambria"/>
          <w:sz w:val="20"/>
          <w:szCs w:val="20"/>
          <w:lang w:val="en-AU"/>
        </w:rPr>
        <w:t xml:space="preserve">) of the Founding Agreement.    </w:t>
      </w:r>
    </w:p>
  </w:footnote>
  <w:footnote w:id="23">
    <w:p w14:paraId="465C3797" w14:textId="615A96E8" w:rsidR="004C5796" w:rsidRPr="009E54C9" w:rsidRDefault="004C5796">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6.2 of the 2019 Renewal Agreement.</w:t>
      </w:r>
    </w:p>
  </w:footnote>
  <w:footnote w:id="24">
    <w:p w14:paraId="6A800392" w14:textId="77777777" w:rsidR="00566887" w:rsidRPr="009E54C9" w:rsidRDefault="00566887" w:rsidP="00566887">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Clause 6.1(b) of the 2019 Renewal Agreement.</w:t>
      </w:r>
    </w:p>
  </w:footnote>
  <w:footnote w:id="25">
    <w:p w14:paraId="2FD1FF88" w14:textId="1951A5FA" w:rsidR="00CB76B7" w:rsidRPr="009E54C9" w:rsidRDefault="00CB76B7">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Tasmania Law Reform Institute, </w:t>
      </w:r>
      <w:r w:rsidRPr="009E54C9">
        <w:rPr>
          <w:rFonts w:ascii="Cambria" w:hAnsi="Cambria"/>
          <w:i/>
          <w:iCs/>
          <w:sz w:val="20"/>
          <w:szCs w:val="20"/>
          <w:lang w:val="en-AU"/>
        </w:rPr>
        <w:t>Annual Progress and Financial Report 2019</w:t>
      </w:r>
      <w:r w:rsidRPr="009E54C9">
        <w:rPr>
          <w:rFonts w:ascii="Cambria" w:hAnsi="Cambria"/>
          <w:sz w:val="20"/>
          <w:szCs w:val="20"/>
          <w:lang w:val="en-AU"/>
        </w:rPr>
        <w:t xml:space="preserve"> at 1. </w:t>
      </w:r>
    </w:p>
  </w:footnote>
  <w:footnote w:id="26">
    <w:p w14:paraId="498FE35D" w14:textId="4BF52F03" w:rsidR="006832F5" w:rsidRPr="009E54C9" w:rsidRDefault="006832F5">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Rosalind Croucher, ‘Defending Independence’ (2014) 34(3) </w:t>
      </w:r>
      <w:r w:rsidRPr="009E54C9">
        <w:rPr>
          <w:rFonts w:ascii="Cambria" w:hAnsi="Cambria"/>
          <w:i/>
          <w:iCs/>
          <w:sz w:val="20"/>
          <w:szCs w:val="20"/>
        </w:rPr>
        <w:t>Legal Studies</w:t>
      </w:r>
      <w:r w:rsidRPr="009E54C9">
        <w:rPr>
          <w:rFonts w:ascii="Cambria" w:hAnsi="Cambria"/>
          <w:sz w:val="20"/>
          <w:szCs w:val="20"/>
        </w:rPr>
        <w:t xml:space="preserve"> </w:t>
      </w:r>
      <w:r w:rsidRPr="009E54C9">
        <w:rPr>
          <w:rFonts w:ascii="Cambria" w:hAnsi="Cambria"/>
          <w:sz w:val="20"/>
          <w:szCs w:val="20"/>
          <w:lang w:val="en-AU"/>
        </w:rPr>
        <w:t xml:space="preserve">515 at 521. </w:t>
      </w:r>
    </w:p>
  </w:footnote>
  <w:footnote w:id="27">
    <w:p w14:paraId="6A9AB7FF" w14:textId="7F61AA3D" w:rsidR="0067202D" w:rsidRPr="006832F5" w:rsidRDefault="0067202D">
      <w:pPr>
        <w:pStyle w:val="FootnoteText"/>
        <w:rPr>
          <w:rFonts w:ascii="Cambria" w:hAnsi="Cambria"/>
          <w:sz w:val="20"/>
          <w:szCs w:val="20"/>
          <w:lang w:val="en-AU"/>
        </w:rPr>
      </w:pPr>
      <w:r w:rsidRPr="009E54C9">
        <w:rPr>
          <w:rStyle w:val="FootnoteReference"/>
          <w:rFonts w:ascii="Cambria" w:hAnsi="Cambria"/>
          <w:sz w:val="20"/>
          <w:szCs w:val="20"/>
        </w:rPr>
        <w:footnoteRef/>
      </w:r>
      <w:r w:rsidRPr="009E54C9">
        <w:rPr>
          <w:rFonts w:ascii="Cambria" w:hAnsi="Cambria"/>
          <w:sz w:val="20"/>
          <w:szCs w:val="20"/>
        </w:rPr>
        <w:t xml:space="preserve"> </w:t>
      </w:r>
      <w:r w:rsidRPr="009E54C9">
        <w:rPr>
          <w:rFonts w:ascii="Cambria" w:hAnsi="Cambria"/>
          <w:sz w:val="20"/>
          <w:szCs w:val="20"/>
          <w:lang w:val="en-AU"/>
        </w:rPr>
        <w:t xml:space="preserve">Australian Broadcasting Corporation, ‘Concern for state’s law system as academics leave, University of Tasmania’ ‘moves away’ from ‘intimate’ teaching’, 8 March 2022. As found at </w:t>
      </w:r>
      <w:hyperlink r:id="rId7" w:history="1">
        <w:r w:rsidRPr="009E54C9">
          <w:rPr>
            <w:rStyle w:val="Hyperlink"/>
            <w:rFonts w:ascii="Cambria" w:hAnsi="Cambria"/>
            <w:sz w:val="20"/>
            <w:szCs w:val="20"/>
            <w:lang w:val="en-AU"/>
          </w:rPr>
          <w:t>https://www.abc.net.au/news/2022-03-08/concerns-for-the-future-of-law-in-tasmania/100887800</w:t>
        </w:r>
      </w:hyperlink>
      <w:r w:rsidRPr="009E54C9">
        <w:rPr>
          <w:rFonts w:ascii="Cambria" w:hAnsi="Cambria"/>
          <w:sz w:val="20"/>
          <w:szCs w:val="20"/>
          <w:lang w:val="en-AU"/>
        </w:rPr>
        <w:t xml:space="preserve"> (accessed </w:t>
      </w:r>
      <w:r w:rsidR="005657BC" w:rsidRPr="009E54C9">
        <w:rPr>
          <w:rFonts w:ascii="Cambria" w:hAnsi="Cambria"/>
          <w:sz w:val="20"/>
          <w:szCs w:val="20"/>
          <w:lang w:val="en-AU"/>
        </w:rPr>
        <w:t>14</w:t>
      </w:r>
      <w:r w:rsidRPr="009E54C9">
        <w:rPr>
          <w:rFonts w:ascii="Cambria" w:hAnsi="Cambria"/>
          <w:sz w:val="20"/>
          <w:szCs w:val="20"/>
          <w:lang w:val="en-AU"/>
        </w:rPr>
        <w:t xml:space="preserve"> April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25"/>
    <w:multiLevelType w:val="multilevel"/>
    <w:tmpl w:val="E31E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46157"/>
    <w:multiLevelType w:val="hybridMultilevel"/>
    <w:tmpl w:val="1F30DF62"/>
    <w:lvl w:ilvl="0" w:tplc="23AAA0AA">
      <w:start w:val="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62CEE"/>
    <w:multiLevelType w:val="hybridMultilevel"/>
    <w:tmpl w:val="E4B81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377E"/>
    <w:multiLevelType w:val="multilevel"/>
    <w:tmpl w:val="20B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D1B4B"/>
    <w:multiLevelType w:val="hybridMultilevel"/>
    <w:tmpl w:val="7E76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50"/>
    <w:rsid w:val="00024572"/>
    <w:rsid w:val="00025263"/>
    <w:rsid w:val="00030C67"/>
    <w:rsid w:val="00053CBF"/>
    <w:rsid w:val="000628F0"/>
    <w:rsid w:val="00062EE9"/>
    <w:rsid w:val="0006762C"/>
    <w:rsid w:val="00092041"/>
    <w:rsid w:val="000B7F98"/>
    <w:rsid w:val="000C44BB"/>
    <w:rsid w:val="000F21D1"/>
    <w:rsid w:val="000F24AF"/>
    <w:rsid w:val="0012228E"/>
    <w:rsid w:val="0016068B"/>
    <w:rsid w:val="00171F49"/>
    <w:rsid w:val="001831FE"/>
    <w:rsid w:val="00190670"/>
    <w:rsid w:val="00195FCD"/>
    <w:rsid w:val="00197504"/>
    <w:rsid w:val="001B6BD6"/>
    <w:rsid w:val="001B74D3"/>
    <w:rsid w:val="001D01AF"/>
    <w:rsid w:val="001E70B2"/>
    <w:rsid w:val="001F0A06"/>
    <w:rsid w:val="001F3D0F"/>
    <w:rsid w:val="001F7896"/>
    <w:rsid w:val="0021584F"/>
    <w:rsid w:val="00215FCE"/>
    <w:rsid w:val="00245293"/>
    <w:rsid w:val="00292F31"/>
    <w:rsid w:val="002B73E5"/>
    <w:rsid w:val="002C2B95"/>
    <w:rsid w:val="003059CC"/>
    <w:rsid w:val="0031089E"/>
    <w:rsid w:val="00336ED0"/>
    <w:rsid w:val="00357E8F"/>
    <w:rsid w:val="00381AC7"/>
    <w:rsid w:val="00386CDF"/>
    <w:rsid w:val="00397346"/>
    <w:rsid w:val="003F3192"/>
    <w:rsid w:val="00401FEA"/>
    <w:rsid w:val="00406F3B"/>
    <w:rsid w:val="0041467C"/>
    <w:rsid w:val="00425488"/>
    <w:rsid w:val="00434930"/>
    <w:rsid w:val="00456FFD"/>
    <w:rsid w:val="00467947"/>
    <w:rsid w:val="00472259"/>
    <w:rsid w:val="00477560"/>
    <w:rsid w:val="004A2C73"/>
    <w:rsid w:val="004C27B8"/>
    <w:rsid w:val="004C5796"/>
    <w:rsid w:val="004C7F32"/>
    <w:rsid w:val="004F2746"/>
    <w:rsid w:val="00546D48"/>
    <w:rsid w:val="005657BC"/>
    <w:rsid w:val="00566887"/>
    <w:rsid w:val="005676B4"/>
    <w:rsid w:val="005C24A0"/>
    <w:rsid w:val="005C3F96"/>
    <w:rsid w:val="005C771E"/>
    <w:rsid w:val="005D082F"/>
    <w:rsid w:val="005D42D7"/>
    <w:rsid w:val="005E5309"/>
    <w:rsid w:val="005F5816"/>
    <w:rsid w:val="006065AD"/>
    <w:rsid w:val="00607E01"/>
    <w:rsid w:val="00621DA0"/>
    <w:rsid w:val="0062507B"/>
    <w:rsid w:val="00625E67"/>
    <w:rsid w:val="00626DAB"/>
    <w:rsid w:val="00650DD0"/>
    <w:rsid w:val="0065584C"/>
    <w:rsid w:val="0067202D"/>
    <w:rsid w:val="00677FC7"/>
    <w:rsid w:val="006832F5"/>
    <w:rsid w:val="006E07E7"/>
    <w:rsid w:val="007004DC"/>
    <w:rsid w:val="007117E5"/>
    <w:rsid w:val="007368B9"/>
    <w:rsid w:val="0074327F"/>
    <w:rsid w:val="007434E8"/>
    <w:rsid w:val="007C0C55"/>
    <w:rsid w:val="007C6CE0"/>
    <w:rsid w:val="007F63E3"/>
    <w:rsid w:val="008807D4"/>
    <w:rsid w:val="00894A52"/>
    <w:rsid w:val="008951D6"/>
    <w:rsid w:val="008B502E"/>
    <w:rsid w:val="008C491A"/>
    <w:rsid w:val="008E5A5E"/>
    <w:rsid w:val="008F799E"/>
    <w:rsid w:val="009251F2"/>
    <w:rsid w:val="0092631C"/>
    <w:rsid w:val="00951EDD"/>
    <w:rsid w:val="00956EB1"/>
    <w:rsid w:val="00981F5D"/>
    <w:rsid w:val="00984075"/>
    <w:rsid w:val="00996810"/>
    <w:rsid w:val="009C398D"/>
    <w:rsid w:val="009D6DA2"/>
    <w:rsid w:val="009E54C9"/>
    <w:rsid w:val="00A133F8"/>
    <w:rsid w:val="00A25AF9"/>
    <w:rsid w:val="00A436D9"/>
    <w:rsid w:val="00A75FFB"/>
    <w:rsid w:val="00A86701"/>
    <w:rsid w:val="00AA7316"/>
    <w:rsid w:val="00AC1330"/>
    <w:rsid w:val="00AC204C"/>
    <w:rsid w:val="00AD6A40"/>
    <w:rsid w:val="00AE29A6"/>
    <w:rsid w:val="00B07669"/>
    <w:rsid w:val="00B47C97"/>
    <w:rsid w:val="00B513A4"/>
    <w:rsid w:val="00B5445F"/>
    <w:rsid w:val="00BB3450"/>
    <w:rsid w:val="00BB4B76"/>
    <w:rsid w:val="00BD33F7"/>
    <w:rsid w:val="00C0288E"/>
    <w:rsid w:val="00C07DFA"/>
    <w:rsid w:val="00C1327B"/>
    <w:rsid w:val="00C254B6"/>
    <w:rsid w:val="00C41276"/>
    <w:rsid w:val="00C7674F"/>
    <w:rsid w:val="00C86120"/>
    <w:rsid w:val="00C93869"/>
    <w:rsid w:val="00C96C76"/>
    <w:rsid w:val="00CA7ED3"/>
    <w:rsid w:val="00CB76B7"/>
    <w:rsid w:val="00CC0785"/>
    <w:rsid w:val="00D01719"/>
    <w:rsid w:val="00D64A57"/>
    <w:rsid w:val="00D9282D"/>
    <w:rsid w:val="00D9457A"/>
    <w:rsid w:val="00DA25F7"/>
    <w:rsid w:val="00DB5A27"/>
    <w:rsid w:val="00DC3D1F"/>
    <w:rsid w:val="00DC5BDC"/>
    <w:rsid w:val="00DC6AED"/>
    <w:rsid w:val="00DD1344"/>
    <w:rsid w:val="00E07471"/>
    <w:rsid w:val="00E23285"/>
    <w:rsid w:val="00E376B2"/>
    <w:rsid w:val="00E50920"/>
    <w:rsid w:val="00E60DDA"/>
    <w:rsid w:val="00EA603F"/>
    <w:rsid w:val="00EC05E8"/>
    <w:rsid w:val="00EE0172"/>
    <w:rsid w:val="00F81E1D"/>
    <w:rsid w:val="00F92501"/>
    <w:rsid w:val="00F94070"/>
    <w:rsid w:val="00FA4434"/>
    <w:rsid w:val="00FA4A5F"/>
    <w:rsid w:val="00FA6EB4"/>
    <w:rsid w:val="00FD18C5"/>
    <w:rsid w:val="00FD3C4D"/>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343C"/>
  <w15:chartTrackingRefBased/>
  <w15:docId w15:val="{757CEDD2-19B1-164C-9825-71AD3E94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AF"/>
    <w:rPr>
      <w:rFonts w:ascii="Times New Roman" w:eastAsia="Times New Roman" w:hAnsi="Times New Roman" w:cs="Times New Roman"/>
      <w:lang w:eastAsia="en-GB"/>
    </w:rPr>
  </w:style>
  <w:style w:type="paragraph" w:styleId="Heading4">
    <w:name w:val="heading 4"/>
    <w:basedOn w:val="Normal"/>
    <w:link w:val="Heading4Char"/>
    <w:uiPriority w:val="9"/>
    <w:qFormat/>
    <w:rsid w:val="001F3D0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B3450"/>
    <w:pPr>
      <w:spacing w:before="100" w:beforeAutospacing="1" w:after="100" w:afterAutospacing="1"/>
    </w:pPr>
  </w:style>
  <w:style w:type="character" w:styleId="Hyperlink">
    <w:name w:val="Hyperlink"/>
    <w:basedOn w:val="DefaultParagraphFont"/>
    <w:uiPriority w:val="99"/>
    <w:unhideWhenUsed/>
    <w:rsid w:val="00BB3450"/>
    <w:rPr>
      <w:color w:val="0000FF"/>
      <w:u w:val="single"/>
    </w:rPr>
  </w:style>
  <w:style w:type="paragraph" w:styleId="FootnoteText">
    <w:name w:val="footnote text"/>
    <w:aliases w:val="Footnote,Text"/>
    <w:basedOn w:val="Normal"/>
    <w:link w:val="FootnoteTextChar"/>
    <w:uiPriority w:val="99"/>
    <w:unhideWhenUsed/>
    <w:rsid w:val="00BB3450"/>
    <w:rPr>
      <w:rFonts w:eastAsiaTheme="minorEastAsia"/>
      <w:lang w:val="en-US"/>
    </w:rPr>
  </w:style>
  <w:style w:type="character" w:customStyle="1" w:styleId="FootnoteTextChar">
    <w:name w:val="Footnote Text Char"/>
    <w:aliases w:val="Footnote Char,Text Char"/>
    <w:basedOn w:val="DefaultParagraphFont"/>
    <w:link w:val="FootnoteText"/>
    <w:uiPriority w:val="99"/>
    <w:rsid w:val="00BB3450"/>
    <w:rPr>
      <w:rFonts w:eastAsiaTheme="minorEastAsia"/>
      <w:lang w:val="en-US"/>
    </w:rPr>
  </w:style>
  <w:style w:type="character" w:styleId="FootnoteReference">
    <w:name w:val="footnote reference"/>
    <w:aliases w:val="Ref,de nota al pie"/>
    <w:basedOn w:val="DefaultParagraphFont"/>
    <w:unhideWhenUsed/>
    <w:qFormat/>
    <w:rsid w:val="00BB3450"/>
    <w:rPr>
      <w:vertAlign w:val="superscript"/>
    </w:rPr>
  </w:style>
  <w:style w:type="paragraph" w:styleId="NoSpacing">
    <w:name w:val="No Spacing"/>
    <w:uiPriority w:val="1"/>
    <w:qFormat/>
    <w:rsid w:val="00BB3450"/>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B3450"/>
    <w:rPr>
      <w:color w:val="605E5C"/>
      <w:shd w:val="clear" w:color="auto" w:fill="E1DFDD"/>
    </w:rPr>
  </w:style>
  <w:style w:type="paragraph" w:styleId="NormalWeb">
    <w:name w:val="Normal (Web)"/>
    <w:basedOn w:val="Normal"/>
    <w:uiPriority w:val="99"/>
    <w:semiHidden/>
    <w:unhideWhenUsed/>
    <w:rsid w:val="007434E8"/>
    <w:pPr>
      <w:spacing w:before="100" w:beforeAutospacing="1" w:after="100" w:afterAutospacing="1"/>
    </w:pPr>
  </w:style>
  <w:style w:type="character" w:styleId="Strong">
    <w:name w:val="Strong"/>
    <w:basedOn w:val="DefaultParagraphFont"/>
    <w:uiPriority w:val="22"/>
    <w:qFormat/>
    <w:rsid w:val="000F24AF"/>
    <w:rPr>
      <w:b/>
      <w:bCs/>
    </w:rPr>
  </w:style>
  <w:style w:type="paragraph" w:styleId="BalloonText">
    <w:name w:val="Balloon Text"/>
    <w:basedOn w:val="Normal"/>
    <w:link w:val="BalloonTextChar"/>
    <w:uiPriority w:val="99"/>
    <w:semiHidden/>
    <w:unhideWhenUsed/>
    <w:rsid w:val="00FA6EB4"/>
    <w:rPr>
      <w:sz w:val="18"/>
      <w:szCs w:val="18"/>
    </w:rPr>
  </w:style>
  <w:style w:type="character" w:customStyle="1" w:styleId="BalloonTextChar">
    <w:name w:val="Balloon Text Char"/>
    <w:basedOn w:val="DefaultParagraphFont"/>
    <w:link w:val="BalloonText"/>
    <w:uiPriority w:val="99"/>
    <w:semiHidden/>
    <w:rsid w:val="00FA6EB4"/>
    <w:rPr>
      <w:rFonts w:ascii="Times New Roman" w:eastAsia="Times New Roman" w:hAnsi="Times New Roman" w:cs="Times New Roman"/>
      <w:sz w:val="18"/>
      <w:szCs w:val="18"/>
      <w:lang w:eastAsia="en-GB"/>
    </w:rPr>
  </w:style>
  <w:style w:type="table" w:styleId="TableGrid">
    <w:name w:val="Table Grid"/>
    <w:basedOn w:val="TableNormal"/>
    <w:uiPriority w:val="39"/>
    <w:rsid w:val="000C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F3D0F"/>
    <w:rPr>
      <w:rFonts w:ascii="Times New Roman" w:eastAsia="Times New Roman" w:hAnsi="Times New Roman" w:cs="Times New Roman"/>
      <w:b/>
      <w:bCs/>
      <w:lang w:eastAsia="en-GB"/>
    </w:rPr>
  </w:style>
  <w:style w:type="paragraph" w:styleId="Footer">
    <w:name w:val="footer"/>
    <w:basedOn w:val="Normal"/>
    <w:link w:val="FooterChar"/>
    <w:uiPriority w:val="99"/>
    <w:unhideWhenUsed/>
    <w:rsid w:val="00FD3C4D"/>
    <w:pPr>
      <w:tabs>
        <w:tab w:val="center" w:pos="4513"/>
        <w:tab w:val="right" w:pos="9026"/>
      </w:tabs>
    </w:pPr>
  </w:style>
  <w:style w:type="character" w:customStyle="1" w:styleId="FooterChar">
    <w:name w:val="Footer Char"/>
    <w:basedOn w:val="DefaultParagraphFont"/>
    <w:link w:val="Footer"/>
    <w:uiPriority w:val="99"/>
    <w:rsid w:val="00FD3C4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D3C4D"/>
  </w:style>
  <w:style w:type="character" w:styleId="FollowedHyperlink">
    <w:name w:val="FollowedHyperlink"/>
    <w:basedOn w:val="DefaultParagraphFont"/>
    <w:uiPriority w:val="99"/>
    <w:semiHidden/>
    <w:unhideWhenUsed/>
    <w:rsid w:val="00025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4101">
      <w:bodyDiv w:val="1"/>
      <w:marLeft w:val="0"/>
      <w:marRight w:val="0"/>
      <w:marTop w:val="0"/>
      <w:marBottom w:val="0"/>
      <w:divBdr>
        <w:top w:val="none" w:sz="0" w:space="0" w:color="auto"/>
        <w:left w:val="none" w:sz="0" w:space="0" w:color="auto"/>
        <w:bottom w:val="none" w:sz="0" w:space="0" w:color="auto"/>
        <w:right w:val="none" w:sz="0" w:space="0" w:color="auto"/>
      </w:divBdr>
    </w:div>
    <w:div w:id="239415912">
      <w:bodyDiv w:val="1"/>
      <w:marLeft w:val="0"/>
      <w:marRight w:val="0"/>
      <w:marTop w:val="0"/>
      <w:marBottom w:val="0"/>
      <w:divBdr>
        <w:top w:val="none" w:sz="0" w:space="0" w:color="auto"/>
        <w:left w:val="none" w:sz="0" w:space="0" w:color="auto"/>
        <w:bottom w:val="none" w:sz="0" w:space="0" w:color="auto"/>
        <w:right w:val="none" w:sz="0" w:space="0" w:color="auto"/>
      </w:divBdr>
      <w:divsChild>
        <w:div w:id="929581556">
          <w:marLeft w:val="0"/>
          <w:marRight w:val="0"/>
          <w:marTop w:val="0"/>
          <w:marBottom w:val="0"/>
          <w:divBdr>
            <w:top w:val="none" w:sz="0" w:space="0" w:color="auto"/>
            <w:left w:val="none" w:sz="0" w:space="0" w:color="auto"/>
            <w:bottom w:val="none" w:sz="0" w:space="0" w:color="auto"/>
            <w:right w:val="none" w:sz="0" w:space="0" w:color="auto"/>
          </w:divBdr>
          <w:divsChild>
            <w:div w:id="375593986">
              <w:marLeft w:val="0"/>
              <w:marRight w:val="0"/>
              <w:marTop w:val="0"/>
              <w:marBottom w:val="0"/>
              <w:divBdr>
                <w:top w:val="none" w:sz="0" w:space="0" w:color="auto"/>
                <w:left w:val="none" w:sz="0" w:space="0" w:color="auto"/>
                <w:bottom w:val="none" w:sz="0" w:space="0" w:color="auto"/>
                <w:right w:val="none" w:sz="0" w:space="0" w:color="auto"/>
              </w:divBdr>
            </w:div>
          </w:divsChild>
        </w:div>
        <w:div w:id="938222648">
          <w:marLeft w:val="0"/>
          <w:marRight w:val="0"/>
          <w:marTop w:val="0"/>
          <w:marBottom w:val="0"/>
          <w:divBdr>
            <w:top w:val="none" w:sz="0" w:space="0" w:color="auto"/>
            <w:left w:val="none" w:sz="0" w:space="0" w:color="auto"/>
            <w:bottom w:val="none" w:sz="0" w:space="0" w:color="auto"/>
            <w:right w:val="none" w:sz="0" w:space="0" w:color="auto"/>
          </w:divBdr>
        </w:div>
      </w:divsChild>
    </w:div>
    <w:div w:id="276835982">
      <w:bodyDiv w:val="1"/>
      <w:marLeft w:val="0"/>
      <w:marRight w:val="0"/>
      <w:marTop w:val="0"/>
      <w:marBottom w:val="0"/>
      <w:divBdr>
        <w:top w:val="none" w:sz="0" w:space="0" w:color="auto"/>
        <w:left w:val="none" w:sz="0" w:space="0" w:color="auto"/>
        <w:bottom w:val="none" w:sz="0" w:space="0" w:color="auto"/>
        <w:right w:val="none" w:sz="0" w:space="0" w:color="auto"/>
      </w:divBdr>
    </w:div>
    <w:div w:id="307245905">
      <w:bodyDiv w:val="1"/>
      <w:marLeft w:val="0"/>
      <w:marRight w:val="0"/>
      <w:marTop w:val="0"/>
      <w:marBottom w:val="0"/>
      <w:divBdr>
        <w:top w:val="none" w:sz="0" w:space="0" w:color="auto"/>
        <w:left w:val="none" w:sz="0" w:space="0" w:color="auto"/>
        <w:bottom w:val="none" w:sz="0" w:space="0" w:color="auto"/>
        <w:right w:val="none" w:sz="0" w:space="0" w:color="auto"/>
      </w:divBdr>
    </w:div>
    <w:div w:id="368724016">
      <w:bodyDiv w:val="1"/>
      <w:marLeft w:val="0"/>
      <w:marRight w:val="0"/>
      <w:marTop w:val="0"/>
      <w:marBottom w:val="0"/>
      <w:divBdr>
        <w:top w:val="none" w:sz="0" w:space="0" w:color="auto"/>
        <w:left w:val="none" w:sz="0" w:space="0" w:color="auto"/>
        <w:bottom w:val="none" w:sz="0" w:space="0" w:color="auto"/>
        <w:right w:val="none" w:sz="0" w:space="0" w:color="auto"/>
      </w:divBdr>
    </w:div>
    <w:div w:id="403183329">
      <w:bodyDiv w:val="1"/>
      <w:marLeft w:val="0"/>
      <w:marRight w:val="0"/>
      <w:marTop w:val="0"/>
      <w:marBottom w:val="0"/>
      <w:divBdr>
        <w:top w:val="none" w:sz="0" w:space="0" w:color="auto"/>
        <w:left w:val="none" w:sz="0" w:space="0" w:color="auto"/>
        <w:bottom w:val="none" w:sz="0" w:space="0" w:color="auto"/>
        <w:right w:val="none" w:sz="0" w:space="0" w:color="auto"/>
      </w:divBdr>
    </w:div>
    <w:div w:id="453641770">
      <w:bodyDiv w:val="1"/>
      <w:marLeft w:val="0"/>
      <w:marRight w:val="0"/>
      <w:marTop w:val="0"/>
      <w:marBottom w:val="0"/>
      <w:divBdr>
        <w:top w:val="none" w:sz="0" w:space="0" w:color="auto"/>
        <w:left w:val="none" w:sz="0" w:space="0" w:color="auto"/>
        <w:bottom w:val="none" w:sz="0" w:space="0" w:color="auto"/>
        <w:right w:val="none" w:sz="0" w:space="0" w:color="auto"/>
      </w:divBdr>
    </w:div>
    <w:div w:id="461458806">
      <w:bodyDiv w:val="1"/>
      <w:marLeft w:val="0"/>
      <w:marRight w:val="0"/>
      <w:marTop w:val="0"/>
      <w:marBottom w:val="0"/>
      <w:divBdr>
        <w:top w:val="none" w:sz="0" w:space="0" w:color="auto"/>
        <w:left w:val="none" w:sz="0" w:space="0" w:color="auto"/>
        <w:bottom w:val="none" w:sz="0" w:space="0" w:color="auto"/>
        <w:right w:val="none" w:sz="0" w:space="0" w:color="auto"/>
      </w:divBdr>
    </w:div>
    <w:div w:id="488208647">
      <w:bodyDiv w:val="1"/>
      <w:marLeft w:val="0"/>
      <w:marRight w:val="0"/>
      <w:marTop w:val="0"/>
      <w:marBottom w:val="0"/>
      <w:divBdr>
        <w:top w:val="none" w:sz="0" w:space="0" w:color="auto"/>
        <w:left w:val="none" w:sz="0" w:space="0" w:color="auto"/>
        <w:bottom w:val="none" w:sz="0" w:space="0" w:color="auto"/>
        <w:right w:val="none" w:sz="0" w:space="0" w:color="auto"/>
      </w:divBdr>
    </w:div>
    <w:div w:id="544559974">
      <w:bodyDiv w:val="1"/>
      <w:marLeft w:val="0"/>
      <w:marRight w:val="0"/>
      <w:marTop w:val="0"/>
      <w:marBottom w:val="0"/>
      <w:divBdr>
        <w:top w:val="none" w:sz="0" w:space="0" w:color="auto"/>
        <w:left w:val="none" w:sz="0" w:space="0" w:color="auto"/>
        <w:bottom w:val="none" w:sz="0" w:space="0" w:color="auto"/>
        <w:right w:val="none" w:sz="0" w:space="0" w:color="auto"/>
      </w:divBdr>
    </w:div>
    <w:div w:id="670571342">
      <w:bodyDiv w:val="1"/>
      <w:marLeft w:val="0"/>
      <w:marRight w:val="0"/>
      <w:marTop w:val="0"/>
      <w:marBottom w:val="0"/>
      <w:divBdr>
        <w:top w:val="none" w:sz="0" w:space="0" w:color="auto"/>
        <w:left w:val="none" w:sz="0" w:space="0" w:color="auto"/>
        <w:bottom w:val="none" w:sz="0" w:space="0" w:color="auto"/>
        <w:right w:val="none" w:sz="0" w:space="0" w:color="auto"/>
      </w:divBdr>
    </w:div>
    <w:div w:id="679544810">
      <w:bodyDiv w:val="1"/>
      <w:marLeft w:val="0"/>
      <w:marRight w:val="0"/>
      <w:marTop w:val="0"/>
      <w:marBottom w:val="0"/>
      <w:divBdr>
        <w:top w:val="none" w:sz="0" w:space="0" w:color="auto"/>
        <w:left w:val="none" w:sz="0" w:space="0" w:color="auto"/>
        <w:bottom w:val="none" w:sz="0" w:space="0" w:color="auto"/>
        <w:right w:val="none" w:sz="0" w:space="0" w:color="auto"/>
      </w:divBdr>
    </w:div>
    <w:div w:id="742483943">
      <w:bodyDiv w:val="1"/>
      <w:marLeft w:val="0"/>
      <w:marRight w:val="0"/>
      <w:marTop w:val="0"/>
      <w:marBottom w:val="0"/>
      <w:divBdr>
        <w:top w:val="none" w:sz="0" w:space="0" w:color="auto"/>
        <w:left w:val="none" w:sz="0" w:space="0" w:color="auto"/>
        <w:bottom w:val="none" w:sz="0" w:space="0" w:color="auto"/>
        <w:right w:val="none" w:sz="0" w:space="0" w:color="auto"/>
      </w:divBdr>
    </w:div>
    <w:div w:id="756902899">
      <w:bodyDiv w:val="1"/>
      <w:marLeft w:val="0"/>
      <w:marRight w:val="0"/>
      <w:marTop w:val="0"/>
      <w:marBottom w:val="0"/>
      <w:divBdr>
        <w:top w:val="none" w:sz="0" w:space="0" w:color="auto"/>
        <w:left w:val="none" w:sz="0" w:space="0" w:color="auto"/>
        <w:bottom w:val="none" w:sz="0" w:space="0" w:color="auto"/>
        <w:right w:val="none" w:sz="0" w:space="0" w:color="auto"/>
      </w:divBdr>
    </w:div>
    <w:div w:id="804007355">
      <w:bodyDiv w:val="1"/>
      <w:marLeft w:val="0"/>
      <w:marRight w:val="0"/>
      <w:marTop w:val="0"/>
      <w:marBottom w:val="0"/>
      <w:divBdr>
        <w:top w:val="none" w:sz="0" w:space="0" w:color="auto"/>
        <w:left w:val="none" w:sz="0" w:space="0" w:color="auto"/>
        <w:bottom w:val="none" w:sz="0" w:space="0" w:color="auto"/>
        <w:right w:val="none" w:sz="0" w:space="0" w:color="auto"/>
      </w:divBdr>
    </w:div>
    <w:div w:id="816801132">
      <w:bodyDiv w:val="1"/>
      <w:marLeft w:val="0"/>
      <w:marRight w:val="0"/>
      <w:marTop w:val="0"/>
      <w:marBottom w:val="0"/>
      <w:divBdr>
        <w:top w:val="none" w:sz="0" w:space="0" w:color="auto"/>
        <w:left w:val="none" w:sz="0" w:space="0" w:color="auto"/>
        <w:bottom w:val="none" w:sz="0" w:space="0" w:color="auto"/>
        <w:right w:val="none" w:sz="0" w:space="0" w:color="auto"/>
      </w:divBdr>
    </w:div>
    <w:div w:id="1068383100">
      <w:bodyDiv w:val="1"/>
      <w:marLeft w:val="0"/>
      <w:marRight w:val="0"/>
      <w:marTop w:val="0"/>
      <w:marBottom w:val="0"/>
      <w:divBdr>
        <w:top w:val="none" w:sz="0" w:space="0" w:color="auto"/>
        <w:left w:val="none" w:sz="0" w:space="0" w:color="auto"/>
        <w:bottom w:val="none" w:sz="0" w:space="0" w:color="auto"/>
        <w:right w:val="none" w:sz="0" w:space="0" w:color="auto"/>
      </w:divBdr>
    </w:div>
    <w:div w:id="1289699147">
      <w:bodyDiv w:val="1"/>
      <w:marLeft w:val="0"/>
      <w:marRight w:val="0"/>
      <w:marTop w:val="0"/>
      <w:marBottom w:val="0"/>
      <w:divBdr>
        <w:top w:val="none" w:sz="0" w:space="0" w:color="auto"/>
        <w:left w:val="none" w:sz="0" w:space="0" w:color="auto"/>
        <w:bottom w:val="none" w:sz="0" w:space="0" w:color="auto"/>
        <w:right w:val="none" w:sz="0" w:space="0" w:color="auto"/>
      </w:divBdr>
    </w:div>
    <w:div w:id="1397583700">
      <w:bodyDiv w:val="1"/>
      <w:marLeft w:val="0"/>
      <w:marRight w:val="0"/>
      <w:marTop w:val="0"/>
      <w:marBottom w:val="0"/>
      <w:divBdr>
        <w:top w:val="none" w:sz="0" w:space="0" w:color="auto"/>
        <w:left w:val="none" w:sz="0" w:space="0" w:color="auto"/>
        <w:bottom w:val="none" w:sz="0" w:space="0" w:color="auto"/>
        <w:right w:val="none" w:sz="0" w:space="0" w:color="auto"/>
      </w:divBdr>
    </w:div>
    <w:div w:id="1490363029">
      <w:bodyDiv w:val="1"/>
      <w:marLeft w:val="0"/>
      <w:marRight w:val="0"/>
      <w:marTop w:val="0"/>
      <w:marBottom w:val="0"/>
      <w:divBdr>
        <w:top w:val="none" w:sz="0" w:space="0" w:color="auto"/>
        <w:left w:val="none" w:sz="0" w:space="0" w:color="auto"/>
        <w:bottom w:val="none" w:sz="0" w:space="0" w:color="auto"/>
        <w:right w:val="none" w:sz="0" w:space="0" w:color="auto"/>
      </w:divBdr>
    </w:div>
    <w:div w:id="1568764928">
      <w:bodyDiv w:val="1"/>
      <w:marLeft w:val="0"/>
      <w:marRight w:val="0"/>
      <w:marTop w:val="0"/>
      <w:marBottom w:val="0"/>
      <w:divBdr>
        <w:top w:val="none" w:sz="0" w:space="0" w:color="auto"/>
        <w:left w:val="none" w:sz="0" w:space="0" w:color="auto"/>
        <w:bottom w:val="none" w:sz="0" w:space="0" w:color="auto"/>
        <w:right w:val="none" w:sz="0" w:space="0" w:color="auto"/>
      </w:divBdr>
    </w:div>
    <w:div w:id="1578587925">
      <w:bodyDiv w:val="1"/>
      <w:marLeft w:val="0"/>
      <w:marRight w:val="0"/>
      <w:marTop w:val="0"/>
      <w:marBottom w:val="0"/>
      <w:divBdr>
        <w:top w:val="none" w:sz="0" w:space="0" w:color="auto"/>
        <w:left w:val="none" w:sz="0" w:space="0" w:color="auto"/>
        <w:bottom w:val="none" w:sz="0" w:space="0" w:color="auto"/>
        <w:right w:val="none" w:sz="0" w:space="0" w:color="auto"/>
      </w:divBdr>
    </w:div>
    <w:div w:id="1617447772">
      <w:bodyDiv w:val="1"/>
      <w:marLeft w:val="0"/>
      <w:marRight w:val="0"/>
      <w:marTop w:val="0"/>
      <w:marBottom w:val="0"/>
      <w:divBdr>
        <w:top w:val="none" w:sz="0" w:space="0" w:color="auto"/>
        <w:left w:val="none" w:sz="0" w:space="0" w:color="auto"/>
        <w:bottom w:val="none" w:sz="0" w:space="0" w:color="auto"/>
        <w:right w:val="none" w:sz="0" w:space="0" w:color="auto"/>
      </w:divBdr>
    </w:div>
    <w:div w:id="17780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s.gov.au/statistics/economy/price-indexes-and-inflation/consumer-price-index-australia/latest-rele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s.edu.au/law-reform/publications/annual-repo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alri@adelaide.edu.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aw.adelaide.edu.au/research/south-australian-law-reform-institute" TargetMode="External"/><Relationship Id="rId7" Type="http://schemas.openxmlformats.org/officeDocument/2006/relationships/hyperlink" Target="https://www.abc.net.au/news/2022-03-08/concerns-for-the-future-of-law-in-tasmania/100887800" TargetMode="External"/><Relationship Id="rId2" Type="http://schemas.openxmlformats.org/officeDocument/2006/relationships/hyperlink" Target="https://www.utas.edu.au/__data/assets/pdf_file/0008/1338614/TLRI-Renewal-of-Agreement-2019.pdf" TargetMode="External"/><Relationship Id="rId1" Type="http://schemas.openxmlformats.org/officeDocument/2006/relationships/hyperlink" Target="https://www.utas.edu.au/__data/assets/pdf_file/0003/302943/FoundingAgreement-1.pdf" TargetMode="External"/><Relationship Id="rId6" Type="http://schemas.openxmlformats.org/officeDocument/2006/relationships/hyperlink" Target="https://www.wa.gov.au/organisation/law-reform-commission-of-western-australia/contribute-law-reform" TargetMode="External"/><Relationship Id="rId5" Type="http://schemas.openxmlformats.org/officeDocument/2006/relationships/hyperlink" Target="https://www.qlrc.qld.gov.au/about-us" TargetMode="External"/><Relationship Id="rId4" Type="http://schemas.openxmlformats.org/officeDocument/2006/relationships/hyperlink" Target="https://justice.nt.gov.au/__data/assets/pdf_file/0004/621922/constitution-law-reform-committee.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600" b="1"/>
              <a:t>Projects</a:t>
            </a:r>
            <a:r>
              <a:rPr lang="en-US" sz="1600" b="1" baseline="0"/>
              <a:t> referred to </a:t>
            </a:r>
            <a:r>
              <a:rPr lang="en-US" sz="1600" b="1" i="0" baseline="0">
                <a:effectLst/>
              </a:rPr>
              <a:t>Tasmania Law Reform Institute </a:t>
            </a:r>
            <a:r>
              <a:rPr lang="en-US" sz="1600" b="1" baseline="0"/>
              <a:t>by Attorney-General and others </a:t>
            </a:r>
            <a:endParaRPr lang="en-US" sz="1600" b="1"/>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ofPieChart>
        <c:ofPieType val="bar"/>
        <c:varyColors val="1"/>
        <c:ser>
          <c:idx val="0"/>
          <c:order val="0"/>
          <c:tx>
            <c:strRef>
              <c:f>Sheet1!$B$1</c:f>
              <c:strCache>
                <c:ptCount val="1"/>
                <c:pt idx="0">
                  <c:v>Sales</c:v>
                </c:pt>
              </c:strCache>
            </c:strRef>
          </c:tx>
          <c:dPt>
            <c:idx val="0"/>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6884-8A4F-B39C-E1BA0A655B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008-1843-B93D-D54E5563AA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008-1843-B93D-D54E5563AA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008-1843-B93D-D54E5563AA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008-1843-B93D-D54E5563AAF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008-1843-B93D-D54E5563AAFC}"/>
              </c:ext>
            </c:extLst>
          </c:dPt>
          <c:dPt>
            <c:idx val="6"/>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4-6884-8A4F-B39C-E1BA0A655B8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008-1843-B93D-D54E5563AAF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008-1843-B93D-D54E5563AAF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008-1843-B93D-D54E5563AAFC}"/>
              </c:ext>
            </c:extLst>
          </c:dPt>
          <c:dPt>
            <c:idx val="1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2-6884-8A4F-B39C-E1BA0A655B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7"/>
                <c:pt idx="0">
                  <c:v>Attorney-General Referrals</c:v>
                </c:pt>
                <c:pt idx="1">
                  <c:v>TLRI</c:v>
                </c:pt>
                <c:pt idx="2">
                  <c:v>Community</c:v>
                </c:pt>
                <c:pt idx="3">
                  <c:v>Parliament</c:v>
                </c:pt>
                <c:pt idx="4">
                  <c:v>Commissioner for Children</c:v>
                </c:pt>
                <c:pt idx="5">
                  <c:v>Legal Profession</c:v>
                </c:pt>
                <c:pt idx="6">
                  <c:v>Other</c:v>
                </c:pt>
              </c:strCache>
            </c:strRef>
          </c:cat>
          <c:val>
            <c:numRef>
              <c:f>Sheet1!$B$2:$B$11</c:f>
              <c:numCache>
                <c:formatCode>General</c:formatCode>
                <c:ptCount val="10"/>
                <c:pt idx="0">
                  <c:v>21</c:v>
                </c:pt>
                <c:pt idx="1">
                  <c:v>3</c:v>
                </c:pt>
                <c:pt idx="2">
                  <c:v>3</c:v>
                </c:pt>
                <c:pt idx="3">
                  <c:v>2</c:v>
                </c:pt>
                <c:pt idx="4">
                  <c:v>2</c:v>
                </c:pt>
                <c:pt idx="5">
                  <c:v>2</c:v>
                </c:pt>
                <c:pt idx="6">
                  <c:v>3</c:v>
                </c:pt>
              </c:numCache>
            </c:numRef>
          </c:val>
          <c:extLst>
            <c:ext xmlns:c16="http://schemas.microsoft.com/office/drawing/2014/chart" uri="{C3380CC4-5D6E-409C-BE32-E72D297353CC}">
              <c16:uniqueId val="{00000000-6884-8A4F-B39C-E1BA0A655B82}"/>
            </c:ext>
          </c:extLst>
        </c:ser>
        <c:dLbls>
          <c:dLblPos val="ctr"/>
          <c:showLegendKey val="0"/>
          <c:showVal val="0"/>
          <c:showCatName val="0"/>
          <c:showSerName val="0"/>
          <c:showPercent val="1"/>
          <c:showBubbleSize val="0"/>
          <c:showLeaderLines val="1"/>
        </c:dLbls>
        <c:gapWidth val="100"/>
        <c:splitType val="pos"/>
        <c:splitPos val="9"/>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r"/>
      <c:legendEntry>
        <c:idx val="7"/>
        <c:delete val="1"/>
      </c:legendEntry>
      <c:legendEntry>
        <c:idx val="8"/>
        <c:delete val="1"/>
      </c:legendEntry>
      <c:legendEntry>
        <c:idx val="9"/>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34BE-BB15-B84E-9BC1-E28D713B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7</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cp:revision>
  <cp:lastPrinted>2022-04-14T10:51:00Z</cp:lastPrinted>
  <dcterms:created xsi:type="dcterms:W3CDTF">2022-03-07T21:37:00Z</dcterms:created>
  <dcterms:modified xsi:type="dcterms:W3CDTF">2022-04-14T11:00:00Z</dcterms:modified>
</cp:coreProperties>
</file>