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D36A0" w14:textId="77777777" w:rsidR="001C49AF" w:rsidRPr="0034552E" w:rsidRDefault="001C49AF" w:rsidP="001C49AF">
      <w:pPr>
        <w:ind w:right="-347"/>
        <w:jc w:val="center"/>
      </w:pPr>
      <w:r w:rsidRPr="0034552E">
        <w:rPr>
          <w:noProof/>
          <w:sz w:val="20"/>
          <w:szCs w:val="20"/>
        </w:rPr>
        <w:drawing>
          <wp:inline distT="0" distB="0" distL="0" distR="0" wp14:anchorId="5F06A169" wp14:editId="1C6B2F16">
            <wp:extent cx="3235960" cy="1099476"/>
            <wp:effectExtent l="0" t="0" r="0" b="0"/>
            <wp:docPr id="5"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75255AF5" w14:textId="77777777" w:rsidR="001C49AF" w:rsidRPr="00A51FB4" w:rsidRDefault="001C49AF" w:rsidP="001C49AF">
      <w:pPr>
        <w:ind w:right="-347"/>
        <w:rPr>
          <w:rFonts w:ascii="Cambria" w:hAnsi="Cambria"/>
          <w:color w:val="000000" w:themeColor="text1"/>
        </w:rPr>
      </w:pPr>
    </w:p>
    <w:p w14:paraId="351F6A1B" w14:textId="4A63599A" w:rsidR="001C49AF" w:rsidRPr="00A51FB4" w:rsidRDefault="002A290F" w:rsidP="001C49AF">
      <w:pPr>
        <w:pStyle w:val="NormalWeb"/>
        <w:shd w:val="clear" w:color="auto" w:fill="FFFFFF"/>
        <w:spacing w:before="0" w:beforeAutospacing="0" w:after="0" w:afterAutospacing="0"/>
        <w:rPr>
          <w:rFonts w:ascii="Cambria" w:hAnsi="Cambria"/>
          <w:color w:val="000000" w:themeColor="text1"/>
        </w:rPr>
      </w:pPr>
      <w:r w:rsidRPr="00A51FB4">
        <w:rPr>
          <w:rFonts w:ascii="Cambria" w:hAnsi="Cambria"/>
          <w:color w:val="000000" w:themeColor="text1"/>
        </w:rPr>
        <w:t>5</w:t>
      </w:r>
      <w:r w:rsidR="001C49AF" w:rsidRPr="00A51FB4">
        <w:rPr>
          <w:rFonts w:ascii="Cambria" w:hAnsi="Cambria"/>
          <w:color w:val="000000" w:themeColor="text1"/>
        </w:rPr>
        <w:t xml:space="preserve"> November 2021</w:t>
      </w:r>
    </w:p>
    <w:p w14:paraId="11366674" w14:textId="77777777" w:rsidR="001C49AF" w:rsidRPr="00A51FB4" w:rsidRDefault="001C49AF" w:rsidP="001C49AF">
      <w:pPr>
        <w:pStyle w:val="NormalWeb"/>
        <w:shd w:val="clear" w:color="auto" w:fill="FFFFFF"/>
        <w:spacing w:before="0" w:beforeAutospacing="0" w:after="0" w:afterAutospacing="0"/>
        <w:rPr>
          <w:rFonts w:ascii="Cambria" w:hAnsi="Cambria"/>
          <w:color w:val="000000" w:themeColor="text1"/>
        </w:rPr>
      </w:pPr>
    </w:p>
    <w:p w14:paraId="6F051F0B" w14:textId="6ABC1006" w:rsidR="001C49AF" w:rsidRPr="00A51FB4" w:rsidRDefault="001C49AF" w:rsidP="001C49AF">
      <w:pPr>
        <w:pStyle w:val="NormalWeb"/>
        <w:shd w:val="clear" w:color="auto" w:fill="FFFFFF"/>
        <w:spacing w:before="0" w:beforeAutospacing="0" w:after="0" w:afterAutospacing="0"/>
        <w:rPr>
          <w:rFonts w:ascii="Cambria" w:hAnsi="Cambria"/>
          <w:color w:val="000000" w:themeColor="text1"/>
          <w:bdr w:val="none" w:sz="0" w:space="0" w:color="auto" w:frame="1"/>
        </w:rPr>
      </w:pPr>
      <w:r w:rsidRPr="00A51FB4">
        <w:rPr>
          <w:rFonts w:ascii="Cambria" w:hAnsi="Cambria"/>
          <w:color w:val="000000" w:themeColor="text1"/>
          <w:bdr w:val="none" w:sz="0" w:space="0" w:color="auto" w:frame="1"/>
        </w:rPr>
        <w:t>To the President of the Legislat</w:t>
      </w:r>
      <w:r w:rsidR="00211CE0" w:rsidRPr="00A51FB4">
        <w:rPr>
          <w:rFonts w:ascii="Cambria" w:hAnsi="Cambria"/>
          <w:color w:val="000000" w:themeColor="text1"/>
          <w:bdr w:val="none" w:sz="0" w:space="0" w:color="auto" w:frame="1"/>
        </w:rPr>
        <w:t>iv</w:t>
      </w:r>
      <w:r w:rsidRPr="00A51FB4">
        <w:rPr>
          <w:rFonts w:ascii="Cambria" w:hAnsi="Cambria"/>
          <w:color w:val="000000" w:themeColor="text1"/>
          <w:bdr w:val="none" w:sz="0" w:space="0" w:color="auto" w:frame="1"/>
        </w:rPr>
        <w:t>e Council</w:t>
      </w:r>
    </w:p>
    <w:p w14:paraId="3284DDF6" w14:textId="77777777" w:rsidR="001C49AF" w:rsidRPr="00A51FB4" w:rsidRDefault="001C49AF" w:rsidP="001C49AF">
      <w:pPr>
        <w:pStyle w:val="NormalWeb"/>
        <w:shd w:val="clear" w:color="auto" w:fill="FFFFFF"/>
        <w:spacing w:before="0" w:beforeAutospacing="0" w:after="0" w:afterAutospacing="0"/>
        <w:rPr>
          <w:rFonts w:ascii="Cambria" w:hAnsi="Cambria"/>
          <w:color w:val="000000" w:themeColor="text1"/>
          <w:bdr w:val="none" w:sz="0" w:space="0" w:color="auto" w:frame="1"/>
        </w:rPr>
      </w:pPr>
      <w:r w:rsidRPr="00A51FB4">
        <w:rPr>
          <w:rFonts w:ascii="Cambria" w:hAnsi="Cambria"/>
          <w:color w:val="000000" w:themeColor="text1"/>
          <w:bdr w:val="none" w:sz="0" w:space="0" w:color="auto" w:frame="1"/>
        </w:rPr>
        <w:t>Parliament House</w:t>
      </w:r>
    </w:p>
    <w:p w14:paraId="2E43EEAD" w14:textId="77777777" w:rsidR="001C49AF" w:rsidRPr="00A51FB4" w:rsidRDefault="001C49AF" w:rsidP="001C49AF">
      <w:pPr>
        <w:pStyle w:val="NormalWeb"/>
        <w:shd w:val="clear" w:color="auto" w:fill="FFFFFF"/>
        <w:spacing w:before="0" w:beforeAutospacing="0" w:after="0" w:afterAutospacing="0"/>
        <w:rPr>
          <w:rFonts w:ascii="Cambria" w:hAnsi="Cambria"/>
          <w:color w:val="000000" w:themeColor="text1"/>
        </w:rPr>
      </w:pPr>
      <w:r w:rsidRPr="00A51FB4">
        <w:rPr>
          <w:rFonts w:ascii="Cambria" w:hAnsi="Cambria"/>
          <w:color w:val="000000" w:themeColor="text1"/>
          <w:bdr w:val="none" w:sz="0" w:space="0" w:color="auto" w:frame="1"/>
        </w:rPr>
        <w:t>Hobart 7000</w:t>
      </w:r>
    </w:p>
    <w:p w14:paraId="7F28212F" w14:textId="77777777" w:rsidR="001C49AF" w:rsidRPr="00A51FB4" w:rsidRDefault="001C49AF" w:rsidP="001C49AF">
      <w:pPr>
        <w:pStyle w:val="NormalWeb"/>
        <w:shd w:val="clear" w:color="auto" w:fill="FFFFFF"/>
        <w:spacing w:before="0" w:beforeAutospacing="0" w:after="0" w:afterAutospacing="0"/>
        <w:ind w:left="1440" w:firstLine="720"/>
        <w:rPr>
          <w:rFonts w:ascii="Cambria" w:hAnsi="Cambria"/>
          <w:i/>
          <w:iCs/>
          <w:color w:val="000000"/>
        </w:rPr>
      </w:pPr>
      <w:r w:rsidRPr="00A51FB4">
        <w:rPr>
          <w:rFonts w:ascii="Cambria" w:hAnsi="Cambria"/>
          <w:b/>
          <w:bCs/>
          <w:i/>
          <w:iCs/>
          <w:color w:val="000000"/>
          <w:bdr w:val="none" w:sz="0" w:space="0" w:color="auto" w:frame="1"/>
        </w:rPr>
        <w:t>via email:</w:t>
      </w:r>
      <w:r w:rsidRPr="00A51FB4">
        <w:rPr>
          <w:rFonts w:ascii="Cambria" w:hAnsi="Cambria"/>
          <w:i/>
          <w:iCs/>
          <w:color w:val="000000"/>
          <w:bdr w:val="none" w:sz="0" w:space="0" w:color="auto" w:frame="1"/>
        </w:rPr>
        <w:t xml:space="preserve"> </w:t>
      </w:r>
      <w:hyperlink r:id="rId8" w:history="1">
        <w:r w:rsidRPr="00A51FB4">
          <w:rPr>
            <w:rStyle w:val="Hyperlink"/>
            <w:rFonts w:ascii="Cambria" w:hAnsi="Cambria"/>
            <w:i/>
            <w:iCs/>
            <w:bdr w:val="none" w:sz="0" w:space="0" w:color="auto" w:frame="1"/>
            <w:shd w:val="clear" w:color="auto" w:fill="FFFFFF"/>
          </w:rPr>
          <w:t>craig.farrell@parliament.tas.gov.au</w:t>
        </w:r>
      </w:hyperlink>
      <w:r w:rsidRPr="00A51FB4">
        <w:rPr>
          <w:rStyle w:val="Hyperlink"/>
          <w:rFonts w:ascii="Cambria" w:hAnsi="Cambria"/>
          <w:i/>
          <w:iCs/>
          <w:u w:val="none"/>
          <w:bdr w:val="none" w:sz="0" w:space="0" w:color="auto" w:frame="1"/>
          <w:shd w:val="clear" w:color="auto" w:fill="FFFFFF"/>
        </w:rPr>
        <w:t xml:space="preserve"> </w:t>
      </w:r>
      <w:r w:rsidRPr="00A51FB4">
        <w:rPr>
          <w:rFonts w:ascii="Cambria" w:hAnsi="Cambria"/>
          <w:i/>
          <w:iCs/>
          <w:color w:val="000000"/>
          <w:bdr w:val="none" w:sz="0" w:space="0" w:color="auto" w:frame="1"/>
          <w:shd w:val="clear" w:color="auto" w:fill="FFFFFF"/>
        </w:rPr>
        <w:t xml:space="preserve"> </w:t>
      </w:r>
      <w:r w:rsidRPr="00A51FB4">
        <w:rPr>
          <w:rFonts w:ascii="Cambria" w:hAnsi="Cambria"/>
          <w:i/>
          <w:iCs/>
          <w:color w:val="000000"/>
          <w:bdr w:val="none" w:sz="0" w:space="0" w:color="auto" w:frame="1"/>
        </w:rPr>
        <w:t>   </w:t>
      </w:r>
    </w:p>
    <w:p w14:paraId="418E0D12" w14:textId="77777777" w:rsidR="001C49AF" w:rsidRPr="00A51FB4" w:rsidRDefault="001C49AF" w:rsidP="001C49AF">
      <w:pPr>
        <w:pStyle w:val="NormalWeb"/>
        <w:shd w:val="clear" w:color="auto" w:fill="FFFFFF"/>
        <w:spacing w:before="0" w:beforeAutospacing="0" w:after="0" w:afterAutospacing="0"/>
        <w:rPr>
          <w:rFonts w:ascii="Cambria" w:hAnsi="Cambria"/>
          <w:color w:val="000000"/>
        </w:rPr>
      </w:pPr>
      <w:r w:rsidRPr="00A51FB4">
        <w:rPr>
          <w:rFonts w:ascii="Cambria" w:hAnsi="Cambria"/>
          <w:color w:val="000000"/>
        </w:rPr>
        <w:t> </w:t>
      </w:r>
    </w:p>
    <w:p w14:paraId="01985544" w14:textId="77777777" w:rsidR="001C49AF" w:rsidRPr="00A51FB4" w:rsidRDefault="001C49AF" w:rsidP="001C49AF">
      <w:pPr>
        <w:pStyle w:val="NormalWeb"/>
        <w:shd w:val="clear" w:color="auto" w:fill="FFFFFF"/>
        <w:spacing w:before="0" w:beforeAutospacing="0" w:after="0" w:afterAutospacing="0"/>
        <w:rPr>
          <w:rFonts w:ascii="Cambria" w:hAnsi="Cambria"/>
          <w:color w:val="000000" w:themeColor="text1"/>
        </w:rPr>
      </w:pPr>
      <w:r w:rsidRPr="00A51FB4">
        <w:rPr>
          <w:rFonts w:ascii="Cambria" w:hAnsi="Cambria"/>
          <w:color w:val="000000" w:themeColor="text1"/>
        </w:rPr>
        <w:t>To the Honourable Craig Farrell,</w:t>
      </w:r>
      <w:r w:rsidRPr="00A51FB4">
        <w:rPr>
          <w:rFonts w:ascii="Cambria" w:hAnsi="Cambria"/>
          <w:color w:val="000000" w:themeColor="text1"/>
          <w:bdr w:val="none" w:sz="0" w:space="0" w:color="auto" w:frame="1"/>
        </w:rPr>
        <w:t> </w:t>
      </w:r>
    </w:p>
    <w:p w14:paraId="4C0BD07E" w14:textId="7F02CF28" w:rsidR="001C49AF" w:rsidRPr="00A51FB4" w:rsidRDefault="001C49AF" w:rsidP="001C49AF">
      <w:pPr>
        <w:pStyle w:val="NormalWeb"/>
        <w:pBdr>
          <w:bottom w:val="single" w:sz="6" w:space="1" w:color="auto"/>
        </w:pBdr>
        <w:shd w:val="clear" w:color="auto" w:fill="FFFFFF"/>
        <w:spacing w:before="0" w:beforeAutospacing="0" w:after="0" w:afterAutospacing="0"/>
        <w:rPr>
          <w:rFonts w:ascii="Cambria" w:hAnsi="Cambria"/>
          <w:i/>
          <w:iCs/>
          <w:color w:val="000000" w:themeColor="text1"/>
        </w:rPr>
      </w:pPr>
      <w:r w:rsidRPr="00A51FB4">
        <w:rPr>
          <w:rFonts w:ascii="Cambria" w:hAnsi="Cambria"/>
          <w:b/>
          <w:bCs/>
          <w:color w:val="000000" w:themeColor="text1"/>
        </w:rPr>
        <w:t>Re: </w:t>
      </w:r>
      <w:r w:rsidRPr="00A51FB4">
        <w:rPr>
          <w:rFonts w:ascii="Cambria" w:hAnsi="Cambria"/>
          <w:b/>
          <w:bCs/>
          <w:i/>
          <w:iCs/>
          <w:color w:val="000000" w:themeColor="text1"/>
        </w:rPr>
        <w:t xml:space="preserve">Gaming Control Amendment (Future Gaming Market) Bill 2021 </w:t>
      </w:r>
    </w:p>
    <w:p w14:paraId="7C4A53DA" w14:textId="77777777" w:rsidR="001C49AF" w:rsidRPr="00A51FB4" w:rsidRDefault="001C49AF" w:rsidP="001C49AF">
      <w:pPr>
        <w:jc w:val="both"/>
        <w:rPr>
          <w:rFonts w:ascii="Cambria" w:hAnsi="Cambria" w:cs="Calibri"/>
          <w:color w:val="000000" w:themeColor="text1"/>
        </w:rPr>
      </w:pPr>
    </w:p>
    <w:p w14:paraId="4A7FD4F2" w14:textId="5CECC4EF" w:rsidR="001C49AF" w:rsidRPr="00A51FB4" w:rsidRDefault="001C49AF" w:rsidP="001C49AF">
      <w:pPr>
        <w:pStyle w:val="NormalWeb"/>
        <w:shd w:val="clear" w:color="auto" w:fill="FFFFFF"/>
        <w:spacing w:before="0" w:beforeAutospacing="0" w:after="0" w:afterAutospacing="0"/>
        <w:jc w:val="both"/>
        <w:rPr>
          <w:rFonts w:ascii="Cambria" w:hAnsi="Cambria"/>
          <w:color w:val="000000" w:themeColor="text1"/>
        </w:rPr>
      </w:pPr>
      <w:r w:rsidRPr="00A51FB4">
        <w:rPr>
          <w:rFonts w:ascii="Cambria" w:hAnsi="Cambria" w:cs="Calibri"/>
          <w:color w:val="000000" w:themeColor="text1"/>
          <w:bdr w:val="none" w:sz="0" w:space="0" w:color="auto" w:frame="1"/>
        </w:rPr>
        <w:t>Community Legal Centres Tasmania (CLC Tas)</w:t>
      </w:r>
      <w:r w:rsidRPr="00A51FB4">
        <w:rPr>
          <w:rFonts w:ascii="Cambria" w:hAnsi="Cambria"/>
          <w:color w:val="000000" w:themeColor="text1"/>
        </w:rPr>
        <w:t xml:space="preserve"> welcomes the opportunity to provide comment on the </w:t>
      </w:r>
      <w:r w:rsidRPr="00A51FB4">
        <w:rPr>
          <w:rFonts w:ascii="Cambria" w:hAnsi="Cambria"/>
          <w:i/>
          <w:iCs/>
          <w:color w:val="000000" w:themeColor="text1"/>
        </w:rPr>
        <w:t>Gaming Control Amendment (Future Gaming Market) Bill 2021</w:t>
      </w:r>
      <w:r w:rsidR="00796909" w:rsidRPr="00A51FB4">
        <w:rPr>
          <w:rFonts w:ascii="Cambria" w:hAnsi="Cambria"/>
          <w:i/>
          <w:iCs/>
          <w:color w:val="000000" w:themeColor="text1"/>
        </w:rPr>
        <w:t xml:space="preserve"> </w:t>
      </w:r>
      <w:r w:rsidR="00796909" w:rsidRPr="00A51FB4">
        <w:rPr>
          <w:rFonts w:ascii="Cambria" w:hAnsi="Cambria"/>
          <w:color w:val="000000" w:themeColor="text1"/>
        </w:rPr>
        <w:t>(‘the Bill’)</w:t>
      </w:r>
      <w:r w:rsidRPr="00A51FB4">
        <w:rPr>
          <w:rFonts w:ascii="Cambria" w:hAnsi="Cambria"/>
          <w:color w:val="000000" w:themeColor="text1"/>
        </w:rPr>
        <w:t>.</w:t>
      </w:r>
      <w:r w:rsidR="00736E75" w:rsidRPr="00A51FB4">
        <w:rPr>
          <w:rStyle w:val="FootnoteReference"/>
          <w:rFonts w:ascii="Cambria" w:hAnsi="Cambria"/>
          <w:color w:val="000000" w:themeColor="text1"/>
        </w:rPr>
        <w:footnoteReference w:id="1"/>
      </w:r>
      <w:r w:rsidR="00736E75" w:rsidRPr="00A51FB4">
        <w:rPr>
          <w:rFonts w:ascii="Cambria" w:hAnsi="Cambria"/>
          <w:color w:val="000000" w:themeColor="text1"/>
        </w:rPr>
        <w:t xml:space="preserve"> </w:t>
      </w:r>
    </w:p>
    <w:p w14:paraId="25192068" w14:textId="77777777" w:rsidR="001C49AF" w:rsidRPr="00A51FB4" w:rsidRDefault="001C49AF" w:rsidP="001C49AF">
      <w:pPr>
        <w:pStyle w:val="NormalWeb"/>
        <w:shd w:val="clear" w:color="auto" w:fill="FFFFFF"/>
        <w:spacing w:before="0" w:beforeAutospacing="0" w:after="0" w:afterAutospacing="0"/>
        <w:jc w:val="both"/>
        <w:rPr>
          <w:rFonts w:ascii="Cambria" w:hAnsi="Cambria"/>
          <w:color w:val="000000" w:themeColor="text1"/>
        </w:rPr>
      </w:pPr>
    </w:p>
    <w:p w14:paraId="4FFCFD1D" w14:textId="024BF31F" w:rsidR="001C49AF" w:rsidRPr="00A51FB4" w:rsidRDefault="001C49AF" w:rsidP="001C49AF">
      <w:pPr>
        <w:pStyle w:val="NormalWeb"/>
        <w:shd w:val="clear" w:color="auto" w:fill="FFFFFF"/>
        <w:spacing w:before="0" w:beforeAutospacing="0" w:after="0" w:afterAutospacing="0"/>
        <w:jc w:val="both"/>
        <w:rPr>
          <w:rFonts w:ascii="Cambria" w:hAnsi="Cambria"/>
          <w:color w:val="000000" w:themeColor="text1"/>
          <w:bdr w:val="none" w:sz="0" w:space="0" w:color="auto" w:frame="1"/>
        </w:rPr>
      </w:pPr>
      <w:r w:rsidRPr="00A51FB4">
        <w:rPr>
          <w:rFonts w:ascii="Cambria" w:hAnsi="Cambria"/>
          <w:color w:val="000000" w:themeColor="text1"/>
        </w:rPr>
        <w:t>CLC Tas 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w:t>
      </w:r>
      <w:r w:rsidRPr="00A51FB4">
        <w:rPr>
          <w:rFonts w:ascii="Cambria" w:hAnsi="Cambria"/>
          <w:color w:val="000000" w:themeColor="text1"/>
          <w:bdr w:val="none" w:sz="0" w:space="0" w:color="auto" w:frame="1"/>
        </w:rPr>
        <w:t> </w:t>
      </w:r>
    </w:p>
    <w:p w14:paraId="36BAAE20" w14:textId="32B6CE81" w:rsidR="00736E75" w:rsidRPr="00A51FB4" w:rsidRDefault="00736E75" w:rsidP="001C49AF">
      <w:pPr>
        <w:pStyle w:val="NormalWeb"/>
        <w:shd w:val="clear" w:color="auto" w:fill="FFFFFF"/>
        <w:spacing w:before="0" w:beforeAutospacing="0" w:after="0" w:afterAutospacing="0"/>
        <w:jc w:val="both"/>
        <w:rPr>
          <w:rFonts w:ascii="Cambria" w:hAnsi="Cambria"/>
          <w:color w:val="000000" w:themeColor="text1"/>
          <w:bdr w:val="none" w:sz="0" w:space="0" w:color="auto" w:frame="1"/>
        </w:rPr>
      </w:pPr>
    </w:p>
    <w:p w14:paraId="2A1D0348" w14:textId="3613A185" w:rsidR="00736E75" w:rsidRPr="00A51FB4" w:rsidRDefault="00736E75" w:rsidP="001C49AF">
      <w:pPr>
        <w:pStyle w:val="NormalWeb"/>
        <w:shd w:val="clear" w:color="auto" w:fill="FFFFFF"/>
        <w:spacing w:before="0" w:beforeAutospacing="0" w:after="0" w:afterAutospacing="0"/>
        <w:jc w:val="both"/>
        <w:rPr>
          <w:rFonts w:ascii="Cambria" w:hAnsi="Cambria"/>
          <w:color w:val="000000" w:themeColor="text1"/>
          <w:bdr w:val="none" w:sz="0" w:space="0" w:color="auto" w:frame="1"/>
        </w:rPr>
      </w:pPr>
      <w:r w:rsidRPr="00A51FB4">
        <w:rPr>
          <w:rFonts w:ascii="Cambria" w:hAnsi="Cambria"/>
          <w:color w:val="000000" w:themeColor="text1"/>
        </w:rPr>
        <w:t>Over the years, our member centres have heard many tragic stories of the harms inflicted by problem gamblers including families forced on to welfare, women violently assaulted by a partner frustrated at their gambling losses and children not receiving child support because the money has been lost. We strongly believe that the significant harms caused by electronic gaming machines means that greater harm minimisation measures must be guaranteed in the Bill.</w:t>
      </w:r>
    </w:p>
    <w:p w14:paraId="511B2068" w14:textId="18B72547" w:rsidR="00014C7C" w:rsidRPr="00A51FB4" w:rsidRDefault="00014C7C" w:rsidP="001C49AF">
      <w:pPr>
        <w:pStyle w:val="NormalWeb"/>
        <w:shd w:val="clear" w:color="auto" w:fill="FFFFFF"/>
        <w:spacing w:before="0" w:beforeAutospacing="0" w:after="0" w:afterAutospacing="0"/>
        <w:jc w:val="both"/>
        <w:rPr>
          <w:rFonts w:ascii="Cambria" w:hAnsi="Cambria"/>
          <w:color w:val="000000" w:themeColor="text1"/>
          <w:bdr w:val="none" w:sz="0" w:space="0" w:color="auto" w:frame="1"/>
        </w:rPr>
      </w:pPr>
    </w:p>
    <w:p w14:paraId="2BB3706A" w14:textId="72EAD0B5" w:rsidR="00CA5204" w:rsidRPr="00A51FB4" w:rsidRDefault="00CA5204" w:rsidP="004A6766">
      <w:pPr>
        <w:jc w:val="both"/>
        <w:rPr>
          <w:rFonts w:ascii="Cambria" w:hAnsi="Cambria" w:cs="Calibri"/>
          <w:b/>
          <w:bCs/>
          <w:color w:val="000000" w:themeColor="text1"/>
        </w:rPr>
      </w:pPr>
      <w:r w:rsidRPr="00A51FB4">
        <w:rPr>
          <w:rFonts w:ascii="Cambria" w:hAnsi="Cambria" w:cs="Calibri"/>
          <w:b/>
          <w:bCs/>
          <w:color w:val="000000" w:themeColor="text1"/>
        </w:rPr>
        <w:t>Problem Gambl</w:t>
      </w:r>
      <w:r w:rsidR="00211CE0" w:rsidRPr="00A51FB4">
        <w:rPr>
          <w:rFonts w:ascii="Cambria" w:hAnsi="Cambria" w:cs="Calibri"/>
          <w:b/>
          <w:bCs/>
          <w:color w:val="000000" w:themeColor="text1"/>
        </w:rPr>
        <w:t>ing</w:t>
      </w:r>
      <w:r w:rsidRPr="00A51FB4">
        <w:rPr>
          <w:rFonts w:ascii="Cambria" w:hAnsi="Cambria" w:cs="Calibri"/>
          <w:b/>
          <w:bCs/>
          <w:color w:val="000000" w:themeColor="text1"/>
        </w:rPr>
        <w:t xml:space="preserve"> and the Pokies</w:t>
      </w:r>
    </w:p>
    <w:p w14:paraId="6132DA7A" w14:textId="0EE65E81" w:rsidR="00FE3863" w:rsidRPr="00A51FB4" w:rsidRDefault="00736E75" w:rsidP="004A6766">
      <w:pPr>
        <w:jc w:val="both"/>
        <w:rPr>
          <w:rFonts w:ascii="Cambria" w:hAnsi="Cambria" w:cs="Arial"/>
          <w:color w:val="000000" w:themeColor="text1"/>
        </w:rPr>
      </w:pPr>
      <w:r w:rsidRPr="00A51FB4">
        <w:rPr>
          <w:rFonts w:ascii="Cambria" w:hAnsi="Cambria" w:cs="Calibri"/>
          <w:color w:val="000000" w:themeColor="text1"/>
        </w:rPr>
        <w:t>It is estimated that there are around 1600-3200</w:t>
      </w:r>
      <w:r w:rsidR="00211CE0" w:rsidRPr="00A51FB4">
        <w:rPr>
          <w:rFonts w:ascii="Cambria" w:hAnsi="Cambria" w:cs="Calibri"/>
          <w:color w:val="000000" w:themeColor="text1"/>
        </w:rPr>
        <w:t xml:space="preserve"> people with a </w:t>
      </w:r>
      <w:r w:rsidRPr="00A51FB4">
        <w:rPr>
          <w:rFonts w:ascii="Cambria" w:hAnsi="Cambria" w:cs="Calibri"/>
          <w:color w:val="000000" w:themeColor="text1"/>
        </w:rPr>
        <w:t>gambl</w:t>
      </w:r>
      <w:r w:rsidR="00211CE0" w:rsidRPr="00A51FB4">
        <w:rPr>
          <w:rFonts w:ascii="Cambria" w:hAnsi="Cambria" w:cs="Calibri"/>
          <w:color w:val="000000" w:themeColor="text1"/>
        </w:rPr>
        <w:t>ing problem</w:t>
      </w:r>
      <w:r w:rsidRPr="00A51FB4">
        <w:rPr>
          <w:rFonts w:ascii="Cambria" w:hAnsi="Cambria" w:cs="Calibri"/>
          <w:color w:val="000000" w:themeColor="text1"/>
        </w:rPr>
        <w:t xml:space="preserve"> in Tasmania.</w:t>
      </w:r>
      <w:r w:rsidRPr="00A51FB4">
        <w:rPr>
          <w:rStyle w:val="FootnoteReference"/>
          <w:rFonts w:ascii="Cambria" w:hAnsi="Cambria" w:cs="Calibri"/>
          <w:color w:val="000000" w:themeColor="text1"/>
        </w:rPr>
        <w:footnoteReference w:id="2"/>
      </w:r>
      <w:r w:rsidRPr="00A51FB4">
        <w:rPr>
          <w:rFonts w:ascii="Cambria" w:hAnsi="Cambria" w:cs="Calibri"/>
          <w:color w:val="000000" w:themeColor="text1"/>
        </w:rPr>
        <w:t xml:space="preserve"> </w:t>
      </w:r>
      <w:r w:rsidR="004A6766" w:rsidRPr="00A51FB4">
        <w:rPr>
          <w:rFonts w:ascii="Cambria" w:hAnsi="Cambria" w:cs="Calibri"/>
          <w:color w:val="000000" w:themeColor="text1"/>
        </w:rPr>
        <w:t xml:space="preserve">According to </w:t>
      </w:r>
      <w:r w:rsidR="00FE3863" w:rsidRPr="00A51FB4">
        <w:rPr>
          <w:rFonts w:ascii="Cambria" w:hAnsi="Cambria" w:cs="Calibri"/>
          <w:color w:val="000000" w:themeColor="text1"/>
        </w:rPr>
        <w:t>the</w:t>
      </w:r>
      <w:r w:rsidR="004A6766" w:rsidRPr="00A51FB4">
        <w:rPr>
          <w:rFonts w:ascii="Cambria" w:hAnsi="Cambria" w:cs="Calibri"/>
          <w:color w:val="000000" w:themeColor="text1"/>
        </w:rPr>
        <w:t xml:space="preserve"> </w:t>
      </w:r>
      <w:r w:rsidR="004A6766" w:rsidRPr="00A51FB4">
        <w:rPr>
          <w:rFonts w:ascii="Cambria" w:hAnsi="Cambria" w:cs="Calibri"/>
          <w:i/>
          <w:iCs/>
          <w:color w:val="000000" w:themeColor="text1"/>
        </w:rPr>
        <w:t>Department of Communities</w:t>
      </w:r>
      <w:r w:rsidR="004A6766" w:rsidRPr="00A51FB4">
        <w:rPr>
          <w:rFonts w:ascii="Cambria" w:hAnsi="Cambria" w:cs="Calibri"/>
          <w:color w:val="000000" w:themeColor="text1"/>
        </w:rPr>
        <w:t xml:space="preserve"> “electronic gaming machines (EGMs) are the major form of gambling causing problems” in Tasmania, with the prevalence of problem gambl</w:t>
      </w:r>
      <w:r w:rsidR="00211CE0" w:rsidRPr="00A51FB4">
        <w:rPr>
          <w:rFonts w:ascii="Cambria" w:hAnsi="Cambria" w:cs="Calibri"/>
          <w:color w:val="000000" w:themeColor="text1"/>
        </w:rPr>
        <w:t>ing</w:t>
      </w:r>
      <w:r w:rsidR="004A6766" w:rsidRPr="00A51FB4">
        <w:rPr>
          <w:rFonts w:ascii="Cambria" w:hAnsi="Cambria" w:cs="Calibri"/>
          <w:color w:val="000000" w:themeColor="text1"/>
        </w:rPr>
        <w:t xml:space="preserve"> in lower socio-economic communities, double that of the rest of Tasmania.</w:t>
      </w:r>
      <w:r w:rsidR="004A6766" w:rsidRPr="00A51FB4">
        <w:rPr>
          <w:rStyle w:val="FootnoteReference"/>
          <w:rFonts w:ascii="Cambria" w:hAnsi="Cambria" w:cs="Calibri"/>
          <w:color w:val="000000" w:themeColor="text1"/>
        </w:rPr>
        <w:footnoteReference w:id="3"/>
      </w:r>
      <w:r w:rsidR="00FE3863" w:rsidRPr="00A51FB4">
        <w:rPr>
          <w:rFonts w:ascii="Cambria" w:hAnsi="Cambria" w:cs="Calibri"/>
          <w:color w:val="000000" w:themeColor="text1"/>
        </w:rPr>
        <w:t xml:space="preserve"> </w:t>
      </w:r>
      <w:r w:rsidR="00CA5204" w:rsidRPr="00A51FB4">
        <w:rPr>
          <w:rFonts w:ascii="Cambria" w:hAnsi="Cambria" w:cs="Calibri"/>
          <w:color w:val="000000" w:themeColor="text1"/>
        </w:rPr>
        <w:t>In 2010 t</w:t>
      </w:r>
      <w:r w:rsidR="004A6766" w:rsidRPr="00A51FB4">
        <w:rPr>
          <w:rFonts w:ascii="Cambria" w:hAnsi="Cambria" w:cs="Calibri"/>
          <w:color w:val="000000" w:themeColor="text1"/>
        </w:rPr>
        <w:t xml:space="preserve">he Productivity Commission </w:t>
      </w:r>
      <w:r w:rsidR="00CA5204" w:rsidRPr="00A51FB4">
        <w:rPr>
          <w:rFonts w:ascii="Cambria" w:hAnsi="Cambria" w:cs="Calibri"/>
          <w:color w:val="000000" w:themeColor="text1"/>
        </w:rPr>
        <w:t xml:space="preserve">found that </w:t>
      </w:r>
      <w:r w:rsidR="00211CE0" w:rsidRPr="00A51FB4">
        <w:rPr>
          <w:rFonts w:ascii="Cambria" w:hAnsi="Cambria" w:cs="Calibri"/>
          <w:color w:val="000000" w:themeColor="text1"/>
        </w:rPr>
        <w:t xml:space="preserve">people with gambling </w:t>
      </w:r>
      <w:r w:rsidR="00FE3863" w:rsidRPr="00A51FB4">
        <w:rPr>
          <w:rFonts w:ascii="Cambria" w:hAnsi="Cambria" w:cs="Arial"/>
          <w:color w:val="000000" w:themeColor="text1"/>
        </w:rPr>
        <w:lastRenderedPageBreak/>
        <w:t>problem</w:t>
      </w:r>
      <w:r w:rsidR="00211CE0" w:rsidRPr="00A51FB4">
        <w:rPr>
          <w:rFonts w:ascii="Cambria" w:hAnsi="Cambria" w:cs="Arial"/>
          <w:color w:val="000000" w:themeColor="text1"/>
        </w:rPr>
        <w:t xml:space="preserve"> </w:t>
      </w:r>
      <w:r w:rsidR="00FE3863" w:rsidRPr="00A51FB4">
        <w:rPr>
          <w:rFonts w:ascii="Cambria" w:hAnsi="Cambria" w:cs="Arial"/>
          <w:color w:val="000000" w:themeColor="text1"/>
        </w:rPr>
        <w:t>account</w:t>
      </w:r>
      <w:r w:rsidR="00211CE0" w:rsidRPr="00A51FB4">
        <w:rPr>
          <w:rFonts w:ascii="Cambria" w:hAnsi="Cambria" w:cs="Arial"/>
          <w:color w:val="000000" w:themeColor="text1"/>
        </w:rPr>
        <w:t xml:space="preserve">ed </w:t>
      </w:r>
      <w:r w:rsidR="00FE3863" w:rsidRPr="00A51FB4">
        <w:rPr>
          <w:rFonts w:ascii="Cambria" w:hAnsi="Cambria" w:cs="Arial"/>
          <w:color w:val="000000" w:themeColor="text1"/>
        </w:rPr>
        <w:t xml:space="preserve">for around 40 per cent of all losses from </w:t>
      </w:r>
      <w:r w:rsidR="00FE3863" w:rsidRPr="00A51FB4">
        <w:rPr>
          <w:rFonts w:ascii="Cambria" w:hAnsi="Cambria" w:cs="Calibri"/>
          <w:color w:val="000000" w:themeColor="text1"/>
        </w:rPr>
        <w:t>electronic gaming machines</w:t>
      </w:r>
      <w:r w:rsidR="00FE3863" w:rsidRPr="00A51FB4">
        <w:rPr>
          <w:rStyle w:val="FootnoteReference"/>
          <w:rFonts w:ascii="Cambria" w:hAnsi="Cambria" w:cs="Arial"/>
          <w:color w:val="000000" w:themeColor="text1"/>
        </w:rPr>
        <w:footnoteReference w:id="4"/>
      </w:r>
      <w:r w:rsidR="00FE3863" w:rsidRPr="00A51FB4">
        <w:rPr>
          <w:rFonts w:ascii="Cambria" w:hAnsi="Cambria" w:cs="Arial"/>
          <w:color w:val="000000" w:themeColor="text1"/>
        </w:rPr>
        <w:t xml:space="preserve"> </w:t>
      </w:r>
      <w:r w:rsidR="00FE3863" w:rsidRPr="00A51FB4">
        <w:rPr>
          <w:rFonts w:ascii="Cambria" w:hAnsi="Cambria" w:cs="Calibri"/>
          <w:color w:val="000000" w:themeColor="text1"/>
        </w:rPr>
        <w:t xml:space="preserve"> </w:t>
      </w:r>
      <w:r w:rsidRPr="00A51FB4">
        <w:rPr>
          <w:rFonts w:ascii="Cambria" w:hAnsi="Cambria" w:cs="Calibri"/>
          <w:color w:val="000000" w:themeColor="text1"/>
        </w:rPr>
        <w:t>with the Tasmanian Liquor and Gaming Commission estimating that “over $70m of annual play</w:t>
      </w:r>
      <w:r w:rsidR="00467FEB" w:rsidRPr="00A51FB4">
        <w:rPr>
          <w:rFonts w:ascii="Cambria" w:hAnsi="Cambria" w:cs="Calibri"/>
          <w:color w:val="000000" w:themeColor="text1"/>
        </w:rPr>
        <w:t>er</w:t>
      </w:r>
      <w:r w:rsidRPr="00A51FB4">
        <w:rPr>
          <w:rFonts w:ascii="Cambria" w:hAnsi="Cambria" w:cs="Calibri"/>
          <w:color w:val="000000" w:themeColor="text1"/>
        </w:rPr>
        <w:t xml:space="preserve"> losses in Tasmania linked to problem gamblers”.</w:t>
      </w:r>
      <w:r w:rsidR="00EE1A86" w:rsidRPr="00A51FB4">
        <w:rPr>
          <w:rStyle w:val="FootnoteReference"/>
          <w:rFonts w:ascii="Cambria" w:hAnsi="Cambria" w:cs="Calibri"/>
          <w:color w:val="000000" w:themeColor="text1"/>
        </w:rPr>
        <w:footnoteReference w:id="5"/>
      </w:r>
      <w:r w:rsidR="00796909" w:rsidRPr="00A51FB4">
        <w:rPr>
          <w:rFonts w:ascii="Cambria" w:hAnsi="Cambria" w:cs="Arial"/>
          <w:color w:val="000000" w:themeColor="text1"/>
        </w:rPr>
        <w:t xml:space="preserve"> </w:t>
      </w:r>
    </w:p>
    <w:p w14:paraId="198F1511" w14:textId="77777777" w:rsidR="00FE3863" w:rsidRPr="00A51FB4" w:rsidRDefault="00FE3863" w:rsidP="004A6766">
      <w:pPr>
        <w:jc w:val="both"/>
        <w:rPr>
          <w:rFonts w:ascii="Cambria" w:hAnsi="Cambria" w:cs="Arial"/>
          <w:color w:val="000000" w:themeColor="text1"/>
        </w:rPr>
      </w:pPr>
    </w:p>
    <w:p w14:paraId="4C5E1C77" w14:textId="76F469E3" w:rsidR="004A6766" w:rsidRPr="00A51FB4" w:rsidRDefault="00796909" w:rsidP="004A6766">
      <w:pPr>
        <w:jc w:val="both"/>
        <w:rPr>
          <w:rFonts w:ascii="Cambria" w:hAnsi="Cambria" w:cs="Calibri"/>
          <w:color w:val="000000" w:themeColor="text1"/>
        </w:rPr>
      </w:pPr>
      <w:r w:rsidRPr="00A51FB4">
        <w:rPr>
          <w:rFonts w:ascii="Cambria" w:hAnsi="Cambria" w:cs="Arial"/>
          <w:color w:val="000000" w:themeColor="text1"/>
        </w:rPr>
        <w:t>M</w:t>
      </w:r>
      <w:r w:rsidR="00CA5204" w:rsidRPr="00A51FB4">
        <w:rPr>
          <w:rFonts w:ascii="Cambria" w:hAnsi="Cambria" w:cs="Arial"/>
          <w:color w:val="000000" w:themeColor="text1"/>
        </w:rPr>
        <w:t xml:space="preserve">ore </w:t>
      </w:r>
      <w:r w:rsidR="004A6766" w:rsidRPr="00A51FB4">
        <w:rPr>
          <w:rFonts w:ascii="Cambria" w:hAnsi="Cambria" w:cs="Arial"/>
          <w:color w:val="000000" w:themeColor="text1"/>
        </w:rPr>
        <w:t xml:space="preserve">recent research </w:t>
      </w:r>
      <w:r w:rsidRPr="00A51FB4">
        <w:rPr>
          <w:rFonts w:ascii="Cambria" w:hAnsi="Cambria" w:cs="Arial"/>
          <w:color w:val="000000" w:themeColor="text1"/>
        </w:rPr>
        <w:t xml:space="preserve">has </w:t>
      </w:r>
      <w:r w:rsidR="004A6766" w:rsidRPr="00A51FB4">
        <w:rPr>
          <w:rFonts w:ascii="Cambria" w:hAnsi="Cambria" w:cs="Arial"/>
          <w:color w:val="000000" w:themeColor="text1"/>
        </w:rPr>
        <w:t>confirm</w:t>
      </w:r>
      <w:r w:rsidRPr="00A51FB4">
        <w:rPr>
          <w:rFonts w:ascii="Cambria" w:hAnsi="Cambria" w:cs="Arial"/>
          <w:color w:val="000000" w:themeColor="text1"/>
        </w:rPr>
        <w:t>ed</w:t>
      </w:r>
      <w:r w:rsidR="004A6766" w:rsidRPr="00A51FB4">
        <w:rPr>
          <w:rFonts w:ascii="Cambria" w:hAnsi="Cambria" w:cs="Arial"/>
          <w:color w:val="000000" w:themeColor="text1"/>
        </w:rPr>
        <w:t xml:space="preserve"> that there are significant social harms that arise from problem gambling including:</w:t>
      </w:r>
      <w:r w:rsidR="004A6766" w:rsidRPr="00A51FB4">
        <w:rPr>
          <w:rStyle w:val="FootnoteReference"/>
          <w:rFonts w:ascii="Cambria" w:hAnsi="Cambria" w:cs="Arial"/>
          <w:color w:val="000000" w:themeColor="text1"/>
        </w:rPr>
        <w:footnoteReference w:id="6"/>
      </w:r>
    </w:p>
    <w:p w14:paraId="5176CD82" w14:textId="77777777" w:rsidR="004A6766" w:rsidRPr="00A51FB4" w:rsidRDefault="004A6766" w:rsidP="004A6766">
      <w:pPr>
        <w:jc w:val="both"/>
        <w:rPr>
          <w:rFonts w:ascii="Cambria" w:hAnsi="Cambria" w:cs="Arial"/>
          <w:color w:val="000000" w:themeColor="text1"/>
        </w:rPr>
      </w:pPr>
    </w:p>
    <w:p w14:paraId="55B6CA9E" w14:textId="77777777" w:rsidR="004A6766" w:rsidRPr="00A51FB4" w:rsidRDefault="004A6766" w:rsidP="004A6766">
      <w:pPr>
        <w:pStyle w:val="ListParagraph"/>
        <w:numPr>
          <w:ilvl w:val="0"/>
          <w:numId w:val="15"/>
        </w:numPr>
        <w:jc w:val="both"/>
        <w:rPr>
          <w:rFonts w:ascii="Cambria" w:hAnsi="Cambria" w:cs="Arial"/>
          <w:color w:val="000000" w:themeColor="text1"/>
        </w:rPr>
      </w:pPr>
      <w:r w:rsidRPr="00A51FB4">
        <w:rPr>
          <w:rFonts w:ascii="Cambria" w:hAnsi="Cambria" w:cs="Arial"/>
          <w:color w:val="000000" w:themeColor="text1"/>
        </w:rPr>
        <w:t xml:space="preserve">Family and relationship problems; and </w:t>
      </w:r>
    </w:p>
    <w:p w14:paraId="6087F9CC" w14:textId="77777777" w:rsidR="004A6766" w:rsidRPr="00A51FB4" w:rsidRDefault="004A6766" w:rsidP="004A6766">
      <w:pPr>
        <w:pStyle w:val="ListParagraph"/>
        <w:numPr>
          <w:ilvl w:val="0"/>
          <w:numId w:val="15"/>
        </w:numPr>
        <w:jc w:val="both"/>
        <w:rPr>
          <w:rFonts w:ascii="Cambria" w:hAnsi="Cambria" w:cs="Arial"/>
          <w:color w:val="000000" w:themeColor="text1"/>
        </w:rPr>
      </w:pPr>
      <w:r w:rsidRPr="00A51FB4">
        <w:rPr>
          <w:rFonts w:ascii="Cambria" w:hAnsi="Cambria" w:cs="Arial"/>
          <w:color w:val="000000" w:themeColor="text1"/>
        </w:rPr>
        <w:t>emotional and psychological issues; and</w:t>
      </w:r>
    </w:p>
    <w:p w14:paraId="5B86DE40" w14:textId="77777777" w:rsidR="004A6766" w:rsidRPr="00A51FB4" w:rsidRDefault="004A6766" w:rsidP="004A6766">
      <w:pPr>
        <w:pStyle w:val="ListParagraph"/>
        <w:numPr>
          <w:ilvl w:val="0"/>
          <w:numId w:val="15"/>
        </w:numPr>
        <w:jc w:val="both"/>
        <w:rPr>
          <w:rFonts w:ascii="Cambria" w:hAnsi="Cambria" w:cs="Arial"/>
          <w:color w:val="000000" w:themeColor="text1"/>
        </w:rPr>
      </w:pPr>
      <w:r w:rsidRPr="00A51FB4">
        <w:rPr>
          <w:rFonts w:ascii="Cambria" w:hAnsi="Cambria" w:cs="Arial"/>
          <w:color w:val="000000" w:themeColor="text1"/>
        </w:rPr>
        <w:t>financial harm; and</w:t>
      </w:r>
    </w:p>
    <w:p w14:paraId="6009209A" w14:textId="77777777" w:rsidR="004A6766" w:rsidRPr="00A51FB4" w:rsidRDefault="004A6766" w:rsidP="004A6766">
      <w:pPr>
        <w:pStyle w:val="ListParagraph"/>
        <w:numPr>
          <w:ilvl w:val="0"/>
          <w:numId w:val="15"/>
        </w:numPr>
        <w:jc w:val="both"/>
        <w:rPr>
          <w:rFonts w:ascii="Cambria" w:hAnsi="Cambria" w:cs="Arial"/>
          <w:color w:val="000000" w:themeColor="text1"/>
        </w:rPr>
      </w:pPr>
      <w:r w:rsidRPr="00A51FB4">
        <w:rPr>
          <w:rFonts w:ascii="Cambria" w:hAnsi="Cambria" w:cs="Arial"/>
          <w:color w:val="000000" w:themeColor="text1"/>
        </w:rPr>
        <w:t>lost productivity and other work-related costs; and</w:t>
      </w:r>
    </w:p>
    <w:p w14:paraId="5934AE9A" w14:textId="77777777" w:rsidR="004A6766" w:rsidRPr="00A51FB4" w:rsidRDefault="004A6766" w:rsidP="004A6766">
      <w:pPr>
        <w:pStyle w:val="ListParagraph"/>
        <w:numPr>
          <w:ilvl w:val="0"/>
          <w:numId w:val="15"/>
        </w:numPr>
        <w:jc w:val="both"/>
        <w:rPr>
          <w:rFonts w:ascii="Cambria" w:hAnsi="Cambria" w:cs="Arial"/>
          <w:color w:val="000000" w:themeColor="text1"/>
        </w:rPr>
      </w:pPr>
      <w:r w:rsidRPr="00A51FB4">
        <w:rPr>
          <w:rFonts w:ascii="Cambria" w:hAnsi="Cambria" w:cs="Arial"/>
          <w:color w:val="000000" w:themeColor="text1"/>
        </w:rPr>
        <w:t>criminal activity; and</w:t>
      </w:r>
    </w:p>
    <w:p w14:paraId="551B310C" w14:textId="77777777" w:rsidR="004A6766" w:rsidRPr="00A51FB4" w:rsidRDefault="004A6766" w:rsidP="004A6766">
      <w:pPr>
        <w:pStyle w:val="ListParagraph"/>
        <w:numPr>
          <w:ilvl w:val="0"/>
          <w:numId w:val="15"/>
        </w:numPr>
        <w:jc w:val="both"/>
        <w:rPr>
          <w:rFonts w:ascii="Cambria" w:hAnsi="Cambria" w:cs="Arial"/>
          <w:color w:val="000000" w:themeColor="text1"/>
        </w:rPr>
      </w:pPr>
      <w:r w:rsidRPr="00A51FB4">
        <w:rPr>
          <w:rFonts w:ascii="Cambria" w:hAnsi="Cambria" w:cs="Arial"/>
          <w:color w:val="000000" w:themeColor="text1"/>
        </w:rPr>
        <w:t xml:space="preserve">life course or intergenerational harms.    </w:t>
      </w:r>
    </w:p>
    <w:p w14:paraId="0F3570CE" w14:textId="77777777" w:rsidR="004A6766" w:rsidRPr="00A51FB4" w:rsidRDefault="004A6766" w:rsidP="004A6766">
      <w:pPr>
        <w:jc w:val="both"/>
        <w:rPr>
          <w:rFonts w:ascii="Cambria" w:hAnsi="Cambria" w:cs="Arial"/>
          <w:color w:val="000000" w:themeColor="text1"/>
        </w:rPr>
      </w:pPr>
    </w:p>
    <w:p w14:paraId="10354157" w14:textId="6A6D1744" w:rsidR="004A6766" w:rsidRPr="00A51FB4" w:rsidRDefault="00796909" w:rsidP="004A6766">
      <w:pPr>
        <w:jc w:val="both"/>
        <w:rPr>
          <w:rFonts w:ascii="Cambria" w:hAnsi="Cambria" w:cs="Arial"/>
          <w:color w:val="000000" w:themeColor="text1"/>
        </w:rPr>
      </w:pPr>
      <w:r w:rsidRPr="00A51FB4">
        <w:rPr>
          <w:rFonts w:ascii="Cambria" w:hAnsi="Cambria" w:cs="Arial"/>
          <w:color w:val="000000" w:themeColor="text1"/>
        </w:rPr>
        <w:t xml:space="preserve">Finally, </w:t>
      </w:r>
      <w:r w:rsidR="00736E75" w:rsidRPr="00A51FB4">
        <w:rPr>
          <w:rFonts w:ascii="Cambria" w:hAnsi="Cambria" w:cs="Arial"/>
          <w:color w:val="000000" w:themeColor="text1"/>
        </w:rPr>
        <w:t xml:space="preserve">it must be acknowledged that </w:t>
      </w:r>
      <w:r w:rsidR="00561AB8" w:rsidRPr="00A51FB4">
        <w:rPr>
          <w:rFonts w:ascii="Cambria" w:hAnsi="Cambria" w:cs="Arial"/>
          <w:color w:val="000000" w:themeColor="text1"/>
        </w:rPr>
        <w:t>problem gambling has ‘ripple effects’ on family members, friends and workplaces</w:t>
      </w:r>
      <w:r w:rsidR="00561AB8" w:rsidRPr="00A51FB4">
        <w:rPr>
          <w:rStyle w:val="FootnoteReference"/>
          <w:rFonts w:ascii="Cambria" w:hAnsi="Cambria" w:cs="Arial"/>
          <w:color w:val="000000" w:themeColor="text1"/>
        </w:rPr>
        <w:footnoteReference w:id="7"/>
      </w:r>
      <w:r w:rsidR="00561AB8" w:rsidRPr="00A51FB4">
        <w:rPr>
          <w:rFonts w:ascii="Cambria" w:hAnsi="Cambria" w:cs="Arial"/>
          <w:color w:val="000000" w:themeColor="text1"/>
        </w:rPr>
        <w:t xml:space="preserve"> with </w:t>
      </w:r>
      <w:r w:rsidRPr="00A51FB4">
        <w:rPr>
          <w:rFonts w:ascii="Cambria" w:hAnsi="Cambria" w:cs="Arial"/>
          <w:color w:val="000000" w:themeColor="text1"/>
        </w:rPr>
        <w:t>a</w:t>
      </w:r>
      <w:r w:rsidR="004A6766" w:rsidRPr="00A51FB4">
        <w:rPr>
          <w:rFonts w:ascii="Cambria" w:hAnsi="Cambria" w:cs="Arial"/>
          <w:color w:val="000000" w:themeColor="text1"/>
        </w:rPr>
        <w:t xml:space="preserve"> 2016 report</w:t>
      </w:r>
      <w:r w:rsidR="00561AB8" w:rsidRPr="00A51FB4">
        <w:rPr>
          <w:rFonts w:ascii="Cambria" w:hAnsi="Cambria" w:cs="Arial"/>
          <w:color w:val="000000" w:themeColor="text1"/>
        </w:rPr>
        <w:t xml:space="preserve"> </w:t>
      </w:r>
      <w:r w:rsidR="004A6766" w:rsidRPr="00A51FB4">
        <w:rPr>
          <w:rFonts w:ascii="Cambria" w:hAnsi="Cambria" w:cs="Arial"/>
          <w:color w:val="000000" w:themeColor="text1"/>
        </w:rPr>
        <w:t>estimat</w:t>
      </w:r>
      <w:r w:rsidR="00561AB8" w:rsidRPr="00A51FB4">
        <w:rPr>
          <w:rFonts w:ascii="Cambria" w:hAnsi="Cambria" w:cs="Arial"/>
          <w:color w:val="000000" w:themeColor="text1"/>
        </w:rPr>
        <w:t>ing</w:t>
      </w:r>
      <w:r w:rsidR="004A6766" w:rsidRPr="00A51FB4">
        <w:rPr>
          <w:rFonts w:ascii="Cambria" w:hAnsi="Cambria" w:cs="Arial"/>
          <w:color w:val="000000" w:themeColor="text1"/>
        </w:rPr>
        <w:t xml:space="preserve"> that </w:t>
      </w:r>
      <w:r w:rsidR="00211CE0" w:rsidRPr="00A51FB4">
        <w:rPr>
          <w:rFonts w:ascii="Cambria" w:hAnsi="Cambria" w:cs="Arial"/>
          <w:color w:val="000000" w:themeColor="text1"/>
        </w:rPr>
        <w:t xml:space="preserve">for </w:t>
      </w:r>
      <w:r w:rsidR="004A6766" w:rsidRPr="00A51FB4">
        <w:rPr>
          <w:rFonts w:ascii="Cambria" w:hAnsi="Cambria" w:cs="Arial"/>
          <w:color w:val="000000" w:themeColor="text1"/>
        </w:rPr>
        <w:t xml:space="preserve">every </w:t>
      </w:r>
      <w:r w:rsidR="00211CE0" w:rsidRPr="00A51FB4">
        <w:rPr>
          <w:rFonts w:ascii="Cambria" w:hAnsi="Cambria" w:cs="Arial"/>
          <w:color w:val="000000" w:themeColor="text1"/>
        </w:rPr>
        <w:t xml:space="preserve">person with a gambling problem </w:t>
      </w:r>
      <w:r w:rsidR="004A6766" w:rsidRPr="00A51FB4">
        <w:rPr>
          <w:rFonts w:ascii="Cambria" w:hAnsi="Cambria" w:cs="Arial"/>
          <w:color w:val="000000" w:themeColor="text1"/>
        </w:rPr>
        <w:t xml:space="preserve">approximately six others </w:t>
      </w:r>
      <w:r w:rsidR="00211CE0" w:rsidRPr="00A51FB4">
        <w:rPr>
          <w:rFonts w:ascii="Cambria" w:hAnsi="Cambria" w:cs="Arial"/>
          <w:color w:val="000000" w:themeColor="text1"/>
        </w:rPr>
        <w:t>are also negatively affected</w:t>
      </w:r>
      <w:r w:rsidR="004A6766" w:rsidRPr="00A51FB4">
        <w:rPr>
          <w:rFonts w:ascii="Cambria" w:hAnsi="Cambria" w:cs="Arial"/>
          <w:color w:val="000000" w:themeColor="text1"/>
        </w:rPr>
        <w:t>.</w:t>
      </w:r>
      <w:r w:rsidR="004A6766" w:rsidRPr="00A51FB4">
        <w:rPr>
          <w:rStyle w:val="FootnoteReference"/>
          <w:rFonts w:ascii="Cambria" w:hAnsi="Cambria" w:cs="Arial"/>
          <w:color w:val="000000" w:themeColor="text1"/>
        </w:rPr>
        <w:footnoteReference w:id="8"/>
      </w:r>
      <w:r w:rsidR="004A6766" w:rsidRPr="00A51FB4">
        <w:rPr>
          <w:rFonts w:ascii="Cambria" w:hAnsi="Cambria" w:cs="Arial"/>
          <w:color w:val="000000" w:themeColor="text1"/>
        </w:rPr>
        <w:t xml:space="preserve"> </w:t>
      </w:r>
    </w:p>
    <w:p w14:paraId="2DB508E4" w14:textId="1522D9A3" w:rsidR="00CA5204" w:rsidRPr="00A51FB4" w:rsidRDefault="00CA5204" w:rsidP="004A6766">
      <w:pPr>
        <w:jc w:val="both"/>
        <w:rPr>
          <w:rFonts w:ascii="Cambria" w:hAnsi="Cambria" w:cs="Arial"/>
          <w:color w:val="000000" w:themeColor="text1"/>
        </w:rPr>
      </w:pPr>
    </w:p>
    <w:p w14:paraId="75040EA4" w14:textId="23B90F01" w:rsidR="00CA5204" w:rsidRPr="00A51FB4" w:rsidRDefault="00CA5204" w:rsidP="004A6766">
      <w:pPr>
        <w:jc w:val="both"/>
        <w:rPr>
          <w:rFonts w:ascii="Cambria" w:hAnsi="Cambria" w:cs="Arial"/>
          <w:color w:val="000000" w:themeColor="text1"/>
        </w:rPr>
      </w:pPr>
      <w:r w:rsidRPr="00A51FB4">
        <w:rPr>
          <w:rFonts w:ascii="Cambria" w:hAnsi="Cambria" w:cs="Arial"/>
          <w:color w:val="000000" w:themeColor="text1"/>
        </w:rPr>
        <w:t>With the evidence clearly demonstrating the significant harm caused by</w:t>
      </w:r>
      <w:r w:rsidR="00FD0919" w:rsidRPr="00A51FB4">
        <w:rPr>
          <w:rFonts w:ascii="Cambria" w:hAnsi="Cambria" w:cs="Arial"/>
          <w:color w:val="000000" w:themeColor="text1"/>
        </w:rPr>
        <w:t xml:space="preserve"> electronic gaming machines </w:t>
      </w:r>
      <w:r w:rsidRPr="00A51FB4">
        <w:rPr>
          <w:rFonts w:ascii="Cambria" w:hAnsi="Cambria" w:cs="Arial"/>
          <w:color w:val="000000" w:themeColor="text1"/>
        </w:rPr>
        <w:t>on problem gamblers, it is</w:t>
      </w:r>
      <w:r w:rsidR="00736E75" w:rsidRPr="00A51FB4">
        <w:rPr>
          <w:rFonts w:ascii="Cambria" w:hAnsi="Cambria" w:cs="Arial"/>
          <w:color w:val="000000" w:themeColor="text1"/>
        </w:rPr>
        <w:t xml:space="preserve"> crucial </w:t>
      </w:r>
      <w:r w:rsidRPr="00A51FB4">
        <w:rPr>
          <w:rFonts w:ascii="Cambria" w:hAnsi="Cambria" w:cs="Arial"/>
          <w:color w:val="000000" w:themeColor="text1"/>
        </w:rPr>
        <w:t xml:space="preserve">that </w:t>
      </w:r>
      <w:r w:rsidR="00796909" w:rsidRPr="00A51FB4">
        <w:rPr>
          <w:rFonts w:ascii="Cambria" w:hAnsi="Cambria" w:cs="Arial"/>
          <w:color w:val="000000" w:themeColor="text1"/>
        </w:rPr>
        <w:t xml:space="preserve">the Tasmanian Parliament enshrine </w:t>
      </w:r>
      <w:r w:rsidRPr="00A51FB4">
        <w:rPr>
          <w:rFonts w:ascii="Cambria" w:hAnsi="Cambria" w:cs="Arial"/>
          <w:color w:val="000000" w:themeColor="text1"/>
        </w:rPr>
        <w:t>harm minimisation measures</w:t>
      </w:r>
      <w:r w:rsidR="00796909" w:rsidRPr="00A51FB4">
        <w:rPr>
          <w:rFonts w:ascii="Cambria" w:hAnsi="Cambria" w:cs="Arial"/>
          <w:color w:val="000000" w:themeColor="text1"/>
        </w:rPr>
        <w:t xml:space="preserve"> </w:t>
      </w:r>
      <w:r w:rsidRPr="00A51FB4">
        <w:rPr>
          <w:rFonts w:ascii="Cambria" w:hAnsi="Cambria" w:cs="Arial"/>
          <w:color w:val="000000" w:themeColor="text1"/>
        </w:rPr>
        <w:t>in the</w:t>
      </w:r>
      <w:r w:rsidR="00796909" w:rsidRPr="00A51FB4">
        <w:rPr>
          <w:rFonts w:ascii="Cambria" w:hAnsi="Cambria" w:cs="Arial"/>
          <w:color w:val="000000" w:themeColor="text1"/>
        </w:rPr>
        <w:t xml:space="preserve"> Bill</w:t>
      </w:r>
      <w:r w:rsidRPr="00A51FB4">
        <w:rPr>
          <w:rFonts w:ascii="Cambria" w:hAnsi="Cambria" w:cs="Arial"/>
          <w:color w:val="000000" w:themeColor="text1"/>
        </w:rPr>
        <w:t xml:space="preserve">. </w:t>
      </w:r>
    </w:p>
    <w:p w14:paraId="681631E1" w14:textId="36846D6A" w:rsidR="00FD0919" w:rsidRPr="00A51FB4" w:rsidRDefault="00FD0919" w:rsidP="004A6766">
      <w:pPr>
        <w:jc w:val="both"/>
        <w:rPr>
          <w:rFonts w:ascii="Cambria" w:hAnsi="Cambria" w:cs="Arial"/>
          <w:color w:val="000000" w:themeColor="text1"/>
        </w:rPr>
      </w:pPr>
    </w:p>
    <w:p w14:paraId="11664BD6" w14:textId="6BA17B4C" w:rsidR="00FD0919" w:rsidRPr="00A51FB4" w:rsidRDefault="00FD0919" w:rsidP="004A6766">
      <w:pPr>
        <w:jc w:val="both"/>
        <w:rPr>
          <w:rFonts w:ascii="Cambria" w:hAnsi="Cambria" w:cs="Arial"/>
          <w:b/>
          <w:bCs/>
          <w:color w:val="000000" w:themeColor="text1"/>
        </w:rPr>
      </w:pPr>
      <w:r w:rsidRPr="00A51FB4">
        <w:rPr>
          <w:rFonts w:ascii="Cambria" w:hAnsi="Cambria" w:cs="Arial"/>
          <w:b/>
          <w:bCs/>
          <w:color w:val="000000" w:themeColor="text1"/>
        </w:rPr>
        <w:t>Electronic Gaming Machines and Harm Minimisation</w:t>
      </w:r>
    </w:p>
    <w:p w14:paraId="58193CF7" w14:textId="17970205" w:rsidR="00F3254F" w:rsidRPr="00A51FB4" w:rsidRDefault="00F3254F" w:rsidP="00F3254F">
      <w:pPr>
        <w:jc w:val="both"/>
        <w:rPr>
          <w:rFonts w:ascii="Cambria" w:hAnsi="Cambria" w:cs="Arial"/>
          <w:color w:val="000000" w:themeColor="text1"/>
        </w:rPr>
      </w:pPr>
      <w:r w:rsidRPr="00A51FB4">
        <w:rPr>
          <w:rFonts w:ascii="Cambria" w:hAnsi="Cambria" w:cs="Arial"/>
          <w:color w:val="000000" w:themeColor="text1"/>
        </w:rPr>
        <w:t>In</w:t>
      </w:r>
      <w:r w:rsidR="004F2C1B" w:rsidRPr="00A51FB4">
        <w:rPr>
          <w:rFonts w:ascii="Cambria" w:hAnsi="Cambria" w:cs="Arial"/>
          <w:color w:val="000000" w:themeColor="text1"/>
        </w:rPr>
        <w:t xml:space="preserve"> an academic paper released in 2016 entitled</w:t>
      </w:r>
      <w:r w:rsidRPr="00A51FB4">
        <w:rPr>
          <w:rFonts w:ascii="Cambria" w:hAnsi="Cambria" w:cs="Arial"/>
          <w:color w:val="000000" w:themeColor="text1"/>
        </w:rPr>
        <w:t xml:space="preserve"> </w:t>
      </w:r>
      <w:r w:rsidRPr="00A51FB4">
        <w:rPr>
          <w:rFonts w:ascii="Cambria" w:hAnsi="Cambria" w:cs="Arial"/>
          <w:i/>
          <w:iCs/>
          <w:color w:val="000000" w:themeColor="text1"/>
        </w:rPr>
        <w:t>Key Issues in Product Based Harm Minimisation: Examining Theory, Evidence and Policy Issues in Great Britain</w:t>
      </w:r>
      <w:r w:rsidRPr="00A51FB4">
        <w:rPr>
          <w:rStyle w:val="FootnoteReference"/>
          <w:rFonts w:ascii="Cambria" w:hAnsi="Cambria" w:cs="Arial"/>
          <w:color w:val="000000" w:themeColor="text1"/>
        </w:rPr>
        <w:footnoteReference w:id="9"/>
      </w:r>
      <w:r w:rsidRPr="00A51FB4">
        <w:rPr>
          <w:rFonts w:ascii="Cambria" w:hAnsi="Cambria" w:cs="Arial"/>
          <w:color w:val="000000" w:themeColor="text1"/>
        </w:rPr>
        <w:t> the</w:t>
      </w:r>
      <w:r w:rsidR="004F2C1B" w:rsidRPr="00A51FB4">
        <w:rPr>
          <w:rFonts w:ascii="Cambria" w:hAnsi="Cambria" w:cs="Arial"/>
          <w:color w:val="000000" w:themeColor="text1"/>
        </w:rPr>
        <w:t xml:space="preserve"> </w:t>
      </w:r>
      <w:r w:rsidRPr="00A51FB4">
        <w:rPr>
          <w:rFonts w:ascii="Cambria" w:hAnsi="Cambria" w:cs="Arial"/>
          <w:color w:val="000000" w:themeColor="text1"/>
        </w:rPr>
        <w:t>authors observe that there are a range of factors explaining why a large number of problem gamblers are attracted to electronic gambling machines including its fast, frequent and continuous nature:</w:t>
      </w:r>
      <w:r w:rsidRPr="00A51FB4">
        <w:rPr>
          <w:rStyle w:val="FootnoteReference"/>
          <w:rFonts w:ascii="Cambria" w:hAnsi="Cambria" w:cs="Arial"/>
          <w:color w:val="000000" w:themeColor="text1"/>
        </w:rPr>
        <w:footnoteReference w:id="10"/>
      </w:r>
    </w:p>
    <w:p w14:paraId="1C3B1F01" w14:textId="77777777" w:rsidR="00736E75" w:rsidRPr="00A51FB4" w:rsidRDefault="00736E75" w:rsidP="00736E75">
      <w:pPr>
        <w:jc w:val="both"/>
        <w:rPr>
          <w:rFonts w:ascii="Cambria" w:hAnsi="Cambria" w:cs="GillSans"/>
          <w:i/>
          <w:iCs/>
        </w:rPr>
      </w:pPr>
    </w:p>
    <w:p w14:paraId="74367726" w14:textId="3EE2C20C" w:rsidR="00F3254F" w:rsidRPr="00A51FB4" w:rsidRDefault="00F3254F" w:rsidP="00F3254F">
      <w:pPr>
        <w:ind w:left="720"/>
        <w:jc w:val="both"/>
        <w:rPr>
          <w:rFonts w:ascii="Cambria" w:hAnsi="Cambria" w:cs="Arial"/>
          <w:i/>
          <w:iCs/>
          <w:color w:val="000000" w:themeColor="text1"/>
        </w:rPr>
      </w:pPr>
      <w:r w:rsidRPr="00A51FB4">
        <w:rPr>
          <w:rFonts w:ascii="Cambria" w:hAnsi="Cambria" w:cs="GillSans"/>
          <w:i/>
          <w:iCs/>
        </w:rPr>
        <w:lastRenderedPageBreak/>
        <w:t xml:space="preserve">Gambling activities that can provide monetary reward in the immediate future are more attractive to problem gamblers than those where there is a delay between winning and receiving reward. Moreover, gambling activities that have a brief event duration are highly reinforcing to problem gamblers even if they delay the provision of monetary rewards, because the notification of the gambling outcome itself is also inherently rewarding. Therefore, in general, it is reasonable to conclude that gambling activities with high event frequency are more attractive to problem gamblers because reward (of some description) is delivered relatively quickly in contrast to other forms of gambling. Thus, such games are likely to encourage more problematic play because the behaviour has been strongly reinforced either through winning, or the rapid delivery of exciting feedback informing the player whether they have won or lost. </w:t>
      </w:r>
    </w:p>
    <w:p w14:paraId="411B083B" w14:textId="77777777" w:rsidR="00F3254F" w:rsidRPr="00A51FB4" w:rsidRDefault="00F3254F" w:rsidP="004A6766">
      <w:pPr>
        <w:jc w:val="both"/>
        <w:rPr>
          <w:rFonts w:ascii="Cambria" w:hAnsi="Cambria" w:cs="Arial"/>
          <w:b/>
          <w:bCs/>
          <w:color w:val="000000" w:themeColor="text1"/>
        </w:rPr>
      </w:pPr>
    </w:p>
    <w:p w14:paraId="005629F2" w14:textId="05BAC03B" w:rsidR="00736E75" w:rsidRPr="00A51FB4" w:rsidRDefault="00211CE0" w:rsidP="004A6766">
      <w:pPr>
        <w:jc w:val="both"/>
        <w:rPr>
          <w:rFonts w:ascii="Cambria" w:hAnsi="Cambria" w:cs="Arial"/>
          <w:color w:val="000000" w:themeColor="text1"/>
        </w:rPr>
      </w:pPr>
      <w:r w:rsidRPr="00A51FB4">
        <w:rPr>
          <w:rFonts w:ascii="Cambria" w:hAnsi="Cambria" w:cs="Arial"/>
          <w:color w:val="000000" w:themeColor="text1"/>
        </w:rPr>
        <w:t>T</w:t>
      </w:r>
      <w:r w:rsidR="00736E75" w:rsidRPr="00A51FB4">
        <w:rPr>
          <w:rFonts w:ascii="Cambria" w:hAnsi="Cambria" w:cs="Arial"/>
          <w:color w:val="000000" w:themeColor="text1"/>
        </w:rPr>
        <w:t>he research clearly demonstrat</w:t>
      </w:r>
      <w:r w:rsidRPr="00A51FB4">
        <w:rPr>
          <w:rFonts w:ascii="Cambria" w:hAnsi="Cambria" w:cs="Arial"/>
          <w:color w:val="000000" w:themeColor="text1"/>
        </w:rPr>
        <w:t>es</w:t>
      </w:r>
      <w:r w:rsidR="00736E75" w:rsidRPr="00A51FB4">
        <w:rPr>
          <w:rFonts w:ascii="Cambria" w:hAnsi="Cambria" w:cs="Arial"/>
          <w:color w:val="000000" w:themeColor="text1"/>
        </w:rPr>
        <w:t xml:space="preserve"> that there are a disproportionate number of </w:t>
      </w:r>
      <w:r w:rsidRPr="00A51FB4">
        <w:rPr>
          <w:rFonts w:ascii="Cambria" w:hAnsi="Cambria" w:cs="Arial"/>
          <w:color w:val="000000" w:themeColor="text1"/>
        </w:rPr>
        <w:t xml:space="preserve">people with a gambling problem </w:t>
      </w:r>
      <w:r w:rsidR="00736E75" w:rsidRPr="00A51FB4">
        <w:rPr>
          <w:rFonts w:ascii="Cambria" w:hAnsi="Cambria" w:cs="Arial"/>
          <w:color w:val="000000" w:themeColor="text1"/>
        </w:rPr>
        <w:t>who use electronic gaming machines in Tasmania and that they are attracted to their fast, frequent and continuous nature</w:t>
      </w:r>
      <w:r w:rsidRPr="00A51FB4">
        <w:rPr>
          <w:rFonts w:ascii="Cambria" w:hAnsi="Cambria" w:cs="Arial"/>
          <w:color w:val="000000" w:themeColor="text1"/>
        </w:rPr>
        <w:t>. T</w:t>
      </w:r>
      <w:r w:rsidR="00736E75" w:rsidRPr="00A51FB4">
        <w:rPr>
          <w:rFonts w:ascii="Cambria" w:hAnsi="Cambria" w:cs="Arial"/>
          <w:color w:val="000000" w:themeColor="text1"/>
        </w:rPr>
        <w:t>o minimise the harm</w:t>
      </w:r>
      <w:r w:rsidRPr="00A51FB4">
        <w:rPr>
          <w:rFonts w:ascii="Cambria" w:hAnsi="Cambria" w:cs="Arial"/>
          <w:color w:val="000000" w:themeColor="text1"/>
        </w:rPr>
        <w:t>,</w:t>
      </w:r>
      <w:r w:rsidR="00736E75" w:rsidRPr="00A51FB4">
        <w:rPr>
          <w:rFonts w:ascii="Cambria" w:hAnsi="Cambria" w:cs="Arial"/>
          <w:color w:val="000000" w:themeColor="text1"/>
        </w:rPr>
        <w:t xml:space="preserve"> we should be targeting the availability </w:t>
      </w:r>
      <w:r w:rsidRPr="00A51FB4">
        <w:rPr>
          <w:rFonts w:ascii="Cambria" w:hAnsi="Cambria" w:cs="Arial"/>
          <w:color w:val="000000" w:themeColor="text1"/>
        </w:rPr>
        <w:t xml:space="preserve">of EGMs </w:t>
      </w:r>
      <w:r w:rsidR="00736E75" w:rsidRPr="00A51FB4">
        <w:rPr>
          <w:rFonts w:ascii="Cambria" w:hAnsi="Cambria" w:cs="Arial"/>
          <w:color w:val="000000" w:themeColor="text1"/>
        </w:rPr>
        <w:t xml:space="preserve">and the way in which they are used. </w:t>
      </w:r>
    </w:p>
    <w:p w14:paraId="048E6217" w14:textId="77777777" w:rsidR="00736E75" w:rsidRPr="00A51FB4" w:rsidRDefault="00736E75" w:rsidP="004A6766">
      <w:pPr>
        <w:jc w:val="both"/>
        <w:rPr>
          <w:rFonts w:ascii="Cambria" w:hAnsi="Cambria" w:cs="Arial"/>
          <w:b/>
          <w:bCs/>
          <w:color w:val="000000" w:themeColor="text1"/>
        </w:rPr>
      </w:pPr>
    </w:p>
    <w:p w14:paraId="7354A9BA" w14:textId="3B63F3D7" w:rsidR="00FD0919" w:rsidRPr="00A51FB4" w:rsidRDefault="00F3254F" w:rsidP="004A6766">
      <w:pPr>
        <w:jc w:val="both"/>
        <w:rPr>
          <w:rFonts w:ascii="Cambria" w:hAnsi="Cambria" w:cs="Arial"/>
          <w:b/>
          <w:bCs/>
          <w:color w:val="000000" w:themeColor="text1"/>
        </w:rPr>
      </w:pPr>
      <w:r w:rsidRPr="00A51FB4">
        <w:rPr>
          <w:rFonts w:ascii="Cambria" w:hAnsi="Cambria" w:cs="Arial"/>
          <w:b/>
          <w:bCs/>
          <w:color w:val="000000" w:themeColor="text1"/>
        </w:rPr>
        <w:t>What harm minimisation measures work?</w:t>
      </w:r>
    </w:p>
    <w:p w14:paraId="3FF84B7E" w14:textId="359BF056" w:rsidR="004F2C1B" w:rsidRPr="00A51FB4" w:rsidRDefault="004F2C1B" w:rsidP="004F2C1B">
      <w:pPr>
        <w:jc w:val="both"/>
        <w:rPr>
          <w:rFonts w:ascii="Cambria" w:hAnsi="Cambria" w:cs="Arial"/>
          <w:color w:val="000000" w:themeColor="text1"/>
        </w:rPr>
      </w:pPr>
      <w:r w:rsidRPr="00A51FB4">
        <w:rPr>
          <w:rFonts w:ascii="Cambria" w:hAnsi="Cambria" w:cs="Arial"/>
          <w:color w:val="000000" w:themeColor="text1"/>
        </w:rPr>
        <w:t>There are</w:t>
      </w:r>
      <w:r w:rsidR="0025648F" w:rsidRPr="00A51FB4">
        <w:rPr>
          <w:rFonts w:ascii="Cambria" w:hAnsi="Cambria" w:cs="Arial"/>
          <w:color w:val="000000" w:themeColor="text1"/>
        </w:rPr>
        <w:t xml:space="preserve"> four</w:t>
      </w:r>
      <w:r w:rsidRPr="00A51FB4">
        <w:rPr>
          <w:rFonts w:ascii="Cambria" w:hAnsi="Cambria" w:cs="Arial"/>
          <w:color w:val="000000" w:themeColor="text1"/>
        </w:rPr>
        <w:t xml:space="preserve"> harm minimisation measures that we strongly recommend are </w:t>
      </w:r>
      <w:r w:rsidR="00561AB8" w:rsidRPr="00A51FB4">
        <w:rPr>
          <w:rFonts w:ascii="Cambria" w:hAnsi="Cambria" w:cs="Arial"/>
          <w:color w:val="000000" w:themeColor="text1"/>
        </w:rPr>
        <w:t>enshrined in the Bill</w:t>
      </w:r>
      <w:r w:rsidRPr="00A51FB4">
        <w:rPr>
          <w:rFonts w:ascii="Cambria" w:hAnsi="Cambria" w:cs="Arial"/>
          <w:color w:val="000000" w:themeColor="text1"/>
        </w:rPr>
        <w:t>:</w:t>
      </w:r>
    </w:p>
    <w:p w14:paraId="4A80974A" w14:textId="77777777" w:rsidR="004F2C1B" w:rsidRPr="00A51FB4" w:rsidRDefault="004F2C1B" w:rsidP="004F2C1B">
      <w:pPr>
        <w:jc w:val="both"/>
        <w:rPr>
          <w:rFonts w:ascii="Cambria" w:hAnsi="Cambria" w:cs="Arial"/>
          <w:color w:val="000000" w:themeColor="text1"/>
        </w:rPr>
      </w:pPr>
    </w:p>
    <w:p w14:paraId="4FEE3013" w14:textId="66337F88" w:rsidR="00A37FED" w:rsidRPr="00A51FB4" w:rsidRDefault="00A37FED" w:rsidP="00A37FED">
      <w:pPr>
        <w:pStyle w:val="ListParagraph"/>
        <w:numPr>
          <w:ilvl w:val="0"/>
          <w:numId w:val="17"/>
        </w:numPr>
        <w:jc w:val="both"/>
        <w:rPr>
          <w:rFonts w:ascii="Cambria" w:hAnsi="Cambria" w:cs="Arial"/>
          <w:color w:val="000000" w:themeColor="text1"/>
        </w:rPr>
      </w:pPr>
      <w:r w:rsidRPr="00A51FB4">
        <w:rPr>
          <w:rFonts w:ascii="Cambria" w:hAnsi="Cambria" w:cs="Arial"/>
          <w:color w:val="000000" w:themeColor="text1"/>
        </w:rPr>
        <w:t xml:space="preserve">reduced </w:t>
      </w:r>
      <w:r w:rsidR="00467FEB" w:rsidRPr="00A51FB4">
        <w:rPr>
          <w:rFonts w:ascii="Cambria" w:hAnsi="Cambria" w:cs="Arial"/>
          <w:color w:val="000000" w:themeColor="text1"/>
        </w:rPr>
        <w:t xml:space="preserve">hours and </w:t>
      </w:r>
      <w:r w:rsidRPr="00A51FB4">
        <w:rPr>
          <w:rFonts w:ascii="Cambria" w:hAnsi="Cambria" w:cs="Arial"/>
          <w:color w:val="000000" w:themeColor="text1"/>
        </w:rPr>
        <w:t>availability; and</w:t>
      </w:r>
    </w:p>
    <w:p w14:paraId="3B3425BA" w14:textId="627D3A3A" w:rsidR="00A37FED" w:rsidRPr="00A51FB4" w:rsidRDefault="00A37FED" w:rsidP="00A37FED">
      <w:pPr>
        <w:pStyle w:val="ListParagraph"/>
        <w:numPr>
          <w:ilvl w:val="0"/>
          <w:numId w:val="17"/>
        </w:numPr>
        <w:jc w:val="both"/>
        <w:rPr>
          <w:rFonts w:ascii="Cambria" w:hAnsi="Cambria" w:cs="Arial"/>
          <w:color w:val="000000" w:themeColor="text1"/>
        </w:rPr>
      </w:pPr>
      <w:r w:rsidRPr="00A51FB4">
        <w:rPr>
          <w:rFonts w:ascii="Cambria" w:hAnsi="Cambria" w:cs="Arial"/>
          <w:color w:val="000000" w:themeColor="text1"/>
        </w:rPr>
        <w:t>a maximum $1</w:t>
      </w:r>
      <w:r w:rsidR="008E70D5" w:rsidRPr="00A51FB4">
        <w:rPr>
          <w:rFonts w:ascii="Cambria" w:hAnsi="Cambria" w:cs="Arial"/>
          <w:color w:val="000000" w:themeColor="text1"/>
        </w:rPr>
        <w:t xml:space="preserve"> bet</w:t>
      </w:r>
      <w:r w:rsidRPr="00A51FB4">
        <w:rPr>
          <w:rFonts w:ascii="Cambria" w:hAnsi="Cambria" w:cs="Arial"/>
          <w:color w:val="000000" w:themeColor="text1"/>
        </w:rPr>
        <w:t xml:space="preserve">; and </w:t>
      </w:r>
    </w:p>
    <w:p w14:paraId="4BDFA29C" w14:textId="4539C6E6" w:rsidR="00A37FED" w:rsidRPr="00A51FB4" w:rsidRDefault="004F2C1B" w:rsidP="004F2C1B">
      <w:pPr>
        <w:pStyle w:val="ListParagraph"/>
        <w:numPr>
          <w:ilvl w:val="0"/>
          <w:numId w:val="17"/>
        </w:numPr>
        <w:jc w:val="both"/>
        <w:rPr>
          <w:rFonts w:ascii="Cambria" w:hAnsi="Cambria" w:cs="Arial"/>
          <w:color w:val="000000" w:themeColor="text1"/>
        </w:rPr>
      </w:pPr>
      <w:r w:rsidRPr="00A51FB4">
        <w:rPr>
          <w:rFonts w:ascii="Cambria" w:hAnsi="Cambria" w:cs="Arial"/>
          <w:color w:val="000000" w:themeColor="text1"/>
        </w:rPr>
        <w:t xml:space="preserve">a minimum spin </w:t>
      </w:r>
      <w:r w:rsidR="003742C1" w:rsidRPr="00A51FB4">
        <w:rPr>
          <w:rFonts w:ascii="Cambria" w:hAnsi="Cambria" w:cs="Arial"/>
          <w:color w:val="000000" w:themeColor="text1"/>
        </w:rPr>
        <w:t>speed</w:t>
      </w:r>
      <w:r w:rsidRPr="00A51FB4">
        <w:rPr>
          <w:rFonts w:ascii="Cambria" w:hAnsi="Cambria" w:cs="Arial"/>
          <w:color w:val="000000" w:themeColor="text1"/>
        </w:rPr>
        <w:t xml:space="preserve"> of </w:t>
      </w:r>
      <w:r w:rsidR="003742C1" w:rsidRPr="00A51FB4">
        <w:rPr>
          <w:rFonts w:ascii="Cambria" w:hAnsi="Cambria" w:cs="Arial"/>
          <w:color w:val="000000" w:themeColor="text1"/>
        </w:rPr>
        <w:t>six</w:t>
      </w:r>
      <w:r w:rsidRPr="00A51FB4">
        <w:rPr>
          <w:rFonts w:ascii="Cambria" w:hAnsi="Cambria" w:cs="Arial"/>
          <w:color w:val="000000" w:themeColor="text1"/>
        </w:rPr>
        <w:t xml:space="preserve"> seconds; and</w:t>
      </w:r>
    </w:p>
    <w:p w14:paraId="5F2CD48B" w14:textId="0EB43EE7" w:rsidR="004F2C1B" w:rsidRPr="00A51FB4" w:rsidRDefault="00A37FED" w:rsidP="00A37FED">
      <w:pPr>
        <w:pStyle w:val="ListParagraph"/>
        <w:numPr>
          <w:ilvl w:val="0"/>
          <w:numId w:val="17"/>
        </w:numPr>
        <w:jc w:val="both"/>
        <w:rPr>
          <w:rFonts w:ascii="Cambria" w:hAnsi="Cambria" w:cs="Arial"/>
          <w:color w:val="000000" w:themeColor="text1"/>
        </w:rPr>
      </w:pPr>
      <w:r w:rsidRPr="00A51FB4">
        <w:rPr>
          <w:rFonts w:ascii="Cambria" w:hAnsi="Cambria" w:cs="Arial"/>
          <w:color w:val="000000" w:themeColor="text1"/>
        </w:rPr>
        <w:t>a mandatory</w:t>
      </w:r>
      <w:r w:rsidR="003742C1" w:rsidRPr="00A51FB4">
        <w:rPr>
          <w:rFonts w:ascii="Cambria" w:hAnsi="Cambria" w:cs="Arial"/>
          <w:color w:val="000000" w:themeColor="text1"/>
        </w:rPr>
        <w:t xml:space="preserve"> </w:t>
      </w:r>
      <w:r w:rsidRPr="00A51FB4">
        <w:rPr>
          <w:rFonts w:ascii="Cambria" w:hAnsi="Cambria" w:cs="Arial"/>
          <w:color w:val="000000" w:themeColor="text1"/>
        </w:rPr>
        <w:t xml:space="preserve">pre-commitment scheme. </w:t>
      </w:r>
      <w:r w:rsidR="004F2C1B" w:rsidRPr="00A51FB4">
        <w:rPr>
          <w:rFonts w:ascii="Cambria" w:hAnsi="Cambria" w:cs="Arial"/>
          <w:color w:val="000000" w:themeColor="text1"/>
        </w:rPr>
        <w:t xml:space="preserve"> </w:t>
      </w:r>
    </w:p>
    <w:p w14:paraId="7C657A50" w14:textId="77777777" w:rsidR="004F2C1B" w:rsidRPr="00A51FB4" w:rsidRDefault="004F2C1B" w:rsidP="004F2C1B">
      <w:pPr>
        <w:jc w:val="both"/>
        <w:rPr>
          <w:rFonts w:ascii="Cambria" w:hAnsi="Cambria" w:cs="Arial"/>
          <w:color w:val="000000" w:themeColor="text1"/>
        </w:rPr>
      </w:pPr>
    </w:p>
    <w:p w14:paraId="63CEE78E" w14:textId="22030FA8" w:rsidR="00A37FED" w:rsidRPr="00A51FB4" w:rsidRDefault="00A37FED" w:rsidP="004B1FAF">
      <w:pPr>
        <w:pStyle w:val="ListParagraph"/>
        <w:numPr>
          <w:ilvl w:val="0"/>
          <w:numId w:val="18"/>
        </w:numPr>
        <w:jc w:val="both"/>
        <w:rPr>
          <w:rFonts w:ascii="Cambria" w:hAnsi="Cambria"/>
          <w:b/>
          <w:bCs/>
          <w:i/>
          <w:iCs/>
          <w:color w:val="000000"/>
        </w:rPr>
      </w:pPr>
      <w:r w:rsidRPr="00A51FB4">
        <w:rPr>
          <w:rFonts w:ascii="Cambria" w:hAnsi="Cambria"/>
          <w:b/>
          <w:bCs/>
          <w:i/>
          <w:iCs/>
          <w:color w:val="000000"/>
        </w:rPr>
        <w:t xml:space="preserve">Reduced </w:t>
      </w:r>
      <w:r w:rsidR="00467FEB" w:rsidRPr="00A51FB4">
        <w:rPr>
          <w:rFonts w:ascii="Cambria" w:hAnsi="Cambria"/>
          <w:b/>
          <w:bCs/>
          <w:i/>
          <w:iCs/>
          <w:color w:val="000000"/>
        </w:rPr>
        <w:t xml:space="preserve">hours and </w:t>
      </w:r>
      <w:r w:rsidRPr="00A51FB4">
        <w:rPr>
          <w:rFonts w:ascii="Cambria" w:hAnsi="Cambria"/>
          <w:b/>
          <w:bCs/>
          <w:i/>
          <w:iCs/>
          <w:color w:val="000000"/>
        </w:rPr>
        <w:t>availability</w:t>
      </w:r>
    </w:p>
    <w:p w14:paraId="13961DA9" w14:textId="0E4153FA" w:rsidR="00A37FED" w:rsidRPr="00A51FB4" w:rsidRDefault="00A37FED" w:rsidP="00A37FED">
      <w:pPr>
        <w:jc w:val="both"/>
        <w:rPr>
          <w:rFonts w:ascii="Cambria" w:hAnsi="Cambria"/>
        </w:rPr>
      </w:pPr>
      <w:r w:rsidRPr="00A51FB4">
        <w:rPr>
          <w:rFonts w:ascii="Cambria" w:hAnsi="Cambria"/>
        </w:rPr>
        <w:t>In 1999 the Productivity Commission noted that New South Wales had the highest rate of problem gambling and Western Australia the lowest and that this was “probably reflecting the relative availability of gaming machines”.</w:t>
      </w:r>
      <w:r w:rsidRPr="00A51FB4">
        <w:rPr>
          <w:rStyle w:val="FootnoteReference"/>
          <w:rFonts w:ascii="Cambria" w:hAnsi="Cambria"/>
        </w:rPr>
        <w:footnoteReference w:id="11"/>
      </w:r>
      <w:r w:rsidRPr="00A51FB4">
        <w:rPr>
          <w:rFonts w:ascii="Cambria" w:hAnsi="Cambria"/>
        </w:rPr>
        <w:t xml:space="preserve"> Expressed in another way, reduced access to electronic gaming machines </w:t>
      </w:r>
      <w:r w:rsidR="00736E75" w:rsidRPr="00A51FB4">
        <w:rPr>
          <w:rFonts w:ascii="Cambria" w:hAnsi="Cambria"/>
        </w:rPr>
        <w:t>means</w:t>
      </w:r>
      <w:r w:rsidRPr="00A51FB4">
        <w:rPr>
          <w:rFonts w:ascii="Cambria" w:hAnsi="Cambria"/>
        </w:rPr>
        <w:t xml:space="preserve"> less problem gambl</w:t>
      </w:r>
      <w:r w:rsidR="00211CE0" w:rsidRPr="00A51FB4">
        <w:rPr>
          <w:rFonts w:ascii="Cambria" w:hAnsi="Cambria"/>
        </w:rPr>
        <w:t>ing</w:t>
      </w:r>
      <w:r w:rsidRPr="00A51FB4">
        <w:rPr>
          <w:rFonts w:ascii="Cambria" w:hAnsi="Cambria"/>
        </w:rPr>
        <w:t>.</w:t>
      </w:r>
      <w:r w:rsidR="00211CE0" w:rsidRPr="00A51FB4">
        <w:rPr>
          <w:rFonts w:ascii="Cambria" w:hAnsi="Cambria"/>
        </w:rPr>
        <w:t xml:space="preserve"> </w:t>
      </w:r>
      <w:r w:rsidRPr="00A51FB4">
        <w:rPr>
          <w:rFonts w:ascii="Cambria" w:hAnsi="Cambria"/>
        </w:rPr>
        <w:t xml:space="preserve">   </w:t>
      </w:r>
    </w:p>
    <w:p w14:paraId="00FCA587" w14:textId="77777777" w:rsidR="00A37FED" w:rsidRPr="00A51FB4" w:rsidRDefault="00A37FED" w:rsidP="00A37FED">
      <w:pPr>
        <w:jc w:val="both"/>
        <w:rPr>
          <w:rFonts w:ascii="Cambria" w:hAnsi="Cambria"/>
        </w:rPr>
      </w:pPr>
    </w:p>
    <w:p w14:paraId="09E3A2FC" w14:textId="77777777" w:rsidR="00467FEB" w:rsidRPr="00A51FB4" w:rsidRDefault="00A37FED" w:rsidP="00467FEB">
      <w:pPr>
        <w:jc w:val="both"/>
        <w:rPr>
          <w:rFonts w:ascii="Cambria" w:hAnsi="Cambria"/>
        </w:rPr>
      </w:pPr>
      <w:r w:rsidRPr="00A51FB4">
        <w:rPr>
          <w:rFonts w:ascii="Cambria" w:hAnsi="Cambria"/>
        </w:rPr>
        <w:t>We strongly support Anglicare Tasmania’s recommendation that the overall numbers of electronic gaming machines in the community should be reduced from the Bill’s proposed 2350 machines. We also support Anglicare Tasmania’s recommendation that “the legislation should allow for numbers to be capped according to the Index of Relative Socio-Economic Disadvantage”.</w:t>
      </w:r>
      <w:r w:rsidRPr="00A51FB4">
        <w:rPr>
          <w:rStyle w:val="FootnoteReference"/>
          <w:rFonts w:ascii="Cambria" w:hAnsi="Cambria"/>
        </w:rPr>
        <w:footnoteReference w:id="12"/>
      </w:r>
      <w:r w:rsidRPr="00A51FB4">
        <w:rPr>
          <w:rFonts w:ascii="Cambria" w:hAnsi="Cambria"/>
        </w:rPr>
        <w:t xml:space="preserve">    </w:t>
      </w:r>
    </w:p>
    <w:p w14:paraId="28085FE2" w14:textId="77777777" w:rsidR="00467FEB" w:rsidRPr="00A51FB4" w:rsidRDefault="00467FEB" w:rsidP="00467FEB">
      <w:pPr>
        <w:jc w:val="both"/>
        <w:rPr>
          <w:rFonts w:ascii="Cambria" w:hAnsi="Cambria"/>
        </w:rPr>
      </w:pPr>
    </w:p>
    <w:p w14:paraId="2C6842BE" w14:textId="7FD9C30D" w:rsidR="00AB481B" w:rsidRPr="00A51FB4" w:rsidRDefault="00467FEB" w:rsidP="00DA17BA">
      <w:pPr>
        <w:jc w:val="both"/>
        <w:rPr>
          <w:rFonts w:ascii="Cambria" w:hAnsi="Cambria"/>
        </w:rPr>
      </w:pPr>
      <w:r w:rsidRPr="00467FEB">
        <w:rPr>
          <w:rFonts w:ascii="Cambria" w:hAnsi="Cambria"/>
          <w:color w:val="000000"/>
          <w:shd w:val="clear" w:color="auto" w:fill="FFFFFF"/>
        </w:rPr>
        <w:t>We also strongly believe that the Bill should specify that gaming venues can only operate for a maximum of 12 hours per day. It is our understanding that some gaming venues are open up to 18 hours per day. Limiting the hours that a gaming venue may remain open to a maximum of 12 hours will ensure that problem gambling is reduced.</w:t>
      </w:r>
    </w:p>
    <w:p w14:paraId="6773D934" w14:textId="5B8D2C28" w:rsidR="0041040C" w:rsidRPr="00A51FB4" w:rsidRDefault="0041040C" w:rsidP="004B1FAF">
      <w:pPr>
        <w:pStyle w:val="ListParagraph"/>
        <w:numPr>
          <w:ilvl w:val="0"/>
          <w:numId w:val="18"/>
        </w:numPr>
        <w:jc w:val="both"/>
        <w:rPr>
          <w:rFonts w:ascii="Cambria" w:hAnsi="Cambria"/>
        </w:rPr>
      </w:pPr>
      <w:r w:rsidRPr="00A51FB4">
        <w:rPr>
          <w:rFonts w:ascii="Cambria" w:hAnsi="Cambria"/>
          <w:b/>
          <w:bCs/>
          <w:i/>
          <w:iCs/>
          <w:color w:val="000000"/>
        </w:rPr>
        <w:lastRenderedPageBreak/>
        <w:t>Maximum $1 bet</w:t>
      </w:r>
    </w:p>
    <w:p w14:paraId="6260929B" w14:textId="4E1CA33A" w:rsidR="0041040C" w:rsidRPr="00A51FB4" w:rsidRDefault="0041040C" w:rsidP="0041040C">
      <w:pPr>
        <w:jc w:val="both"/>
        <w:rPr>
          <w:rFonts w:ascii="Cambria" w:hAnsi="Cambria"/>
          <w:color w:val="000000"/>
        </w:rPr>
      </w:pPr>
      <w:r w:rsidRPr="00A51FB4">
        <w:rPr>
          <w:rFonts w:ascii="Cambria" w:hAnsi="Cambria"/>
          <w:color w:val="000000"/>
        </w:rPr>
        <w:t>Reducing maximum bets to $1 per button push was recommended in 2010 by the Productivity Commission because it would “strongly target problem gamblers, with little disturbance for others”.</w:t>
      </w:r>
      <w:r w:rsidRPr="00A51FB4">
        <w:rPr>
          <w:rStyle w:val="FootnoteReference"/>
          <w:rFonts w:ascii="Cambria" w:hAnsi="Cambria"/>
          <w:color w:val="000000"/>
        </w:rPr>
        <w:footnoteReference w:id="13"/>
      </w:r>
      <w:r w:rsidRPr="00A51FB4">
        <w:rPr>
          <w:rFonts w:ascii="Cambria" w:hAnsi="Cambria"/>
          <w:color w:val="000000"/>
        </w:rPr>
        <w:t xml:space="preserve"> </w:t>
      </w:r>
      <w:r w:rsidR="00DA17BA" w:rsidRPr="00A51FB4">
        <w:rPr>
          <w:rFonts w:ascii="Cambria" w:hAnsi="Cambria"/>
          <w:color w:val="000000"/>
        </w:rPr>
        <w:t>The Tasmanian Liquor and Gaming Commission has also recommended $1 bet limits on the basis that is “a simple, cheap and effective way to reduce the amount that can be lost and therefore reduce harm to problem gamblers”.</w:t>
      </w:r>
      <w:r w:rsidR="00DA17BA" w:rsidRPr="00A51FB4">
        <w:rPr>
          <w:rStyle w:val="FootnoteReference"/>
          <w:rFonts w:ascii="Cambria" w:hAnsi="Cambria"/>
          <w:color w:val="000000"/>
        </w:rPr>
        <w:footnoteReference w:id="14"/>
      </w:r>
    </w:p>
    <w:p w14:paraId="719CBE46" w14:textId="77777777" w:rsidR="00736E75" w:rsidRPr="00A51FB4" w:rsidRDefault="00736E75" w:rsidP="0041040C">
      <w:pPr>
        <w:pStyle w:val="NormalWeb"/>
        <w:shd w:val="clear" w:color="auto" w:fill="FFFFFF"/>
        <w:spacing w:before="0" w:beforeAutospacing="0" w:after="0" w:afterAutospacing="0"/>
        <w:jc w:val="both"/>
        <w:rPr>
          <w:rFonts w:ascii="Cambria" w:hAnsi="Cambria"/>
          <w:b/>
          <w:bCs/>
          <w:i/>
          <w:iCs/>
          <w:color w:val="000000"/>
          <w:bdr w:val="none" w:sz="0" w:space="0" w:color="auto" w:frame="1"/>
        </w:rPr>
      </w:pPr>
    </w:p>
    <w:p w14:paraId="0142B793" w14:textId="44F397BF" w:rsidR="0041040C" w:rsidRPr="00A51FB4" w:rsidRDefault="0041040C" w:rsidP="004B1FAF">
      <w:pPr>
        <w:pStyle w:val="NormalWeb"/>
        <w:numPr>
          <w:ilvl w:val="0"/>
          <w:numId w:val="18"/>
        </w:numPr>
        <w:shd w:val="clear" w:color="auto" w:fill="FFFFFF"/>
        <w:spacing w:before="0" w:beforeAutospacing="0" w:after="0" w:afterAutospacing="0"/>
        <w:jc w:val="both"/>
        <w:rPr>
          <w:rFonts w:ascii="Cambria" w:hAnsi="Cambria"/>
          <w:b/>
          <w:bCs/>
          <w:i/>
          <w:iCs/>
          <w:color w:val="000000"/>
          <w:bdr w:val="none" w:sz="0" w:space="0" w:color="auto" w:frame="1"/>
        </w:rPr>
      </w:pPr>
      <w:r w:rsidRPr="00A51FB4">
        <w:rPr>
          <w:rFonts w:ascii="Cambria" w:hAnsi="Cambria"/>
          <w:b/>
          <w:bCs/>
          <w:i/>
          <w:iCs/>
          <w:color w:val="000000"/>
          <w:bdr w:val="none" w:sz="0" w:space="0" w:color="auto" w:frame="1"/>
        </w:rPr>
        <w:t>Minimum spin speed of six seconds</w:t>
      </w:r>
    </w:p>
    <w:p w14:paraId="3402B8AF" w14:textId="5AA9F32B" w:rsidR="0041040C" w:rsidRPr="00A51FB4" w:rsidRDefault="0041040C" w:rsidP="0041040C">
      <w:pPr>
        <w:jc w:val="both"/>
        <w:rPr>
          <w:rFonts w:ascii="Cambria" w:hAnsi="Cambria"/>
        </w:rPr>
      </w:pPr>
      <w:r w:rsidRPr="00A51FB4">
        <w:rPr>
          <w:rFonts w:ascii="Cambria" w:hAnsi="Cambria"/>
          <w:color w:val="000000"/>
        </w:rPr>
        <w:t>The current spin rate of reels per bet in Tasmania is a minimum of 3 seconds.</w:t>
      </w:r>
      <w:r w:rsidRPr="00A51FB4">
        <w:rPr>
          <w:rStyle w:val="FootnoteReference"/>
          <w:rFonts w:ascii="Cambria" w:hAnsi="Cambria"/>
          <w:color w:val="000000"/>
        </w:rPr>
        <w:footnoteReference w:id="15"/>
      </w:r>
      <w:r w:rsidR="00AB481B" w:rsidRPr="00A51FB4">
        <w:rPr>
          <w:rFonts w:ascii="Cambria" w:hAnsi="Cambria"/>
          <w:color w:val="000000"/>
        </w:rPr>
        <w:t xml:space="preserve"> </w:t>
      </w:r>
      <w:r w:rsidRPr="00A51FB4">
        <w:rPr>
          <w:rFonts w:ascii="Cambria" w:hAnsi="Cambria"/>
          <w:color w:val="000000"/>
        </w:rPr>
        <w:t>Modelling carried out by the Tasmanian Liquor and Gaming Commission found that if the speed settings were slowed to six seconds, losses would be halved. The modelling also found that the slower 6 second speed combined with $1 bet limits would be a “potent way in which gamblers would lose less at any one time”.</w:t>
      </w:r>
      <w:r w:rsidRPr="00A51FB4">
        <w:rPr>
          <w:rStyle w:val="FootnoteReference"/>
          <w:rFonts w:ascii="Cambria" w:hAnsi="Cambria"/>
          <w:color w:val="000000"/>
        </w:rPr>
        <w:footnoteReference w:id="16"/>
      </w:r>
    </w:p>
    <w:p w14:paraId="1AEF2799" w14:textId="77777777" w:rsidR="00A37FED" w:rsidRPr="00A51FB4" w:rsidRDefault="00A37FED" w:rsidP="004F2C1B">
      <w:pPr>
        <w:jc w:val="both"/>
        <w:rPr>
          <w:rFonts w:ascii="Cambria" w:hAnsi="Cambria" w:cs="Arial"/>
          <w:b/>
          <w:bCs/>
          <w:i/>
          <w:iCs/>
          <w:color w:val="000000" w:themeColor="text1"/>
        </w:rPr>
      </w:pPr>
    </w:p>
    <w:p w14:paraId="25F6FAC7" w14:textId="726E0E6F" w:rsidR="004F2C1B" w:rsidRPr="00A51FB4" w:rsidRDefault="004F2C1B" w:rsidP="004B1FAF">
      <w:pPr>
        <w:pStyle w:val="ListParagraph"/>
        <w:numPr>
          <w:ilvl w:val="0"/>
          <w:numId w:val="18"/>
        </w:numPr>
        <w:jc w:val="both"/>
        <w:rPr>
          <w:rFonts w:ascii="Cambria" w:hAnsi="Cambria" w:cs="Arial"/>
          <w:b/>
          <w:bCs/>
          <w:i/>
          <w:iCs/>
          <w:color w:val="000000" w:themeColor="text1"/>
        </w:rPr>
      </w:pPr>
      <w:r w:rsidRPr="00A51FB4">
        <w:rPr>
          <w:rFonts w:ascii="Cambria" w:hAnsi="Cambria" w:cs="Arial"/>
          <w:b/>
          <w:bCs/>
          <w:i/>
          <w:iCs/>
          <w:color w:val="000000" w:themeColor="text1"/>
        </w:rPr>
        <w:t>Mandatory pre-commitment scheme</w:t>
      </w:r>
    </w:p>
    <w:p w14:paraId="3C41C2E1" w14:textId="43CBA2D4" w:rsidR="00467FEB" w:rsidRPr="00A51FB4" w:rsidRDefault="00F3254F" w:rsidP="00467FEB">
      <w:pPr>
        <w:jc w:val="both"/>
        <w:rPr>
          <w:rFonts w:ascii="Cambria" w:hAnsi="Cambria"/>
        </w:rPr>
      </w:pPr>
      <w:r w:rsidRPr="00A51FB4">
        <w:rPr>
          <w:rFonts w:ascii="Cambria" w:hAnsi="Cambria" w:cs="Arial"/>
          <w:color w:val="000000" w:themeColor="text1"/>
        </w:rPr>
        <w:t xml:space="preserve">In a recently released review of Melbourne’s Crown Casino, a </w:t>
      </w:r>
      <w:r w:rsidR="000529EF" w:rsidRPr="00A51FB4">
        <w:rPr>
          <w:rFonts w:ascii="Cambria" w:hAnsi="Cambria" w:cs="Arial"/>
          <w:color w:val="000000" w:themeColor="text1"/>
        </w:rPr>
        <w:t xml:space="preserve">binding and mandatory </w:t>
      </w:r>
      <w:r w:rsidRPr="00A51FB4">
        <w:rPr>
          <w:rFonts w:ascii="Cambria" w:hAnsi="Cambria" w:cs="Arial"/>
          <w:color w:val="000000" w:themeColor="text1"/>
        </w:rPr>
        <w:t>pre-commitment sche</w:t>
      </w:r>
      <w:r w:rsidR="00321476" w:rsidRPr="00A51FB4">
        <w:rPr>
          <w:rFonts w:ascii="Cambria" w:hAnsi="Cambria" w:cs="Arial"/>
          <w:color w:val="000000" w:themeColor="text1"/>
        </w:rPr>
        <w:t xml:space="preserve">me </w:t>
      </w:r>
      <w:r w:rsidRPr="00A51FB4">
        <w:rPr>
          <w:rFonts w:ascii="Cambria" w:hAnsi="Cambria" w:cs="Arial"/>
          <w:color w:val="000000" w:themeColor="text1"/>
        </w:rPr>
        <w:t xml:space="preserve">was recommended </w:t>
      </w:r>
      <w:r w:rsidR="00FE3863" w:rsidRPr="00A51FB4">
        <w:rPr>
          <w:rFonts w:ascii="Cambria" w:hAnsi="Cambria" w:cs="Arial"/>
          <w:color w:val="000000" w:themeColor="text1"/>
        </w:rPr>
        <w:t>because</w:t>
      </w:r>
      <w:r w:rsidR="000529EF" w:rsidRPr="00A51FB4">
        <w:rPr>
          <w:rFonts w:ascii="Cambria" w:hAnsi="Cambria" w:cs="Arial"/>
          <w:color w:val="000000" w:themeColor="text1"/>
        </w:rPr>
        <w:t xml:space="preserve"> it would “significantly reduce the incidence of problem gambling”.</w:t>
      </w:r>
      <w:r w:rsidR="000529EF" w:rsidRPr="00A51FB4">
        <w:rPr>
          <w:rStyle w:val="FootnoteReference"/>
          <w:rFonts w:ascii="Cambria" w:hAnsi="Cambria" w:cs="Arial"/>
          <w:color w:val="000000" w:themeColor="text1"/>
        </w:rPr>
        <w:footnoteReference w:id="17"/>
      </w:r>
      <w:r w:rsidR="000529EF" w:rsidRPr="00A51FB4">
        <w:rPr>
          <w:rFonts w:ascii="Cambria" w:hAnsi="Cambria" w:cs="Arial"/>
          <w:color w:val="000000" w:themeColor="text1"/>
        </w:rPr>
        <w:t xml:space="preserve"> Under the proposed scheme</w:t>
      </w:r>
      <w:r w:rsidR="004F2C1B" w:rsidRPr="00A51FB4">
        <w:rPr>
          <w:rFonts w:ascii="Cambria" w:hAnsi="Cambria" w:cs="Arial"/>
          <w:color w:val="000000" w:themeColor="text1"/>
        </w:rPr>
        <w:t>,</w:t>
      </w:r>
      <w:r w:rsidR="000529EF" w:rsidRPr="00A51FB4">
        <w:rPr>
          <w:rFonts w:ascii="Cambria" w:hAnsi="Cambria" w:cs="Arial"/>
          <w:color w:val="000000" w:themeColor="text1"/>
        </w:rPr>
        <w:t xml:space="preserve"> </w:t>
      </w:r>
      <w:r w:rsidRPr="00A51FB4">
        <w:rPr>
          <w:rFonts w:ascii="Cambria" w:hAnsi="Cambria" w:cs="Arial"/>
          <w:color w:val="000000" w:themeColor="text1"/>
        </w:rPr>
        <w:t>Australian residents using</w:t>
      </w:r>
      <w:r w:rsidR="00FE3863" w:rsidRPr="00A51FB4">
        <w:rPr>
          <w:rFonts w:ascii="Cambria" w:hAnsi="Cambria" w:cs="Arial"/>
          <w:color w:val="000000" w:themeColor="text1"/>
        </w:rPr>
        <w:t xml:space="preserve"> electronic gaming machines </w:t>
      </w:r>
      <w:r w:rsidRPr="00A51FB4">
        <w:rPr>
          <w:rFonts w:ascii="Cambria" w:hAnsi="Cambria" w:cs="Arial"/>
          <w:color w:val="000000" w:themeColor="text1"/>
        </w:rPr>
        <w:t xml:space="preserve">would </w:t>
      </w:r>
      <w:r w:rsidR="00321476" w:rsidRPr="00A51FB4">
        <w:rPr>
          <w:rFonts w:ascii="Cambria" w:hAnsi="Cambria" w:cs="Arial"/>
          <w:color w:val="000000" w:themeColor="text1"/>
        </w:rPr>
        <w:t xml:space="preserve">be </w:t>
      </w:r>
      <w:r w:rsidRPr="00A51FB4">
        <w:rPr>
          <w:rFonts w:ascii="Cambria" w:hAnsi="Cambria" w:cs="Arial"/>
          <w:color w:val="000000" w:themeColor="text1"/>
        </w:rPr>
        <w:t>require</w:t>
      </w:r>
      <w:r w:rsidR="00321476" w:rsidRPr="00A51FB4">
        <w:rPr>
          <w:rFonts w:ascii="Cambria" w:hAnsi="Cambria" w:cs="Arial"/>
          <w:color w:val="000000" w:themeColor="text1"/>
        </w:rPr>
        <w:t xml:space="preserve">d </w:t>
      </w:r>
      <w:r w:rsidRPr="00A51FB4">
        <w:rPr>
          <w:rFonts w:ascii="Cambria" w:hAnsi="Cambria"/>
          <w:color w:val="0A1633"/>
          <w:shd w:val="clear" w:color="auto" w:fill="FFFFFF"/>
        </w:rPr>
        <w:t xml:space="preserve">to set limits on how long they </w:t>
      </w:r>
      <w:r w:rsidR="00467FEB" w:rsidRPr="00A51FB4">
        <w:rPr>
          <w:rFonts w:ascii="Cambria" w:hAnsi="Cambria"/>
          <w:color w:val="0A1633"/>
          <w:shd w:val="clear" w:color="auto" w:fill="FFFFFF"/>
        </w:rPr>
        <w:t>gamble</w:t>
      </w:r>
      <w:r w:rsidRPr="00A51FB4">
        <w:rPr>
          <w:rFonts w:ascii="Cambria" w:hAnsi="Cambria"/>
          <w:color w:val="0A1633"/>
          <w:shd w:val="clear" w:color="auto" w:fill="FFFFFF"/>
        </w:rPr>
        <w:t xml:space="preserve"> and how much they lose. </w:t>
      </w:r>
      <w:r w:rsidR="004B1FAF" w:rsidRPr="00A51FB4">
        <w:rPr>
          <w:rFonts w:ascii="Cambria" w:hAnsi="Cambria"/>
          <w:color w:val="0A1633"/>
          <w:shd w:val="clear" w:color="auto" w:fill="FFFFFF"/>
        </w:rPr>
        <w:t>People</w:t>
      </w:r>
      <w:r w:rsidRPr="00A51FB4">
        <w:rPr>
          <w:rFonts w:ascii="Cambria" w:hAnsi="Cambria"/>
          <w:color w:val="0A1633"/>
          <w:shd w:val="clear" w:color="auto" w:fill="FFFFFF"/>
        </w:rPr>
        <w:t xml:space="preserve"> </w:t>
      </w:r>
      <w:r w:rsidR="00321476" w:rsidRPr="00A51FB4">
        <w:rPr>
          <w:rFonts w:ascii="Cambria" w:hAnsi="Cambria"/>
          <w:color w:val="0A1633"/>
          <w:shd w:val="clear" w:color="auto" w:fill="FFFFFF"/>
        </w:rPr>
        <w:t>who had reached</w:t>
      </w:r>
      <w:r w:rsidRPr="00A51FB4">
        <w:rPr>
          <w:rFonts w:ascii="Cambria" w:hAnsi="Cambria"/>
          <w:color w:val="0A1633"/>
          <w:shd w:val="clear" w:color="auto" w:fill="FFFFFF"/>
        </w:rPr>
        <w:t xml:space="preserve"> their limit would be locked out and unable to change their limits for 36 hours. As well, </w:t>
      </w:r>
      <w:r w:rsidR="004B1FAF" w:rsidRPr="00A51FB4">
        <w:rPr>
          <w:rFonts w:ascii="Cambria" w:hAnsi="Cambria"/>
          <w:color w:val="0A1633"/>
          <w:shd w:val="clear" w:color="auto" w:fill="FFFFFF"/>
        </w:rPr>
        <w:t xml:space="preserve">they </w:t>
      </w:r>
      <w:r w:rsidR="00321476" w:rsidRPr="00A51FB4">
        <w:rPr>
          <w:rFonts w:ascii="Cambria" w:hAnsi="Cambria"/>
          <w:color w:val="0A1633"/>
          <w:shd w:val="clear" w:color="auto" w:fill="FFFFFF"/>
        </w:rPr>
        <w:t>would</w:t>
      </w:r>
      <w:r w:rsidRPr="00A51FB4">
        <w:rPr>
          <w:rFonts w:ascii="Cambria" w:hAnsi="Cambria"/>
          <w:color w:val="0A1633"/>
          <w:shd w:val="clear" w:color="auto" w:fill="FFFFFF"/>
        </w:rPr>
        <w:t xml:space="preserve"> </w:t>
      </w:r>
      <w:r w:rsidR="004B1FAF" w:rsidRPr="00A51FB4">
        <w:rPr>
          <w:rFonts w:ascii="Cambria" w:hAnsi="Cambria"/>
          <w:color w:val="0A1633"/>
          <w:shd w:val="clear" w:color="auto" w:fill="FFFFFF"/>
        </w:rPr>
        <w:t>need</w:t>
      </w:r>
      <w:r w:rsidRPr="00A51FB4">
        <w:rPr>
          <w:rFonts w:ascii="Cambria" w:hAnsi="Cambria"/>
          <w:color w:val="0A1633"/>
          <w:shd w:val="clear" w:color="auto" w:fill="FFFFFF"/>
        </w:rPr>
        <w:t xml:space="preserve"> to take</w:t>
      </w:r>
      <w:r w:rsidR="00321476" w:rsidRPr="00A51FB4">
        <w:rPr>
          <w:rFonts w:ascii="Cambria" w:hAnsi="Cambria"/>
          <w:color w:val="0A1633"/>
          <w:shd w:val="clear" w:color="auto" w:fill="FFFFFF"/>
        </w:rPr>
        <w:t xml:space="preserve"> 15-minute break</w:t>
      </w:r>
      <w:r w:rsidR="004B1FAF" w:rsidRPr="00A51FB4">
        <w:rPr>
          <w:rFonts w:ascii="Cambria" w:hAnsi="Cambria"/>
          <w:color w:val="0A1633"/>
          <w:shd w:val="clear" w:color="auto" w:fill="FFFFFF"/>
        </w:rPr>
        <w:t xml:space="preserve">s </w:t>
      </w:r>
      <w:r w:rsidR="00321476" w:rsidRPr="00A51FB4">
        <w:rPr>
          <w:rFonts w:ascii="Cambria" w:hAnsi="Cambria"/>
          <w:color w:val="0A1633"/>
          <w:shd w:val="clear" w:color="auto" w:fill="FFFFFF"/>
        </w:rPr>
        <w:t>every three hours</w:t>
      </w:r>
      <w:r w:rsidRPr="00A51FB4">
        <w:rPr>
          <w:rFonts w:ascii="Cambria" w:hAnsi="Cambria"/>
          <w:color w:val="0A1633"/>
          <w:shd w:val="clear" w:color="auto" w:fill="FFFFFF"/>
        </w:rPr>
        <w:t xml:space="preserve">, </w:t>
      </w:r>
      <w:r w:rsidR="004B1FAF" w:rsidRPr="00A51FB4">
        <w:rPr>
          <w:rFonts w:ascii="Cambria" w:hAnsi="Cambria"/>
          <w:color w:val="0A1633"/>
          <w:shd w:val="clear" w:color="auto" w:fill="FFFFFF"/>
        </w:rPr>
        <w:t xml:space="preserve">and use the machines </w:t>
      </w:r>
      <w:r w:rsidRPr="00A51FB4">
        <w:rPr>
          <w:rFonts w:ascii="Cambria" w:hAnsi="Cambria"/>
          <w:color w:val="0A1633"/>
          <w:shd w:val="clear" w:color="auto" w:fill="FFFFFF"/>
        </w:rPr>
        <w:t>for a maximum of 12 hours in a 24-hour period and 36 hours a week.</w:t>
      </w:r>
      <w:r w:rsidR="00321476" w:rsidRPr="00A51FB4">
        <w:rPr>
          <w:rStyle w:val="FootnoteReference"/>
          <w:rFonts w:ascii="Cambria" w:hAnsi="Cambria"/>
          <w:color w:val="0A1633"/>
          <w:shd w:val="clear" w:color="auto" w:fill="FFFFFF"/>
        </w:rPr>
        <w:footnoteReference w:id="18"/>
      </w:r>
      <w:r w:rsidR="00A51FB4">
        <w:rPr>
          <w:rFonts w:ascii="Cambria" w:hAnsi="Cambria"/>
          <w:color w:val="0A1633"/>
          <w:shd w:val="clear" w:color="auto" w:fill="FFFFFF"/>
        </w:rPr>
        <w:t xml:space="preserve"> </w:t>
      </w:r>
      <w:r w:rsidR="00467FEB" w:rsidRPr="00A51FB4">
        <w:rPr>
          <w:rFonts w:ascii="Cambria" w:hAnsi="Cambria"/>
          <w:color w:val="000000" w:themeColor="text1"/>
          <w:bdr w:val="none" w:sz="0" w:space="0" w:color="auto" w:frame="1"/>
          <w:shd w:val="clear" w:color="auto" w:fill="FFFFFF"/>
        </w:rPr>
        <w:t xml:space="preserve">We strongly recommend that the Bill provide the Tasmanian Gaming and Liquor Commission with the </w:t>
      </w:r>
      <w:r w:rsidR="00467FEB" w:rsidRPr="00A51FB4">
        <w:rPr>
          <w:rFonts w:ascii="Cambria" w:hAnsi="Cambria"/>
          <w:color w:val="000000" w:themeColor="text1"/>
          <w:bdr w:val="none" w:sz="0" w:space="0" w:color="auto" w:frame="1"/>
          <w:shd w:val="clear" w:color="auto" w:fill="FFFFFF"/>
        </w:rPr>
        <w:t>power</w:t>
      </w:r>
      <w:r w:rsidR="00467FEB" w:rsidRPr="00A51FB4">
        <w:rPr>
          <w:rFonts w:ascii="Cambria" w:hAnsi="Cambria"/>
          <w:color w:val="000000" w:themeColor="text1"/>
          <w:bdr w:val="none" w:sz="0" w:space="0" w:color="auto" w:frame="1"/>
          <w:shd w:val="clear" w:color="auto" w:fill="FFFFFF"/>
        </w:rPr>
        <w:t xml:space="preserve"> to look at effective mandatory pre commitment schemes including the proposed Victorian model.</w:t>
      </w:r>
    </w:p>
    <w:p w14:paraId="263330DA" w14:textId="6C5123DD" w:rsidR="0025648F" w:rsidRPr="00A51FB4" w:rsidRDefault="00FF0BDD" w:rsidP="00467FEB">
      <w:pPr>
        <w:jc w:val="both"/>
        <w:rPr>
          <w:rFonts w:ascii="Cambria" w:hAnsi="Cambria"/>
          <w:color w:val="0A1633"/>
          <w:shd w:val="clear" w:color="auto" w:fill="FFFFFF"/>
        </w:rPr>
      </w:pPr>
      <w:r w:rsidRPr="00A51FB4">
        <w:rPr>
          <w:rFonts w:ascii="Cambria" w:hAnsi="Cambria"/>
          <w:color w:val="000000"/>
        </w:rPr>
        <w:t xml:space="preserve"> </w:t>
      </w:r>
    </w:p>
    <w:p w14:paraId="300A0113" w14:textId="77777777" w:rsidR="0002762E" w:rsidRPr="00A51FB4" w:rsidRDefault="0002762E" w:rsidP="0002762E">
      <w:pPr>
        <w:pStyle w:val="NormalWeb"/>
        <w:shd w:val="clear" w:color="auto" w:fill="FFFFFF"/>
        <w:spacing w:before="0" w:beforeAutospacing="0" w:after="0" w:afterAutospacing="0"/>
        <w:jc w:val="both"/>
        <w:rPr>
          <w:rFonts w:ascii="Cambria" w:hAnsi="Cambria"/>
          <w:bCs/>
          <w:color w:val="000000" w:themeColor="text1"/>
        </w:rPr>
      </w:pPr>
      <w:r w:rsidRPr="00A51FB4">
        <w:rPr>
          <w:rFonts w:ascii="Cambria" w:hAnsi="Cambria"/>
          <w:bCs/>
          <w:color w:val="000000" w:themeColor="text1"/>
        </w:rPr>
        <w:t xml:space="preserve">We strongly recommend that these harm minimisation measures are enshrined in the Bill. </w:t>
      </w:r>
    </w:p>
    <w:p w14:paraId="1D71C11C" w14:textId="77777777" w:rsidR="0002762E" w:rsidRPr="00A51FB4" w:rsidRDefault="0002762E" w:rsidP="00A24425">
      <w:pPr>
        <w:pStyle w:val="NormalWeb"/>
        <w:shd w:val="clear" w:color="auto" w:fill="FFFFFF"/>
        <w:spacing w:before="0" w:beforeAutospacing="0" w:after="0" w:afterAutospacing="0"/>
        <w:jc w:val="both"/>
        <w:rPr>
          <w:rFonts w:ascii="Cambria" w:hAnsi="Cambria"/>
          <w:b/>
          <w:color w:val="000000" w:themeColor="text1"/>
        </w:rPr>
      </w:pPr>
    </w:p>
    <w:p w14:paraId="2579E5A2" w14:textId="4B65DA3A" w:rsidR="0002762E" w:rsidRPr="00A51FB4" w:rsidRDefault="0002762E" w:rsidP="00A24425">
      <w:pPr>
        <w:pStyle w:val="NormalWeb"/>
        <w:shd w:val="clear" w:color="auto" w:fill="FFFFFF"/>
        <w:spacing w:before="0" w:beforeAutospacing="0" w:after="0" w:afterAutospacing="0"/>
        <w:jc w:val="both"/>
        <w:rPr>
          <w:rFonts w:ascii="Cambria" w:hAnsi="Cambria"/>
          <w:b/>
          <w:color w:val="000000" w:themeColor="text1"/>
        </w:rPr>
      </w:pPr>
      <w:r w:rsidRPr="00A51FB4">
        <w:rPr>
          <w:rFonts w:ascii="Cambria" w:hAnsi="Cambria"/>
          <w:b/>
          <w:color w:val="000000" w:themeColor="text1"/>
        </w:rPr>
        <w:t>Referral to Committee</w:t>
      </w:r>
    </w:p>
    <w:p w14:paraId="3F1B6965" w14:textId="58FA552C" w:rsidR="0002762E" w:rsidRPr="00A51FB4" w:rsidRDefault="0002762E" w:rsidP="0002762E">
      <w:pPr>
        <w:pStyle w:val="NormalWeb"/>
        <w:shd w:val="clear" w:color="auto" w:fill="FFFFFF"/>
        <w:spacing w:before="0" w:beforeAutospacing="0" w:after="0" w:afterAutospacing="0"/>
        <w:jc w:val="both"/>
        <w:rPr>
          <w:rFonts w:ascii="Cambria" w:hAnsi="Cambria"/>
          <w:bCs/>
          <w:color w:val="000000" w:themeColor="text1"/>
        </w:rPr>
      </w:pPr>
      <w:r w:rsidRPr="00A51FB4">
        <w:rPr>
          <w:rFonts w:ascii="Cambria" w:hAnsi="Cambria"/>
          <w:bCs/>
          <w:color w:val="000000" w:themeColor="text1"/>
        </w:rPr>
        <w:t xml:space="preserve">In our opinion, the failure to appropriately address harm minimisation measures in the Bill is a significant weakness that will have long lasting detrimental impacts on problem gambling in Tasmania. </w:t>
      </w:r>
      <w:r w:rsidR="00BA0915" w:rsidRPr="00A51FB4">
        <w:rPr>
          <w:rFonts w:ascii="Cambria" w:hAnsi="Cambria"/>
          <w:bCs/>
          <w:color w:val="000000" w:themeColor="text1"/>
        </w:rPr>
        <w:t xml:space="preserve">We believe that the </w:t>
      </w:r>
      <w:r w:rsidR="00BA0915" w:rsidRPr="00A51FB4">
        <w:rPr>
          <w:rFonts w:ascii="Cambria" w:hAnsi="Cambria"/>
          <w:bCs/>
          <w:color w:val="000000" w:themeColor="text1"/>
        </w:rPr>
        <w:t>Legislative Council</w:t>
      </w:r>
      <w:r w:rsidR="00BA0915" w:rsidRPr="00A51FB4">
        <w:rPr>
          <w:rFonts w:ascii="Cambria" w:hAnsi="Cambria"/>
          <w:bCs/>
          <w:color w:val="000000" w:themeColor="text1"/>
        </w:rPr>
        <w:t xml:space="preserve"> </w:t>
      </w:r>
      <w:r w:rsidR="00BA0915" w:rsidRPr="00A51FB4">
        <w:rPr>
          <w:rFonts w:ascii="Cambria" w:hAnsi="Cambria"/>
          <w:bCs/>
          <w:color w:val="000000" w:themeColor="text1"/>
        </w:rPr>
        <w:t>requires more time to consider</w:t>
      </w:r>
      <w:r w:rsidR="00BA0915" w:rsidRPr="00A51FB4">
        <w:rPr>
          <w:rFonts w:ascii="Cambria" w:hAnsi="Cambria"/>
          <w:bCs/>
          <w:color w:val="000000" w:themeColor="text1"/>
        </w:rPr>
        <w:t xml:space="preserve"> best practice </w:t>
      </w:r>
      <w:r w:rsidRPr="00A51FB4">
        <w:rPr>
          <w:rFonts w:ascii="Cambria" w:hAnsi="Cambria"/>
          <w:bCs/>
          <w:color w:val="000000" w:themeColor="text1"/>
        </w:rPr>
        <w:t xml:space="preserve">harm minimisation measures. We therefore </w:t>
      </w:r>
      <w:r w:rsidRPr="00A51FB4">
        <w:rPr>
          <w:rFonts w:ascii="Cambria" w:hAnsi="Cambria"/>
          <w:bCs/>
          <w:color w:val="000000" w:themeColor="text1"/>
        </w:rPr>
        <w:t xml:space="preserve">strongly recommend that the Bill </w:t>
      </w:r>
      <w:r w:rsidR="00BA0915" w:rsidRPr="00A51FB4">
        <w:rPr>
          <w:rFonts w:ascii="Cambria" w:hAnsi="Cambria"/>
          <w:bCs/>
          <w:color w:val="000000" w:themeColor="text1"/>
        </w:rPr>
        <w:t>-</w:t>
      </w:r>
      <w:r w:rsidRPr="00A51FB4">
        <w:rPr>
          <w:rFonts w:ascii="Cambria" w:hAnsi="Cambria"/>
          <w:bCs/>
          <w:color w:val="000000" w:themeColor="text1"/>
        </w:rPr>
        <w:t>and in particular the proposed harm minimisation measures</w:t>
      </w:r>
      <w:r w:rsidR="00BA0915" w:rsidRPr="00A51FB4">
        <w:rPr>
          <w:rFonts w:ascii="Cambria" w:hAnsi="Cambria"/>
          <w:bCs/>
          <w:color w:val="000000" w:themeColor="text1"/>
        </w:rPr>
        <w:t xml:space="preserve">- </w:t>
      </w:r>
      <w:r w:rsidRPr="00A51FB4">
        <w:rPr>
          <w:rFonts w:ascii="Cambria" w:hAnsi="Cambria"/>
          <w:bCs/>
          <w:color w:val="000000" w:themeColor="text1"/>
        </w:rPr>
        <w:t>are</w:t>
      </w:r>
      <w:r w:rsidRPr="00A51FB4">
        <w:rPr>
          <w:rFonts w:ascii="Cambria" w:hAnsi="Cambria"/>
          <w:bCs/>
          <w:color w:val="000000" w:themeColor="text1"/>
        </w:rPr>
        <w:t xml:space="preserve"> referred to a committee of inquiry for review. </w:t>
      </w:r>
      <w:r w:rsidRPr="00A51FB4">
        <w:rPr>
          <w:rFonts w:ascii="Cambria" w:hAnsi="Cambria"/>
          <w:bCs/>
          <w:color w:val="000000" w:themeColor="text1"/>
        </w:rPr>
        <w:t xml:space="preserve">     </w:t>
      </w:r>
    </w:p>
    <w:p w14:paraId="7610B9CB" w14:textId="77777777" w:rsidR="00DA17BA" w:rsidRPr="00A51FB4" w:rsidRDefault="00DA17BA" w:rsidP="00A24425">
      <w:pPr>
        <w:pStyle w:val="NormalWeb"/>
        <w:shd w:val="clear" w:color="auto" w:fill="FFFFFF"/>
        <w:spacing w:before="0" w:beforeAutospacing="0" w:after="0" w:afterAutospacing="0"/>
        <w:jc w:val="both"/>
        <w:rPr>
          <w:rFonts w:ascii="Cambria" w:hAnsi="Cambria"/>
          <w:bCs/>
          <w:color w:val="000000" w:themeColor="text1"/>
        </w:rPr>
      </w:pPr>
    </w:p>
    <w:p w14:paraId="546A9A57" w14:textId="0E413165" w:rsidR="00A24425" w:rsidRPr="00A51FB4" w:rsidRDefault="00A24425" w:rsidP="00A24425">
      <w:pPr>
        <w:pStyle w:val="NormalWeb"/>
        <w:shd w:val="clear" w:color="auto" w:fill="FFFFFF"/>
        <w:spacing w:before="0" w:beforeAutospacing="0" w:after="0" w:afterAutospacing="0"/>
        <w:jc w:val="both"/>
        <w:rPr>
          <w:rFonts w:ascii="Cambria" w:hAnsi="Cambria"/>
          <w:color w:val="000000"/>
          <w:bdr w:val="none" w:sz="0" w:space="0" w:color="auto" w:frame="1"/>
          <w:shd w:val="clear" w:color="auto" w:fill="FFFFFF"/>
        </w:rPr>
      </w:pPr>
      <w:r w:rsidRPr="00A51FB4">
        <w:rPr>
          <w:rFonts w:ascii="Cambria" w:hAnsi="Cambria"/>
          <w:bCs/>
          <w:color w:val="000000" w:themeColor="text1"/>
        </w:rPr>
        <w:t>If we can be of any further assistance, please do not hesitate to contact us.</w:t>
      </w:r>
    </w:p>
    <w:p w14:paraId="18AFDED0" w14:textId="77777777" w:rsidR="00A24425" w:rsidRPr="00A51FB4" w:rsidRDefault="00A24425" w:rsidP="00A24425">
      <w:pPr>
        <w:shd w:val="clear" w:color="auto" w:fill="FFFFFF"/>
        <w:ind w:right="-347"/>
        <w:jc w:val="both"/>
        <w:rPr>
          <w:rFonts w:ascii="Cambria" w:hAnsi="Cambria"/>
          <w:bCs/>
          <w:color w:val="000000" w:themeColor="text1"/>
        </w:rPr>
      </w:pPr>
    </w:p>
    <w:p w14:paraId="2E0397EC" w14:textId="77777777" w:rsidR="00A24425" w:rsidRPr="00A51FB4" w:rsidRDefault="00A24425" w:rsidP="00A24425">
      <w:pPr>
        <w:shd w:val="clear" w:color="auto" w:fill="FFFFFF"/>
        <w:ind w:right="-347"/>
        <w:jc w:val="both"/>
        <w:rPr>
          <w:rFonts w:ascii="Cambria" w:hAnsi="Cambria"/>
          <w:bCs/>
          <w:color w:val="000000" w:themeColor="text1"/>
        </w:rPr>
      </w:pPr>
    </w:p>
    <w:p w14:paraId="5AE801B7" w14:textId="77777777" w:rsidR="00A24425" w:rsidRPr="00A51FB4" w:rsidRDefault="00A24425" w:rsidP="00A24425">
      <w:pPr>
        <w:shd w:val="clear" w:color="auto" w:fill="FFFFFF"/>
        <w:ind w:right="-347"/>
        <w:jc w:val="both"/>
        <w:rPr>
          <w:rFonts w:ascii="Cambria" w:hAnsi="Cambria"/>
          <w:bCs/>
          <w:color w:val="000000" w:themeColor="text1"/>
        </w:rPr>
      </w:pPr>
      <w:r w:rsidRPr="00A51FB4">
        <w:rPr>
          <w:rFonts w:ascii="Cambria" w:hAnsi="Cambria"/>
          <w:bCs/>
          <w:color w:val="000000" w:themeColor="text1"/>
        </w:rPr>
        <w:t>Yours faithfully,</w:t>
      </w:r>
    </w:p>
    <w:p w14:paraId="1196A02D" w14:textId="77777777" w:rsidR="00A24425" w:rsidRPr="00A51FB4" w:rsidRDefault="00A24425" w:rsidP="00A24425">
      <w:pPr>
        <w:shd w:val="clear" w:color="auto" w:fill="FFFFFF"/>
        <w:ind w:right="-347"/>
        <w:jc w:val="both"/>
        <w:rPr>
          <w:rFonts w:ascii="Cambria" w:hAnsi="Cambria"/>
          <w:bCs/>
          <w:color w:val="000000" w:themeColor="text1"/>
        </w:rPr>
      </w:pPr>
    </w:p>
    <w:p w14:paraId="5A8B97E4" w14:textId="77777777" w:rsidR="00A24425" w:rsidRPr="00A51FB4" w:rsidRDefault="00A24425" w:rsidP="00A24425">
      <w:pPr>
        <w:shd w:val="clear" w:color="auto" w:fill="FFFFFF"/>
        <w:ind w:right="-347"/>
        <w:jc w:val="both"/>
        <w:rPr>
          <w:rFonts w:ascii="Cambria" w:hAnsi="Cambria"/>
          <w:bCs/>
          <w:color w:val="000000" w:themeColor="text1"/>
        </w:rPr>
      </w:pPr>
    </w:p>
    <w:p w14:paraId="384EF2D9" w14:textId="77777777" w:rsidR="00A24425" w:rsidRPr="00A51FB4" w:rsidRDefault="00A24425" w:rsidP="00A24425">
      <w:pPr>
        <w:shd w:val="clear" w:color="auto" w:fill="FFFFFF"/>
        <w:ind w:right="-347"/>
        <w:jc w:val="both"/>
        <w:rPr>
          <w:rFonts w:ascii="Cambria" w:hAnsi="Cambria"/>
          <w:bCs/>
          <w:color w:val="000000" w:themeColor="text1"/>
        </w:rPr>
      </w:pPr>
    </w:p>
    <w:p w14:paraId="47C753AF" w14:textId="77777777" w:rsidR="00A24425" w:rsidRPr="00A51FB4" w:rsidRDefault="00A24425" w:rsidP="00A24425">
      <w:pPr>
        <w:shd w:val="clear" w:color="auto" w:fill="FFFFFF"/>
        <w:ind w:right="-347"/>
        <w:jc w:val="both"/>
        <w:rPr>
          <w:rFonts w:ascii="Cambria" w:hAnsi="Cambria"/>
          <w:bCs/>
          <w:color w:val="000000" w:themeColor="text1"/>
        </w:rPr>
      </w:pPr>
      <w:r w:rsidRPr="00A51FB4">
        <w:rPr>
          <w:rFonts w:ascii="Cambria" w:hAnsi="Cambria"/>
          <w:bCs/>
          <w:color w:val="000000" w:themeColor="text1"/>
        </w:rPr>
        <w:t>Benedict Bartl</w:t>
      </w:r>
    </w:p>
    <w:p w14:paraId="44E24D25" w14:textId="77777777" w:rsidR="00A24425" w:rsidRPr="00A51FB4" w:rsidRDefault="00A24425" w:rsidP="00A24425">
      <w:pPr>
        <w:shd w:val="clear" w:color="auto" w:fill="FFFFFF"/>
        <w:ind w:right="-347"/>
        <w:jc w:val="both"/>
        <w:rPr>
          <w:rFonts w:ascii="Cambria" w:hAnsi="Cambria"/>
          <w:bCs/>
          <w:color w:val="000000" w:themeColor="text1"/>
        </w:rPr>
      </w:pPr>
      <w:r w:rsidRPr="00A51FB4">
        <w:rPr>
          <w:rFonts w:ascii="Cambria" w:hAnsi="Cambria"/>
          <w:bCs/>
          <w:color w:val="000000" w:themeColor="text1"/>
        </w:rPr>
        <w:t>Policy Officer</w:t>
      </w:r>
    </w:p>
    <w:p w14:paraId="38B665D9" w14:textId="77777777" w:rsidR="00A24425" w:rsidRPr="00A51FB4" w:rsidRDefault="00A24425" w:rsidP="00A24425">
      <w:pPr>
        <w:pBdr>
          <w:bottom w:val="single" w:sz="6" w:space="1" w:color="auto"/>
        </w:pBdr>
        <w:shd w:val="clear" w:color="auto" w:fill="FFFFFF"/>
        <w:ind w:right="-347"/>
        <w:jc w:val="both"/>
        <w:rPr>
          <w:rFonts w:ascii="Cambria" w:hAnsi="Cambria"/>
          <w:b/>
          <w:bCs/>
          <w:color w:val="000000" w:themeColor="text1"/>
        </w:rPr>
      </w:pPr>
      <w:r w:rsidRPr="00A51FB4">
        <w:rPr>
          <w:rFonts w:ascii="Cambria" w:hAnsi="Cambria"/>
          <w:b/>
          <w:bCs/>
          <w:color w:val="000000" w:themeColor="text1"/>
        </w:rPr>
        <w:t>Community Legal Centres Tasmania</w:t>
      </w:r>
    </w:p>
    <w:p w14:paraId="743C62B3" w14:textId="2B182B41" w:rsidR="00A51FB4" w:rsidRPr="00A51FB4" w:rsidRDefault="00A51FB4">
      <w:pPr>
        <w:rPr>
          <w:rFonts w:ascii="Cambria" w:hAnsi="Cambria"/>
        </w:rPr>
      </w:pPr>
      <w:r>
        <w:rPr>
          <w:rFonts w:ascii="Cambria" w:hAnsi="Cambria"/>
        </w:rPr>
        <w:t xml:space="preserve"> </w:t>
      </w:r>
    </w:p>
    <w:sectPr w:rsidR="00A51FB4" w:rsidRPr="00A51FB4" w:rsidSect="004C14B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C40F7" w14:textId="77777777" w:rsidR="0013492D" w:rsidRDefault="0013492D" w:rsidP="001C49AF">
      <w:r>
        <w:separator/>
      </w:r>
    </w:p>
  </w:endnote>
  <w:endnote w:type="continuationSeparator" w:id="0">
    <w:p w14:paraId="42DC1C81" w14:textId="77777777" w:rsidR="0013492D" w:rsidRDefault="0013492D" w:rsidP="001C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Sans">
    <w:altName w:val="Lucida Sans Unicode"/>
    <w:panose1 w:val="020B0502020104020203"/>
    <w:charset w:val="00"/>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97159090"/>
      <w:docPartObj>
        <w:docPartGallery w:val="Page Numbers (Bottom of Page)"/>
        <w:docPartUnique/>
      </w:docPartObj>
    </w:sdtPr>
    <w:sdtEndPr>
      <w:rPr>
        <w:rStyle w:val="PageNumber"/>
      </w:rPr>
    </w:sdtEndPr>
    <w:sdtContent>
      <w:p w14:paraId="7D6AA992" w14:textId="77777777" w:rsidR="001C5DDB" w:rsidRDefault="00EE0D21" w:rsidP="009B56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F8439E" w14:textId="77777777" w:rsidR="001C5DDB" w:rsidRDefault="0013492D" w:rsidP="001C5D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71783018"/>
      <w:docPartObj>
        <w:docPartGallery w:val="Page Numbers (Bottom of Page)"/>
        <w:docPartUnique/>
      </w:docPartObj>
    </w:sdtPr>
    <w:sdtEndPr>
      <w:rPr>
        <w:rStyle w:val="PageNumber"/>
      </w:rPr>
    </w:sdtEndPr>
    <w:sdtContent>
      <w:p w14:paraId="2640FF75" w14:textId="77777777" w:rsidR="001C5DDB" w:rsidRDefault="00EE0D21" w:rsidP="009B56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94F3A9" w14:textId="77777777" w:rsidR="001C5DDB" w:rsidRDefault="0013492D" w:rsidP="001C5D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EE5F8" w14:textId="77777777" w:rsidR="0013492D" w:rsidRDefault="0013492D" w:rsidP="001C49AF">
      <w:r>
        <w:separator/>
      </w:r>
    </w:p>
  </w:footnote>
  <w:footnote w:type="continuationSeparator" w:id="0">
    <w:p w14:paraId="3EB22111" w14:textId="77777777" w:rsidR="0013492D" w:rsidRDefault="0013492D" w:rsidP="001C49AF">
      <w:r>
        <w:continuationSeparator/>
      </w:r>
    </w:p>
  </w:footnote>
  <w:footnote w:id="1">
    <w:p w14:paraId="7EE5C869" w14:textId="68E5F68B" w:rsidR="00736E75" w:rsidRPr="00A51FB4" w:rsidRDefault="00736E75">
      <w:pPr>
        <w:pStyle w:val="FootnoteText"/>
        <w:rPr>
          <w:rFonts w:ascii="Cambria" w:hAnsi="Cambria"/>
          <w:lang w:val="en-AU"/>
        </w:rPr>
      </w:pPr>
      <w:r w:rsidRPr="00A51FB4">
        <w:rPr>
          <w:rStyle w:val="FootnoteReference"/>
          <w:rFonts w:ascii="Cambria" w:hAnsi="Cambria"/>
        </w:rPr>
        <w:footnoteRef/>
      </w:r>
      <w:r w:rsidRPr="00A51FB4">
        <w:rPr>
          <w:rFonts w:ascii="Cambria" w:hAnsi="Cambria"/>
        </w:rPr>
        <w:t xml:space="preserve"> </w:t>
      </w:r>
      <w:r w:rsidRPr="00A51FB4">
        <w:rPr>
          <w:rFonts w:ascii="Cambria" w:hAnsi="Cambria"/>
          <w:sz w:val="20"/>
          <w:szCs w:val="20"/>
          <w:lang w:val="en-AU"/>
        </w:rPr>
        <w:t>CLC Tas would like to acknowledge those persons and organisations who gave freely of their time in assisting with our submission.</w:t>
      </w:r>
      <w:r w:rsidR="00A51FB4">
        <w:rPr>
          <w:rFonts w:ascii="Cambria" w:hAnsi="Cambria"/>
          <w:sz w:val="20"/>
          <w:szCs w:val="20"/>
          <w:lang w:val="en-AU"/>
        </w:rPr>
        <w:t xml:space="preserve">                                                                                                                                                                                                                                                                                                                                                                                                                                                                                                                                                                                                                                                                                                                                                                                                                                                                                                                                                                                                                                                                                                                                                                                                                                                                                                                                                                                                                                                                                                                                                                                                                                                                                                                                                                                                                                                                                                                                                                                                                                                                                                                                                                                                                                                                                                                                                                                                                </w:t>
      </w:r>
    </w:p>
  </w:footnote>
  <w:footnote w:id="2">
    <w:p w14:paraId="1F30E058" w14:textId="2D612DB6" w:rsidR="00736E75" w:rsidRPr="00A51FB4" w:rsidRDefault="00736E75">
      <w:pPr>
        <w:pStyle w:val="FootnoteText"/>
        <w:rPr>
          <w:rFonts w:ascii="Cambria" w:hAnsi="Cambria"/>
          <w:lang w:val="en-AU"/>
        </w:rPr>
      </w:pPr>
      <w:r w:rsidRPr="00A51FB4">
        <w:rPr>
          <w:rStyle w:val="FootnoteReference"/>
          <w:rFonts w:ascii="Cambria" w:hAnsi="Cambria"/>
        </w:rPr>
        <w:footnoteRef/>
      </w:r>
      <w:r w:rsidRPr="00A51FB4">
        <w:rPr>
          <w:rFonts w:ascii="Cambria" w:hAnsi="Cambria"/>
        </w:rPr>
        <w:t xml:space="preserve"> </w:t>
      </w:r>
      <w:r w:rsidRPr="00A51FB4">
        <w:rPr>
          <w:rFonts w:ascii="Cambria" w:hAnsi="Cambria"/>
          <w:color w:val="000000"/>
          <w:sz w:val="20"/>
          <w:szCs w:val="20"/>
        </w:rPr>
        <w:t xml:space="preserve">Tasmanian Liquor and Gaming Commission, </w:t>
      </w:r>
      <w:r w:rsidRPr="00A51FB4">
        <w:rPr>
          <w:rFonts w:ascii="Cambria" w:hAnsi="Cambria"/>
          <w:i/>
          <w:iCs/>
          <w:color w:val="000000"/>
          <w:sz w:val="20"/>
          <w:szCs w:val="20"/>
        </w:rPr>
        <w:t>Submission to the Joint Select Committee on Future Gaming Markets</w:t>
      </w:r>
      <w:r w:rsidRPr="00A51FB4">
        <w:rPr>
          <w:rFonts w:ascii="Cambria" w:hAnsi="Cambria"/>
          <w:color w:val="000000"/>
          <w:sz w:val="20"/>
          <w:szCs w:val="20"/>
        </w:rPr>
        <w:t xml:space="preserve"> (December 2016) at 1. As found at </w:t>
      </w:r>
      <w:hyperlink r:id="rId1" w:history="1">
        <w:r w:rsidRPr="00A51FB4">
          <w:rPr>
            <w:rStyle w:val="Hyperlink"/>
            <w:rFonts w:ascii="Cambria" w:hAnsi="Cambria"/>
            <w:sz w:val="20"/>
            <w:szCs w:val="20"/>
          </w:rPr>
          <w:t>https://www.parliament.tas.gov.au/ctee/joint/Submissions/JSC%20FGM/JSC%20FGM%20144%20Tasmanian%20Liquor%20and%20Gaming%20Commission.pdf</w:t>
        </w:r>
      </w:hyperlink>
      <w:r w:rsidRPr="00A51FB4">
        <w:rPr>
          <w:rFonts w:ascii="Cambria" w:hAnsi="Cambria"/>
          <w:color w:val="000000"/>
          <w:sz w:val="20"/>
          <w:szCs w:val="20"/>
        </w:rPr>
        <w:t xml:space="preserve"> (Accessed 1 November 2021).</w:t>
      </w:r>
      <w:r w:rsidRPr="00A51FB4">
        <w:rPr>
          <w:rFonts w:ascii="Cambria" w:hAnsi="Cambria"/>
          <w:color w:val="000000"/>
        </w:rPr>
        <w:t xml:space="preserve">  </w:t>
      </w:r>
    </w:p>
  </w:footnote>
  <w:footnote w:id="3">
    <w:p w14:paraId="66186A6A" w14:textId="22B79C0B" w:rsidR="004A6766" w:rsidRPr="00A51FB4" w:rsidRDefault="004A6766" w:rsidP="004A6766">
      <w:pPr>
        <w:pStyle w:val="FootnoteText"/>
        <w:rPr>
          <w:rFonts w:ascii="Cambria" w:hAnsi="Cambria"/>
          <w:lang w:val="en-AU"/>
        </w:rPr>
      </w:pPr>
      <w:r w:rsidRPr="00A51FB4">
        <w:rPr>
          <w:rStyle w:val="FootnoteReference"/>
          <w:rFonts w:ascii="Cambria" w:hAnsi="Cambria"/>
        </w:rPr>
        <w:footnoteRef/>
      </w:r>
      <w:r w:rsidRPr="00A51FB4">
        <w:rPr>
          <w:rFonts w:ascii="Cambria" w:hAnsi="Cambria"/>
        </w:rPr>
        <w:t xml:space="preserve"> </w:t>
      </w:r>
      <w:r w:rsidRPr="00A51FB4">
        <w:rPr>
          <w:rFonts w:ascii="Cambria" w:hAnsi="Cambria"/>
          <w:sz w:val="20"/>
          <w:szCs w:val="20"/>
          <w:lang w:val="en-AU"/>
        </w:rPr>
        <w:t xml:space="preserve">Communities Tasmania, ‘The prevalence of problem gambling in Tasmania’. As found at </w:t>
      </w:r>
      <w:hyperlink r:id="rId2" w:history="1">
        <w:r w:rsidR="00FE3863" w:rsidRPr="00A51FB4">
          <w:rPr>
            <w:rStyle w:val="Hyperlink"/>
            <w:rFonts w:ascii="Cambria" w:hAnsi="Cambria"/>
            <w:sz w:val="20"/>
            <w:szCs w:val="20"/>
            <w:lang w:val="en-AU"/>
          </w:rPr>
          <w:t>https://www.communities.tas.gov.au/disability/gambling/information_for_health_professionals/the_prevalence_of_problem_gamblin_in_tasmania</w:t>
        </w:r>
      </w:hyperlink>
      <w:r w:rsidR="00FE3863" w:rsidRPr="00A51FB4">
        <w:rPr>
          <w:rFonts w:ascii="Cambria" w:hAnsi="Cambria"/>
          <w:sz w:val="20"/>
          <w:szCs w:val="20"/>
          <w:lang w:val="en-AU"/>
        </w:rPr>
        <w:t xml:space="preserve"> </w:t>
      </w:r>
      <w:r w:rsidRPr="00A51FB4">
        <w:rPr>
          <w:rFonts w:ascii="Cambria" w:hAnsi="Cambria"/>
          <w:sz w:val="20"/>
          <w:szCs w:val="20"/>
          <w:lang w:val="en-AU"/>
        </w:rPr>
        <w:t xml:space="preserve">(Accessed 1 November 2021). </w:t>
      </w:r>
    </w:p>
  </w:footnote>
  <w:footnote w:id="4">
    <w:p w14:paraId="777B2F2B" w14:textId="77777777" w:rsidR="00FE3863" w:rsidRPr="00A51FB4" w:rsidRDefault="00FE3863" w:rsidP="00FE3863">
      <w:pPr>
        <w:pStyle w:val="FootnoteText"/>
        <w:rPr>
          <w:rFonts w:ascii="Cambria" w:hAnsi="Cambria"/>
          <w:lang w:val="en-AU"/>
        </w:rPr>
      </w:pPr>
      <w:r w:rsidRPr="00A51FB4">
        <w:rPr>
          <w:rStyle w:val="FootnoteReference"/>
          <w:rFonts w:ascii="Cambria" w:hAnsi="Cambria"/>
        </w:rPr>
        <w:footnoteRef/>
      </w:r>
      <w:r w:rsidRPr="00A51FB4">
        <w:rPr>
          <w:rFonts w:ascii="Cambria" w:hAnsi="Cambria"/>
        </w:rPr>
        <w:t xml:space="preserve"> </w:t>
      </w:r>
      <w:r w:rsidRPr="00A51FB4">
        <w:rPr>
          <w:rFonts w:ascii="Cambria" w:hAnsi="Cambria"/>
          <w:sz w:val="20"/>
          <w:szCs w:val="20"/>
          <w:lang w:val="en-AU"/>
        </w:rPr>
        <w:t xml:space="preserve">Productivity Commission, </w:t>
      </w:r>
      <w:r w:rsidRPr="00A51FB4">
        <w:rPr>
          <w:rFonts w:ascii="Cambria" w:hAnsi="Cambria"/>
          <w:i/>
          <w:iCs/>
          <w:sz w:val="20"/>
          <w:szCs w:val="20"/>
          <w:lang w:val="en-AU"/>
        </w:rPr>
        <w:t>Gambling Inquiry Report</w:t>
      </w:r>
      <w:r w:rsidRPr="00A51FB4">
        <w:rPr>
          <w:rFonts w:ascii="Cambria" w:hAnsi="Cambria"/>
          <w:sz w:val="20"/>
          <w:szCs w:val="20"/>
          <w:lang w:val="en-AU"/>
        </w:rPr>
        <w:t xml:space="preserve"> (No. 50, February 2010) at 5.36. As found at </w:t>
      </w:r>
      <w:hyperlink r:id="rId3" w:history="1">
        <w:r w:rsidRPr="00A51FB4">
          <w:rPr>
            <w:rStyle w:val="Hyperlink"/>
            <w:rFonts w:ascii="Cambria" w:hAnsi="Cambria"/>
            <w:sz w:val="20"/>
            <w:szCs w:val="20"/>
          </w:rPr>
          <w:t>https://www.pc.gov.au/inquiries/completed/gambling-2010/report/gambling-report-volume1.pdf</w:t>
        </w:r>
      </w:hyperlink>
      <w:r w:rsidRPr="00A51FB4">
        <w:rPr>
          <w:rFonts w:ascii="Cambria" w:hAnsi="Cambria"/>
          <w:sz w:val="20"/>
          <w:szCs w:val="20"/>
          <w:lang w:val="en-AU"/>
        </w:rPr>
        <w:t xml:space="preserve"> (Accessed 1 November 2021).</w:t>
      </w:r>
      <w:r w:rsidRPr="00A51FB4">
        <w:rPr>
          <w:rFonts w:ascii="Cambria" w:hAnsi="Cambria"/>
          <w:lang w:val="en-AU"/>
        </w:rPr>
        <w:t xml:space="preserve"> </w:t>
      </w:r>
    </w:p>
  </w:footnote>
  <w:footnote w:id="5">
    <w:p w14:paraId="405AD7A6" w14:textId="710D862C" w:rsidR="00EE1A86" w:rsidRPr="00A51FB4" w:rsidRDefault="00EE1A86">
      <w:pPr>
        <w:pStyle w:val="FootnoteText"/>
        <w:rPr>
          <w:rFonts w:ascii="Cambria" w:hAnsi="Cambria"/>
          <w:lang w:val="en-AU"/>
        </w:rPr>
      </w:pPr>
      <w:r w:rsidRPr="00A51FB4">
        <w:rPr>
          <w:rStyle w:val="FootnoteReference"/>
          <w:rFonts w:ascii="Cambria" w:hAnsi="Cambria"/>
        </w:rPr>
        <w:footnoteRef/>
      </w:r>
      <w:r w:rsidRPr="00A51FB4">
        <w:rPr>
          <w:rFonts w:ascii="Cambria" w:hAnsi="Cambria"/>
        </w:rPr>
        <w:t xml:space="preserve"> </w:t>
      </w:r>
      <w:r w:rsidR="00736E75" w:rsidRPr="00A51FB4">
        <w:rPr>
          <w:rFonts w:ascii="Cambria" w:hAnsi="Cambria"/>
          <w:color w:val="000000"/>
          <w:sz w:val="20"/>
          <w:szCs w:val="20"/>
        </w:rPr>
        <w:t xml:space="preserve">Tasmanian Liquor and Gaming Commission, </w:t>
      </w:r>
      <w:r w:rsidR="00736E75" w:rsidRPr="00A51FB4">
        <w:rPr>
          <w:rFonts w:ascii="Cambria" w:hAnsi="Cambria"/>
          <w:i/>
          <w:iCs/>
          <w:color w:val="000000"/>
          <w:sz w:val="20"/>
          <w:szCs w:val="20"/>
        </w:rPr>
        <w:t>Submission to the Joint Select Committee on Future Gaming Markets</w:t>
      </w:r>
      <w:r w:rsidR="00736E75" w:rsidRPr="00A51FB4">
        <w:rPr>
          <w:rFonts w:ascii="Cambria" w:hAnsi="Cambria"/>
          <w:color w:val="000000"/>
          <w:sz w:val="20"/>
          <w:szCs w:val="20"/>
        </w:rPr>
        <w:t xml:space="preserve"> (December 2016) at 1.</w:t>
      </w:r>
      <w:r w:rsidR="00736E75" w:rsidRPr="00A51FB4">
        <w:rPr>
          <w:rFonts w:ascii="Cambria" w:hAnsi="Cambria"/>
          <w:color w:val="000000"/>
        </w:rPr>
        <w:t xml:space="preserve">  </w:t>
      </w:r>
    </w:p>
  </w:footnote>
  <w:footnote w:id="6">
    <w:p w14:paraId="0015F488" w14:textId="77777777" w:rsidR="004A6766" w:rsidRPr="00A51FB4" w:rsidRDefault="004A6766" w:rsidP="004A6766">
      <w:pPr>
        <w:pStyle w:val="FootnoteText"/>
        <w:rPr>
          <w:rFonts w:ascii="Cambria" w:hAnsi="Cambria"/>
          <w:lang w:val="en-AU"/>
        </w:rPr>
      </w:pPr>
      <w:r w:rsidRPr="00A51FB4">
        <w:rPr>
          <w:rStyle w:val="FootnoteReference"/>
          <w:rFonts w:ascii="Cambria" w:hAnsi="Cambria"/>
        </w:rPr>
        <w:footnoteRef/>
      </w:r>
      <w:r w:rsidRPr="00A51FB4">
        <w:rPr>
          <w:rFonts w:ascii="Cambria" w:hAnsi="Cambria"/>
        </w:rPr>
        <w:t xml:space="preserve"> </w:t>
      </w:r>
      <w:r w:rsidRPr="00A51FB4">
        <w:rPr>
          <w:rFonts w:ascii="Cambria" w:hAnsi="Cambria"/>
          <w:sz w:val="20"/>
          <w:szCs w:val="20"/>
        </w:rPr>
        <w:t xml:space="preserve">Matthew Browne, Nancy Greer, Tess Armstrong, Chris Doran, Irina </w:t>
      </w:r>
      <w:proofErr w:type="spellStart"/>
      <w:r w:rsidRPr="00A51FB4">
        <w:rPr>
          <w:rFonts w:ascii="Cambria" w:hAnsi="Cambria"/>
          <w:sz w:val="20"/>
          <w:szCs w:val="20"/>
        </w:rPr>
        <w:t>Kinchin</w:t>
      </w:r>
      <w:proofErr w:type="spellEnd"/>
      <w:r w:rsidRPr="00A51FB4">
        <w:rPr>
          <w:rFonts w:ascii="Cambria" w:hAnsi="Cambria"/>
          <w:sz w:val="20"/>
          <w:szCs w:val="20"/>
        </w:rPr>
        <w:t xml:space="preserve">, Erika Langham, Matthew </w:t>
      </w:r>
      <w:proofErr w:type="spellStart"/>
      <w:r w:rsidRPr="00A51FB4">
        <w:rPr>
          <w:rFonts w:ascii="Cambria" w:hAnsi="Cambria"/>
          <w:sz w:val="20"/>
          <w:szCs w:val="20"/>
        </w:rPr>
        <w:t>Rockloff</w:t>
      </w:r>
      <w:proofErr w:type="spellEnd"/>
      <w:r w:rsidRPr="00A51FB4">
        <w:rPr>
          <w:rFonts w:ascii="Cambria" w:hAnsi="Cambria"/>
          <w:sz w:val="20"/>
          <w:szCs w:val="20"/>
        </w:rPr>
        <w:t xml:space="preserve">, </w:t>
      </w:r>
      <w:r w:rsidRPr="00A51FB4">
        <w:rPr>
          <w:rFonts w:ascii="Cambria" w:hAnsi="Cambria"/>
          <w:i/>
          <w:iCs/>
          <w:sz w:val="20"/>
          <w:szCs w:val="20"/>
        </w:rPr>
        <w:t>The social cost of gambling to Victoria</w:t>
      </w:r>
      <w:r w:rsidRPr="00A51FB4">
        <w:rPr>
          <w:rFonts w:ascii="Cambria" w:hAnsi="Cambria"/>
          <w:sz w:val="20"/>
          <w:szCs w:val="20"/>
        </w:rPr>
        <w:t xml:space="preserve">, Victorian Responsible Gambling Foundation (2017: Melbourne). As found at </w:t>
      </w:r>
      <w:hyperlink r:id="rId4" w:history="1">
        <w:r w:rsidRPr="00A51FB4">
          <w:rPr>
            <w:rStyle w:val="Hyperlink"/>
            <w:rFonts w:ascii="Cambria" w:hAnsi="Cambria"/>
            <w:sz w:val="20"/>
            <w:szCs w:val="20"/>
          </w:rPr>
          <w:t>https://responsiblegambling.vic.gov.au/resources/publications/assessing-gambling-related-harm-in-victoria-a-public-health-perspective-69/</w:t>
        </w:r>
      </w:hyperlink>
      <w:r w:rsidRPr="00A51FB4">
        <w:rPr>
          <w:rFonts w:ascii="Cambria" w:hAnsi="Cambria"/>
          <w:sz w:val="20"/>
          <w:szCs w:val="20"/>
        </w:rPr>
        <w:t xml:space="preserve"> (Accessed 1 November 2021).</w:t>
      </w:r>
    </w:p>
  </w:footnote>
  <w:footnote w:id="7">
    <w:p w14:paraId="12E70117" w14:textId="0ED0A4EB" w:rsidR="00561AB8" w:rsidRPr="00A51FB4" w:rsidRDefault="00561AB8">
      <w:pPr>
        <w:pStyle w:val="FootnoteText"/>
        <w:rPr>
          <w:rFonts w:ascii="Cambria" w:hAnsi="Cambria"/>
          <w:lang w:val="en-AU"/>
        </w:rPr>
      </w:pPr>
      <w:r w:rsidRPr="00A51FB4">
        <w:rPr>
          <w:rStyle w:val="FootnoteReference"/>
          <w:rFonts w:ascii="Cambria" w:hAnsi="Cambria"/>
        </w:rPr>
        <w:footnoteRef/>
      </w:r>
      <w:r w:rsidRPr="00A51FB4">
        <w:rPr>
          <w:rFonts w:ascii="Cambria" w:hAnsi="Cambria"/>
        </w:rPr>
        <w:t xml:space="preserve"> </w:t>
      </w:r>
      <w:r w:rsidRPr="00A51FB4">
        <w:rPr>
          <w:rFonts w:ascii="Cambria" w:hAnsi="Cambria"/>
          <w:sz w:val="20"/>
          <w:szCs w:val="20"/>
          <w:lang w:val="en-AU"/>
        </w:rPr>
        <w:t xml:space="preserve">Productivity Commission, </w:t>
      </w:r>
      <w:r w:rsidRPr="00A51FB4">
        <w:rPr>
          <w:rFonts w:ascii="Cambria" w:hAnsi="Cambria"/>
          <w:i/>
          <w:iCs/>
          <w:sz w:val="20"/>
          <w:szCs w:val="20"/>
          <w:lang w:val="en-AU"/>
        </w:rPr>
        <w:t>Gambling Inquiry Report</w:t>
      </w:r>
      <w:r w:rsidRPr="00A51FB4">
        <w:rPr>
          <w:rFonts w:ascii="Cambria" w:hAnsi="Cambria"/>
          <w:sz w:val="20"/>
          <w:szCs w:val="20"/>
          <w:lang w:val="en-AU"/>
        </w:rPr>
        <w:t xml:space="preserve"> (No. 50, February 2010) at 16.</w:t>
      </w:r>
    </w:p>
  </w:footnote>
  <w:footnote w:id="8">
    <w:p w14:paraId="308BB349" w14:textId="20023353" w:rsidR="004A6766" w:rsidRPr="00A51FB4" w:rsidRDefault="004A6766" w:rsidP="00F35D83">
      <w:pPr>
        <w:rPr>
          <w:rFonts w:ascii="Cambria" w:hAnsi="Cambria"/>
        </w:rPr>
      </w:pPr>
      <w:r w:rsidRPr="00A51FB4">
        <w:rPr>
          <w:rStyle w:val="FootnoteReference"/>
          <w:rFonts w:ascii="Cambria" w:hAnsi="Cambria"/>
        </w:rPr>
        <w:footnoteRef/>
      </w:r>
      <w:r w:rsidRPr="00A51FB4">
        <w:rPr>
          <w:rFonts w:ascii="Cambria" w:hAnsi="Cambria"/>
        </w:rPr>
        <w:t xml:space="preserve"> </w:t>
      </w:r>
      <w:r w:rsidRPr="00A51FB4">
        <w:rPr>
          <w:rFonts w:ascii="Cambria" w:hAnsi="Cambria"/>
          <w:sz w:val="20"/>
          <w:szCs w:val="20"/>
        </w:rPr>
        <w:t xml:space="preserve">Matthew Browne, Nancy Greer, Tess Armstrong, Chris Doran, Irina </w:t>
      </w:r>
      <w:proofErr w:type="spellStart"/>
      <w:r w:rsidRPr="00A51FB4">
        <w:rPr>
          <w:rFonts w:ascii="Cambria" w:hAnsi="Cambria"/>
          <w:sz w:val="20"/>
          <w:szCs w:val="20"/>
        </w:rPr>
        <w:t>Kinchin</w:t>
      </w:r>
      <w:proofErr w:type="spellEnd"/>
      <w:r w:rsidRPr="00A51FB4">
        <w:rPr>
          <w:rFonts w:ascii="Cambria" w:hAnsi="Cambria"/>
          <w:sz w:val="20"/>
          <w:szCs w:val="20"/>
        </w:rPr>
        <w:t xml:space="preserve">, Erika Langham, Matthew </w:t>
      </w:r>
      <w:proofErr w:type="spellStart"/>
      <w:r w:rsidRPr="00A51FB4">
        <w:rPr>
          <w:rFonts w:ascii="Cambria" w:hAnsi="Cambria"/>
          <w:sz w:val="20"/>
          <w:szCs w:val="20"/>
        </w:rPr>
        <w:t>Rockloff</w:t>
      </w:r>
      <w:proofErr w:type="spellEnd"/>
      <w:r w:rsidRPr="00A51FB4">
        <w:rPr>
          <w:rFonts w:ascii="Cambria" w:hAnsi="Cambria"/>
          <w:sz w:val="20"/>
          <w:szCs w:val="20"/>
        </w:rPr>
        <w:t xml:space="preserve">, </w:t>
      </w:r>
      <w:r w:rsidRPr="00A51FB4">
        <w:rPr>
          <w:rFonts w:ascii="Cambria" w:hAnsi="Cambria"/>
          <w:i/>
          <w:iCs/>
          <w:sz w:val="20"/>
          <w:szCs w:val="20"/>
        </w:rPr>
        <w:t>The social cost of gambling to Victoria</w:t>
      </w:r>
      <w:r w:rsidRPr="00A51FB4">
        <w:rPr>
          <w:rFonts w:ascii="Cambria" w:hAnsi="Cambria"/>
          <w:sz w:val="20"/>
          <w:szCs w:val="20"/>
        </w:rPr>
        <w:t>, Victorian Responsible Gambling Foundation (2017: Melbourne) at 26.</w:t>
      </w:r>
    </w:p>
  </w:footnote>
  <w:footnote w:id="9">
    <w:p w14:paraId="18C84388" w14:textId="6B089D37" w:rsidR="00F3254F" w:rsidRPr="00A51FB4" w:rsidRDefault="00F3254F" w:rsidP="00F3254F">
      <w:pPr>
        <w:jc w:val="both"/>
        <w:rPr>
          <w:rFonts w:ascii="Cambria" w:hAnsi="Cambria" w:cs="Arial"/>
          <w:color w:val="000000" w:themeColor="text1"/>
        </w:rPr>
      </w:pPr>
      <w:r w:rsidRPr="00A51FB4">
        <w:rPr>
          <w:rStyle w:val="FootnoteReference"/>
          <w:rFonts w:ascii="Cambria" w:hAnsi="Cambria"/>
        </w:rPr>
        <w:footnoteRef/>
      </w:r>
      <w:r w:rsidRPr="00A51FB4">
        <w:rPr>
          <w:rFonts w:ascii="Cambria" w:hAnsi="Cambria"/>
        </w:rPr>
        <w:t xml:space="preserve"> </w:t>
      </w:r>
      <w:r w:rsidRPr="00A51FB4">
        <w:rPr>
          <w:rFonts w:ascii="Cambria" w:hAnsi="Cambria" w:cs="Arial"/>
          <w:color w:val="000000" w:themeColor="text1"/>
          <w:sz w:val="20"/>
          <w:szCs w:val="20"/>
        </w:rPr>
        <w:t xml:space="preserve">Jonathan Parke, Adrian Parke and Alex </w:t>
      </w:r>
      <w:proofErr w:type="spellStart"/>
      <w:r w:rsidRPr="00A51FB4">
        <w:rPr>
          <w:rFonts w:ascii="Cambria" w:hAnsi="Cambria" w:cs="Arial"/>
          <w:color w:val="000000" w:themeColor="text1"/>
          <w:sz w:val="20"/>
          <w:szCs w:val="20"/>
        </w:rPr>
        <w:t>Blaszcynski</w:t>
      </w:r>
      <w:proofErr w:type="spellEnd"/>
      <w:r w:rsidRPr="00A51FB4">
        <w:rPr>
          <w:rFonts w:ascii="Cambria" w:hAnsi="Cambria" w:cs="Arial"/>
          <w:color w:val="000000" w:themeColor="text1"/>
          <w:sz w:val="20"/>
          <w:szCs w:val="20"/>
        </w:rPr>
        <w:t>,</w:t>
      </w:r>
      <w:r w:rsidRPr="00A51FB4">
        <w:rPr>
          <w:rFonts w:ascii="Cambria" w:hAnsi="Cambria" w:cs="Arial"/>
          <w:i/>
          <w:iCs/>
          <w:color w:val="000000" w:themeColor="text1"/>
          <w:sz w:val="20"/>
          <w:szCs w:val="20"/>
        </w:rPr>
        <w:t xml:space="preserve"> Key Issues in Product Based Harm Minimisation: Examining Theory, Evidence and Policy Issues in Great Britain</w:t>
      </w:r>
      <w:r w:rsidRPr="00A51FB4">
        <w:rPr>
          <w:rFonts w:ascii="Cambria" w:hAnsi="Cambria" w:cs="Arial"/>
          <w:color w:val="000000" w:themeColor="text1"/>
          <w:sz w:val="20"/>
          <w:szCs w:val="20"/>
        </w:rPr>
        <w:t> (2016).</w:t>
      </w:r>
      <w:r w:rsidR="006B646C" w:rsidRPr="00A51FB4">
        <w:rPr>
          <w:rFonts w:ascii="Cambria" w:hAnsi="Cambria" w:cs="Arial"/>
          <w:color w:val="000000" w:themeColor="text1"/>
          <w:sz w:val="20"/>
          <w:szCs w:val="20"/>
        </w:rPr>
        <w:t xml:space="preserve"> As found at </w:t>
      </w:r>
      <w:hyperlink r:id="rId5" w:history="1">
        <w:r w:rsidR="006B646C" w:rsidRPr="00A51FB4">
          <w:rPr>
            <w:rStyle w:val="Hyperlink"/>
            <w:rFonts w:ascii="Cambria" w:hAnsi="Cambria" w:cs="Arial"/>
            <w:sz w:val="20"/>
            <w:szCs w:val="20"/>
          </w:rPr>
          <w:t>https://www.researchgate.net/publication/311497416_Key_Issues_in_Product_Based_Harm_Minimisation_Examining_theory_evidence_and_policy_issues_relevant_in_Great_Britain</w:t>
        </w:r>
      </w:hyperlink>
      <w:r w:rsidR="006B646C" w:rsidRPr="00A51FB4">
        <w:rPr>
          <w:rFonts w:ascii="Cambria" w:hAnsi="Cambria" w:cs="Arial"/>
          <w:color w:val="011A3C"/>
          <w:sz w:val="20"/>
          <w:szCs w:val="20"/>
        </w:rPr>
        <w:t xml:space="preserve"> </w:t>
      </w:r>
      <w:r w:rsidR="006B646C" w:rsidRPr="00A51FB4">
        <w:rPr>
          <w:rFonts w:ascii="Cambria" w:hAnsi="Cambria" w:cs="Arial"/>
          <w:color w:val="000000" w:themeColor="text1"/>
          <w:sz w:val="20"/>
          <w:szCs w:val="20"/>
        </w:rPr>
        <w:t>(Accessed 1 November 2021).</w:t>
      </w:r>
      <w:r w:rsidR="006B646C" w:rsidRPr="00A51FB4">
        <w:rPr>
          <w:rFonts w:ascii="Cambria" w:hAnsi="Cambria" w:cs="Arial"/>
          <w:color w:val="000000" w:themeColor="text1"/>
          <w:sz w:val="18"/>
          <w:szCs w:val="18"/>
        </w:rPr>
        <w:t xml:space="preserve">  </w:t>
      </w:r>
    </w:p>
  </w:footnote>
  <w:footnote w:id="10">
    <w:p w14:paraId="1C9E9BA8" w14:textId="44842D68" w:rsidR="00F3254F" w:rsidRPr="00A51FB4" w:rsidRDefault="00F3254F" w:rsidP="00F3254F">
      <w:pPr>
        <w:rPr>
          <w:rFonts w:ascii="Cambria" w:hAnsi="Cambria" w:cs="Calibri"/>
          <w:sz w:val="22"/>
          <w:szCs w:val="22"/>
        </w:rPr>
      </w:pPr>
      <w:r w:rsidRPr="00A51FB4">
        <w:rPr>
          <w:rStyle w:val="FootnoteReference"/>
          <w:rFonts w:ascii="Cambria" w:hAnsi="Cambria"/>
        </w:rPr>
        <w:footnoteRef/>
      </w:r>
      <w:r w:rsidRPr="00A51FB4">
        <w:rPr>
          <w:rFonts w:ascii="Cambria" w:hAnsi="Cambria"/>
        </w:rPr>
        <w:t xml:space="preserve"> </w:t>
      </w:r>
      <w:r w:rsidR="006B646C" w:rsidRPr="00A51FB4">
        <w:rPr>
          <w:rFonts w:ascii="Cambria" w:hAnsi="Cambria" w:cs="Arial"/>
          <w:color w:val="000000" w:themeColor="text1"/>
          <w:sz w:val="20"/>
          <w:szCs w:val="20"/>
        </w:rPr>
        <w:t xml:space="preserve">Jonathan Parke, Adrian Parke and Alex </w:t>
      </w:r>
      <w:proofErr w:type="spellStart"/>
      <w:r w:rsidR="006B646C" w:rsidRPr="00A51FB4">
        <w:rPr>
          <w:rFonts w:ascii="Cambria" w:hAnsi="Cambria" w:cs="Arial"/>
          <w:color w:val="000000" w:themeColor="text1"/>
          <w:sz w:val="20"/>
          <w:szCs w:val="20"/>
        </w:rPr>
        <w:t>Blaszcynski</w:t>
      </w:r>
      <w:proofErr w:type="spellEnd"/>
      <w:r w:rsidR="006B646C" w:rsidRPr="00A51FB4">
        <w:rPr>
          <w:rFonts w:ascii="Cambria" w:hAnsi="Cambria" w:cs="Arial"/>
          <w:color w:val="000000" w:themeColor="text1"/>
          <w:sz w:val="20"/>
          <w:szCs w:val="20"/>
        </w:rPr>
        <w:t>,</w:t>
      </w:r>
      <w:r w:rsidR="006B646C" w:rsidRPr="00A51FB4">
        <w:rPr>
          <w:rFonts w:ascii="Cambria" w:hAnsi="Cambria" w:cs="Arial"/>
          <w:i/>
          <w:iCs/>
          <w:color w:val="000000" w:themeColor="text1"/>
          <w:sz w:val="20"/>
          <w:szCs w:val="20"/>
        </w:rPr>
        <w:t xml:space="preserve"> Key Issues in Product Based Harm Minimisation: Examining Theory, Evidence and Policy Issues in Great Britain</w:t>
      </w:r>
      <w:r w:rsidR="006B646C" w:rsidRPr="00A51FB4">
        <w:rPr>
          <w:rFonts w:ascii="Cambria" w:hAnsi="Cambria" w:cs="Arial"/>
          <w:color w:val="000000" w:themeColor="text1"/>
          <w:sz w:val="20"/>
          <w:szCs w:val="20"/>
        </w:rPr>
        <w:t xml:space="preserve"> (2016) at 39-40. </w:t>
      </w:r>
    </w:p>
  </w:footnote>
  <w:footnote w:id="11">
    <w:p w14:paraId="4237B05E" w14:textId="77777777" w:rsidR="00A37FED" w:rsidRPr="00A51FB4" w:rsidRDefault="00A37FED" w:rsidP="00A37FED">
      <w:pPr>
        <w:pStyle w:val="FootnoteText"/>
        <w:rPr>
          <w:rFonts w:ascii="Cambria" w:hAnsi="Cambria"/>
          <w:lang w:val="en-AU"/>
        </w:rPr>
      </w:pPr>
      <w:r w:rsidRPr="00A51FB4">
        <w:rPr>
          <w:rStyle w:val="FootnoteReference"/>
          <w:rFonts w:ascii="Cambria" w:hAnsi="Cambria"/>
        </w:rPr>
        <w:footnoteRef/>
      </w:r>
      <w:r w:rsidRPr="00A51FB4">
        <w:rPr>
          <w:rFonts w:ascii="Cambria" w:hAnsi="Cambria"/>
        </w:rPr>
        <w:t xml:space="preserve"> </w:t>
      </w:r>
      <w:r w:rsidRPr="00A51FB4">
        <w:rPr>
          <w:rFonts w:ascii="Cambria" w:hAnsi="Cambria"/>
          <w:sz w:val="20"/>
          <w:szCs w:val="20"/>
          <w:lang w:val="en-AU"/>
        </w:rPr>
        <w:t xml:space="preserve">Productivity Commission, </w:t>
      </w:r>
      <w:r w:rsidRPr="00A51FB4">
        <w:rPr>
          <w:rFonts w:ascii="Cambria" w:hAnsi="Cambria"/>
          <w:i/>
          <w:iCs/>
          <w:sz w:val="20"/>
          <w:szCs w:val="20"/>
          <w:lang w:val="en-AU"/>
        </w:rPr>
        <w:t>Australia’s Gambling Industries</w:t>
      </w:r>
      <w:r w:rsidRPr="00A51FB4">
        <w:rPr>
          <w:rFonts w:ascii="Cambria" w:hAnsi="Cambria"/>
          <w:sz w:val="20"/>
          <w:szCs w:val="20"/>
          <w:lang w:val="en-AU"/>
        </w:rPr>
        <w:t xml:space="preserve"> (No. 10, November 1999) at 22. As found at </w:t>
      </w:r>
      <w:hyperlink r:id="rId6" w:history="1">
        <w:r w:rsidRPr="00A51FB4">
          <w:rPr>
            <w:rStyle w:val="Hyperlink"/>
            <w:rFonts w:ascii="Cambria" w:hAnsi="Cambria"/>
            <w:sz w:val="20"/>
            <w:szCs w:val="20"/>
          </w:rPr>
          <w:t>https://www.pc.gov.au/inquiries/completed/gambling/report/summary.pdf</w:t>
        </w:r>
      </w:hyperlink>
      <w:r w:rsidRPr="00A51FB4">
        <w:rPr>
          <w:rFonts w:ascii="Cambria" w:hAnsi="Cambria"/>
          <w:sz w:val="20"/>
          <w:szCs w:val="20"/>
        </w:rPr>
        <w:t xml:space="preserve"> </w:t>
      </w:r>
      <w:r w:rsidRPr="00A51FB4">
        <w:rPr>
          <w:rFonts w:ascii="Cambria" w:hAnsi="Cambria"/>
          <w:sz w:val="20"/>
          <w:szCs w:val="20"/>
          <w:lang w:val="en-AU"/>
        </w:rPr>
        <w:t>(Accessed 1 November 2021).</w:t>
      </w:r>
    </w:p>
  </w:footnote>
  <w:footnote w:id="12">
    <w:p w14:paraId="6D75D917" w14:textId="77777777" w:rsidR="00A37FED" w:rsidRPr="00A51FB4" w:rsidRDefault="00A37FED" w:rsidP="00A37FED">
      <w:pPr>
        <w:pStyle w:val="FootnoteText"/>
        <w:rPr>
          <w:rFonts w:ascii="Cambria" w:hAnsi="Cambria"/>
          <w:lang w:val="en-AU"/>
        </w:rPr>
      </w:pPr>
      <w:r w:rsidRPr="00A51FB4">
        <w:rPr>
          <w:rStyle w:val="FootnoteReference"/>
          <w:rFonts w:ascii="Cambria" w:hAnsi="Cambria"/>
        </w:rPr>
        <w:footnoteRef/>
      </w:r>
      <w:r w:rsidRPr="00A51FB4">
        <w:rPr>
          <w:rFonts w:ascii="Cambria" w:hAnsi="Cambria"/>
        </w:rPr>
        <w:t xml:space="preserve"> </w:t>
      </w:r>
      <w:r w:rsidRPr="00A51FB4">
        <w:rPr>
          <w:rFonts w:ascii="Cambria" w:hAnsi="Cambria"/>
          <w:sz w:val="20"/>
          <w:szCs w:val="20"/>
          <w:lang w:val="en-AU"/>
        </w:rPr>
        <w:t xml:space="preserve">Anglicare Tasmania, Submission to the Future of Gaming in Tasmania (August 2021). As found at </w:t>
      </w:r>
      <w:hyperlink r:id="rId7" w:history="1">
        <w:r w:rsidRPr="00A51FB4">
          <w:rPr>
            <w:rStyle w:val="Hyperlink"/>
            <w:rFonts w:ascii="Cambria" w:hAnsi="Cambria"/>
            <w:sz w:val="20"/>
            <w:szCs w:val="20"/>
            <w:lang w:val="en-AU"/>
          </w:rPr>
          <w:t>https://www.treasury.tas.gov.au/Documents/9%20-%20Anglicare%20Tasmania.pdf</w:t>
        </w:r>
      </w:hyperlink>
      <w:r w:rsidRPr="00A51FB4">
        <w:rPr>
          <w:rFonts w:ascii="Cambria" w:hAnsi="Cambria"/>
          <w:sz w:val="20"/>
          <w:szCs w:val="20"/>
          <w:lang w:val="en-AU"/>
        </w:rPr>
        <w:t xml:space="preserve"> (Accessed 1 November 2021).</w:t>
      </w:r>
      <w:r w:rsidRPr="00A51FB4">
        <w:rPr>
          <w:rFonts w:ascii="Cambria" w:hAnsi="Cambria"/>
          <w:lang w:val="en-AU"/>
        </w:rPr>
        <w:t xml:space="preserve"> </w:t>
      </w:r>
    </w:p>
  </w:footnote>
  <w:footnote w:id="13">
    <w:p w14:paraId="66CAC010" w14:textId="03467F66" w:rsidR="0041040C" w:rsidRPr="00A51FB4" w:rsidRDefault="0041040C" w:rsidP="0041040C">
      <w:pPr>
        <w:pStyle w:val="FootnoteText"/>
        <w:rPr>
          <w:rFonts w:ascii="Cambria" w:hAnsi="Cambria"/>
          <w:lang w:val="en-AU"/>
        </w:rPr>
      </w:pPr>
      <w:r w:rsidRPr="00A51FB4">
        <w:rPr>
          <w:rStyle w:val="FootnoteReference"/>
          <w:rFonts w:ascii="Cambria" w:hAnsi="Cambria"/>
        </w:rPr>
        <w:footnoteRef/>
      </w:r>
      <w:r w:rsidRPr="00A51FB4">
        <w:rPr>
          <w:rFonts w:ascii="Cambria" w:hAnsi="Cambria"/>
        </w:rPr>
        <w:t xml:space="preserve"> </w:t>
      </w:r>
      <w:r w:rsidRPr="00A51FB4">
        <w:rPr>
          <w:rFonts w:ascii="Cambria" w:hAnsi="Cambria"/>
          <w:sz w:val="20"/>
          <w:szCs w:val="20"/>
          <w:lang w:val="en-AU"/>
        </w:rPr>
        <w:t xml:space="preserve">Productivity Commission, </w:t>
      </w:r>
      <w:r w:rsidRPr="00A51FB4">
        <w:rPr>
          <w:rFonts w:ascii="Cambria" w:hAnsi="Cambria"/>
          <w:i/>
          <w:iCs/>
          <w:sz w:val="20"/>
          <w:szCs w:val="20"/>
          <w:lang w:val="en-AU"/>
        </w:rPr>
        <w:t>Gambling Inquiry Report</w:t>
      </w:r>
      <w:r w:rsidRPr="00A51FB4">
        <w:rPr>
          <w:rFonts w:ascii="Cambria" w:hAnsi="Cambria"/>
          <w:sz w:val="20"/>
          <w:szCs w:val="20"/>
          <w:lang w:val="en-AU"/>
        </w:rPr>
        <w:t xml:space="preserve"> (No. 50, February 2010) at 26 and 11.29 (Recommendation 11.1).</w:t>
      </w:r>
    </w:p>
  </w:footnote>
  <w:footnote w:id="14">
    <w:p w14:paraId="3BAEC120" w14:textId="7A381CEE" w:rsidR="00DA17BA" w:rsidRPr="00A51FB4" w:rsidRDefault="00DA17BA">
      <w:pPr>
        <w:pStyle w:val="FootnoteText"/>
        <w:rPr>
          <w:rFonts w:ascii="Cambria" w:hAnsi="Cambria"/>
          <w:lang w:val="en-AU"/>
        </w:rPr>
      </w:pPr>
      <w:r w:rsidRPr="00A51FB4">
        <w:rPr>
          <w:rStyle w:val="FootnoteReference"/>
          <w:rFonts w:ascii="Cambria" w:hAnsi="Cambria"/>
        </w:rPr>
        <w:footnoteRef/>
      </w:r>
      <w:r w:rsidRPr="00A51FB4">
        <w:rPr>
          <w:rFonts w:ascii="Cambria" w:hAnsi="Cambria"/>
        </w:rPr>
        <w:t xml:space="preserve"> </w:t>
      </w:r>
      <w:r w:rsidRPr="00A51FB4">
        <w:rPr>
          <w:rFonts w:ascii="Cambria" w:hAnsi="Cambria"/>
          <w:color w:val="000000"/>
          <w:sz w:val="20"/>
          <w:szCs w:val="20"/>
        </w:rPr>
        <w:t xml:space="preserve">Tasmanian Liquor and Gaming Commission, </w:t>
      </w:r>
      <w:r w:rsidRPr="00A51FB4">
        <w:rPr>
          <w:rFonts w:ascii="Cambria" w:hAnsi="Cambria"/>
          <w:i/>
          <w:iCs/>
          <w:color w:val="000000"/>
          <w:sz w:val="20"/>
          <w:szCs w:val="20"/>
        </w:rPr>
        <w:t>Submission to the Joint Select Committee on Future Gaming Markets</w:t>
      </w:r>
      <w:r w:rsidRPr="00A51FB4">
        <w:rPr>
          <w:rFonts w:ascii="Cambria" w:hAnsi="Cambria"/>
          <w:color w:val="000000"/>
          <w:sz w:val="20"/>
          <w:szCs w:val="20"/>
        </w:rPr>
        <w:t xml:space="preserve"> (December 2016) at 3.</w:t>
      </w:r>
      <w:r w:rsidRPr="00A51FB4">
        <w:rPr>
          <w:rFonts w:ascii="Cambria" w:hAnsi="Cambria"/>
          <w:color w:val="000000"/>
        </w:rPr>
        <w:t xml:space="preserve">  </w:t>
      </w:r>
    </w:p>
  </w:footnote>
  <w:footnote w:id="15">
    <w:p w14:paraId="0B371A54" w14:textId="7D67F6E1" w:rsidR="0041040C" w:rsidRPr="00A51FB4" w:rsidRDefault="0041040C" w:rsidP="0041040C">
      <w:pPr>
        <w:pStyle w:val="FootnoteText"/>
        <w:rPr>
          <w:rFonts w:ascii="Cambria" w:hAnsi="Cambria"/>
          <w:lang w:val="en-AU"/>
        </w:rPr>
      </w:pPr>
      <w:r w:rsidRPr="00A51FB4">
        <w:rPr>
          <w:rStyle w:val="FootnoteReference"/>
          <w:rFonts w:ascii="Cambria" w:hAnsi="Cambria"/>
        </w:rPr>
        <w:footnoteRef/>
      </w:r>
      <w:r w:rsidRPr="00A51FB4">
        <w:rPr>
          <w:rFonts w:ascii="Cambria" w:hAnsi="Cambria"/>
        </w:rPr>
        <w:t xml:space="preserve"> </w:t>
      </w:r>
      <w:r w:rsidRPr="00A51FB4">
        <w:rPr>
          <w:rFonts w:ascii="Cambria" w:hAnsi="Cambria"/>
          <w:color w:val="000000"/>
          <w:sz w:val="20"/>
          <w:szCs w:val="20"/>
        </w:rPr>
        <w:t xml:space="preserve">Tasmanian Liquor and Gaming Commission, </w:t>
      </w:r>
      <w:r w:rsidRPr="00A51FB4">
        <w:rPr>
          <w:rFonts w:ascii="Cambria" w:hAnsi="Cambria"/>
          <w:i/>
          <w:iCs/>
          <w:color w:val="000000"/>
          <w:sz w:val="20"/>
          <w:szCs w:val="20"/>
        </w:rPr>
        <w:t>Submission to the Joint Select Committee on Future Gaming Markets</w:t>
      </w:r>
      <w:r w:rsidRPr="00A51FB4">
        <w:rPr>
          <w:rFonts w:ascii="Cambria" w:hAnsi="Cambria"/>
          <w:color w:val="000000"/>
          <w:sz w:val="20"/>
          <w:szCs w:val="20"/>
        </w:rPr>
        <w:t xml:space="preserve"> (December 2016)</w:t>
      </w:r>
      <w:r w:rsidR="00DA17BA" w:rsidRPr="00A51FB4">
        <w:rPr>
          <w:rFonts w:ascii="Cambria" w:hAnsi="Cambria"/>
          <w:color w:val="000000"/>
          <w:sz w:val="20"/>
          <w:szCs w:val="20"/>
        </w:rPr>
        <w:t xml:space="preserve"> at 3</w:t>
      </w:r>
      <w:r w:rsidRPr="00A51FB4">
        <w:rPr>
          <w:rFonts w:ascii="Cambria" w:hAnsi="Cambria"/>
          <w:color w:val="000000"/>
          <w:sz w:val="20"/>
          <w:szCs w:val="20"/>
        </w:rPr>
        <w:t>.</w:t>
      </w:r>
      <w:r w:rsidRPr="00A51FB4">
        <w:rPr>
          <w:rFonts w:ascii="Cambria" w:hAnsi="Cambria"/>
          <w:color w:val="000000"/>
        </w:rPr>
        <w:t xml:space="preserve">  </w:t>
      </w:r>
    </w:p>
  </w:footnote>
  <w:footnote w:id="16">
    <w:p w14:paraId="5BF9CD4C" w14:textId="29D9C429" w:rsidR="0041040C" w:rsidRPr="00A51FB4" w:rsidRDefault="0041040C" w:rsidP="0041040C">
      <w:pPr>
        <w:pStyle w:val="FootnoteText"/>
        <w:rPr>
          <w:rFonts w:ascii="Cambria" w:hAnsi="Cambria"/>
          <w:lang w:val="en-AU"/>
        </w:rPr>
      </w:pPr>
      <w:r w:rsidRPr="00A51FB4">
        <w:rPr>
          <w:rStyle w:val="FootnoteReference"/>
          <w:rFonts w:ascii="Cambria" w:hAnsi="Cambria"/>
        </w:rPr>
        <w:footnoteRef/>
      </w:r>
      <w:r w:rsidRPr="00A51FB4">
        <w:rPr>
          <w:rFonts w:ascii="Cambria" w:hAnsi="Cambria"/>
        </w:rPr>
        <w:t xml:space="preserve"> </w:t>
      </w:r>
      <w:r w:rsidRPr="00A51FB4">
        <w:rPr>
          <w:rFonts w:ascii="Cambria" w:hAnsi="Cambria"/>
          <w:color w:val="000000"/>
          <w:sz w:val="20"/>
          <w:szCs w:val="20"/>
        </w:rPr>
        <w:t xml:space="preserve">Tasmanian Liquor and Gaming Commission, </w:t>
      </w:r>
      <w:r w:rsidRPr="00A51FB4">
        <w:rPr>
          <w:rFonts w:ascii="Cambria" w:hAnsi="Cambria"/>
          <w:i/>
          <w:iCs/>
          <w:color w:val="000000"/>
          <w:sz w:val="20"/>
          <w:szCs w:val="20"/>
        </w:rPr>
        <w:t>Submission to the Joint Select Committee on Future Gaming Markets</w:t>
      </w:r>
      <w:r w:rsidRPr="00A51FB4">
        <w:rPr>
          <w:rFonts w:ascii="Cambria" w:hAnsi="Cambria"/>
          <w:color w:val="000000"/>
          <w:sz w:val="20"/>
          <w:szCs w:val="20"/>
        </w:rPr>
        <w:t xml:space="preserve"> (December 2016)</w:t>
      </w:r>
      <w:r w:rsidR="00DA17BA" w:rsidRPr="00A51FB4">
        <w:rPr>
          <w:rFonts w:ascii="Cambria" w:hAnsi="Cambria"/>
          <w:color w:val="000000"/>
          <w:sz w:val="20"/>
          <w:szCs w:val="20"/>
        </w:rPr>
        <w:t xml:space="preserve"> at 3</w:t>
      </w:r>
      <w:r w:rsidRPr="00A51FB4">
        <w:rPr>
          <w:rFonts w:ascii="Cambria" w:hAnsi="Cambria"/>
          <w:color w:val="000000"/>
          <w:sz w:val="20"/>
          <w:szCs w:val="20"/>
        </w:rPr>
        <w:t>.</w:t>
      </w:r>
      <w:r w:rsidRPr="00A51FB4">
        <w:rPr>
          <w:rFonts w:ascii="Cambria" w:hAnsi="Cambria"/>
          <w:color w:val="000000"/>
        </w:rPr>
        <w:t xml:space="preserve">  </w:t>
      </w:r>
    </w:p>
  </w:footnote>
  <w:footnote w:id="17">
    <w:p w14:paraId="5606E9C0" w14:textId="7E942BEB" w:rsidR="000529EF" w:rsidRPr="00A51FB4" w:rsidRDefault="000529EF">
      <w:pPr>
        <w:pStyle w:val="FootnoteText"/>
        <w:rPr>
          <w:rFonts w:ascii="Cambria" w:hAnsi="Cambria"/>
          <w:lang w:val="en-AU"/>
        </w:rPr>
      </w:pPr>
      <w:r w:rsidRPr="00A51FB4">
        <w:rPr>
          <w:rStyle w:val="FootnoteReference"/>
          <w:rFonts w:ascii="Cambria" w:hAnsi="Cambria"/>
        </w:rPr>
        <w:footnoteRef/>
      </w:r>
      <w:r w:rsidRPr="00A51FB4">
        <w:rPr>
          <w:rFonts w:ascii="Cambria" w:hAnsi="Cambria"/>
        </w:rPr>
        <w:t xml:space="preserve"> </w:t>
      </w:r>
      <w:r w:rsidRPr="00A51FB4">
        <w:rPr>
          <w:rFonts w:ascii="Cambria" w:hAnsi="Cambria"/>
          <w:sz w:val="20"/>
          <w:szCs w:val="20"/>
        </w:rPr>
        <w:t xml:space="preserve">Royal Commission into the Casino Operator and </w:t>
      </w:r>
      <w:proofErr w:type="spellStart"/>
      <w:r w:rsidRPr="00A51FB4">
        <w:rPr>
          <w:rFonts w:ascii="Cambria" w:hAnsi="Cambria"/>
          <w:sz w:val="20"/>
          <w:szCs w:val="20"/>
        </w:rPr>
        <w:t>Licence</w:t>
      </w:r>
      <w:proofErr w:type="spellEnd"/>
      <w:r w:rsidRPr="00A51FB4">
        <w:rPr>
          <w:rFonts w:ascii="Cambria" w:hAnsi="Cambria"/>
          <w:sz w:val="20"/>
          <w:szCs w:val="20"/>
        </w:rPr>
        <w:t xml:space="preserve">, </w:t>
      </w:r>
      <w:r w:rsidR="006B646C" w:rsidRPr="00A51FB4">
        <w:rPr>
          <w:rFonts w:ascii="Cambria" w:hAnsi="Cambria"/>
          <w:i/>
          <w:iCs/>
          <w:sz w:val="20"/>
          <w:szCs w:val="20"/>
        </w:rPr>
        <w:t xml:space="preserve">The Report - </w:t>
      </w:r>
      <w:r w:rsidRPr="00A51FB4">
        <w:rPr>
          <w:rFonts w:ascii="Cambria" w:hAnsi="Cambria"/>
          <w:i/>
          <w:iCs/>
          <w:sz w:val="20"/>
          <w:szCs w:val="20"/>
        </w:rPr>
        <w:t>Chapter 8: Responsible service of gambling</w:t>
      </w:r>
      <w:r w:rsidRPr="00A51FB4">
        <w:rPr>
          <w:rFonts w:ascii="Cambria" w:hAnsi="Cambria"/>
          <w:sz w:val="20"/>
          <w:szCs w:val="20"/>
        </w:rPr>
        <w:t xml:space="preserve"> at 56</w:t>
      </w:r>
      <w:r w:rsidR="006B646C" w:rsidRPr="00A51FB4">
        <w:rPr>
          <w:rFonts w:ascii="Cambria" w:hAnsi="Cambria"/>
          <w:sz w:val="20"/>
          <w:szCs w:val="20"/>
        </w:rPr>
        <w:t xml:space="preserve"> (October 2021)</w:t>
      </w:r>
      <w:r w:rsidRPr="00A51FB4">
        <w:rPr>
          <w:rFonts w:ascii="Cambria" w:hAnsi="Cambria"/>
          <w:sz w:val="20"/>
          <w:szCs w:val="20"/>
        </w:rPr>
        <w:t xml:space="preserve">. As found at </w:t>
      </w:r>
      <w:hyperlink r:id="rId8" w:history="1">
        <w:r w:rsidRPr="00A51FB4">
          <w:rPr>
            <w:rStyle w:val="Hyperlink"/>
            <w:rFonts w:ascii="Cambria" w:hAnsi="Cambria" w:cs="Calibri"/>
            <w:sz w:val="20"/>
            <w:szCs w:val="20"/>
          </w:rPr>
          <w:t>https://www.rccol.vic.gov.au/volume-2</w:t>
        </w:r>
      </w:hyperlink>
      <w:r w:rsidRPr="00A51FB4">
        <w:rPr>
          <w:rFonts w:ascii="Cambria" w:hAnsi="Cambria" w:cs="Calibri"/>
          <w:sz w:val="20"/>
          <w:szCs w:val="20"/>
        </w:rPr>
        <w:t xml:space="preserve"> (Accessed 1 November 2021).</w:t>
      </w:r>
    </w:p>
  </w:footnote>
  <w:footnote w:id="18">
    <w:p w14:paraId="415D60BA" w14:textId="3669D436" w:rsidR="00321476" w:rsidRPr="00C2000C" w:rsidRDefault="00321476">
      <w:pPr>
        <w:pStyle w:val="FootnoteText"/>
        <w:rPr>
          <w:rFonts w:ascii="Cambria" w:hAnsi="Cambria"/>
          <w:lang w:val="en-AU"/>
        </w:rPr>
      </w:pPr>
      <w:r w:rsidRPr="00A51FB4">
        <w:rPr>
          <w:rStyle w:val="FootnoteReference"/>
          <w:rFonts w:ascii="Cambria" w:hAnsi="Cambria"/>
        </w:rPr>
        <w:footnoteRef/>
      </w:r>
      <w:r w:rsidRPr="00A51FB4">
        <w:rPr>
          <w:rFonts w:ascii="Cambria" w:hAnsi="Cambria"/>
        </w:rPr>
        <w:t xml:space="preserve"> </w:t>
      </w:r>
      <w:r w:rsidRPr="00A51FB4">
        <w:rPr>
          <w:rFonts w:ascii="Cambria" w:hAnsi="Cambria"/>
          <w:sz w:val="20"/>
          <w:szCs w:val="20"/>
        </w:rPr>
        <w:t xml:space="preserve">Royal Commission into the Casino Operator and </w:t>
      </w:r>
      <w:proofErr w:type="spellStart"/>
      <w:r w:rsidRPr="00A51FB4">
        <w:rPr>
          <w:rFonts w:ascii="Cambria" w:hAnsi="Cambria"/>
          <w:sz w:val="20"/>
          <w:szCs w:val="20"/>
        </w:rPr>
        <w:t>Licence</w:t>
      </w:r>
      <w:proofErr w:type="spellEnd"/>
      <w:r w:rsidRPr="00A51FB4">
        <w:rPr>
          <w:rFonts w:ascii="Cambria" w:hAnsi="Cambria"/>
          <w:sz w:val="20"/>
          <w:szCs w:val="20"/>
        </w:rPr>
        <w:t xml:space="preserve">, </w:t>
      </w:r>
      <w:r w:rsidRPr="00A51FB4">
        <w:rPr>
          <w:rFonts w:ascii="Cambria" w:hAnsi="Cambria"/>
          <w:i/>
          <w:iCs/>
          <w:sz w:val="20"/>
          <w:szCs w:val="20"/>
        </w:rPr>
        <w:t>Chapter 1: Overview</w:t>
      </w:r>
      <w:r w:rsidRPr="00A51FB4">
        <w:rPr>
          <w:rFonts w:ascii="Cambria" w:hAnsi="Cambria"/>
          <w:sz w:val="20"/>
          <w:szCs w:val="20"/>
        </w:rPr>
        <w:t xml:space="preserve">. Recommendation 10 at 19-20.  As found at </w:t>
      </w:r>
      <w:hyperlink r:id="rId9" w:history="1">
        <w:r w:rsidR="00AB481B" w:rsidRPr="00A51FB4">
          <w:rPr>
            <w:rStyle w:val="Hyperlink"/>
            <w:rFonts w:ascii="Cambria" w:hAnsi="Cambria"/>
            <w:sz w:val="20"/>
            <w:szCs w:val="20"/>
          </w:rPr>
          <w:t>https://www.rccol.vic.gov.au/volume-1</w:t>
        </w:r>
      </w:hyperlink>
      <w:r w:rsidR="00AB481B" w:rsidRPr="00A51FB4">
        <w:rPr>
          <w:rFonts w:ascii="Cambria" w:hAnsi="Cambria"/>
          <w:sz w:val="20"/>
          <w:szCs w:val="20"/>
        </w:rPr>
        <w:t xml:space="preserve"> </w:t>
      </w:r>
      <w:r w:rsidRPr="00A51FB4">
        <w:rPr>
          <w:rFonts w:ascii="Cambria" w:hAnsi="Cambria" w:cs="Calibri"/>
          <w:sz w:val="20"/>
          <w:szCs w:val="20"/>
        </w:rPr>
        <w:t>(Accessed 1 November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43DDC"/>
    <w:multiLevelType w:val="multilevel"/>
    <w:tmpl w:val="9DCC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650B0"/>
    <w:multiLevelType w:val="hybridMultilevel"/>
    <w:tmpl w:val="62D26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1329F"/>
    <w:multiLevelType w:val="hybridMultilevel"/>
    <w:tmpl w:val="76E48556"/>
    <w:lvl w:ilvl="0" w:tplc="D77C66C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4966"/>
    <w:multiLevelType w:val="multilevel"/>
    <w:tmpl w:val="6F080576"/>
    <w:lvl w:ilvl="0">
      <w:start w:val="39"/>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476B5A"/>
    <w:multiLevelType w:val="hybridMultilevel"/>
    <w:tmpl w:val="6B6C6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F3BF5"/>
    <w:multiLevelType w:val="multilevel"/>
    <w:tmpl w:val="6F08057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392168"/>
    <w:multiLevelType w:val="hybridMultilevel"/>
    <w:tmpl w:val="960E3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AD53C8"/>
    <w:multiLevelType w:val="multilevel"/>
    <w:tmpl w:val="6F080576"/>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7427F8"/>
    <w:multiLevelType w:val="hybridMultilevel"/>
    <w:tmpl w:val="2CC03B1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37E169A4"/>
    <w:multiLevelType w:val="multilevel"/>
    <w:tmpl w:val="6F080576"/>
    <w:lvl w:ilvl="0">
      <w:start w:val="6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8E1F51"/>
    <w:multiLevelType w:val="multilevel"/>
    <w:tmpl w:val="6F080576"/>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F059EA"/>
    <w:multiLevelType w:val="multilevel"/>
    <w:tmpl w:val="6F080576"/>
    <w:lvl w:ilvl="0">
      <w:start w:val="1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4444BE"/>
    <w:multiLevelType w:val="multilevel"/>
    <w:tmpl w:val="6F080576"/>
    <w:lvl w:ilvl="0">
      <w:start w:val="1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E51C56"/>
    <w:multiLevelType w:val="multilevel"/>
    <w:tmpl w:val="7270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0A2FA1"/>
    <w:multiLevelType w:val="multilevel"/>
    <w:tmpl w:val="6F08057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94268C"/>
    <w:multiLevelType w:val="hybridMultilevel"/>
    <w:tmpl w:val="0C149DDE"/>
    <w:lvl w:ilvl="0" w:tplc="97180A4A">
      <w:start w:val="8"/>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64662D"/>
    <w:multiLevelType w:val="hybridMultilevel"/>
    <w:tmpl w:val="53F2F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4D3EEA"/>
    <w:multiLevelType w:val="multilevel"/>
    <w:tmpl w:val="6F080576"/>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A41D21"/>
    <w:multiLevelType w:val="multilevel"/>
    <w:tmpl w:val="6F080576"/>
    <w:lvl w:ilvl="0">
      <w:start w:val="1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14"/>
  </w:num>
  <w:num w:numId="4">
    <w:abstractNumId w:val="5"/>
  </w:num>
  <w:num w:numId="5">
    <w:abstractNumId w:val="3"/>
  </w:num>
  <w:num w:numId="6">
    <w:abstractNumId w:val="9"/>
  </w:num>
  <w:num w:numId="7">
    <w:abstractNumId w:val="10"/>
  </w:num>
  <w:num w:numId="8">
    <w:abstractNumId w:val="7"/>
  </w:num>
  <w:num w:numId="9">
    <w:abstractNumId w:val="17"/>
  </w:num>
  <w:num w:numId="10">
    <w:abstractNumId w:val="12"/>
  </w:num>
  <w:num w:numId="11">
    <w:abstractNumId w:val="11"/>
  </w:num>
  <w:num w:numId="12">
    <w:abstractNumId w:val="18"/>
  </w:num>
  <w:num w:numId="13">
    <w:abstractNumId w:val="13"/>
  </w:num>
  <w:num w:numId="14">
    <w:abstractNumId w:val="16"/>
  </w:num>
  <w:num w:numId="15">
    <w:abstractNumId w:val="6"/>
  </w:num>
  <w:num w:numId="16">
    <w:abstractNumId w:val="4"/>
  </w:num>
  <w:num w:numId="17">
    <w:abstractNumId w:val="8"/>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AF"/>
    <w:rsid w:val="00014C7C"/>
    <w:rsid w:val="0002762E"/>
    <w:rsid w:val="000529EF"/>
    <w:rsid w:val="000A3706"/>
    <w:rsid w:val="000C5170"/>
    <w:rsid w:val="000D78FD"/>
    <w:rsid w:val="0013492D"/>
    <w:rsid w:val="001C49AF"/>
    <w:rsid w:val="001F6456"/>
    <w:rsid w:val="00211CE0"/>
    <w:rsid w:val="0025648F"/>
    <w:rsid w:val="002A290F"/>
    <w:rsid w:val="002A6DE9"/>
    <w:rsid w:val="002C1D68"/>
    <w:rsid w:val="00321476"/>
    <w:rsid w:val="0034552E"/>
    <w:rsid w:val="003742C1"/>
    <w:rsid w:val="0041040C"/>
    <w:rsid w:val="00412885"/>
    <w:rsid w:val="00444DF3"/>
    <w:rsid w:val="00467FEB"/>
    <w:rsid w:val="004A6766"/>
    <w:rsid w:val="004B1FAF"/>
    <w:rsid w:val="004B7E4E"/>
    <w:rsid w:val="004F2C1B"/>
    <w:rsid w:val="0050609E"/>
    <w:rsid w:val="00507155"/>
    <w:rsid w:val="00523396"/>
    <w:rsid w:val="00561AB8"/>
    <w:rsid w:val="006B646C"/>
    <w:rsid w:val="00736E75"/>
    <w:rsid w:val="0074051B"/>
    <w:rsid w:val="00796909"/>
    <w:rsid w:val="007C4EA2"/>
    <w:rsid w:val="008E70D5"/>
    <w:rsid w:val="0090507E"/>
    <w:rsid w:val="009337B3"/>
    <w:rsid w:val="00A24425"/>
    <w:rsid w:val="00A37FED"/>
    <w:rsid w:val="00A51FB4"/>
    <w:rsid w:val="00A73924"/>
    <w:rsid w:val="00AB481B"/>
    <w:rsid w:val="00AC3B76"/>
    <w:rsid w:val="00AD1D23"/>
    <w:rsid w:val="00BA0915"/>
    <w:rsid w:val="00C2000C"/>
    <w:rsid w:val="00CA5204"/>
    <w:rsid w:val="00D3614F"/>
    <w:rsid w:val="00D43952"/>
    <w:rsid w:val="00D77FAC"/>
    <w:rsid w:val="00DA17BA"/>
    <w:rsid w:val="00E611DA"/>
    <w:rsid w:val="00EE0D21"/>
    <w:rsid w:val="00EE1A86"/>
    <w:rsid w:val="00F255B6"/>
    <w:rsid w:val="00F3254F"/>
    <w:rsid w:val="00F35D83"/>
    <w:rsid w:val="00FD0919"/>
    <w:rsid w:val="00FE3863"/>
    <w:rsid w:val="00FE7D54"/>
    <w:rsid w:val="00FF0B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49392B5"/>
  <w15:chartTrackingRefBased/>
  <w15:docId w15:val="{D13DCD65-DC2B-0440-B7E8-6D68A0DB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52E"/>
    <w:rPr>
      <w:rFonts w:ascii="Times New Roman" w:eastAsia="Times New Roman" w:hAnsi="Times New Roman" w:cs="Times New Roman"/>
      <w:lang w:eastAsia="en-GB"/>
    </w:rPr>
  </w:style>
  <w:style w:type="paragraph" w:styleId="Heading1">
    <w:name w:val="heading 1"/>
    <w:basedOn w:val="Normal"/>
    <w:link w:val="Heading1Char"/>
    <w:uiPriority w:val="9"/>
    <w:qFormat/>
    <w:rsid w:val="00014C7C"/>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iPriority w:val="9"/>
    <w:unhideWhenUsed/>
    <w:qFormat/>
    <w:rsid w:val="00AC3B7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nhideWhenUsed/>
    <w:rsid w:val="001C49AF"/>
    <w:rPr>
      <w:rFonts w:asciiTheme="minorHAnsi" w:eastAsiaTheme="minorEastAsia" w:hAnsiTheme="minorHAnsi" w:cstheme="minorBidi"/>
      <w:lang w:val="en-US"/>
    </w:rPr>
  </w:style>
  <w:style w:type="character" w:customStyle="1" w:styleId="FootnoteTextChar">
    <w:name w:val="Footnote Text Char"/>
    <w:aliases w:val="Footnote Char,Text Char"/>
    <w:basedOn w:val="DefaultParagraphFont"/>
    <w:link w:val="FootnoteText"/>
    <w:rsid w:val="001C49AF"/>
    <w:rPr>
      <w:rFonts w:eastAsiaTheme="minorEastAsia"/>
      <w:lang w:val="en-US"/>
    </w:rPr>
  </w:style>
  <w:style w:type="character" w:styleId="FootnoteReference">
    <w:name w:val="footnote reference"/>
    <w:basedOn w:val="DefaultParagraphFont"/>
    <w:unhideWhenUsed/>
    <w:rsid w:val="001C49AF"/>
    <w:rPr>
      <w:vertAlign w:val="superscript"/>
    </w:rPr>
  </w:style>
  <w:style w:type="character" w:styleId="Hyperlink">
    <w:name w:val="Hyperlink"/>
    <w:basedOn w:val="DefaultParagraphFont"/>
    <w:uiPriority w:val="99"/>
    <w:unhideWhenUsed/>
    <w:rsid w:val="001C49AF"/>
    <w:rPr>
      <w:color w:val="0563C1" w:themeColor="hyperlink"/>
      <w:u w:val="single"/>
    </w:rPr>
  </w:style>
  <w:style w:type="paragraph" w:styleId="NormalWeb">
    <w:name w:val="Normal (Web)"/>
    <w:basedOn w:val="Normal"/>
    <w:uiPriority w:val="99"/>
    <w:unhideWhenUsed/>
    <w:rsid w:val="001C49AF"/>
    <w:pPr>
      <w:spacing w:before="100" w:beforeAutospacing="1" w:after="100" w:afterAutospacing="1"/>
    </w:pPr>
  </w:style>
  <w:style w:type="paragraph" w:styleId="Footer">
    <w:name w:val="footer"/>
    <w:basedOn w:val="Normal"/>
    <w:link w:val="FooterChar"/>
    <w:uiPriority w:val="99"/>
    <w:unhideWhenUsed/>
    <w:rsid w:val="001C49AF"/>
    <w:pPr>
      <w:tabs>
        <w:tab w:val="center" w:pos="4703"/>
        <w:tab w:val="right" w:pos="9406"/>
      </w:tabs>
    </w:pPr>
  </w:style>
  <w:style w:type="character" w:customStyle="1" w:styleId="FooterChar">
    <w:name w:val="Footer Char"/>
    <w:basedOn w:val="DefaultParagraphFont"/>
    <w:link w:val="Footer"/>
    <w:uiPriority w:val="99"/>
    <w:rsid w:val="001C49AF"/>
    <w:rPr>
      <w:rFonts w:ascii="Times New Roman" w:eastAsia="Times New Roman" w:hAnsi="Times New Roman" w:cs="Times New Roman"/>
      <w:lang w:val="de-DE"/>
    </w:rPr>
  </w:style>
  <w:style w:type="character" w:styleId="PageNumber">
    <w:name w:val="page number"/>
    <w:basedOn w:val="DefaultParagraphFont"/>
    <w:uiPriority w:val="99"/>
    <w:semiHidden/>
    <w:unhideWhenUsed/>
    <w:rsid w:val="001C49AF"/>
  </w:style>
  <w:style w:type="character" w:styleId="UnresolvedMention">
    <w:name w:val="Unresolved Mention"/>
    <w:basedOn w:val="DefaultParagraphFont"/>
    <w:uiPriority w:val="99"/>
    <w:semiHidden/>
    <w:unhideWhenUsed/>
    <w:rsid w:val="00F255B6"/>
    <w:rPr>
      <w:color w:val="605E5C"/>
      <w:shd w:val="clear" w:color="auto" w:fill="E1DFDD"/>
    </w:rPr>
  </w:style>
  <w:style w:type="character" w:customStyle="1" w:styleId="Heading1Char">
    <w:name w:val="Heading 1 Char"/>
    <w:basedOn w:val="DefaultParagraphFont"/>
    <w:link w:val="Heading1"/>
    <w:uiPriority w:val="9"/>
    <w:rsid w:val="00014C7C"/>
    <w:rPr>
      <w:rFonts w:ascii="Times New Roman" w:eastAsia="Times New Roman" w:hAnsi="Times New Roman" w:cs="Times New Roman"/>
      <w:b/>
      <w:bCs/>
      <w:kern w:val="36"/>
      <w:sz w:val="48"/>
      <w:szCs w:val="48"/>
      <w:lang w:eastAsia="en-GB"/>
    </w:rPr>
  </w:style>
  <w:style w:type="character" w:customStyle="1" w:styleId="rccol--superscript">
    <w:name w:val="rccol-–-superscript"/>
    <w:basedOn w:val="DefaultParagraphFont"/>
    <w:rsid w:val="00014C7C"/>
  </w:style>
  <w:style w:type="character" w:customStyle="1" w:styleId="Heading4Char">
    <w:name w:val="Heading 4 Char"/>
    <w:basedOn w:val="DefaultParagraphFont"/>
    <w:link w:val="Heading4"/>
    <w:uiPriority w:val="9"/>
    <w:rsid w:val="00AC3B76"/>
    <w:rPr>
      <w:rFonts w:asciiTheme="majorHAnsi" w:eastAsiaTheme="majorEastAsia" w:hAnsiTheme="majorHAnsi" w:cstheme="majorBidi"/>
      <w:i/>
      <w:iCs/>
      <w:color w:val="2F5496" w:themeColor="accent1" w:themeShade="BF"/>
      <w:lang w:val="de-DE"/>
    </w:rPr>
  </w:style>
  <w:style w:type="character" w:customStyle="1" w:styleId="em">
    <w:name w:val="em"/>
    <w:basedOn w:val="DefaultParagraphFont"/>
    <w:rsid w:val="00AC3B76"/>
  </w:style>
  <w:style w:type="paragraph" w:styleId="ListParagraph">
    <w:name w:val="List Paragraph"/>
    <w:basedOn w:val="Normal"/>
    <w:uiPriority w:val="34"/>
    <w:qFormat/>
    <w:rsid w:val="00523396"/>
    <w:pPr>
      <w:ind w:left="720"/>
      <w:contextualSpacing/>
    </w:pPr>
  </w:style>
  <w:style w:type="character" w:styleId="FollowedHyperlink">
    <w:name w:val="FollowedHyperlink"/>
    <w:basedOn w:val="DefaultParagraphFont"/>
    <w:uiPriority w:val="99"/>
    <w:semiHidden/>
    <w:unhideWhenUsed/>
    <w:rsid w:val="00FE3863"/>
    <w:rPr>
      <w:color w:val="954F72" w:themeColor="followedHyperlink"/>
      <w:u w:val="single"/>
    </w:rPr>
  </w:style>
  <w:style w:type="paragraph" w:styleId="BalloonText">
    <w:name w:val="Balloon Text"/>
    <w:basedOn w:val="Normal"/>
    <w:link w:val="BalloonTextChar"/>
    <w:uiPriority w:val="99"/>
    <w:semiHidden/>
    <w:unhideWhenUsed/>
    <w:rsid w:val="00211CE0"/>
    <w:rPr>
      <w:sz w:val="18"/>
      <w:szCs w:val="18"/>
    </w:rPr>
  </w:style>
  <w:style w:type="character" w:customStyle="1" w:styleId="BalloonTextChar">
    <w:name w:val="Balloon Text Char"/>
    <w:basedOn w:val="DefaultParagraphFont"/>
    <w:link w:val="BalloonText"/>
    <w:uiPriority w:val="99"/>
    <w:semiHidden/>
    <w:rsid w:val="00211CE0"/>
    <w:rPr>
      <w:rFonts w:ascii="Times New Roman" w:eastAsia="Times New Roman" w:hAnsi="Times New Roman"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8107">
      <w:bodyDiv w:val="1"/>
      <w:marLeft w:val="0"/>
      <w:marRight w:val="0"/>
      <w:marTop w:val="0"/>
      <w:marBottom w:val="0"/>
      <w:divBdr>
        <w:top w:val="none" w:sz="0" w:space="0" w:color="auto"/>
        <w:left w:val="none" w:sz="0" w:space="0" w:color="auto"/>
        <w:bottom w:val="none" w:sz="0" w:space="0" w:color="auto"/>
        <w:right w:val="none" w:sz="0" w:space="0" w:color="auto"/>
      </w:divBdr>
    </w:div>
    <w:div w:id="24642784">
      <w:bodyDiv w:val="1"/>
      <w:marLeft w:val="0"/>
      <w:marRight w:val="0"/>
      <w:marTop w:val="0"/>
      <w:marBottom w:val="0"/>
      <w:divBdr>
        <w:top w:val="none" w:sz="0" w:space="0" w:color="auto"/>
        <w:left w:val="none" w:sz="0" w:space="0" w:color="auto"/>
        <w:bottom w:val="none" w:sz="0" w:space="0" w:color="auto"/>
        <w:right w:val="none" w:sz="0" w:space="0" w:color="auto"/>
      </w:divBdr>
    </w:div>
    <w:div w:id="85080671">
      <w:bodyDiv w:val="1"/>
      <w:marLeft w:val="0"/>
      <w:marRight w:val="0"/>
      <w:marTop w:val="0"/>
      <w:marBottom w:val="0"/>
      <w:divBdr>
        <w:top w:val="none" w:sz="0" w:space="0" w:color="auto"/>
        <w:left w:val="none" w:sz="0" w:space="0" w:color="auto"/>
        <w:bottom w:val="none" w:sz="0" w:space="0" w:color="auto"/>
        <w:right w:val="none" w:sz="0" w:space="0" w:color="auto"/>
      </w:divBdr>
    </w:div>
    <w:div w:id="99111730">
      <w:bodyDiv w:val="1"/>
      <w:marLeft w:val="0"/>
      <w:marRight w:val="0"/>
      <w:marTop w:val="0"/>
      <w:marBottom w:val="0"/>
      <w:divBdr>
        <w:top w:val="none" w:sz="0" w:space="0" w:color="auto"/>
        <w:left w:val="none" w:sz="0" w:space="0" w:color="auto"/>
        <w:bottom w:val="none" w:sz="0" w:space="0" w:color="auto"/>
        <w:right w:val="none" w:sz="0" w:space="0" w:color="auto"/>
      </w:divBdr>
    </w:div>
    <w:div w:id="108474428">
      <w:bodyDiv w:val="1"/>
      <w:marLeft w:val="0"/>
      <w:marRight w:val="0"/>
      <w:marTop w:val="0"/>
      <w:marBottom w:val="0"/>
      <w:divBdr>
        <w:top w:val="none" w:sz="0" w:space="0" w:color="auto"/>
        <w:left w:val="none" w:sz="0" w:space="0" w:color="auto"/>
        <w:bottom w:val="none" w:sz="0" w:space="0" w:color="auto"/>
        <w:right w:val="none" w:sz="0" w:space="0" w:color="auto"/>
      </w:divBdr>
    </w:div>
    <w:div w:id="133835940">
      <w:bodyDiv w:val="1"/>
      <w:marLeft w:val="0"/>
      <w:marRight w:val="0"/>
      <w:marTop w:val="0"/>
      <w:marBottom w:val="0"/>
      <w:divBdr>
        <w:top w:val="none" w:sz="0" w:space="0" w:color="auto"/>
        <w:left w:val="none" w:sz="0" w:space="0" w:color="auto"/>
        <w:bottom w:val="none" w:sz="0" w:space="0" w:color="auto"/>
        <w:right w:val="none" w:sz="0" w:space="0" w:color="auto"/>
      </w:divBdr>
    </w:div>
    <w:div w:id="165020476">
      <w:bodyDiv w:val="1"/>
      <w:marLeft w:val="0"/>
      <w:marRight w:val="0"/>
      <w:marTop w:val="0"/>
      <w:marBottom w:val="0"/>
      <w:divBdr>
        <w:top w:val="none" w:sz="0" w:space="0" w:color="auto"/>
        <w:left w:val="none" w:sz="0" w:space="0" w:color="auto"/>
        <w:bottom w:val="none" w:sz="0" w:space="0" w:color="auto"/>
        <w:right w:val="none" w:sz="0" w:space="0" w:color="auto"/>
      </w:divBdr>
    </w:div>
    <w:div w:id="186212319">
      <w:bodyDiv w:val="1"/>
      <w:marLeft w:val="0"/>
      <w:marRight w:val="0"/>
      <w:marTop w:val="0"/>
      <w:marBottom w:val="0"/>
      <w:divBdr>
        <w:top w:val="none" w:sz="0" w:space="0" w:color="auto"/>
        <w:left w:val="none" w:sz="0" w:space="0" w:color="auto"/>
        <w:bottom w:val="none" w:sz="0" w:space="0" w:color="auto"/>
        <w:right w:val="none" w:sz="0" w:space="0" w:color="auto"/>
      </w:divBdr>
      <w:divsChild>
        <w:div w:id="1551765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386177">
      <w:bodyDiv w:val="1"/>
      <w:marLeft w:val="0"/>
      <w:marRight w:val="0"/>
      <w:marTop w:val="0"/>
      <w:marBottom w:val="0"/>
      <w:divBdr>
        <w:top w:val="none" w:sz="0" w:space="0" w:color="auto"/>
        <w:left w:val="none" w:sz="0" w:space="0" w:color="auto"/>
        <w:bottom w:val="none" w:sz="0" w:space="0" w:color="auto"/>
        <w:right w:val="none" w:sz="0" w:space="0" w:color="auto"/>
      </w:divBdr>
    </w:div>
    <w:div w:id="228151119">
      <w:bodyDiv w:val="1"/>
      <w:marLeft w:val="0"/>
      <w:marRight w:val="0"/>
      <w:marTop w:val="0"/>
      <w:marBottom w:val="0"/>
      <w:divBdr>
        <w:top w:val="none" w:sz="0" w:space="0" w:color="auto"/>
        <w:left w:val="none" w:sz="0" w:space="0" w:color="auto"/>
        <w:bottom w:val="none" w:sz="0" w:space="0" w:color="auto"/>
        <w:right w:val="none" w:sz="0" w:space="0" w:color="auto"/>
      </w:divBdr>
    </w:div>
    <w:div w:id="267003003">
      <w:bodyDiv w:val="1"/>
      <w:marLeft w:val="0"/>
      <w:marRight w:val="0"/>
      <w:marTop w:val="0"/>
      <w:marBottom w:val="0"/>
      <w:divBdr>
        <w:top w:val="none" w:sz="0" w:space="0" w:color="auto"/>
        <w:left w:val="none" w:sz="0" w:space="0" w:color="auto"/>
        <w:bottom w:val="none" w:sz="0" w:space="0" w:color="auto"/>
        <w:right w:val="none" w:sz="0" w:space="0" w:color="auto"/>
      </w:divBdr>
    </w:div>
    <w:div w:id="286397130">
      <w:bodyDiv w:val="1"/>
      <w:marLeft w:val="0"/>
      <w:marRight w:val="0"/>
      <w:marTop w:val="0"/>
      <w:marBottom w:val="0"/>
      <w:divBdr>
        <w:top w:val="none" w:sz="0" w:space="0" w:color="auto"/>
        <w:left w:val="none" w:sz="0" w:space="0" w:color="auto"/>
        <w:bottom w:val="none" w:sz="0" w:space="0" w:color="auto"/>
        <w:right w:val="none" w:sz="0" w:space="0" w:color="auto"/>
      </w:divBdr>
      <w:divsChild>
        <w:div w:id="921447281">
          <w:marLeft w:val="0"/>
          <w:marRight w:val="0"/>
          <w:marTop w:val="0"/>
          <w:marBottom w:val="0"/>
          <w:divBdr>
            <w:top w:val="none" w:sz="0" w:space="0" w:color="auto"/>
            <w:left w:val="none" w:sz="0" w:space="0" w:color="auto"/>
            <w:bottom w:val="none" w:sz="0" w:space="0" w:color="auto"/>
            <w:right w:val="none" w:sz="0" w:space="0" w:color="auto"/>
          </w:divBdr>
          <w:divsChild>
            <w:div w:id="1288586253">
              <w:marLeft w:val="0"/>
              <w:marRight w:val="0"/>
              <w:marTop w:val="0"/>
              <w:marBottom w:val="0"/>
              <w:divBdr>
                <w:top w:val="none" w:sz="0" w:space="0" w:color="auto"/>
                <w:left w:val="none" w:sz="0" w:space="0" w:color="auto"/>
                <w:bottom w:val="none" w:sz="0" w:space="0" w:color="auto"/>
                <w:right w:val="none" w:sz="0" w:space="0" w:color="auto"/>
              </w:divBdr>
              <w:divsChild>
                <w:div w:id="16877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040883">
      <w:bodyDiv w:val="1"/>
      <w:marLeft w:val="0"/>
      <w:marRight w:val="0"/>
      <w:marTop w:val="0"/>
      <w:marBottom w:val="0"/>
      <w:divBdr>
        <w:top w:val="none" w:sz="0" w:space="0" w:color="auto"/>
        <w:left w:val="none" w:sz="0" w:space="0" w:color="auto"/>
        <w:bottom w:val="none" w:sz="0" w:space="0" w:color="auto"/>
        <w:right w:val="none" w:sz="0" w:space="0" w:color="auto"/>
      </w:divBdr>
    </w:div>
    <w:div w:id="406148291">
      <w:bodyDiv w:val="1"/>
      <w:marLeft w:val="0"/>
      <w:marRight w:val="0"/>
      <w:marTop w:val="0"/>
      <w:marBottom w:val="0"/>
      <w:divBdr>
        <w:top w:val="none" w:sz="0" w:space="0" w:color="auto"/>
        <w:left w:val="none" w:sz="0" w:space="0" w:color="auto"/>
        <w:bottom w:val="none" w:sz="0" w:space="0" w:color="auto"/>
        <w:right w:val="none" w:sz="0" w:space="0" w:color="auto"/>
      </w:divBdr>
    </w:div>
    <w:div w:id="409890105">
      <w:bodyDiv w:val="1"/>
      <w:marLeft w:val="0"/>
      <w:marRight w:val="0"/>
      <w:marTop w:val="0"/>
      <w:marBottom w:val="0"/>
      <w:divBdr>
        <w:top w:val="none" w:sz="0" w:space="0" w:color="auto"/>
        <w:left w:val="none" w:sz="0" w:space="0" w:color="auto"/>
        <w:bottom w:val="none" w:sz="0" w:space="0" w:color="auto"/>
        <w:right w:val="none" w:sz="0" w:space="0" w:color="auto"/>
      </w:divBdr>
    </w:div>
    <w:div w:id="473066365">
      <w:bodyDiv w:val="1"/>
      <w:marLeft w:val="0"/>
      <w:marRight w:val="0"/>
      <w:marTop w:val="0"/>
      <w:marBottom w:val="0"/>
      <w:divBdr>
        <w:top w:val="none" w:sz="0" w:space="0" w:color="auto"/>
        <w:left w:val="none" w:sz="0" w:space="0" w:color="auto"/>
        <w:bottom w:val="none" w:sz="0" w:space="0" w:color="auto"/>
        <w:right w:val="none" w:sz="0" w:space="0" w:color="auto"/>
      </w:divBdr>
    </w:div>
    <w:div w:id="619190255">
      <w:bodyDiv w:val="1"/>
      <w:marLeft w:val="0"/>
      <w:marRight w:val="0"/>
      <w:marTop w:val="0"/>
      <w:marBottom w:val="0"/>
      <w:divBdr>
        <w:top w:val="none" w:sz="0" w:space="0" w:color="auto"/>
        <w:left w:val="none" w:sz="0" w:space="0" w:color="auto"/>
        <w:bottom w:val="none" w:sz="0" w:space="0" w:color="auto"/>
        <w:right w:val="none" w:sz="0" w:space="0" w:color="auto"/>
      </w:divBdr>
      <w:divsChild>
        <w:div w:id="925459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048191">
      <w:bodyDiv w:val="1"/>
      <w:marLeft w:val="0"/>
      <w:marRight w:val="0"/>
      <w:marTop w:val="0"/>
      <w:marBottom w:val="0"/>
      <w:divBdr>
        <w:top w:val="none" w:sz="0" w:space="0" w:color="auto"/>
        <w:left w:val="none" w:sz="0" w:space="0" w:color="auto"/>
        <w:bottom w:val="none" w:sz="0" w:space="0" w:color="auto"/>
        <w:right w:val="none" w:sz="0" w:space="0" w:color="auto"/>
      </w:divBdr>
      <w:divsChild>
        <w:div w:id="1300040665">
          <w:marLeft w:val="0"/>
          <w:marRight w:val="0"/>
          <w:marTop w:val="0"/>
          <w:marBottom w:val="0"/>
          <w:divBdr>
            <w:top w:val="none" w:sz="0" w:space="0" w:color="auto"/>
            <w:left w:val="none" w:sz="0" w:space="0" w:color="auto"/>
            <w:bottom w:val="none" w:sz="0" w:space="0" w:color="auto"/>
            <w:right w:val="none" w:sz="0" w:space="0" w:color="auto"/>
          </w:divBdr>
        </w:div>
        <w:div w:id="38868461">
          <w:marLeft w:val="0"/>
          <w:marRight w:val="0"/>
          <w:marTop w:val="0"/>
          <w:marBottom w:val="0"/>
          <w:divBdr>
            <w:top w:val="none" w:sz="0" w:space="0" w:color="auto"/>
            <w:left w:val="none" w:sz="0" w:space="0" w:color="auto"/>
            <w:bottom w:val="none" w:sz="0" w:space="0" w:color="auto"/>
            <w:right w:val="none" w:sz="0" w:space="0" w:color="auto"/>
          </w:divBdr>
          <w:divsChild>
            <w:div w:id="324403441">
              <w:marLeft w:val="0"/>
              <w:marRight w:val="0"/>
              <w:marTop w:val="0"/>
              <w:marBottom w:val="0"/>
              <w:divBdr>
                <w:top w:val="none" w:sz="0" w:space="0" w:color="auto"/>
                <w:left w:val="none" w:sz="0" w:space="0" w:color="auto"/>
                <w:bottom w:val="none" w:sz="0" w:space="0" w:color="auto"/>
                <w:right w:val="none" w:sz="0" w:space="0" w:color="auto"/>
              </w:divBdr>
            </w:div>
            <w:div w:id="811945926">
              <w:marLeft w:val="0"/>
              <w:marRight w:val="0"/>
              <w:marTop w:val="0"/>
              <w:marBottom w:val="0"/>
              <w:divBdr>
                <w:top w:val="none" w:sz="0" w:space="0" w:color="auto"/>
                <w:left w:val="none" w:sz="0" w:space="0" w:color="auto"/>
                <w:bottom w:val="none" w:sz="0" w:space="0" w:color="auto"/>
                <w:right w:val="none" w:sz="0" w:space="0" w:color="auto"/>
              </w:divBdr>
            </w:div>
            <w:div w:id="235550165">
              <w:marLeft w:val="0"/>
              <w:marRight w:val="0"/>
              <w:marTop w:val="0"/>
              <w:marBottom w:val="0"/>
              <w:divBdr>
                <w:top w:val="none" w:sz="0" w:space="0" w:color="auto"/>
                <w:left w:val="none" w:sz="0" w:space="0" w:color="auto"/>
                <w:bottom w:val="none" w:sz="0" w:space="0" w:color="auto"/>
                <w:right w:val="none" w:sz="0" w:space="0" w:color="auto"/>
              </w:divBdr>
            </w:div>
            <w:div w:id="929777914">
              <w:marLeft w:val="0"/>
              <w:marRight w:val="0"/>
              <w:marTop w:val="0"/>
              <w:marBottom w:val="0"/>
              <w:divBdr>
                <w:top w:val="none" w:sz="0" w:space="0" w:color="auto"/>
                <w:left w:val="none" w:sz="0" w:space="0" w:color="auto"/>
                <w:bottom w:val="none" w:sz="0" w:space="0" w:color="auto"/>
                <w:right w:val="none" w:sz="0" w:space="0" w:color="auto"/>
              </w:divBdr>
            </w:div>
            <w:div w:id="1180393548">
              <w:marLeft w:val="0"/>
              <w:marRight w:val="0"/>
              <w:marTop w:val="0"/>
              <w:marBottom w:val="0"/>
              <w:divBdr>
                <w:top w:val="none" w:sz="0" w:space="0" w:color="auto"/>
                <w:left w:val="none" w:sz="0" w:space="0" w:color="auto"/>
                <w:bottom w:val="none" w:sz="0" w:space="0" w:color="auto"/>
                <w:right w:val="none" w:sz="0" w:space="0" w:color="auto"/>
              </w:divBdr>
            </w:div>
            <w:div w:id="1899439007">
              <w:marLeft w:val="0"/>
              <w:marRight w:val="0"/>
              <w:marTop w:val="0"/>
              <w:marBottom w:val="0"/>
              <w:divBdr>
                <w:top w:val="none" w:sz="0" w:space="0" w:color="auto"/>
                <w:left w:val="none" w:sz="0" w:space="0" w:color="auto"/>
                <w:bottom w:val="none" w:sz="0" w:space="0" w:color="auto"/>
                <w:right w:val="none" w:sz="0" w:space="0" w:color="auto"/>
              </w:divBdr>
            </w:div>
            <w:div w:id="386103278">
              <w:marLeft w:val="0"/>
              <w:marRight w:val="0"/>
              <w:marTop w:val="0"/>
              <w:marBottom w:val="0"/>
              <w:divBdr>
                <w:top w:val="none" w:sz="0" w:space="0" w:color="auto"/>
                <w:left w:val="none" w:sz="0" w:space="0" w:color="auto"/>
                <w:bottom w:val="none" w:sz="0" w:space="0" w:color="auto"/>
                <w:right w:val="none" w:sz="0" w:space="0" w:color="auto"/>
              </w:divBdr>
            </w:div>
            <w:div w:id="487207060">
              <w:marLeft w:val="0"/>
              <w:marRight w:val="0"/>
              <w:marTop w:val="0"/>
              <w:marBottom w:val="0"/>
              <w:divBdr>
                <w:top w:val="none" w:sz="0" w:space="0" w:color="auto"/>
                <w:left w:val="none" w:sz="0" w:space="0" w:color="auto"/>
                <w:bottom w:val="none" w:sz="0" w:space="0" w:color="auto"/>
                <w:right w:val="none" w:sz="0" w:space="0" w:color="auto"/>
              </w:divBdr>
            </w:div>
            <w:div w:id="8497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59080">
      <w:bodyDiv w:val="1"/>
      <w:marLeft w:val="0"/>
      <w:marRight w:val="0"/>
      <w:marTop w:val="0"/>
      <w:marBottom w:val="0"/>
      <w:divBdr>
        <w:top w:val="none" w:sz="0" w:space="0" w:color="auto"/>
        <w:left w:val="none" w:sz="0" w:space="0" w:color="auto"/>
        <w:bottom w:val="none" w:sz="0" w:space="0" w:color="auto"/>
        <w:right w:val="none" w:sz="0" w:space="0" w:color="auto"/>
      </w:divBdr>
    </w:div>
    <w:div w:id="738475652">
      <w:bodyDiv w:val="1"/>
      <w:marLeft w:val="0"/>
      <w:marRight w:val="0"/>
      <w:marTop w:val="0"/>
      <w:marBottom w:val="0"/>
      <w:divBdr>
        <w:top w:val="none" w:sz="0" w:space="0" w:color="auto"/>
        <w:left w:val="none" w:sz="0" w:space="0" w:color="auto"/>
        <w:bottom w:val="none" w:sz="0" w:space="0" w:color="auto"/>
        <w:right w:val="none" w:sz="0" w:space="0" w:color="auto"/>
      </w:divBdr>
    </w:div>
    <w:div w:id="757100081">
      <w:bodyDiv w:val="1"/>
      <w:marLeft w:val="0"/>
      <w:marRight w:val="0"/>
      <w:marTop w:val="0"/>
      <w:marBottom w:val="0"/>
      <w:divBdr>
        <w:top w:val="none" w:sz="0" w:space="0" w:color="auto"/>
        <w:left w:val="none" w:sz="0" w:space="0" w:color="auto"/>
        <w:bottom w:val="none" w:sz="0" w:space="0" w:color="auto"/>
        <w:right w:val="none" w:sz="0" w:space="0" w:color="auto"/>
      </w:divBdr>
      <w:divsChild>
        <w:div w:id="390999902">
          <w:marLeft w:val="0"/>
          <w:marRight w:val="0"/>
          <w:marTop w:val="0"/>
          <w:marBottom w:val="0"/>
          <w:divBdr>
            <w:top w:val="none" w:sz="0" w:space="0" w:color="auto"/>
            <w:left w:val="none" w:sz="0" w:space="0" w:color="auto"/>
            <w:bottom w:val="none" w:sz="0" w:space="0" w:color="auto"/>
            <w:right w:val="none" w:sz="0" w:space="0" w:color="auto"/>
          </w:divBdr>
          <w:divsChild>
            <w:div w:id="2022511745">
              <w:marLeft w:val="0"/>
              <w:marRight w:val="0"/>
              <w:marTop w:val="0"/>
              <w:marBottom w:val="0"/>
              <w:divBdr>
                <w:top w:val="none" w:sz="0" w:space="0" w:color="auto"/>
                <w:left w:val="none" w:sz="0" w:space="0" w:color="auto"/>
                <w:bottom w:val="none" w:sz="0" w:space="0" w:color="auto"/>
                <w:right w:val="none" w:sz="0" w:space="0" w:color="auto"/>
              </w:divBdr>
              <w:divsChild>
                <w:div w:id="146338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50928">
      <w:bodyDiv w:val="1"/>
      <w:marLeft w:val="0"/>
      <w:marRight w:val="0"/>
      <w:marTop w:val="0"/>
      <w:marBottom w:val="0"/>
      <w:divBdr>
        <w:top w:val="none" w:sz="0" w:space="0" w:color="auto"/>
        <w:left w:val="none" w:sz="0" w:space="0" w:color="auto"/>
        <w:bottom w:val="none" w:sz="0" w:space="0" w:color="auto"/>
        <w:right w:val="none" w:sz="0" w:space="0" w:color="auto"/>
      </w:divBdr>
      <w:divsChild>
        <w:div w:id="2009939880">
          <w:marLeft w:val="0"/>
          <w:marRight w:val="0"/>
          <w:marTop w:val="0"/>
          <w:marBottom w:val="0"/>
          <w:divBdr>
            <w:top w:val="none" w:sz="0" w:space="0" w:color="auto"/>
            <w:left w:val="none" w:sz="0" w:space="0" w:color="auto"/>
            <w:bottom w:val="none" w:sz="0" w:space="0" w:color="auto"/>
            <w:right w:val="none" w:sz="0" w:space="0" w:color="auto"/>
          </w:divBdr>
          <w:divsChild>
            <w:div w:id="1224416271">
              <w:marLeft w:val="0"/>
              <w:marRight w:val="0"/>
              <w:marTop w:val="0"/>
              <w:marBottom w:val="0"/>
              <w:divBdr>
                <w:top w:val="none" w:sz="0" w:space="0" w:color="auto"/>
                <w:left w:val="none" w:sz="0" w:space="0" w:color="auto"/>
                <w:bottom w:val="none" w:sz="0" w:space="0" w:color="auto"/>
                <w:right w:val="none" w:sz="0" w:space="0" w:color="auto"/>
              </w:divBdr>
              <w:divsChild>
                <w:div w:id="8626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759978">
      <w:bodyDiv w:val="1"/>
      <w:marLeft w:val="0"/>
      <w:marRight w:val="0"/>
      <w:marTop w:val="0"/>
      <w:marBottom w:val="0"/>
      <w:divBdr>
        <w:top w:val="none" w:sz="0" w:space="0" w:color="auto"/>
        <w:left w:val="none" w:sz="0" w:space="0" w:color="auto"/>
        <w:bottom w:val="none" w:sz="0" w:space="0" w:color="auto"/>
        <w:right w:val="none" w:sz="0" w:space="0" w:color="auto"/>
      </w:divBdr>
    </w:div>
    <w:div w:id="836918546">
      <w:bodyDiv w:val="1"/>
      <w:marLeft w:val="0"/>
      <w:marRight w:val="0"/>
      <w:marTop w:val="0"/>
      <w:marBottom w:val="0"/>
      <w:divBdr>
        <w:top w:val="none" w:sz="0" w:space="0" w:color="auto"/>
        <w:left w:val="none" w:sz="0" w:space="0" w:color="auto"/>
        <w:bottom w:val="none" w:sz="0" w:space="0" w:color="auto"/>
        <w:right w:val="none" w:sz="0" w:space="0" w:color="auto"/>
      </w:divBdr>
    </w:div>
    <w:div w:id="838737950">
      <w:bodyDiv w:val="1"/>
      <w:marLeft w:val="0"/>
      <w:marRight w:val="0"/>
      <w:marTop w:val="0"/>
      <w:marBottom w:val="0"/>
      <w:divBdr>
        <w:top w:val="none" w:sz="0" w:space="0" w:color="auto"/>
        <w:left w:val="none" w:sz="0" w:space="0" w:color="auto"/>
        <w:bottom w:val="none" w:sz="0" w:space="0" w:color="auto"/>
        <w:right w:val="none" w:sz="0" w:space="0" w:color="auto"/>
      </w:divBdr>
    </w:div>
    <w:div w:id="859010679">
      <w:bodyDiv w:val="1"/>
      <w:marLeft w:val="0"/>
      <w:marRight w:val="0"/>
      <w:marTop w:val="0"/>
      <w:marBottom w:val="0"/>
      <w:divBdr>
        <w:top w:val="none" w:sz="0" w:space="0" w:color="auto"/>
        <w:left w:val="none" w:sz="0" w:space="0" w:color="auto"/>
        <w:bottom w:val="none" w:sz="0" w:space="0" w:color="auto"/>
        <w:right w:val="none" w:sz="0" w:space="0" w:color="auto"/>
      </w:divBdr>
      <w:divsChild>
        <w:div w:id="1301379352">
          <w:marLeft w:val="0"/>
          <w:marRight w:val="0"/>
          <w:marTop w:val="0"/>
          <w:marBottom w:val="0"/>
          <w:divBdr>
            <w:top w:val="none" w:sz="0" w:space="0" w:color="auto"/>
            <w:left w:val="none" w:sz="0" w:space="0" w:color="auto"/>
            <w:bottom w:val="none" w:sz="0" w:space="0" w:color="auto"/>
            <w:right w:val="none" w:sz="0" w:space="0" w:color="auto"/>
          </w:divBdr>
        </w:div>
      </w:divsChild>
    </w:div>
    <w:div w:id="862284538">
      <w:bodyDiv w:val="1"/>
      <w:marLeft w:val="0"/>
      <w:marRight w:val="0"/>
      <w:marTop w:val="0"/>
      <w:marBottom w:val="0"/>
      <w:divBdr>
        <w:top w:val="none" w:sz="0" w:space="0" w:color="auto"/>
        <w:left w:val="none" w:sz="0" w:space="0" w:color="auto"/>
        <w:bottom w:val="none" w:sz="0" w:space="0" w:color="auto"/>
        <w:right w:val="none" w:sz="0" w:space="0" w:color="auto"/>
      </w:divBdr>
    </w:div>
    <w:div w:id="898781745">
      <w:bodyDiv w:val="1"/>
      <w:marLeft w:val="0"/>
      <w:marRight w:val="0"/>
      <w:marTop w:val="0"/>
      <w:marBottom w:val="0"/>
      <w:divBdr>
        <w:top w:val="none" w:sz="0" w:space="0" w:color="auto"/>
        <w:left w:val="none" w:sz="0" w:space="0" w:color="auto"/>
        <w:bottom w:val="none" w:sz="0" w:space="0" w:color="auto"/>
        <w:right w:val="none" w:sz="0" w:space="0" w:color="auto"/>
      </w:divBdr>
      <w:divsChild>
        <w:div w:id="1645089131">
          <w:marLeft w:val="0"/>
          <w:marRight w:val="0"/>
          <w:marTop w:val="0"/>
          <w:marBottom w:val="0"/>
          <w:divBdr>
            <w:top w:val="none" w:sz="0" w:space="0" w:color="auto"/>
            <w:left w:val="none" w:sz="0" w:space="0" w:color="auto"/>
            <w:bottom w:val="none" w:sz="0" w:space="0" w:color="auto"/>
            <w:right w:val="none" w:sz="0" w:space="0" w:color="auto"/>
          </w:divBdr>
          <w:divsChild>
            <w:div w:id="1732924791">
              <w:marLeft w:val="0"/>
              <w:marRight w:val="0"/>
              <w:marTop w:val="0"/>
              <w:marBottom w:val="0"/>
              <w:divBdr>
                <w:top w:val="none" w:sz="0" w:space="0" w:color="auto"/>
                <w:left w:val="none" w:sz="0" w:space="0" w:color="auto"/>
                <w:bottom w:val="none" w:sz="0" w:space="0" w:color="auto"/>
                <w:right w:val="none" w:sz="0" w:space="0" w:color="auto"/>
              </w:divBdr>
              <w:divsChild>
                <w:div w:id="1551452241">
                  <w:marLeft w:val="0"/>
                  <w:marRight w:val="0"/>
                  <w:marTop w:val="0"/>
                  <w:marBottom w:val="0"/>
                  <w:divBdr>
                    <w:top w:val="none" w:sz="0" w:space="0" w:color="auto"/>
                    <w:left w:val="none" w:sz="0" w:space="0" w:color="auto"/>
                    <w:bottom w:val="none" w:sz="0" w:space="0" w:color="auto"/>
                    <w:right w:val="none" w:sz="0" w:space="0" w:color="auto"/>
                  </w:divBdr>
                  <w:divsChild>
                    <w:div w:id="19796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31101">
      <w:bodyDiv w:val="1"/>
      <w:marLeft w:val="0"/>
      <w:marRight w:val="0"/>
      <w:marTop w:val="0"/>
      <w:marBottom w:val="0"/>
      <w:divBdr>
        <w:top w:val="none" w:sz="0" w:space="0" w:color="auto"/>
        <w:left w:val="none" w:sz="0" w:space="0" w:color="auto"/>
        <w:bottom w:val="none" w:sz="0" w:space="0" w:color="auto"/>
        <w:right w:val="none" w:sz="0" w:space="0" w:color="auto"/>
      </w:divBdr>
    </w:div>
    <w:div w:id="954563120">
      <w:bodyDiv w:val="1"/>
      <w:marLeft w:val="0"/>
      <w:marRight w:val="0"/>
      <w:marTop w:val="0"/>
      <w:marBottom w:val="0"/>
      <w:divBdr>
        <w:top w:val="none" w:sz="0" w:space="0" w:color="auto"/>
        <w:left w:val="none" w:sz="0" w:space="0" w:color="auto"/>
        <w:bottom w:val="none" w:sz="0" w:space="0" w:color="auto"/>
        <w:right w:val="none" w:sz="0" w:space="0" w:color="auto"/>
      </w:divBdr>
    </w:div>
    <w:div w:id="984745273">
      <w:bodyDiv w:val="1"/>
      <w:marLeft w:val="0"/>
      <w:marRight w:val="0"/>
      <w:marTop w:val="0"/>
      <w:marBottom w:val="0"/>
      <w:divBdr>
        <w:top w:val="none" w:sz="0" w:space="0" w:color="auto"/>
        <w:left w:val="none" w:sz="0" w:space="0" w:color="auto"/>
        <w:bottom w:val="none" w:sz="0" w:space="0" w:color="auto"/>
        <w:right w:val="none" w:sz="0" w:space="0" w:color="auto"/>
      </w:divBdr>
    </w:div>
    <w:div w:id="1031689023">
      <w:bodyDiv w:val="1"/>
      <w:marLeft w:val="0"/>
      <w:marRight w:val="0"/>
      <w:marTop w:val="0"/>
      <w:marBottom w:val="0"/>
      <w:divBdr>
        <w:top w:val="none" w:sz="0" w:space="0" w:color="auto"/>
        <w:left w:val="none" w:sz="0" w:space="0" w:color="auto"/>
        <w:bottom w:val="none" w:sz="0" w:space="0" w:color="auto"/>
        <w:right w:val="none" w:sz="0" w:space="0" w:color="auto"/>
      </w:divBdr>
      <w:divsChild>
        <w:div w:id="1172767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164572">
      <w:bodyDiv w:val="1"/>
      <w:marLeft w:val="0"/>
      <w:marRight w:val="0"/>
      <w:marTop w:val="0"/>
      <w:marBottom w:val="0"/>
      <w:divBdr>
        <w:top w:val="none" w:sz="0" w:space="0" w:color="auto"/>
        <w:left w:val="none" w:sz="0" w:space="0" w:color="auto"/>
        <w:bottom w:val="none" w:sz="0" w:space="0" w:color="auto"/>
        <w:right w:val="none" w:sz="0" w:space="0" w:color="auto"/>
      </w:divBdr>
      <w:divsChild>
        <w:div w:id="1119493524">
          <w:marLeft w:val="0"/>
          <w:marRight w:val="0"/>
          <w:marTop w:val="0"/>
          <w:marBottom w:val="0"/>
          <w:divBdr>
            <w:top w:val="none" w:sz="0" w:space="0" w:color="auto"/>
            <w:left w:val="none" w:sz="0" w:space="0" w:color="auto"/>
            <w:bottom w:val="none" w:sz="0" w:space="0" w:color="auto"/>
            <w:right w:val="none" w:sz="0" w:space="0" w:color="auto"/>
          </w:divBdr>
          <w:divsChild>
            <w:div w:id="1258952033">
              <w:marLeft w:val="0"/>
              <w:marRight w:val="0"/>
              <w:marTop w:val="0"/>
              <w:marBottom w:val="0"/>
              <w:divBdr>
                <w:top w:val="none" w:sz="0" w:space="0" w:color="auto"/>
                <w:left w:val="none" w:sz="0" w:space="0" w:color="auto"/>
                <w:bottom w:val="none" w:sz="0" w:space="0" w:color="auto"/>
                <w:right w:val="none" w:sz="0" w:space="0" w:color="auto"/>
              </w:divBdr>
              <w:divsChild>
                <w:div w:id="176942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343622">
      <w:bodyDiv w:val="1"/>
      <w:marLeft w:val="0"/>
      <w:marRight w:val="0"/>
      <w:marTop w:val="0"/>
      <w:marBottom w:val="0"/>
      <w:divBdr>
        <w:top w:val="none" w:sz="0" w:space="0" w:color="auto"/>
        <w:left w:val="none" w:sz="0" w:space="0" w:color="auto"/>
        <w:bottom w:val="none" w:sz="0" w:space="0" w:color="auto"/>
        <w:right w:val="none" w:sz="0" w:space="0" w:color="auto"/>
      </w:divBdr>
    </w:div>
    <w:div w:id="1340616941">
      <w:bodyDiv w:val="1"/>
      <w:marLeft w:val="0"/>
      <w:marRight w:val="0"/>
      <w:marTop w:val="0"/>
      <w:marBottom w:val="0"/>
      <w:divBdr>
        <w:top w:val="none" w:sz="0" w:space="0" w:color="auto"/>
        <w:left w:val="none" w:sz="0" w:space="0" w:color="auto"/>
        <w:bottom w:val="none" w:sz="0" w:space="0" w:color="auto"/>
        <w:right w:val="none" w:sz="0" w:space="0" w:color="auto"/>
      </w:divBdr>
    </w:div>
    <w:div w:id="1358655123">
      <w:bodyDiv w:val="1"/>
      <w:marLeft w:val="0"/>
      <w:marRight w:val="0"/>
      <w:marTop w:val="0"/>
      <w:marBottom w:val="0"/>
      <w:divBdr>
        <w:top w:val="none" w:sz="0" w:space="0" w:color="auto"/>
        <w:left w:val="none" w:sz="0" w:space="0" w:color="auto"/>
        <w:bottom w:val="none" w:sz="0" w:space="0" w:color="auto"/>
        <w:right w:val="none" w:sz="0" w:space="0" w:color="auto"/>
      </w:divBdr>
    </w:div>
    <w:div w:id="1376615265">
      <w:bodyDiv w:val="1"/>
      <w:marLeft w:val="0"/>
      <w:marRight w:val="0"/>
      <w:marTop w:val="0"/>
      <w:marBottom w:val="0"/>
      <w:divBdr>
        <w:top w:val="none" w:sz="0" w:space="0" w:color="auto"/>
        <w:left w:val="none" w:sz="0" w:space="0" w:color="auto"/>
        <w:bottom w:val="none" w:sz="0" w:space="0" w:color="auto"/>
        <w:right w:val="none" w:sz="0" w:space="0" w:color="auto"/>
      </w:divBdr>
      <w:divsChild>
        <w:div w:id="1512135478">
          <w:marLeft w:val="0"/>
          <w:marRight w:val="0"/>
          <w:marTop w:val="0"/>
          <w:marBottom w:val="0"/>
          <w:divBdr>
            <w:top w:val="none" w:sz="0" w:space="0" w:color="auto"/>
            <w:left w:val="none" w:sz="0" w:space="0" w:color="auto"/>
            <w:bottom w:val="none" w:sz="0" w:space="0" w:color="auto"/>
            <w:right w:val="none" w:sz="0" w:space="0" w:color="auto"/>
          </w:divBdr>
          <w:divsChild>
            <w:div w:id="1869097259">
              <w:marLeft w:val="0"/>
              <w:marRight w:val="0"/>
              <w:marTop w:val="0"/>
              <w:marBottom w:val="0"/>
              <w:divBdr>
                <w:top w:val="none" w:sz="0" w:space="0" w:color="auto"/>
                <w:left w:val="none" w:sz="0" w:space="0" w:color="auto"/>
                <w:bottom w:val="none" w:sz="0" w:space="0" w:color="auto"/>
                <w:right w:val="none" w:sz="0" w:space="0" w:color="auto"/>
              </w:divBdr>
              <w:divsChild>
                <w:div w:id="2309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10616">
          <w:marLeft w:val="0"/>
          <w:marRight w:val="0"/>
          <w:marTop w:val="0"/>
          <w:marBottom w:val="0"/>
          <w:divBdr>
            <w:top w:val="none" w:sz="0" w:space="0" w:color="auto"/>
            <w:left w:val="none" w:sz="0" w:space="0" w:color="auto"/>
            <w:bottom w:val="none" w:sz="0" w:space="0" w:color="auto"/>
            <w:right w:val="none" w:sz="0" w:space="0" w:color="auto"/>
          </w:divBdr>
          <w:divsChild>
            <w:div w:id="540046961">
              <w:marLeft w:val="0"/>
              <w:marRight w:val="0"/>
              <w:marTop w:val="0"/>
              <w:marBottom w:val="0"/>
              <w:divBdr>
                <w:top w:val="none" w:sz="0" w:space="0" w:color="auto"/>
                <w:left w:val="none" w:sz="0" w:space="0" w:color="auto"/>
                <w:bottom w:val="none" w:sz="0" w:space="0" w:color="auto"/>
                <w:right w:val="none" w:sz="0" w:space="0" w:color="auto"/>
              </w:divBdr>
              <w:divsChild>
                <w:div w:id="1049718496">
                  <w:marLeft w:val="0"/>
                  <w:marRight w:val="0"/>
                  <w:marTop w:val="0"/>
                  <w:marBottom w:val="0"/>
                  <w:divBdr>
                    <w:top w:val="none" w:sz="0" w:space="0" w:color="auto"/>
                    <w:left w:val="none" w:sz="0" w:space="0" w:color="auto"/>
                    <w:bottom w:val="none" w:sz="0" w:space="0" w:color="auto"/>
                    <w:right w:val="none" w:sz="0" w:space="0" w:color="auto"/>
                  </w:divBdr>
                </w:div>
              </w:divsChild>
            </w:div>
            <w:div w:id="1779252106">
              <w:marLeft w:val="0"/>
              <w:marRight w:val="0"/>
              <w:marTop w:val="0"/>
              <w:marBottom w:val="0"/>
              <w:divBdr>
                <w:top w:val="none" w:sz="0" w:space="0" w:color="auto"/>
                <w:left w:val="none" w:sz="0" w:space="0" w:color="auto"/>
                <w:bottom w:val="none" w:sz="0" w:space="0" w:color="auto"/>
                <w:right w:val="none" w:sz="0" w:space="0" w:color="auto"/>
              </w:divBdr>
              <w:divsChild>
                <w:div w:id="2421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40448">
      <w:bodyDiv w:val="1"/>
      <w:marLeft w:val="0"/>
      <w:marRight w:val="0"/>
      <w:marTop w:val="0"/>
      <w:marBottom w:val="0"/>
      <w:divBdr>
        <w:top w:val="none" w:sz="0" w:space="0" w:color="auto"/>
        <w:left w:val="none" w:sz="0" w:space="0" w:color="auto"/>
        <w:bottom w:val="none" w:sz="0" w:space="0" w:color="auto"/>
        <w:right w:val="none" w:sz="0" w:space="0" w:color="auto"/>
      </w:divBdr>
    </w:div>
    <w:div w:id="1388794230">
      <w:bodyDiv w:val="1"/>
      <w:marLeft w:val="0"/>
      <w:marRight w:val="0"/>
      <w:marTop w:val="0"/>
      <w:marBottom w:val="0"/>
      <w:divBdr>
        <w:top w:val="none" w:sz="0" w:space="0" w:color="auto"/>
        <w:left w:val="none" w:sz="0" w:space="0" w:color="auto"/>
        <w:bottom w:val="none" w:sz="0" w:space="0" w:color="auto"/>
        <w:right w:val="none" w:sz="0" w:space="0" w:color="auto"/>
      </w:divBdr>
    </w:div>
    <w:div w:id="1389374213">
      <w:bodyDiv w:val="1"/>
      <w:marLeft w:val="0"/>
      <w:marRight w:val="0"/>
      <w:marTop w:val="0"/>
      <w:marBottom w:val="0"/>
      <w:divBdr>
        <w:top w:val="none" w:sz="0" w:space="0" w:color="auto"/>
        <w:left w:val="none" w:sz="0" w:space="0" w:color="auto"/>
        <w:bottom w:val="none" w:sz="0" w:space="0" w:color="auto"/>
        <w:right w:val="none" w:sz="0" w:space="0" w:color="auto"/>
      </w:divBdr>
    </w:div>
    <w:div w:id="1406730776">
      <w:bodyDiv w:val="1"/>
      <w:marLeft w:val="0"/>
      <w:marRight w:val="0"/>
      <w:marTop w:val="0"/>
      <w:marBottom w:val="0"/>
      <w:divBdr>
        <w:top w:val="none" w:sz="0" w:space="0" w:color="auto"/>
        <w:left w:val="none" w:sz="0" w:space="0" w:color="auto"/>
        <w:bottom w:val="none" w:sz="0" w:space="0" w:color="auto"/>
        <w:right w:val="none" w:sz="0" w:space="0" w:color="auto"/>
      </w:divBdr>
      <w:divsChild>
        <w:div w:id="857743628">
          <w:marLeft w:val="0"/>
          <w:marRight w:val="0"/>
          <w:marTop w:val="0"/>
          <w:marBottom w:val="0"/>
          <w:divBdr>
            <w:top w:val="none" w:sz="0" w:space="0" w:color="auto"/>
            <w:left w:val="none" w:sz="0" w:space="0" w:color="auto"/>
            <w:bottom w:val="none" w:sz="0" w:space="0" w:color="auto"/>
            <w:right w:val="none" w:sz="0" w:space="0" w:color="auto"/>
          </w:divBdr>
          <w:divsChild>
            <w:div w:id="250163011">
              <w:marLeft w:val="0"/>
              <w:marRight w:val="0"/>
              <w:marTop w:val="0"/>
              <w:marBottom w:val="0"/>
              <w:divBdr>
                <w:top w:val="none" w:sz="0" w:space="0" w:color="auto"/>
                <w:left w:val="none" w:sz="0" w:space="0" w:color="auto"/>
                <w:bottom w:val="none" w:sz="0" w:space="0" w:color="auto"/>
                <w:right w:val="none" w:sz="0" w:space="0" w:color="auto"/>
              </w:divBdr>
              <w:divsChild>
                <w:div w:id="1733382560">
                  <w:marLeft w:val="0"/>
                  <w:marRight w:val="0"/>
                  <w:marTop w:val="0"/>
                  <w:marBottom w:val="0"/>
                  <w:divBdr>
                    <w:top w:val="none" w:sz="0" w:space="0" w:color="auto"/>
                    <w:left w:val="none" w:sz="0" w:space="0" w:color="auto"/>
                    <w:bottom w:val="none" w:sz="0" w:space="0" w:color="auto"/>
                    <w:right w:val="none" w:sz="0" w:space="0" w:color="auto"/>
                  </w:divBdr>
                  <w:divsChild>
                    <w:div w:id="5840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557520">
      <w:bodyDiv w:val="1"/>
      <w:marLeft w:val="0"/>
      <w:marRight w:val="0"/>
      <w:marTop w:val="0"/>
      <w:marBottom w:val="0"/>
      <w:divBdr>
        <w:top w:val="none" w:sz="0" w:space="0" w:color="auto"/>
        <w:left w:val="none" w:sz="0" w:space="0" w:color="auto"/>
        <w:bottom w:val="none" w:sz="0" w:space="0" w:color="auto"/>
        <w:right w:val="none" w:sz="0" w:space="0" w:color="auto"/>
      </w:divBdr>
      <w:divsChild>
        <w:div w:id="1456945929">
          <w:marLeft w:val="0"/>
          <w:marRight w:val="0"/>
          <w:marTop w:val="0"/>
          <w:marBottom w:val="0"/>
          <w:divBdr>
            <w:top w:val="none" w:sz="0" w:space="0" w:color="auto"/>
            <w:left w:val="none" w:sz="0" w:space="0" w:color="auto"/>
            <w:bottom w:val="none" w:sz="0" w:space="0" w:color="auto"/>
            <w:right w:val="none" w:sz="0" w:space="0" w:color="auto"/>
          </w:divBdr>
          <w:divsChild>
            <w:div w:id="1344086114">
              <w:marLeft w:val="0"/>
              <w:marRight w:val="0"/>
              <w:marTop w:val="0"/>
              <w:marBottom w:val="0"/>
              <w:divBdr>
                <w:top w:val="none" w:sz="0" w:space="0" w:color="auto"/>
                <w:left w:val="none" w:sz="0" w:space="0" w:color="auto"/>
                <w:bottom w:val="none" w:sz="0" w:space="0" w:color="auto"/>
                <w:right w:val="none" w:sz="0" w:space="0" w:color="auto"/>
              </w:divBdr>
              <w:divsChild>
                <w:div w:id="18336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769353">
      <w:bodyDiv w:val="1"/>
      <w:marLeft w:val="0"/>
      <w:marRight w:val="0"/>
      <w:marTop w:val="0"/>
      <w:marBottom w:val="0"/>
      <w:divBdr>
        <w:top w:val="none" w:sz="0" w:space="0" w:color="auto"/>
        <w:left w:val="none" w:sz="0" w:space="0" w:color="auto"/>
        <w:bottom w:val="none" w:sz="0" w:space="0" w:color="auto"/>
        <w:right w:val="none" w:sz="0" w:space="0" w:color="auto"/>
      </w:divBdr>
    </w:div>
    <w:div w:id="1545824941">
      <w:bodyDiv w:val="1"/>
      <w:marLeft w:val="0"/>
      <w:marRight w:val="0"/>
      <w:marTop w:val="0"/>
      <w:marBottom w:val="0"/>
      <w:divBdr>
        <w:top w:val="none" w:sz="0" w:space="0" w:color="auto"/>
        <w:left w:val="none" w:sz="0" w:space="0" w:color="auto"/>
        <w:bottom w:val="none" w:sz="0" w:space="0" w:color="auto"/>
        <w:right w:val="none" w:sz="0" w:space="0" w:color="auto"/>
      </w:divBdr>
    </w:div>
    <w:div w:id="1594316106">
      <w:bodyDiv w:val="1"/>
      <w:marLeft w:val="0"/>
      <w:marRight w:val="0"/>
      <w:marTop w:val="0"/>
      <w:marBottom w:val="0"/>
      <w:divBdr>
        <w:top w:val="none" w:sz="0" w:space="0" w:color="auto"/>
        <w:left w:val="none" w:sz="0" w:space="0" w:color="auto"/>
        <w:bottom w:val="none" w:sz="0" w:space="0" w:color="auto"/>
        <w:right w:val="none" w:sz="0" w:space="0" w:color="auto"/>
      </w:divBdr>
    </w:div>
    <w:div w:id="1646085826">
      <w:bodyDiv w:val="1"/>
      <w:marLeft w:val="0"/>
      <w:marRight w:val="0"/>
      <w:marTop w:val="0"/>
      <w:marBottom w:val="0"/>
      <w:divBdr>
        <w:top w:val="none" w:sz="0" w:space="0" w:color="auto"/>
        <w:left w:val="none" w:sz="0" w:space="0" w:color="auto"/>
        <w:bottom w:val="none" w:sz="0" w:space="0" w:color="auto"/>
        <w:right w:val="none" w:sz="0" w:space="0" w:color="auto"/>
      </w:divBdr>
      <w:divsChild>
        <w:div w:id="2123062634">
          <w:marLeft w:val="0"/>
          <w:marRight w:val="0"/>
          <w:marTop w:val="0"/>
          <w:marBottom w:val="0"/>
          <w:divBdr>
            <w:top w:val="none" w:sz="0" w:space="0" w:color="auto"/>
            <w:left w:val="none" w:sz="0" w:space="0" w:color="auto"/>
            <w:bottom w:val="none" w:sz="0" w:space="0" w:color="auto"/>
            <w:right w:val="none" w:sz="0" w:space="0" w:color="auto"/>
          </w:divBdr>
          <w:divsChild>
            <w:div w:id="548296974">
              <w:marLeft w:val="0"/>
              <w:marRight w:val="0"/>
              <w:marTop w:val="0"/>
              <w:marBottom w:val="0"/>
              <w:divBdr>
                <w:top w:val="none" w:sz="0" w:space="0" w:color="auto"/>
                <w:left w:val="none" w:sz="0" w:space="0" w:color="auto"/>
                <w:bottom w:val="none" w:sz="0" w:space="0" w:color="auto"/>
                <w:right w:val="none" w:sz="0" w:space="0" w:color="auto"/>
              </w:divBdr>
              <w:divsChild>
                <w:div w:id="18142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69116">
      <w:bodyDiv w:val="1"/>
      <w:marLeft w:val="0"/>
      <w:marRight w:val="0"/>
      <w:marTop w:val="0"/>
      <w:marBottom w:val="0"/>
      <w:divBdr>
        <w:top w:val="none" w:sz="0" w:space="0" w:color="auto"/>
        <w:left w:val="none" w:sz="0" w:space="0" w:color="auto"/>
        <w:bottom w:val="none" w:sz="0" w:space="0" w:color="auto"/>
        <w:right w:val="none" w:sz="0" w:space="0" w:color="auto"/>
      </w:divBdr>
    </w:div>
    <w:div w:id="1824926597">
      <w:bodyDiv w:val="1"/>
      <w:marLeft w:val="0"/>
      <w:marRight w:val="0"/>
      <w:marTop w:val="0"/>
      <w:marBottom w:val="0"/>
      <w:divBdr>
        <w:top w:val="none" w:sz="0" w:space="0" w:color="auto"/>
        <w:left w:val="none" w:sz="0" w:space="0" w:color="auto"/>
        <w:bottom w:val="none" w:sz="0" w:space="0" w:color="auto"/>
        <w:right w:val="none" w:sz="0" w:space="0" w:color="auto"/>
      </w:divBdr>
    </w:div>
    <w:div w:id="1832863298">
      <w:bodyDiv w:val="1"/>
      <w:marLeft w:val="0"/>
      <w:marRight w:val="0"/>
      <w:marTop w:val="0"/>
      <w:marBottom w:val="0"/>
      <w:divBdr>
        <w:top w:val="none" w:sz="0" w:space="0" w:color="auto"/>
        <w:left w:val="none" w:sz="0" w:space="0" w:color="auto"/>
        <w:bottom w:val="none" w:sz="0" w:space="0" w:color="auto"/>
        <w:right w:val="none" w:sz="0" w:space="0" w:color="auto"/>
      </w:divBdr>
    </w:div>
    <w:div w:id="1882594236">
      <w:bodyDiv w:val="1"/>
      <w:marLeft w:val="0"/>
      <w:marRight w:val="0"/>
      <w:marTop w:val="0"/>
      <w:marBottom w:val="0"/>
      <w:divBdr>
        <w:top w:val="none" w:sz="0" w:space="0" w:color="auto"/>
        <w:left w:val="none" w:sz="0" w:space="0" w:color="auto"/>
        <w:bottom w:val="none" w:sz="0" w:space="0" w:color="auto"/>
        <w:right w:val="none" w:sz="0" w:space="0" w:color="auto"/>
      </w:divBdr>
    </w:div>
    <w:div w:id="1948728881">
      <w:bodyDiv w:val="1"/>
      <w:marLeft w:val="0"/>
      <w:marRight w:val="0"/>
      <w:marTop w:val="0"/>
      <w:marBottom w:val="0"/>
      <w:divBdr>
        <w:top w:val="none" w:sz="0" w:space="0" w:color="auto"/>
        <w:left w:val="none" w:sz="0" w:space="0" w:color="auto"/>
        <w:bottom w:val="none" w:sz="0" w:space="0" w:color="auto"/>
        <w:right w:val="none" w:sz="0" w:space="0" w:color="auto"/>
      </w:divBdr>
      <w:divsChild>
        <w:div w:id="95729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8195298">
      <w:bodyDiv w:val="1"/>
      <w:marLeft w:val="0"/>
      <w:marRight w:val="0"/>
      <w:marTop w:val="0"/>
      <w:marBottom w:val="0"/>
      <w:divBdr>
        <w:top w:val="none" w:sz="0" w:space="0" w:color="auto"/>
        <w:left w:val="none" w:sz="0" w:space="0" w:color="auto"/>
        <w:bottom w:val="none" w:sz="0" w:space="0" w:color="auto"/>
        <w:right w:val="none" w:sz="0" w:space="0" w:color="auto"/>
      </w:divBdr>
    </w:div>
    <w:div w:id="1996298406">
      <w:bodyDiv w:val="1"/>
      <w:marLeft w:val="0"/>
      <w:marRight w:val="0"/>
      <w:marTop w:val="0"/>
      <w:marBottom w:val="0"/>
      <w:divBdr>
        <w:top w:val="none" w:sz="0" w:space="0" w:color="auto"/>
        <w:left w:val="none" w:sz="0" w:space="0" w:color="auto"/>
        <w:bottom w:val="none" w:sz="0" w:space="0" w:color="auto"/>
        <w:right w:val="none" w:sz="0" w:space="0" w:color="auto"/>
      </w:divBdr>
    </w:div>
    <w:div w:id="2075615785">
      <w:bodyDiv w:val="1"/>
      <w:marLeft w:val="0"/>
      <w:marRight w:val="0"/>
      <w:marTop w:val="0"/>
      <w:marBottom w:val="0"/>
      <w:divBdr>
        <w:top w:val="none" w:sz="0" w:space="0" w:color="auto"/>
        <w:left w:val="none" w:sz="0" w:space="0" w:color="auto"/>
        <w:bottom w:val="none" w:sz="0" w:space="0" w:color="auto"/>
        <w:right w:val="none" w:sz="0" w:space="0" w:color="auto"/>
      </w:divBdr>
      <w:divsChild>
        <w:div w:id="123816988">
          <w:marLeft w:val="0"/>
          <w:marRight w:val="0"/>
          <w:marTop w:val="0"/>
          <w:marBottom w:val="0"/>
          <w:divBdr>
            <w:top w:val="none" w:sz="0" w:space="0" w:color="auto"/>
            <w:left w:val="none" w:sz="0" w:space="0" w:color="auto"/>
            <w:bottom w:val="none" w:sz="0" w:space="0" w:color="auto"/>
            <w:right w:val="none" w:sz="0" w:space="0" w:color="auto"/>
          </w:divBdr>
          <w:divsChild>
            <w:div w:id="920792604">
              <w:marLeft w:val="0"/>
              <w:marRight w:val="0"/>
              <w:marTop w:val="0"/>
              <w:marBottom w:val="0"/>
              <w:divBdr>
                <w:top w:val="none" w:sz="0" w:space="0" w:color="auto"/>
                <w:left w:val="none" w:sz="0" w:space="0" w:color="auto"/>
                <w:bottom w:val="none" w:sz="0" w:space="0" w:color="auto"/>
                <w:right w:val="none" w:sz="0" w:space="0" w:color="auto"/>
              </w:divBdr>
              <w:divsChild>
                <w:div w:id="13854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299347">
      <w:bodyDiv w:val="1"/>
      <w:marLeft w:val="0"/>
      <w:marRight w:val="0"/>
      <w:marTop w:val="0"/>
      <w:marBottom w:val="0"/>
      <w:divBdr>
        <w:top w:val="none" w:sz="0" w:space="0" w:color="auto"/>
        <w:left w:val="none" w:sz="0" w:space="0" w:color="auto"/>
        <w:bottom w:val="none" w:sz="0" w:space="0" w:color="auto"/>
        <w:right w:val="none" w:sz="0" w:space="0" w:color="auto"/>
      </w:divBdr>
    </w:div>
    <w:div w:id="214087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ig.farrell@parliament.tas.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rccol.vic.gov.au/volume-2" TargetMode="External"/><Relationship Id="rId3" Type="http://schemas.openxmlformats.org/officeDocument/2006/relationships/hyperlink" Target="https://www.pc.gov.au/inquiries/completed/gambling-2010/report/gambling-report-volume1.pdf" TargetMode="External"/><Relationship Id="rId7" Type="http://schemas.openxmlformats.org/officeDocument/2006/relationships/hyperlink" Target="https://www.treasury.tas.gov.au/Documents/9%20-%20Anglicare%20Tasmania.pdf" TargetMode="External"/><Relationship Id="rId2" Type="http://schemas.openxmlformats.org/officeDocument/2006/relationships/hyperlink" Target="https://www.communities.tas.gov.au/disability/gambling/information_for_health_professionals/the_prevalence_of_problem_gamblin_in_tasmania" TargetMode="External"/><Relationship Id="rId1" Type="http://schemas.openxmlformats.org/officeDocument/2006/relationships/hyperlink" Target="https://www.parliament.tas.gov.au/ctee/joint/Submissions/JSC%20FGM/JSC%20FGM%20144%20Tasmanian%20Liquor%20and%20Gaming%20Commission.pdf" TargetMode="External"/><Relationship Id="rId6" Type="http://schemas.openxmlformats.org/officeDocument/2006/relationships/hyperlink" Target="https://www.pc.gov.au/inquiries/completed/gambling/report/summary.pdf" TargetMode="External"/><Relationship Id="rId5" Type="http://schemas.openxmlformats.org/officeDocument/2006/relationships/hyperlink" Target="https://www.researchgate.net/publication/311497416_Key_Issues_in_Product_Based_Harm_Minimisation_Examining_theory_evidence_and_policy_issues_relevant_in_Great_Britain" TargetMode="External"/><Relationship Id="rId4" Type="http://schemas.openxmlformats.org/officeDocument/2006/relationships/hyperlink" Target="https://responsiblegambling.vic.gov.au/resources/publications/assessing-gambling-related-harm-in-victoria-a-public-health-perspective-69/" TargetMode="External"/><Relationship Id="rId9" Type="http://schemas.openxmlformats.org/officeDocument/2006/relationships/hyperlink" Target="https://www.rccol.vic.gov.au/volum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1232</Words>
  <Characters>7026</Characters>
  <Application>Microsoft Office Word</Application>
  <DocSecurity>0</DocSecurity>
  <Lines>58</Lines>
  <Paragraphs>16</Paragraphs>
  <ScaleCrop>false</ScaleCrop>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2021-11-05T04:22:00Z</cp:lastPrinted>
  <dcterms:created xsi:type="dcterms:W3CDTF">2021-11-04T20:44:00Z</dcterms:created>
  <dcterms:modified xsi:type="dcterms:W3CDTF">2021-11-05T04:42:00Z</dcterms:modified>
</cp:coreProperties>
</file>