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5992" w14:textId="77777777" w:rsidR="00914BBA" w:rsidRPr="00187347" w:rsidRDefault="00914BBA" w:rsidP="00914BBA">
      <w:pPr>
        <w:jc w:val="center"/>
        <w:rPr>
          <w:lang w:val="en-AU"/>
        </w:rPr>
      </w:pPr>
      <w:r w:rsidRPr="00187347">
        <w:rPr>
          <w:rFonts w:asciiTheme="minorHAnsi" w:hAnsiTheme="minorHAnsi"/>
          <w:noProof/>
          <w:sz w:val="20"/>
          <w:szCs w:val="20"/>
          <w:lang w:val="en-AU"/>
        </w:rPr>
        <w:drawing>
          <wp:inline distT="0" distB="0" distL="0" distR="0" wp14:anchorId="3B56D7F6" wp14:editId="0DA7C8EB">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FEC222A" w14:textId="77777777" w:rsidR="00914BBA" w:rsidRPr="00251BF9" w:rsidRDefault="00914BBA" w:rsidP="00914BBA">
      <w:pPr>
        <w:rPr>
          <w:rFonts w:ascii="Cambria" w:hAnsi="Cambria"/>
          <w:lang w:val="en-AU"/>
        </w:rPr>
      </w:pPr>
    </w:p>
    <w:p w14:paraId="70E75CDA" w14:textId="2DA2037C" w:rsidR="00914BBA" w:rsidRPr="00251BF9" w:rsidRDefault="00914BBA" w:rsidP="00914BBA">
      <w:pPr>
        <w:rPr>
          <w:rFonts w:ascii="Cambria" w:hAnsi="Cambria"/>
          <w:lang w:val="en-AU"/>
        </w:rPr>
      </w:pPr>
      <w:r w:rsidRPr="00251BF9">
        <w:rPr>
          <w:rFonts w:ascii="Cambria" w:hAnsi="Cambria"/>
          <w:lang w:val="en-AU"/>
        </w:rPr>
        <w:t>1</w:t>
      </w:r>
      <w:r w:rsidR="00F770B9" w:rsidRPr="00251BF9">
        <w:rPr>
          <w:rFonts w:ascii="Cambria" w:hAnsi="Cambria"/>
          <w:lang w:val="en-AU"/>
        </w:rPr>
        <w:t>2</w:t>
      </w:r>
      <w:r w:rsidRPr="00251BF9">
        <w:rPr>
          <w:rFonts w:ascii="Cambria" w:hAnsi="Cambria"/>
          <w:lang w:val="en-AU"/>
        </w:rPr>
        <w:t xml:space="preserve"> October 2021</w:t>
      </w:r>
    </w:p>
    <w:p w14:paraId="76E20EDA" w14:textId="77777777" w:rsidR="00914BBA" w:rsidRPr="00251BF9" w:rsidRDefault="00914BBA" w:rsidP="00914BBA">
      <w:pPr>
        <w:rPr>
          <w:rFonts w:ascii="Cambria" w:hAnsi="Cambria"/>
          <w:lang w:val="en-AU"/>
        </w:rPr>
      </w:pPr>
    </w:p>
    <w:p w14:paraId="5960C48B" w14:textId="77777777" w:rsidR="00914BBA" w:rsidRPr="00251BF9" w:rsidRDefault="00914BBA" w:rsidP="00914BBA">
      <w:pPr>
        <w:rPr>
          <w:rFonts w:ascii="Cambria" w:hAnsi="Cambria"/>
          <w:lang w:val="en-AU"/>
        </w:rPr>
      </w:pPr>
      <w:r w:rsidRPr="00251BF9">
        <w:rPr>
          <w:rFonts w:ascii="Cambria" w:hAnsi="Cambria"/>
          <w:lang w:val="en-AU"/>
        </w:rPr>
        <w:t>Department of Justice</w:t>
      </w:r>
    </w:p>
    <w:p w14:paraId="7060F25E" w14:textId="77777777" w:rsidR="00914BBA" w:rsidRPr="00251BF9" w:rsidRDefault="00914BBA" w:rsidP="00914BBA">
      <w:pPr>
        <w:rPr>
          <w:rFonts w:ascii="Cambria" w:hAnsi="Cambria"/>
          <w:lang w:val="en-AU"/>
        </w:rPr>
      </w:pPr>
      <w:r w:rsidRPr="00251BF9">
        <w:rPr>
          <w:rFonts w:ascii="Cambria" w:hAnsi="Cambria"/>
          <w:lang w:val="en-AU"/>
        </w:rPr>
        <w:t>Office of the Secretary</w:t>
      </w:r>
    </w:p>
    <w:p w14:paraId="523EF33D" w14:textId="77777777" w:rsidR="00914BBA" w:rsidRPr="00251BF9" w:rsidRDefault="00914BBA" w:rsidP="00914BBA">
      <w:pPr>
        <w:rPr>
          <w:rFonts w:ascii="Cambria" w:hAnsi="Cambria"/>
          <w:lang w:val="en-AU"/>
        </w:rPr>
      </w:pPr>
      <w:r w:rsidRPr="00251BF9">
        <w:rPr>
          <w:rFonts w:ascii="Cambria" w:hAnsi="Cambria"/>
          <w:lang w:val="en-AU"/>
        </w:rPr>
        <w:t>GPO Box 825</w:t>
      </w:r>
    </w:p>
    <w:p w14:paraId="54064500" w14:textId="77777777" w:rsidR="00914BBA" w:rsidRPr="00251BF9" w:rsidRDefault="00914BBA" w:rsidP="00914BBA">
      <w:pPr>
        <w:rPr>
          <w:rFonts w:ascii="Cambria" w:hAnsi="Cambria"/>
          <w:lang w:val="en-AU"/>
        </w:rPr>
      </w:pPr>
      <w:r w:rsidRPr="00251BF9">
        <w:rPr>
          <w:rFonts w:ascii="Cambria" w:hAnsi="Cambria"/>
          <w:lang w:val="en-AU"/>
        </w:rPr>
        <w:t>Hobart TAS 7001</w:t>
      </w:r>
    </w:p>
    <w:p w14:paraId="24E2219C" w14:textId="77777777" w:rsidR="00BC74B2" w:rsidRPr="00251BF9" w:rsidRDefault="00914BBA" w:rsidP="00914BBA">
      <w:pPr>
        <w:rPr>
          <w:rFonts w:ascii="Cambria" w:hAnsi="Cambria"/>
          <w:lang w:val="en-AU"/>
        </w:rPr>
      </w:pPr>
      <w:r w:rsidRPr="00251BF9">
        <w:rPr>
          <w:rFonts w:ascii="Cambria" w:hAnsi="Cambria"/>
          <w:lang w:val="en-AU"/>
        </w:rPr>
        <w:t xml:space="preserve">attn: Brooke Craven </w:t>
      </w:r>
      <w:r w:rsidRPr="00251BF9">
        <w:rPr>
          <w:rFonts w:ascii="Cambria" w:hAnsi="Cambria"/>
          <w:lang w:val="en-AU"/>
        </w:rPr>
        <w:tab/>
      </w:r>
      <w:r w:rsidRPr="00251BF9">
        <w:rPr>
          <w:rFonts w:ascii="Cambria" w:hAnsi="Cambria"/>
          <w:lang w:val="en-AU"/>
        </w:rPr>
        <w:tab/>
      </w:r>
    </w:p>
    <w:p w14:paraId="0F91E2AD" w14:textId="3BFF9990" w:rsidR="00914BBA" w:rsidRPr="00251BF9" w:rsidRDefault="00914BBA" w:rsidP="00BC74B2">
      <w:pPr>
        <w:ind w:left="2880" w:firstLine="720"/>
        <w:rPr>
          <w:rFonts w:ascii="Cambria" w:hAnsi="Cambria"/>
          <w:lang w:val="en-AU"/>
        </w:rPr>
      </w:pPr>
      <w:r w:rsidRPr="00251BF9">
        <w:rPr>
          <w:rFonts w:ascii="Cambria" w:hAnsi="Cambria"/>
          <w:b/>
          <w:bCs/>
          <w:i/>
          <w:iCs/>
          <w:lang w:val="en-AU"/>
        </w:rPr>
        <w:t>via email:</w:t>
      </w:r>
      <w:r w:rsidRPr="00251BF9">
        <w:rPr>
          <w:rFonts w:ascii="Cambria" w:hAnsi="Cambria"/>
          <w:i/>
          <w:iCs/>
          <w:lang w:val="en-AU"/>
        </w:rPr>
        <w:t xml:space="preserve"> </w:t>
      </w:r>
      <w:hyperlink r:id="rId9" w:history="1">
        <w:r w:rsidR="001F05DC" w:rsidRPr="0061251E">
          <w:rPr>
            <w:rStyle w:val="Hyperlink"/>
            <w:rFonts w:ascii="Cambria" w:hAnsi="Cambria"/>
            <w:i/>
            <w:iCs/>
            <w:lang w:val="en-AU"/>
          </w:rPr>
          <w:t>haveyoursay@justice.tas.gov.au</w:t>
        </w:r>
      </w:hyperlink>
      <w:r w:rsidRPr="00251BF9">
        <w:rPr>
          <w:rFonts w:ascii="Cambria" w:hAnsi="Cambria"/>
          <w:i/>
          <w:iCs/>
          <w:lang w:val="en-AU"/>
        </w:rPr>
        <w:t xml:space="preserve"> </w:t>
      </w:r>
      <w:r w:rsidRPr="00251BF9">
        <w:rPr>
          <w:rFonts w:ascii="Cambria" w:hAnsi="Cambria"/>
          <w:lang w:val="en-AU"/>
        </w:rPr>
        <w:t xml:space="preserve"> </w:t>
      </w:r>
    </w:p>
    <w:p w14:paraId="6AB1B9DF" w14:textId="77777777" w:rsidR="00914BBA" w:rsidRPr="00251BF9" w:rsidRDefault="00914BBA" w:rsidP="00914BBA">
      <w:pPr>
        <w:rPr>
          <w:rFonts w:ascii="Cambria" w:hAnsi="Cambria"/>
          <w:lang w:val="en-AU"/>
        </w:rPr>
      </w:pPr>
    </w:p>
    <w:p w14:paraId="3F34949A" w14:textId="77777777" w:rsidR="00914BBA" w:rsidRPr="00251BF9" w:rsidRDefault="00914BBA" w:rsidP="00914BBA">
      <w:pPr>
        <w:rPr>
          <w:rFonts w:ascii="Cambria" w:hAnsi="Cambria"/>
          <w:lang w:val="en-AU"/>
        </w:rPr>
      </w:pPr>
      <w:r w:rsidRPr="00251BF9">
        <w:rPr>
          <w:rFonts w:ascii="Cambria" w:hAnsi="Cambria"/>
          <w:lang w:val="en-AU"/>
        </w:rPr>
        <w:t xml:space="preserve">Dear Brooke, </w:t>
      </w:r>
    </w:p>
    <w:p w14:paraId="5F35A3B2" w14:textId="6475774B" w:rsidR="00914BBA" w:rsidRPr="00251BF9" w:rsidRDefault="00914BBA" w:rsidP="00914BBA">
      <w:pPr>
        <w:pBdr>
          <w:bottom w:val="single" w:sz="6" w:space="1" w:color="auto"/>
        </w:pBdr>
        <w:rPr>
          <w:rFonts w:ascii="Cambria" w:hAnsi="Cambria"/>
          <w:b/>
          <w:bCs/>
          <w:lang w:val="en-AU"/>
        </w:rPr>
      </w:pPr>
      <w:r w:rsidRPr="00251BF9">
        <w:rPr>
          <w:rFonts w:ascii="Cambria" w:hAnsi="Cambria"/>
          <w:b/>
          <w:bCs/>
          <w:lang w:val="en-AU"/>
        </w:rPr>
        <w:t xml:space="preserve">Re: </w:t>
      </w:r>
      <w:r w:rsidRPr="00251BF9">
        <w:rPr>
          <w:rFonts w:ascii="Cambria" w:hAnsi="Cambria"/>
          <w:b/>
          <w:bCs/>
          <w:i/>
          <w:iCs/>
          <w:lang w:val="en-AU"/>
        </w:rPr>
        <w:t>Family Violence Reforms Bill 2021</w:t>
      </w:r>
    </w:p>
    <w:p w14:paraId="27D5D602" w14:textId="77777777" w:rsidR="00914BBA" w:rsidRPr="00251BF9" w:rsidRDefault="00914BBA" w:rsidP="00914BBA">
      <w:pPr>
        <w:rPr>
          <w:rFonts w:ascii="Cambria" w:hAnsi="Cambria"/>
          <w:lang w:val="en-AU"/>
        </w:rPr>
      </w:pPr>
    </w:p>
    <w:p w14:paraId="25DC8367" w14:textId="77777777" w:rsidR="00BC74B2" w:rsidRPr="00251BF9" w:rsidRDefault="00914BBA" w:rsidP="00BC74B2">
      <w:pPr>
        <w:pStyle w:val="NoSpacing"/>
        <w:shd w:val="clear" w:color="auto" w:fill="FFFFFF"/>
        <w:jc w:val="both"/>
        <w:rPr>
          <w:rFonts w:ascii="Cambria" w:hAnsi="Cambria"/>
          <w:color w:val="000000" w:themeColor="text1"/>
          <w:bdr w:val="none" w:sz="0" w:space="0" w:color="auto" w:frame="1"/>
        </w:rPr>
      </w:pPr>
      <w:r w:rsidRPr="00251BF9">
        <w:rPr>
          <w:rFonts w:ascii="Cambria" w:hAnsi="Cambria"/>
          <w:color w:val="000000" w:themeColor="text1"/>
          <w:bdr w:val="none" w:sz="0" w:space="0" w:color="auto" w:frame="1"/>
        </w:rPr>
        <w:t>Community Legal Centres Tasmania (CLC Tas) welcomes the opportunity to respond to the </w:t>
      </w:r>
      <w:r w:rsidR="00687E30" w:rsidRPr="00251BF9">
        <w:rPr>
          <w:rFonts w:ascii="Cambria" w:hAnsi="Cambria"/>
          <w:i/>
          <w:iCs/>
          <w:color w:val="000000" w:themeColor="text1"/>
          <w:bdr w:val="none" w:sz="0" w:space="0" w:color="auto" w:frame="1"/>
        </w:rPr>
        <w:t>Family Violence Reforms</w:t>
      </w:r>
      <w:r w:rsidRPr="00251BF9">
        <w:rPr>
          <w:rFonts w:ascii="Cambria" w:hAnsi="Cambria"/>
          <w:i/>
          <w:iCs/>
          <w:color w:val="000000" w:themeColor="text1"/>
          <w:bdr w:val="none" w:sz="0" w:space="0" w:color="auto" w:frame="1"/>
        </w:rPr>
        <w:t xml:space="preserve"> Bill 2021</w:t>
      </w:r>
      <w:r w:rsidRPr="00251BF9">
        <w:rPr>
          <w:rFonts w:ascii="Cambria" w:hAnsi="Cambria"/>
          <w:color w:val="000000" w:themeColor="text1"/>
          <w:bdr w:val="none" w:sz="0" w:space="0" w:color="auto" w:frame="1"/>
        </w:rPr>
        <w:t>.</w:t>
      </w:r>
      <w:r w:rsidRPr="00251BF9">
        <w:rPr>
          <w:rStyle w:val="FootnoteReference"/>
          <w:rFonts w:ascii="Cambria" w:hAnsi="Cambria"/>
          <w:color w:val="000000" w:themeColor="text1"/>
        </w:rPr>
        <w:footnoteReference w:id="1"/>
      </w:r>
      <w:r w:rsidR="003E49D9" w:rsidRPr="00251BF9">
        <w:rPr>
          <w:rFonts w:ascii="Cambria" w:hAnsi="Cambria"/>
          <w:color w:val="000000" w:themeColor="text1"/>
          <w:bdr w:val="none" w:sz="0" w:space="0" w:color="auto" w:frame="1"/>
        </w:rPr>
        <w:t xml:space="preserve"> </w:t>
      </w:r>
      <w:r w:rsidR="007B3E69" w:rsidRPr="00251BF9">
        <w:rPr>
          <w:rFonts w:ascii="Cambria" w:hAnsi="Cambria"/>
          <w:color w:val="000000" w:themeColor="text1"/>
          <w:bdr w:val="none" w:sz="0" w:space="0" w:color="auto" w:frame="1"/>
        </w:rPr>
        <w:t xml:space="preserve">We support the Government’s intent to introduce legislation to reduce levels of family violence in Tasmania and to improve the way our justice system deals with perpetrators of family violence. </w:t>
      </w:r>
    </w:p>
    <w:p w14:paraId="6A8BBB77" w14:textId="77777777" w:rsidR="00BC74B2" w:rsidRPr="00251BF9" w:rsidRDefault="00BC74B2" w:rsidP="00BC74B2">
      <w:pPr>
        <w:pStyle w:val="NoSpacing"/>
        <w:shd w:val="clear" w:color="auto" w:fill="FFFFFF"/>
        <w:jc w:val="both"/>
        <w:rPr>
          <w:rFonts w:ascii="Cambria" w:hAnsi="Cambria"/>
          <w:color w:val="000000" w:themeColor="text1"/>
          <w:bdr w:val="none" w:sz="0" w:space="0" w:color="auto" w:frame="1"/>
        </w:rPr>
      </w:pPr>
    </w:p>
    <w:p w14:paraId="7A3916F9" w14:textId="77777777" w:rsidR="00BC74B2" w:rsidRPr="00251BF9" w:rsidRDefault="00BC74B2" w:rsidP="00BC74B2">
      <w:pPr>
        <w:pStyle w:val="NoSpacing"/>
        <w:shd w:val="clear" w:color="auto" w:fill="FFFFFF"/>
        <w:jc w:val="both"/>
        <w:rPr>
          <w:rFonts w:ascii="Cambria" w:hAnsi="Cambria" w:cs="Arial"/>
          <w:color w:val="000000"/>
        </w:rPr>
      </w:pPr>
      <w:r w:rsidRPr="00251BF9">
        <w:rPr>
          <w:rFonts w:ascii="Cambria" w:hAnsi="Cambria" w:cs="Arial"/>
          <w:lang w:eastAsia="en-AU"/>
        </w:rPr>
        <w:t xml:space="preserve">CLC Tas </w:t>
      </w:r>
      <w:r w:rsidRPr="00251BF9">
        <w:rPr>
          <w:rFonts w:ascii="Cambria" w:hAnsi="Cambria" w:cs="Arial"/>
        </w:rPr>
        <w:t>is the peak body representing the interests of nine community legal centres (CLCs) located throughout Tasmania. We are a member-based, independent, not-for-profit and incorporated organisation that</w:t>
      </w:r>
      <w:r w:rsidRPr="00251BF9">
        <w:rPr>
          <w:rFonts w:ascii="Cambria" w:hAnsi="Cambria" w:cs="Arial"/>
          <w:color w:val="000000"/>
        </w:rPr>
        <w:t xml:space="preserve"> advocates for law reform on a range of public interest matters aimed at improving access to justice, reducing discrimination and protecting and promoting human rights. </w:t>
      </w:r>
    </w:p>
    <w:p w14:paraId="7943C7D0" w14:textId="77777777" w:rsidR="00BC74B2" w:rsidRPr="00251BF9" w:rsidRDefault="00BC74B2" w:rsidP="00BC74B2">
      <w:pPr>
        <w:pStyle w:val="NoSpacing"/>
        <w:shd w:val="clear" w:color="auto" w:fill="FFFFFF"/>
        <w:jc w:val="both"/>
        <w:rPr>
          <w:rFonts w:ascii="Cambria" w:hAnsi="Cambria" w:cs="Arial"/>
          <w:color w:val="000000"/>
        </w:rPr>
      </w:pPr>
    </w:p>
    <w:p w14:paraId="4380AD79" w14:textId="77777777" w:rsidR="00BC74B2" w:rsidRPr="00251BF9" w:rsidRDefault="004F0812" w:rsidP="00CD7ACE">
      <w:pPr>
        <w:pStyle w:val="NoSpacing"/>
        <w:shd w:val="clear" w:color="auto" w:fill="FFFFFF"/>
        <w:jc w:val="both"/>
        <w:rPr>
          <w:rFonts w:ascii="Cambria" w:hAnsi="Cambria"/>
          <w:color w:val="000000" w:themeColor="text1"/>
          <w:bdr w:val="none" w:sz="0" w:space="0" w:color="auto" w:frame="1"/>
        </w:rPr>
      </w:pPr>
      <w:r w:rsidRPr="00251BF9">
        <w:rPr>
          <w:rFonts w:ascii="Cambria" w:hAnsi="Cambria"/>
          <w:color w:val="000000" w:themeColor="text1"/>
        </w:rPr>
        <w:t>A</w:t>
      </w:r>
      <w:r w:rsidR="00687E30" w:rsidRPr="00251BF9">
        <w:rPr>
          <w:rFonts w:ascii="Cambria" w:hAnsi="Cambria"/>
          <w:color w:val="000000" w:themeColor="text1"/>
        </w:rPr>
        <w:t xml:space="preserve">wareness of family </w:t>
      </w:r>
      <w:r w:rsidR="00D569B8" w:rsidRPr="00251BF9">
        <w:rPr>
          <w:rFonts w:ascii="Cambria" w:hAnsi="Cambria"/>
          <w:color w:val="000000" w:themeColor="text1"/>
        </w:rPr>
        <w:t xml:space="preserve">and domestic </w:t>
      </w:r>
      <w:r w:rsidR="00687E30" w:rsidRPr="00251BF9">
        <w:rPr>
          <w:rFonts w:ascii="Cambria" w:hAnsi="Cambria"/>
          <w:color w:val="000000" w:themeColor="text1"/>
        </w:rPr>
        <w:t>violence ha</w:t>
      </w:r>
      <w:r w:rsidRPr="00251BF9">
        <w:rPr>
          <w:rFonts w:ascii="Cambria" w:hAnsi="Cambria"/>
          <w:color w:val="000000" w:themeColor="text1"/>
        </w:rPr>
        <w:t>s</w:t>
      </w:r>
      <w:r w:rsidR="00687E30" w:rsidRPr="00251BF9">
        <w:rPr>
          <w:rFonts w:ascii="Cambria" w:hAnsi="Cambria"/>
          <w:color w:val="000000" w:themeColor="text1"/>
        </w:rPr>
        <w:t xml:space="preserve"> increased significantly over the last </w:t>
      </w:r>
      <w:r w:rsidR="00CC4DE9" w:rsidRPr="00251BF9">
        <w:rPr>
          <w:rFonts w:ascii="Cambria" w:hAnsi="Cambria"/>
          <w:color w:val="000000" w:themeColor="text1"/>
        </w:rPr>
        <w:t xml:space="preserve">few </w:t>
      </w:r>
      <w:r w:rsidR="00687E30" w:rsidRPr="00251BF9">
        <w:rPr>
          <w:rFonts w:ascii="Cambria" w:hAnsi="Cambria"/>
          <w:color w:val="000000" w:themeColor="text1"/>
        </w:rPr>
        <w:t>decade</w:t>
      </w:r>
      <w:r w:rsidR="00CC4DE9" w:rsidRPr="00251BF9">
        <w:rPr>
          <w:rFonts w:ascii="Cambria" w:hAnsi="Cambria"/>
          <w:color w:val="000000" w:themeColor="text1"/>
        </w:rPr>
        <w:t>s</w:t>
      </w:r>
      <w:r w:rsidR="00687E30" w:rsidRPr="00251BF9">
        <w:rPr>
          <w:rFonts w:ascii="Cambria" w:hAnsi="Cambria"/>
          <w:color w:val="000000" w:themeColor="text1"/>
        </w:rPr>
        <w:t xml:space="preserve">, </w:t>
      </w:r>
      <w:r w:rsidR="00FE20B9" w:rsidRPr="00251BF9">
        <w:rPr>
          <w:rFonts w:ascii="Cambria" w:hAnsi="Cambria"/>
          <w:color w:val="000000" w:themeColor="text1"/>
        </w:rPr>
        <w:t xml:space="preserve">and was heightened </w:t>
      </w:r>
      <w:r w:rsidR="00D569B8" w:rsidRPr="00251BF9">
        <w:rPr>
          <w:rFonts w:ascii="Cambria" w:hAnsi="Cambria"/>
          <w:color w:val="000000" w:themeColor="text1"/>
        </w:rPr>
        <w:t>following</w:t>
      </w:r>
      <w:r w:rsidRPr="00251BF9">
        <w:rPr>
          <w:rFonts w:ascii="Cambria" w:hAnsi="Cambria"/>
          <w:color w:val="000000" w:themeColor="text1"/>
        </w:rPr>
        <w:t xml:space="preserve"> </w:t>
      </w:r>
      <w:r w:rsidR="00ED215B" w:rsidRPr="00251BF9">
        <w:rPr>
          <w:rFonts w:ascii="Cambria" w:hAnsi="Cambria"/>
          <w:color w:val="000000" w:themeColor="text1"/>
        </w:rPr>
        <w:t xml:space="preserve">the </w:t>
      </w:r>
      <w:r w:rsidR="00C94DDC" w:rsidRPr="00251BF9">
        <w:rPr>
          <w:rFonts w:ascii="Cambria" w:hAnsi="Cambria"/>
          <w:color w:val="000000" w:themeColor="text1"/>
        </w:rPr>
        <w:t>announcement of</w:t>
      </w:r>
      <w:r w:rsidR="00ED215B" w:rsidRPr="00251BF9">
        <w:rPr>
          <w:rFonts w:ascii="Cambria" w:hAnsi="Cambria"/>
          <w:color w:val="000000" w:themeColor="text1"/>
        </w:rPr>
        <w:t xml:space="preserve"> Rosie Batty as </w:t>
      </w:r>
      <w:r w:rsidR="00D569B8" w:rsidRPr="00251BF9">
        <w:rPr>
          <w:rFonts w:ascii="Cambria" w:hAnsi="Cambria"/>
          <w:color w:val="000000" w:themeColor="text1"/>
        </w:rPr>
        <w:t xml:space="preserve">Australian of the Year in 2015. </w:t>
      </w:r>
      <w:r w:rsidRPr="00251BF9">
        <w:rPr>
          <w:rFonts w:ascii="Cambria" w:hAnsi="Cambria"/>
          <w:color w:val="000000" w:themeColor="text1"/>
        </w:rPr>
        <w:t xml:space="preserve">Nevertheless, </w:t>
      </w:r>
      <w:r w:rsidR="00687E30" w:rsidRPr="00251BF9">
        <w:rPr>
          <w:rFonts w:ascii="Cambria" w:hAnsi="Cambria"/>
          <w:color w:val="000000" w:themeColor="text1"/>
        </w:rPr>
        <w:t>rates of family and domestic violence remain high.</w:t>
      </w:r>
      <w:r w:rsidR="007B3E69" w:rsidRPr="00251BF9">
        <w:rPr>
          <w:rFonts w:ascii="Cambria" w:hAnsi="Cambria"/>
          <w:color w:val="000000" w:themeColor="text1"/>
        </w:rPr>
        <w:t xml:space="preserve"> </w:t>
      </w:r>
      <w:r w:rsidR="00687E30" w:rsidRPr="00251BF9">
        <w:rPr>
          <w:rFonts w:ascii="Cambria" w:hAnsi="Cambria"/>
          <w:color w:val="000000" w:themeColor="text1"/>
        </w:rPr>
        <w:t xml:space="preserve">According to </w:t>
      </w:r>
      <w:r w:rsidR="00D569B8" w:rsidRPr="00251BF9">
        <w:rPr>
          <w:rFonts w:ascii="Cambria" w:hAnsi="Cambria"/>
          <w:color w:val="000000" w:themeColor="text1"/>
        </w:rPr>
        <w:t>t</w:t>
      </w:r>
      <w:r w:rsidR="00687E30" w:rsidRPr="00251BF9">
        <w:rPr>
          <w:rFonts w:ascii="Cambria" w:hAnsi="Cambria"/>
          <w:color w:val="000000" w:themeColor="text1"/>
        </w:rPr>
        <w:t xml:space="preserve">he most recent </w:t>
      </w:r>
      <w:r w:rsidR="00687E30" w:rsidRPr="00251BF9">
        <w:rPr>
          <w:rFonts w:ascii="Cambria" w:hAnsi="Cambria"/>
          <w:i/>
          <w:iCs/>
          <w:color w:val="000000" w:themeColor="text1"/>
        </w:rPr>
        <w:t xml:space="preserve">Australian Bureau of Statistics </w:t>
      </w:r>
      <w:r w:rsidR="00687E30" w:rsidRPr="00251BF9">
        <w:rPr>
          <w:rFonts w:ascii="Cambria" w:hAnsi="Cambria"/>
          <w:color w:val="000000" w:themeColor="text1"/>
        </w:rPr>
        <w:t>data,</w:t>
      </w:r>
      <w:r w:rsidR="00C94DDC" w:rsidRPr="00251BF9">
        <w:rPr>
          <w:rFonts w:ascii="Cambria" w:hAnsi="Cambria"/>
          <w:color w:val="000000" w:themeColor="text1"/>
        </w:rPr>
        <w:t xml:space="preserve"> </w:t>
      </w:r>
      <w:r w:rsidR="00687E30" w:rsidRPr="00251BF9">
        <w:rPr>
          <w:rFonts w:ascii="Cambria" w:hAnsi="Cambria"/>
          <w:color w:val="000000" w:themeColor="text1"/>
        </w:rPr>
        <w:t>there were 145 victims of family a</w:t>
      </w:r>
      <w:r w:rsidR="00D569B8" w:rsidRPr="00251BF9">
        <w:rPr>
          <w:rFonts w:ascii="Cambria" w:hAnsi="Cambria"/>
          <w:color w:val="000000" w:themeColor="text1"/>
        </w:rPr>
        <w:t>n</w:t>
      </w:r>
      <w:r w:rsidR="00687E30" w:rsidRPr="00251BF9">
        <w:rPr>
          <w:rFonts w:ascii="Cambria" w:hAnsi="Cambria"/>
          <w:color w:val="000000" w:themeColor="text1"/>
        </w:rPr>
        <w:t xml:space="preserve">d domestic violence </w:t>
      </w:r>
      <w:r w:rsidR="00D569B8" w:rsidRPr="00251BF9">
        <w:rPr>
          <w:rFonts w:ascii="Cambria" w:hAnsi="Cambria"/>
          <w:color w:val="000000" w:themeColor="text1"/>
        </w:rPr>
        <w:t>related homicide recorded in 2020, an increase of 12 per cent from the previous year. Nationally, almost two in five homicide and related offences (37 per cent or 145 victims) recorded by state and territory police were family and domestic violence related.</w:t>
      </w:r>
      <w:r w:rsidR="00D10106" w:rsidRPr="00251BF9">
        <w:rPr>
          <w:rStyle w:val="FootnoteReference"/>
          <w:rFonts w:ascii="Cambria" w:hAnsi="Cambria"/>
          <w:color w:val="000000" w:themeColor="text1"/>
        </w:rPr>
        <w:footnoteReference w:id="2"/>
      </w:r>
      <w:r w:rsidRPr="00251BF9">
        <w:rPr>
          <w:rFonts w:ascii="Cambria" w:hAnsi="Cambria"/>
          <w:color w:val="000000" w:themeColor="text1"/>
        </w:rPr>
        <w:t xml:space="preserve"> </w:t>
      </w:r>
      <w:r w:rsidR="00D569B8" w:rsidRPr="00251BF9">
        <w:rPr>
          <w:rFonts w:ascii="Cambria" w:hAnsi="Cambria"/>
          <w:color w:val="000000" w:themeColor="text1"/>
        </w:rPr>
        <w:t xml:space="preserve">As well, almost half of all assaults (46.9 per cent) in Tasmania in 2020 were family and domestic violence related, a 1 per cent increase </w:t>
      </w:r>
      <w:r w:rsidR="00D10106" w:rsidRPr="00251BF9">
        <w:rPr>
          <w:rFonts w:ascii="Cambria" w:hAnsi="Cambria"/>
          <w:color w:val="000000" w:themeColor="text1"/>
        </w:rPr>
        <w:t>on 2019.</w:t>
      </w:r>
      <w:r w:rsidRPr="00251BF9">
        <w:rPr>
          <w:rStyle w:val="FootnoteReference"/>
          <w:rFonts w:ascii="Cambria" w:hAnsi="Cambria"/>
          <w:color w:val="000000" w:themeColor="text1"/>
        </w:rPr>
        <w:footnoteReference w:id="3"/>
      </w:r>
      <w:r w:rsidR="00D10106" w:rsidRPr="00251BF9">
        <w:rPr>
          <w:rFonts w:ascii="Cambria" w:hAnsi="Cambria"/>
          <w:color w:val="000000" w:themeColor="text1"/>
        </w:rPr>
        <w:t xml:space="preserve"> </w:t>
      </w:r>
      <w:r w:rsidR="00D569B8" w:rsidRPr="00251BF9">
        <w:rPr>
          <w:rFonts w:ascii="Cambria" w:hAnsi="Cambria"/>
          <w:color w:val="000000" w:themeColor="text1"/>
        </w:rPr>
        <w:t xml:space="preserve">  </w:t>
      </w:r>
      <w:r w:rsidR="00687E30" w:rsidRPr="00251BF9">
        <w:rPr>
          <w:rFonts w:ascii="Cambria" w:hAnsi="Cambria"/>
          <w:color w:val="000000" w:themeColor="text1"/>
        </w:rPr>
        <w:t xml:space="preserve">  </w:t>
      </w:r>
    </w:p>
    <w:p w14:paraId="21EDE218" w14:textId="77777777" w:rsidR="00BC74B2" w:rsidRPr="00251BF9" w:rsidRDefault="00BC74B2" w:rsidP="00CD7ACE">
      <w:pPr>
        <w:pStyle w:val="NoSpacing"/>
        <w:shd w:val="clear" w:color="auto" w:fill="FFFFFF"/>
        <w:jc w:val="both"/>
        <w:rPr>
          <w:rFonts w:ascii="Cambria" w:hAnsi="Cambria"/>
          <w:color w:val="000000" w:themeColor="text1"/>
          <w:bdr w:val="none" w:sz="0" w:space="0" w:color="auto" w:frame="1"/>
        </w:rPr>
      </w:pPr>
    </w:p>
    <w:p w14:paraId="46CB0E7F" w14:textId="77777777" w:rsidR="00BC74B2" w:rsidRPr="00251BF9" w:rsidRDefault="00BC74B2" w:rsidP="00CD7ACE">
      <w:pPr>
        <w:pStyle w:val="NoSpacing"/>
        <w:shd w:val="clear" w:color="auto" w:fill="FFFFFF"/>
        <w:jc w:val="both"/>
        <w:rPr>
          <w:rFonts w:ascii="Cambria" w:hAnsi="Cambria"/>
          <w:color w:val="000000" w:themeColor="text1"/>
        </w:rPr>
      </w:pPr>
    </w:p>
    <w:p w14:paraId="543CD9E6" w14:textId="45ED971D" w:rsidR="00CD7ACE" w:rsidRPr="00251BF9" w:rsidRDefault="00CD7ACE" w:rsidP="00CD7ACE">
      <w:pPr>
        <w:pStyle w:val="NoSpacing"/>
        <w:shd w:val="clear" w:color="auto" w:fill="FFFFFF"/>
        <w:jc w:val="both"/>
        <w:rPr>
          <w:rFonts w:ascii="Cambria" w:hAnsi="Cambria"/>
          <w:color w:val="000000" w:themeColor="text1"/>
          <w:bdr w:val="none" w:sz="0" w:space="0" w:color="auto" w:frame="1"/>
        </w:rPr>
      </w:pPr>
      <w:r w:rsidRPr="00251BF9">
        <w:rPr>
          <w:rFonts w:ascii="Cambria" w:hAnsi="Cambria"/>
          <w:color w:val="000000" w:themeColor="text1"/>
        </w:rPr>
        <w:lastRenderedPageBreak/>
        <w:t>S</w:t>
      </w:r>
      <w:r w:rsidR="0077293F" w:rsidRPr="00251BF9">
        <w:rPr>
          <w:rFonts w:ascii="Cambria" w:hAnsi="Cambria"/>
          <w:color w:val="000000" w:themeColor="text1"/>
        </w:rPr>
        <w:t xml:space="preserve">entences for </w:t>
      </w:r>
      <w:r w:rsidR="00CC4DE9" w:rsidRPr="00251BF9">
        <w:rPr>
          <w:rFonts w:ascii="Cambria" w:hAnsi="Cambria"/>
          <w:color w:val="000000" w:themeColor="text1"/>
        </w:rPr>
        <w:t xml:space="preserve">contraventions </w:t>
      </w:r>
      <w:r w:rsidR="003E500A" w:rsidRPr="00251BF9">
        <w:rPr>
          <w:rFonts w:ascii="Cambria" w:hAnsi="Cambria"/>
          <w:color w:val="000000" w:themeColor="text1"/>
        </w:rPr>
        <w:t>of</w:t>
      </w:r>
      <w:r w:rsidR="005B023D" w:rsidRPr="00251BF9">
        <w:rPr>
          <w:rFonts w:ascii="Cambria" w:hAnsi="Cambria"/>
          <w:color w:val="000000" w:themeColor="text1"/>
        </w:rPr>
        <w:t xml:space="preserve"> Family Violence Orders </w:t>
      </w:r>
      <w:r w:rsidR="00CC4DE9" w:rsidRPr="00251BF9">
        <w:rPr>
          <w:rFonts w:ascii="Cambria" w:hAnsi="Cambria"/>
          <w:color w:val="000000" w:themeColor="text1"/>
        </w:rPr>
        <w:t xml:space="preserve">or Police Family Violence Orders </w:t>
      </w:r>
      <w:r w:rsidR="005B023D" w:rsidRPr="00251BF9">
        <w:rPr>
          <w:rFonts w:ascii="Cambria" w:hAnsi="Cambria"/>
          <w:color w:val="000000" w:themeColor="text1"/>
        </w:rPr>
        <w:t xml:space="preserve">in Tasmania remain </w:t>
      </w:r>
      <w:r w:rsidR="00FE20B9" w:rsidRPr="00251BF9">
        <w:rPr>
          <w:rFonts w:ascii="Cambria" w:hAnsi="Cambria"/>
          <w:color w:val="000000" w:themeColor="text1"/>
        </w:rPr>
        <w:t>high</w:t>
      </w:r>
      <w:r w:rsidR="005B023D" w:rsidRPr="00251BF9">
        <w:rPr>
          <w:rFonts w:ascii="Cambria" w:hAnsi="Cambria"/>
          <w:color w:val="000000" w:themeColor="text1"/>
        </w:rPr>
        <w:t xml:space="preserve"> with t</w:t>
      </w:r>
      <w:r w:rsidR="005B023D" w:rsidRPr="00251BF9">
        <w:rPr>
          <w:rFonts w:ascii="Cambria" w:hAnsi="Cambria" w:cs="Arial"/>
          <w:color w:val="000000" w:themeColor="text1"/>
        </w:rPr>
        <w:t xml:space="preserve">he Sentencing Advisory Council’s sentencing database noting that between </w:t>
      </w:r>
      <w:r w:rsidR="005B023D" w:rsidRPr="00251BF9">
        <w:rPr>
          <w:rFonts w:ascii="Cambria" w:hAnsi="Cambria"/>
          <w:color w:val="000000" w:themeColor="text1"/>
        </w:rPr>
        <w:t xml:space="preserve">1 July 2015 - 16 April 2021 there were </w:t>
      </w:r>
      <w:r w:rsidR="0077293F" w:rsidRPr="00251BF9">
        <w:rPr>
          <w:rFonts w:ascii="Cambria" w:hAnsi="Cambria"/>
          <w:color w:val="000000" w:themeColor="text1"/>
        </w:rPr>
        <w:t>726</w:t>
      </w:r>
      <w:r w:rsidR="005B023D" w:rsidRPr="00251BF9">
        <w:rPr>
          <w:rFonts w:ascii="Cambria" w:hAnsi="Cambria"/>
          <w:color w:val="000000" w:themeColor="text1"/>
        </w:rPr>
        <w:t xml:space="preserve"> sentences for breach of a family violence order</w:t>
      </w:r>
      <w:r w:rsidR="00CC4DE9" w:rsidRPr="00251BF9">
        <w:rPr>
          <w:rFonts w:ascii="Cambria" w:hAnsi="Cambria"/>
          <w:color w:val="000000" w:themeColor="text1"/>
        </w:rPr>
        <w:t xml:space="preserve">, </w:t>
      </w:r>
      <w:r w:rsidR="00564753" w:rsidRPr="00251BF9">
        <w:rPr>
          <w:rFonts w:ascii="Cambria" w:hAnsi="Cambria"/>
          <w:color w:val="000000" w:themeColor="text1"/>
        </w:rPr>
        <w:t>an interim family violence order</w:t>
      </w:r>
      <w:r w:rsidR="00CC4DE9" w:rsidRPr="00251BF9">
        <w:rPr>
          <w:rFonts w:ascii="Cambria" w:hAnsi="Cambria"/>
          <w:color w:val="000000" w:themeColor="text1"/>
        </w:rPr>
        <w:t xml:space="preserve"> or a police family violence order</w:t>
      </w:r>
      <w:r w:rsidRPr="00251BF9">
        <w:rPr>
          <w:rFonts w:ascii="Cambria" w:hAnsi="Cambria"/>
          <w:color w:val="000000" w:themeColor="text1"/>
        </w:rPr>
        <w:t>.</w:t>
      </w:r>
      <w:r w:rsidR="005B023D" w:rsidRPr="00251BF9">
        <w:rPr>
          <w:rStyle w:val="FootnoteReference"/>
          <w:rFonts w:ascii="Cambria" w:hAnsi="Cambria" w:cs="Arial"/>
          <w:color w:val="000000" w:themeColor="text1"/>
        </w:rPr>
        <w:footnoteReference w:id="4"/>
      </w:r>
      <w:r w:rsidR="0077293F" w:rsidRPr="00251BF9">
        <w:rPr>
          <w:rFonts w:ascii="Cambria" w:hAnsi="Cambria"/>
          <w:color w:val="000000" w:themeColor="text1"/>
        </w:rPr>
        <w:t xml:space="preserve"> </w:t>
      </w:r>
    </w:p>
    <w:p w14:paraId="215145C0" w14:textId="77777777" w:rsidR="00BC74B2" w:rsidRPr="00251BF9" w:rsidRDefault="00BC74B2" w:rsidP="0053777E">
      <w:pPr>
        <w:pStyle w:val="xmsonormal"/>
        <w:shd w:val="clear" w:color="auto" w:fill="FFFFFF"/>
        <w:spacing w:before="0" w:beforeAutospacing="0" w:after="0" w:afterAutospacing="0"/>
        <w:jc w:val="both"/>
        <w:rPr>
          <w:rFonts w:ascii="Cambria" w:hAnsi="Cambria"/>
          <w:color w:val="000000"/>
          <w:bdr w:val="none" w:sz="0" w:space="0" w:color="auto" w:frame="1"/>
        </w:rPr>
      </w:pPr>
    </w:p>
    <w:p w14:paraId="1CD58853" w14:textId="2522F022" w:rsidR="0053777E" w:rsidRPr="00251BF9" w:rsidRDefault="00B74E7B" w:rsidP="0053777E">
      <w:pPr>
        <w:pStyle w:val="xmsonormal"/>
        <w:shd w:val="clear" w:color="auto" w:fill="FFFFFF"/>
        <w:spacing w:before="0" w:beforeAutospacing="0" w:after="0" w:afterAutospacing="0"/>
        <w:jc w:val="both"/>
        <w:rPr>
          <w:rFonts w:ascii="Cambria" w:hAnsi="Cambria"/>
          <w:color w:val="000000"/>
          <w:bdr w:val="none" w:sz="0" w:space="0" w:color="auto" w:frame="1"/>
        </w:rPr>
      </w:pPr>
      <w:r w:rsidRPr="00251BF9">
        <w:rPr>
          <w:rFonts w:ascii="Cambria" w:hAnsi="Cambria"/>
          <w:color w:val="000000"/>
          <w:bdr w:val="none" w:sz="0" w:space="0" w:color="auto" w:frame="1"/>
        </w:rPr>
        <w:t xml:space="preserve">We are also concerned at the </w:t>
      </w:r>
      <w:r w:rsidR="007968A8" w:rsidRPr="00251BF9">
        <w:rPr>
          <w:rFonts w:ascii="Cambria" w:hAnsi="Cambria"/>
          <w:color w:val="000000"/>
          <w:bdr w:val="none" w:sz="0" w:space="0" w:color="auto" w:frame="1"/>
        </w:rPr>
        <w:t xml:space="preserve">lack of transitional housing </w:t>
      </w:r>
      <w:r w:rsidR="0053777E" w:rsidRPr="00251BF9">
        <w:rPr>
          <w:rFonts w:ascii="Cambria" w:hAnsi="Cambria"/>
          <w:color w:val="000000"/>
          <w:bdr w:val="none" w:sz="0" w:space="0" w:color="auto" w:frame="1"/>
        </w:rPr>
        <w:t>for survivors wanting to escape abusive relationships</w:t>
      </w:r>
      <w:r w:rsidRPr="00251BF9">
        <w:rPr>
          <w:rFonts w:ascii="Cambria" w:hAnsi="Cambria"/>
          <w:color w:val="000000"/>
          <w:bdr w:val="none" w:sz="0" w:space="0" w:color="auto" w:frame="1"/>
        </w:rPr>
        <w:t>.</w:t>
      </w:r>
      <w:r w:rsidR="007968A8" w:rsidRPr="00251BF9">
        <w:rPr>
          <w:rFonts w:ascii="Cambria" w:hAnsi="Cambria"/>
          <w:color w:val="000000"/>
          <w:bdr w:val="none" w:sz="0" w:space="0" w:color="auto" w:frame="1"/>
        </w:rPr>
        <w:t xml:space="preserve"> </w:t>
      </w:r>
      <w:r w:rsidR="00521658" w:rsidRPr="00251BF9">
        <w:rPr>
          <w:rFonts w:ascii="Cambria" w:hAnsi="Cambria"/>
          <w:color w:val="000000"/>
          <w:bdr w:val="none" w:sz="0" w:space="0" w:color="auto" w:frame="1"/>
        </w:rPr>
        <w:t>Family and domestic violence is the most common reason provided by people seeking support from specialist homelessness services in Australia.</w:t>
      </w:r>
      <w:r w:rsidR="00521658" w:rsidRPr="00251BF9">
        <w:rPr>
          <w:rStyle w:val="FootnoteReference"/>
          <w:rFonts w:ascii="Cambria" w:hAnsi="Cambria"/>
          <w:color w:val="000000"/>
          <w:bdr w:val="none" w:sz="0" w:space="0" w:color="auto" w:frame="1"/>
        </w:rPr>
        <w:footnoteReference w:id="5"/>
      </w:r>
      <w:r w:rsidR="007968A8" w:rsidRPr="00251BF9">
        <w:rPr>
          <w:rFonts w:ascii="Cambria" w:hAnsi="Cambria"/>
          <w:color w:val="000000"/>
          <w:bdr w:val="none" w:sz="0" w:space="0" w:color="auto" w:frame="1"/>
        </w:rPr>
        <w:t xml:space="preserve"> </w:t>
      </w:r>
      <w:r w:rsidR="0053777E" w:rsidRPr="00251BF9">
        <w:rPr>
          <w:rFonts w:ascii="Cambria" w:hAnsi="Cambria"/>
          <w:color w:val="000000"/>
          <w:bdr w:val="none" w:sz="0" w:space="0" w:color="auto" w:frame="1"/>
        </w:rPr>
        <w:t xml:space="preserve">The current </w:t>
      </w:r>
      <w:r w:rsidR="00E259B8" w:rsidRPr="00251BF9">
        <w:rPr>
          <w:rFonts w:ascii="Cambria" w:hAnsi="Cambria"/>
          <w:color w:val="000000"/>
          <w:bdr w:val="none" w:sz="0" w:space="0" w:color="auto" w:frame="1"/>
        </w:rPr>
        <w:t xml:space="preserve">lack of transitional housing means that </w:t>
      </w:r>
      <w:r w:rsidR="007968A8" w:rsidRPr="00251BF9">
        <w:rPr>
          <w:rFonts w:ascii="Cambria" w:hAnsi="Cambria"/>
          <w:color w:val="000000"/>
          <w:bdr w:val="none" w:sz="0" w:space="0" w:color="auto" w:frame="1"/>
        </w:rPr>
        <w:t xml:space="preserve">some </w:t>
      </w:r>
      <w:r w:rsidR="00E259B8" w:rsidRPr="00251BF9">
        <w:rPr>
          <w:rFonts w:ascii="Cambria" w:hAnsi="Cambria"/>
          <w:color w:val="000000"/>
          <w:bdr w:val="none" w:sz="0" w:space="0" w:color="auto" w:frame="1"/>
        </w:rPr>
        <w:t xml:space="preserve">survivors of domestic and family violence </w:t>
      </w:r>
      <w:r w:rsidR="007968A8" w:rsidRPr="00251BF9">
        <w:rPr>
          <w:rFonts w:ascii="Cambria" w:hAnsi="Cambria"/>
          <w:color w:val="000000"/>
          <w:bdr w:val="none" w:sz="0" w:space="0" w:color="auto" w:frame="1"/>
        </w:rPr>
        <w:t>feel that they have no choice but</w:t>
      </w:r>
      <w:r w:rsidR="00E259B8" w:rsidRPr="00251BF9">
        <w:rPr>
          <w:rFonts w:ascii="Cambria" w:hAnsi="Cambria"/>
          <w:color w:val="000000"/>
          <w:bdr w:val="none" w:sz="0" w:space="0" w:color="auto" w:frame="1"/>
        </w:rPr>
        <w:t xml:space="preserve"> to remain in </w:t>
      </w:r>
      <w:r w:rsidR="007968A8" w:rsidRPr="00251BF9">
        <w:rPr>
          <w:rFonts w:ascii="Cambria" w:hAnsi="Cambria"/>
          <w:color w:val="000000"/>
          <w:bdr w:val="none" w:sz="0" w:space="0" w:color="auto" w:frame="1"/>
        </w:rPr>
        <w:t xml:space="preserve">violent and </w:t>
      </w:r>
      <w:r w:rsidR="00E259B8" w:rsidRPr="00251BF9">
        <w:rPr>
          <w:rFonts w:ascii="Cambria" w:hAnsi="Cambria"/>
          <w:color w:val="000000"/>
          <w:bdr w:val="none" w:sz="0" w:space="0" w:color="auto" w:frame="1"/>
        </w:rPr>
        <w:t>abusive relationships.</w:t>
      </w:r>
      <w:r w:rsidR="0053777E" w:rsidRPr="00251BF9">
        <w:rPr>
          <w:rFonts w:ascii="Cambria" w:hAnsi="Cambria"/>
          <w:color w:val="000000"/>
          <w:bdr w:val="none" w:sz="0" w:space="0" w:color="auto" w:frame="1"/>
        </w:rPr>
        <w:t xml:space="preserve"> As the following data demonstrates</w:t>
      </w:r>
      <w:r w:rsidR="007968A8" w:rsidRPr="00251BF9">
        <w:rPr>
          <w:rFonts w:ascii="Cambria" w:hAnsi="Cambria"/>
          <w:color w:val="000000"/>
          <w:bdr w:val="none" w:sz="0" w:space="0" w:color="auto" w:frame="1"/>
        </w:rPr>
        <w:t xml:space="preserve">, </w:t>
      </w:r>
      <w:r w:rsidR="0053777E" w:rsidRPr="00251BF9">
        <w:rPr>
          <w:rFonts w:ascii="Cambria" w:hAnsi="Cambria"/>
          <w:color w:val="000000"/>
          <w:bdr w:val="none" w:sz="0" w:space="0" w:color="auto" w:frame="1"/>
        </w:rPr>
        <w:t xml:space="preserve">the number of </w:t>
      </w:r>
      <w:r w:rsidR="007968A8" w:rsidRPr="00251BF9">
        <w:rPr>
          <w:rFonts w:ascii="Cambria" w:hAnsi="Cambria"/>
          <w:color w:val="000000"/>
          <w:bdr w:val="none" w:sz="0" w:space="0" w:color="auto" w:frame="1"/>
        </w:rPr>
        <w:t>people</w:t>
      </w:r>
      <w:r w:rsidR="0053777E" w:rsidRPr="00251BF9">
        <w:rPr>
          <w:rFonts w:ascii="Cambria" w:hAnsi="Cambria"/>
          <w:color w:val="000000"/>
          <w:bdr w:val="none" w:sz="0" w:space="0" w:color="auto" w:frame="1"/>
        </w:rPr>
        <w:t xml:space="preserve"> seeking housing because of family </w:t>
      </w:r>
      <w:r w:rsidR="007968A8" w:rsidRPr="00251BF9">
        <w:rPr>
          <w:rFonts w:ascii="Cambria" w:hAnsi="Cambria"/>
          <w:color w:val="000000"/>
          <w:bdr w:val="none" w:sz="0" w:space="0" w:color="auto" w:frame="1"/>
        </w:rPr>
        <w:t xml:space="preserve">and domestic </w:t>
      </w:r>
      <w:r w:rsidR="0053777E" w:rsidRPr="00251BF9">
        <w:rPr>
          <w:rFonts w:ascii="Cambria" w:hAnsi="Cambria"/>
          <w:color w:val="000000"/>
          <w:bdr w:val="none" w:sz="0" w:space="0" w:color="auto" w:frame="1"/>
        </w:rPr>
        <w:t xml:space="preserve">violence </w:t>
      </w:r>
      <w:r w:rsidR="007968A8" w:rsidRPr="00251BF9">
        <w:rPr>
          <w:rFonts w:ascii="Cambria" w:hAnsi="Cambria"/>
          <w:color w:val="000000"/>
          <w:bdr w:val="none" w:sz="0" w:space="0" w:color="auto" w:frame="1"/>
        </w:rPr>
        <w:t xml:space="preserve">in Tasmania </w:t>
      </w:r>
      <w:r w:rsidR="0053777E" w:rsidRPr="00251BF9">
        <w:rPr>
          <w:rFonts w:ascii="Cambria" w:hAnsi="Cambria"/>
          <w:color w:val="000000"/>
          <w:bdr w:val="none" w:sz="0" w:space="0" w:color="auto" w:frame="1"/>
        </w:rPr>
        <w:t>has remained relatively stable</w:t>
      </w:r>
      <w:r w:rsidR="002A290A" w:rsidRPr="00251BF9">
        <w:rPr>
          <w:rFonts w:ascii="Cambria" w:hAnsi="Cambria"/>
          <w:color w:val="000000"/>
          <w:bdr w:val="none" w:sz="0" w:space="0" w:color="auto" w:frame="1"/>
        </w:rPr>
        <w:t xml:space="preserve"> over the last three years</w:t>
      </w:r>
      <w:r w:rsidR="00C0193A" w:rsidRPr="00251BF9">
        <w:rPr>
          <w:rFonts w:ascii="Cambria" w:hAnsi="Cambria"/>
          <w:color w:val="000000"/>
          <w:bdr w:val="none" w:sz="0" w:space="0" w:color="auto" w:frame="1"/>
        </w:rPr>
        <w:t>:</w:t>
      </w:r>
      <w:r w:rsidR="00C0193A" w:rsidRPr="00251BF9">
        <w:rPr>
          <w:rStyle w:val="FootnoteReference"/>
          <w:rFonts w:ascii="Cambria" w:hAnsi="Cambria"/>
          <w:color w:val="000000"/>
          <w:bdr w:val="none" w:sz="0" w:space="0" w:color="auto" w:frame="1"/>
        </w:rPr>
        <w:footnoteReference w:id="6"/>
      </w:r>
      <w:r w:rsidR="0053777E" w:rsidRPr="00251BF9">
        <w:rPr>
          <w:rFonts w:ascii="Cambria" w:hAnsi="Cambria"/>
          <w:color w:val="000000"/>
          <w:bdr w:val="none" w:sz="0" w:space="0" w:color="auto" w:frame="1"/>
        </w:rPr>
        <w:t xml:space="preserve">  </w:t>
      </w:r>
      <w:r w:rsidR="00E259B8" w:rsidRPr="00251BF9">
        <w:rPr>
          <w:rFonts w:ascii="Cambria" w:hAnsi="Cambria"/>
          <w:color w:val="000000"/>
          <w:bdr w:val="none" w:sz="0" w:space="0" w:color="auto" w:frame="1"/>
        </w:rPr>
        <w:t xml:space="preserve"> </w:t>
      </w:r>
    </w:p>
    <w:p w14:paraId="775F095E" w14:textId="77777777" w:rsidR="00944905" w:rsidRPr="0053777E" w:rsidRDefault="00944905" w:rsidP="003E500A">
      <w:pPr>
        <w:pStyle w:val="xmsonormal"/>
        <w:shd w:val="clear" w:color="auto" w:fill="FFFFFF"/>
        <w:spacing w:before="0" w:beforeAutospacing="0" w:after="0" w:afterAutospacing="0"/>
        <w:rPr>
          <w:rFonts w:ascii="Cambria" w:hAnsi="Cambria"/>
          <w:color w:val="000000"/>
          <w:bdr w:val="none" w:sz="0" w:space="0" w:color="auto" w:frame="1"/>
        </w:rPr>
      </w:pPr>
    </w:p>
    <w:p w14:paraId="715F9596" w14:textId="7814B15C" w:rsidR="0053777E" w:rsidRPr="0053777E" w:rsidRDefault="00944905" w:rsidP="0053777E">
      <w:pPr>
        <w:jc w:val="center"/>
        <w:rPr>
          <w:rFonts w:ascii="Gill Sans MT" w:hAnsi="Gill Sans MT"/>
          <w:b/>
          <w:u w:val="single"/>
          <w:lang w:val="en-AU"/>
        </w:rPr>
      </w:pPr>
      <w:r w:rsidRPr="0053777E">
        <w:rPr>
          <w:rFonts w:ascii="Gill Sans MT" w:hAnsi="Gill Sans MT"/>
          <w:b/>
          <w:u w:val="single"/>
          <w:lang w:val="en-AU"/>
        </w:rPr>
        <w:t>Family violence indicated as a reason for seeking assistance</w:t>
      </w:r>
    </w:p>
    <w:tbl>
      <w:tblPr>
        <w:tblStyle w:val="TableGrid"/>
        <w:tblW w:w="0" w:type="auto"/>
        <w:tblLook w:val="04A0" w:firstRow="1" w:lastRow="0" w:firstColumn="1" w:lastColumn="0" w:noHBand="0" w:noVBand="1"/>
      </w:tblPr>
      <w:tblGrid>
        <w:gridCol w:w="3628"/>
        <w:gridCol w:w="1701"/>
        <w:gridCol w:w="1701"/>
        <w:gridCol w:w="1701"/>
      </w:tblGrid>
      <w:tr w:rsidR="00944905" w:rsidRPr="00BC74B2" w14:paraId="373CC75A" w14:textId="77777777" w:rsidTr="002F533B">
        <w:tc>
          <w:tcPr>
            <w:tcW w:w="3628" w:type="dxa"/>
            <w:shd w:val="clear" w:color="auto" w:fill="BFBFBF" w:themeFill="background1" w:themeFillShade="BF"/>
          </w:tcPr>
          <w:p w14:paraId="0A192BCC" w14:textId="77777777" w:rsidR="00944905" w:rsidRPr="00BC74B2" w:rsidRDefault="00944905" w:rsidP="002F533B">
            <w:pPr>
              <w:rPr>
                <w:rFonts w:ascii="Gill Sans MT" w:hAnsi="Gill Sans MT"/>
                <w:b/>
                <w:lang w:val="en-AU"/>
              </w:rPr>
            </w:pPr>
            <w:r w:rsidRPr="00BC74B2">
              <w:rPr>
                <w:rFonts w:ascii="Gill Sans MT" w:hAnsi="Gill Sans MT"/>
                <w:b/>
                <w:lang w:val="en-AU"/>
              </w:rPr>
              <w:t>Family Violence Reason</w:t>
            </w:r>
          </w:p>
        </w:tc>
        <w:tc>
          <w:tcPr>
            <w:tcW w:w="1701" w:type="dxa"/>
            <w:shd w:val="clear" w:color="auto" w:fill="BFBFBF" w:themeFill="background1" w:themeFillShade="BF"/>
          </w:tcPr>
          <w:p w14:paraId="02B1F586"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2017-18</w:t>
            </w:r>
          </w:p>
        </w:tc>
        <w:tc>
          <w:tcPr>
            <w:tcW w:w="1701" w:type="dxa"/>
            <w:shd w:val="clear" w:color="auto" w:fill="BFBFBF" w:themeFill="background1" w:themeFillShade="BF"/>
          </w:tcPr>
          <w:p w14:paraId="0024C2F1"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2018-19</w:t>
            </w:r>
          </w:p>
        </w:tc>
        <w:tc>
          <w:tcPr>
            <w:tcW w:w="1701" w:type="dxa"/>
            <w:shd w:val="clear" w:color="auto" w:fill="BFBFBF" w:themeFill="background1" w:themeFillShade="BF"/>
          </w:tcPr>
          <w:p w14:paraId="1D573FF1"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2019-20</w:t>
            </w:r>
          </w:p>
        </w:tc>
      </w:tr>
      <w:tr w:rsidR="00944905" w:rsidRPr="00BC74B2" w14:paraId="4F8FE559" w14:textId="77777777" w:rsidTr="002F533B">
        <w:tc>
          <w:tcPr>
            <w:tcW w:w="3628" w:type="dxa"/>
          </w:tcPr>
          <w:p w14:paraId="31B8AA3A" w14:textId="77777777" w:rsidR="00944905" w:rsidRPr="00BC74B2" w:rsidRDefault="00944905" w:rsidP="002F533B">
            <w:pPr>
              <w:rPr>
                <w:rFonts w:ascii="Gill Sans MT" w:hAnsi="Gill Sans MT"/>
                <w:bCs/>
                <w:lang w:val="en-AU"/>
              </w:rPr>
            </w:pPr>
            <w:r w:rsidRPr="00BC74B2">
              <w:rPr>
                <w:rFonts w:ascii="Gill Sans MT" w:hAnsi="Gill Sans MT"/>
                <w:bCs/>
                <w:lang w:val="en-AU"/>
              </w:rPr>
              <w:t>Yes</w:t>
            </w:r>
          </w:p>
        </w:tc>
        <w:tc>
          <w:tcPr>
            <w:tcW w:w="1701" w:type="dxa"/>
          </w:tcPr>
          <w:p w14:paraId="14674771"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1 590</w:t>
            </w:r>
          </w:p>
        </w:tc>
        <w:tc>
          <w:tcPr>
            <w:tcW w:w="1701" w:type="dxa"/>
          </w:tcPr>
          <w:p w14:paraId="592C81C2"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1 553</w:t>
            </w:r>
          </w:p>
        </w:tc>
        <w:tc>
          <w:tcPr>
            <w:tcW w:w="1701" w:type="dxa"/>
          </w:tcPr>
          <w:p w14:paraId="1B7AC2CD"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1 560</w:t>
            </w:r>
          </w:p>
        </w:tc>
      </w:tr>
      <w:tr w:rsidR="00944905" w:rsidRPr="00BC74B2" w14:paraId="6D6A33B7" w14:textId="77777777" w:rsidTr="002F533B">
        <w:tc>
          <w:tcPr>
            <w:tcW w:w="3628" w:type="dxa"/>
          </w:tcPr>
          <w:p w14:paraId="5E5E6DFB" w14:textId="77777777" w:rsidR="00944905" w:rsidRPr="00BC74B2" w:rsidRDefault="00944905" w:rsidP="002F533B">
            <w:pPr>
              <w:rPr>
                <w:rFonts w:ascii="Gill Sans MT" w:hAnsi="Gill Sans MT"/>
                <w:bCs/>
                <w:lang w:val="en-AU"/>
              </w:rPr>
            </w:pPr>
            <w:r w:rsidRPr="00BC74B2">
              <w:rPr>
                <w:rFonts w:ascii="Gill Sans MT" w:hAnsi="Gill Sans MT"/>
                <w:bCs/>
                <w:lang w:val="en-AU"/>
              </w:rPr>
              <w:t>No</w:t>
            </w:r>
          </w:p>
        </w:tc>
        <w:tc>
          <w:tcPr>
            <w:tcW w:w="1701" w:type="dxa"/>
          </w:tcPr>
          <w:p w14:paraId="67AE308A"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4 918</w:t>
            </w:r>
          </w:p>
        </w:tc>
        <w:tc>
          <w:tcPr>
            <w:tcW w:w="1701" w:type="dxa"/>
          </w:tcPr>
          <w:p w14:paraId="20890FBA"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5 070</w:t>
            </w:r>
          </w:p>
        </w:tc>
        <w:tc>
          <w:tcPr>
            <w:tcW w:w="1701" w:type="dxa"/>
          </w:tcPr>
          <w:p w14:paraId="452D1422"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4 884</w:t>
            </w:r>
          </w:p>
        </w:tc>
      </w:tr>
      <w:tr w:rsidR="00944905" w:rsidRPr="00BC74B2" w14:paraId="1CE7CCBC" w14:textId="77777777" w:rsidTr="002F533B">
        <w:tc>
          <w:tcPr>
            <w:tcW w:w="3628" w:type="dxa"/>
            <w:shd w:val="clear" w:color="auto" w:fill="BFBFBF" w:themeFill="background1" w:themeFillShade="BF"/>
          </w:tcPr>
          <w:p w14:paraId="1E4EEBBE" w14:textId="77777777" w:rsidR="00944905" w:rsidRPr="00BC74B2" w:rsidRDefault="00944905" w:rsidP="002F533B">
            <w:pPr>
              <w:rPr>
                <w:rFonts w:ascii="Gill Sans MT" w:hAnsi="Gill Sans MT"/>
                <w:b/>
                <w:lang w:val="en-AU"/>
              </w:rPr>
            </w:pPr>
            <w:r w:rsidRPr="00BC74B2">
              <w:rPr>
                <w:rFonts w:ascii="Gill Sans MT" w:hAnsi="Gill Sans MT"/>
                <w:b/>
                <w:lang w:val="en-AU"/>
              </w:rPr>
              <w:t>Total</w:t>
            </w:r>
          </w:p>
        </w:tc>
        <w:tc>
          <w:tcPr>
            <w:tcW w:w="1701" w:type="dxa"/>
            <w:shd w:val="clear" w:color="auto" w:fill="BFBFBF" w:themeFill="background1" w:themeFillShade="BF"/>
          </w:tcPr>
          <w:p w14:paraId="54B6A007"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6 508</w:t>
            </w:r>
          </w:p>
        </w:tc>
        <w:tc>
          <w:tcPr>
            <w:tcW w:w="1701" w:type="dxa"/>
            <w:shd w:val="clear" w:color="auto" w:fill="BFBFBF" w:themeFill="background1" w:themeFillShade="BF"/>
          </w:tcPr>
          <w:p w14:paraId="7D261BBC"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6 623</w:t>
            </w:r>
          </w:p>
        </w:tc>
        <w:tc>
          <w:tcPr>
            <w:tcW w:w="1701" w:type="dxa"/>
            <w:shd w:val="clear" w:color="auto" w:fill="BFBFBF" w:themeFill="background1" w:themeFillShade="BF"/>
          </w:tcPr>
          <w:p w14:paraId="3A02EA6B"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6 444</w:t>
            </w:r>
          </w:p>
        </w:tc>
      </w:tr>
    </w:tbl>
    <w:p w14:paraId="6DAB6D84" w14:textId="77777777" w:rsidR="00BC74B2" w:rsidRDefault="00BC74B2" w:rsidP="00C0193A">
      <w:pPr>
        <w:jc w:val="both"/>
        <w:rPr>
          <w:rFonts w:ascii="Cambria" w:hAnsi="Cambria"/>
          <w:bCs/>
          <w:lang w:val="en-AU"/>
        </w:rPr>
      </w:pPr>
    </w:p>
    <w:p w14:paraId="36E90A4F" w14:textId="0754EF97" w:rsidR="00C0193A" w:rsidRPr="00C0193A" w:rsidRDefault="00C0193A" w:rsidP="00C0193A">
      <w:pPr>
        <w:jc w:val="both"/>
        <w:rPr>
          <w:rFonts w:ascii="Cambria" w:hAnsi="Cambria"/>
          <w:bCs/>
          <w:lang w:val="en-AU"/>
        </w:rPr>
      </w:pPr>
      <w:r w:rsidRPr="00C0193A">
        <w:rPr>
          <w:rFonts w:ascii="Cambria" w:hAnsi="Cambria"/>
          <w:bCs/>
          <w:lang w:val="en-AU"/>
        </w:rPr>
        <w:t xml:space="preserve">The data also demonstrates that </w:t>
      </w:r>
      <w:r w:rsidR="007968A8">
        <w:rPr>
          <w:rFonts w:ascii="Cambria" w:hAnsi="Cambria"/>
          <w:bCs/>
          <w:lang w:val="en-AU"/>
        </w:rPr>
        <w:t xml:space="preserve">Tasmanian </w:t>
      </w:r>
      <w:r w:rsidRPr="00C0193A">
        <w:rPr>
          <w:rFonts w:ascii="Cambria" w:hAnsi="Cambria"/>
          <w:bCs/>
          <w:lang w:val="en-AU"/>
        </w:rPr>
        <w:t xml:space="preserve">survivors of family </w:t>
      </w:r>
      <w:r w:rsidR="007968A8">
        <w:rPr>
          <w:rFonts w:ascii="Cambria" w:hAnsi="Cambria"/>
          <w:bCs/>
          <w:lang w:val="en-AU"/>
        </w:rPr>
        <w:t xml:space="preserve">and domestic </w:t>
      </w:r>
      <w:r w:rsidRPr="00C0193A">
        <w:rPr>
          <w:rFonts w:ascii="Cambria" w:hAnsi="Cambria"/>
          <w:bCs/>
          <w:lang w:val="en-AU"/>
        </w:rPr>
        <w:t xml:space="preserve">violence who are homeless when they </w:t>
      </w:r>
      <w:r w:rsidR="002A290A">
        <w:rPr>
          <w:rFonts w:ascii="Cambria" w:hAnsi="Cambria"/>
          <w:bCs/>
          <w:lang w:val="en-AU"/>
        </w:rPr>
        <w:t>request</w:t>
      </w:r>
      <w:r w:rsidRPr="00C0193A">
        <w:rPr>
          <w:rFonts w:ascii="Cambria" w:hAnsi="Cambria"/>
          <w:bCs/>
          <w:lang w:val="en-AU"/>
        </w:rPr>
        <w:t xml:space="preserve"> assistance with housing has increased by 8 per cent over the last three years</w:t>
      </w:r>
      <w:r w:rsidR="002A290A">
        <w:rPr>
          <w:rFonts w:ascii="Cambria" w:hAnsi="Cambria"/>
          <w:bCs/>
          <w:lang w:val="en-AU"/>
        </w:rPr>
        <w:t>:</w:t>
      </w:r>
    </w:p>
    <w:p w14:paraId="509ABA6A" w14:textId="77777777" w:rsidR="00BC74B2" w:rsidRPr="0053777E" w:rsidRDefault="00BC74B2" w:rsidP="00944905">
      <w:pPr>
        <w:rPr>
          <w:rFonts w:ascii="Gill Sans MT" w:hAnsi="Gill Sans MT"/>
          <w:bCs/>
          <w:lang w:val="en-AU"/>
        </w:rPr>
      </w:pPr>
    </w:p>
    <w:p w14:paraId="158720C3" w14:textId="4846E387" w:rsidR="00944905" w:rsidRPr="0053777E" w:rsidRDefault="00944905" w:rsidP="0053777E">
      <w:pPr>
        <w:jc w:val="center"/>
        <w:rPr>
          <w:rFonts w:ascii="Gill Sans MT" w:hAnsi="Gill Sans MT"/>
          <w:b/>
          <w:u w:val="single"/>
          <w:lang w:val="en-AU"/>
        </w:rPr>
      </w:pPr>
      <w:r w:rsidRPr="0053777E">
        <w:rPr>
          <w:rFonts w:ascii="Gill Sans MT" w:hAnsi="Gill Sans MT"/>
          <w:b/>
          <w:u w:val="single"/>
          <w:lang w:val="en-AU"/>
        </w:rPr>
        <w:t>Housing status (first reported) - family violence clients</w:t>
      </w:r>
    </w:p>
    <w:tbl>
      <w:tblPr>
        <w:tblStyle w:val="TableGrid"/>
        <w:tblW w:w="0" w:type="auto"/>
        <w:tblLook w:val="04A0" w:firstRow="1" w:lastRow="0" w:firstColumn="1" w:lastColumn="0" w:noHBand="0" w:noVBand="1"/>
      </w:tblPr>
      <w:tblGrid>
        <w:gridCol w:w="3628"/>
        <w:gridCol w:w="1701"/>
        <w:gridCol w:w="1701"/>
        <w:gridCol w:w="1701"/>
      </w:tblGrid>
      <w:tr w:rsidR="00944905" w:rsidRPr="00BC74B2" w14:paraId="64385CD5" w14:textId="77777777" w:rsidTr="002F533B">
        <w:tc>
          <w:tcPr>
            <w:tcW w:w="3628" w:type="dxa"/>
            <w:shd w:val="clear" w:color="auto" w:fill="BFBFBF" w:themeFill="background1" w:themeFillShade="BF"/>
          </w:tcPr>
          <w:p w14:paraId="7C00A244" w14:textId="77777777" w:rsidR="00944905" w:rsidRPr="00BC74B2" w:rsidRDefault="00944905" w:rsidP="002F533B">
            <w:pPr>
              <w:rPr>
                <w:rFonts w:ascii="Gill Sans MT" w:hAnsi="Gill Sans MT"/>
                <w:b/>
                <w:lang w:val="en-AU"/>
              </w:rPr>
            </w:pPr>
            <w:r w:rsidRPr="00BC74B2">
              <w:rPr>
                <w:rFonts w:ascii="Gill Sans MT" w:hAnsi="Gill Sans MT"/>
                <w:b/>
                <w:lang w:val="en-AU"/>
              </w:rPr>
              <w:t>Homelessness Status</w:t>
            </w:r>
          </w:p>
        </w:tc>
        <w:tc>
          <w:tcPr>
            <w:tcW w:w="1701" w:type="dxa"/>
            <w:shd w:val="clear" w:color="auto" w:fill="BFBFBF" w:themeFill="background1" w:themeFillShade="BF"/>
          </w:tcPr>
          <w:p w14:paraId="3F5E0B35"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2017-18</w:t>
            </w:r>
          </w:p>
        </w:tc>
        <w:tc>
          <w:tcPr>
            <w:tcW w:w="1701" w:type="dxa"/>
            <w:shd w:val="clear" w:color="auto" w:fill="BFBFBF" w:themeFill="background1" w:themeFillShade="BF"/>
          </w:tcPr>
          <w:p w14:paraId="15E0B783"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2018-19</w:t>
            </w:r>
          </w:p>
        </w:tc>
        <w:tc>
          <w:tcPr>
            <w:tcW w:w="1701" w:type="dxa"/>
            <w:shd w:val="clear" w:color="auto" w:fill="BFBFBF" w:themeFill="background1" w:themeFillShade="BF"/>
          </w:tcPr>
          <w:p w14:paraId="68ECEC76"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2019-20</w:t>
            </w:r>
          </w:p>
        </w:tc>
      </w:tr>
      <w:tr w:rsidR="00944905" w:rsidRPr="00BC74B2" w14:paraId="30F92C7E" w14:textId="77777777" w:rsidTr="002F533B">
        <w:tc>
          <w:tcPr>
            <w:tcW w:w="3628" w:type="dxa"/>
          </w:tcPr>
          <w:p w14:paraId="614E3BC8" w14:textId="77777777" w:rsidR="00944905" w:rsidRPr="00BC74B2" w:rsidRDefault="00944905" w:rsidP="002F533B">
            <w:pPr>
              <w:rPr>
                <w:rFonts w:ascii="Gill Sans MT" w:hAnsi="Gill Sans MT"/>
                <w:bCs/>
                <w:lang w:val="en-AU"/>
              </w:rPr>
            </w:pPr>
            <w:r w:rsidRPr="00BC74B2">
              <w:rPr>
                <w:rFonts w:ascii="Gill Sans MT" w:hAnsi="Gill Sans MT"/>
                <w:bCs/>
                <w:lang w:val="en-AU"/>
              </w:rPr>
              <w:t>Primary homeless:</w:t>
            </w:r>
          </w:p>
          <w:p w14:paraId="115850C9" w14:textId="77777777" w:rsidR="00944905" w:rsidRPr="00BC74B2" w:rsidRDefault="00944905" w:rsidP="00944905">
            <w:pPr>
              <w:pStyle w:val="ListParagraph"/>
              <w:numPr>
                <w:ilvl w:val="0"/>
                <w:numId w:val="2"/>
              </w:numPr>
              <w:rPr>
                <w:rFonts w:ascii="Gill Sans MT" w:hAnsi="Gill Sans MT"/>
                <w:bCs/>
                <w:sz w:val="24"/>
              </w:rPr>
            </w:pPr>
            <w:r w:rsidRPr="00BC74B2">
              <w:rPr>
                <w:rFonts w:ascii="Gill Sans MT" w:hAnsi="Gill Sans MT"/>
                <w:bCs/>
                <w:sz w:val="24"/>
              </w:rPr>
              <w:t>No shelter or improvised/inadequate dwelling</w:t>
            </w:r>
          </w:p>
          <w:p w14:paraId="041FDC6E" w14:textId="77777777" w:rsidR="00944905" w:rsidRPr="00BC74B2" w:rsidRDefault="00944905" w:rsidP="00944905">
            <w:pPr>
              <w:pStyle w:val="ListParagraph"/>
              <w:numPr>
                <w:ilvl w:val="0"/>
                <w:numId w:val="2"/>
              </w:numPr>
              <w:rPr>
                <w:rFonts w:ascii="Gill Sans MT" w:hAnsi="Gill Sans MT"/>
                <w:bCs/>
                <w:sz w:val="24"/>
              </w:rPr>
            </w:pPr>
            <w:r w:rsidRPr="00BC74B2">
              <w:rPr>
                <w:rFonts w:ascii="Gill Sans MT" w:hAnsi="Gill Sans MT"/>
                <w:bCs/>
                <w:sz w:val="24"/>
              </w:rPr>
              <w:t>Other homeless</w:t>
            </w:r>
          </w:p>
        </w:tc>
        <w:tc>
          <w:tcPr>
            <w:tcW w:w="1701" w:type="dxa"/>
          </w:tcPr>
          <w:p w14:paraId="55581E48"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147</w:t>
            </w:r>
          </w:p>
        </w:tc>
        <w:tc>
          <w:tcPr>
            <w:tcW w:w="1701" w:type="dxa"/>
          </w:tcPr>
          <w:p w14:paraId="308EA472"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152</w:t>
            </w:r>
          </w:p>
        </w:tc>
        <w:tc>
          <w:tcPr>
            <w:tcW w:w="1701" w:type="dxa"/>
          </w:tcPr>
          <w:p w14:paraId="6B477FA7"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159</w:t>
            </w:r>
          </w:p>
        </w:tc>
      </w:tr>
      <w:tr w:rsidR="00944905" w:rsidRPr="00BC74B2" w14:paraId="369650EB" w14:textId="77777777" w:rsidTr="002F533B">
        <w:tc>
          <w:tcPr>
            <w:tcW w:w="3628" w:type="dxa"/>
          </w:tcPr>
          <w:p w14:paraId="622CBD4E" w14:textId="77777777" w:rsidR="00944905" w:rsidRPr="00BC74B2" w:rsidRDefault="00944905" w:rsidP="002F533B">
            <w:pPr>
              <w:rPr>
                <w:rFonts w:ascii="Gill Sans MT" w:hAnsi="Gill Sans MT"/>
                <w:bCs/>
                <w:lang w:val="en-AU"/>
              </w:rPr>
            </w:pPr>
            <w:r w:rsidRPr="00BC74B2">
              <w:rPr>
                <w:rFonts w:ascii="Gill Sans MT" w:hAnsi="Gill Sans MT"/>
                <w:bCs/>
                <w:lang w:val="en-AU"/>
              </w:rPr>
              <w:t>Other</w:t>
            </w:r>
          </w:p>
        </w:tc>
        <w:tc>
          <w:tcPr>
            <w:tcW w:w="1701" w:type="dxa"/>
          </w:tcPr>
          <w:p w14:paraId="696749E0"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1 443</w:t>
            </w:r>
          </w:p>
        </w:tc>
        <w:tc>
          <w:tcPr>
            <w:tcW w:w="1701" w:type="dxa"/>
          </w:tcPr>
          <w:p w14:paraId="3A8A0FD6"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1 401</w:t>
            </w:r>
          </w:p>
        </w:tc>
        <w:tc>
          <w:tcPr>
            <w:tcW w:w="1701" w:type="dxa"/>
          </w:tcPr>
          <w:p w14:paraId="5D8E4913" w14:textId="77777777" w:rsidR="00944905" w:rsidRPr="00BC74B2" w:rsidRDefault="00944905" w:rsidP="002F533B">
            <w:pPr>
              <w:jc w:val="center"/>
              <w:rPr>
                <w:rFonts w:ascii="Gill Sans MT" w:hAnsi="Gill Sans MT"/>
                <w:bCs/>
                <w:lang w:val="en-AU"/>
              </w:rPr>
            </w:pPr>
            <w:r w:rsidRPr="00BC74B2">
              <w:rPr>
                <w:rFonts w:ascii="Gill Sans MT" w:hAnsi="Gill Sans MT"/>
                <w:bCs/>
                <w:lang w:val="en-AU"/>
              </w:rPr>
              <w:t>1 401</w:t>
            </w:r>
          </w:p>
        </w:tc>
      </w:tr>
      <w:tr w:rsidR="00944905" w:rsidRPr="00BC74B2" w14:paraId="5EB8E88A" w14:textId="77777777" w:rsidTr="002F533B">
        <w:tc>
          <w:tcPr>
            <w:tcW w:w="3628" w:type="dxa"/>
            <w:shd w:val="clear" w:color="auto" w:fill="BFBFBF" w:themeFill="background1" w:themeFillShade="BF"/>
          </w:tcPr>
          <w:p w14:paraId="3FAB1A3E" w14:textId="77777777" w:rsidR="00944905" w:rsidRPr="00BC74B2" w:rsidRDefault="00944905" w:rsidP="002F533B">
            <w:pPr>
              <w:rPr>
                <w:rFonts w:ascii="Gill Sans MT" w:hAnsi="Gill Sans MT"/>
                <w:b/>
                <w:lang w:val="en-AU"/>
              </w:rPr>
            </w:pPr>
            <w:r w:rsidRPr="00BC74B2">
              <w:rPr>
                <w:rFonts w:ascii="Gill Sans MT" w:hAnsi="Gill Sans MT"/>
                <w:b/>
                <w:lang w:val="en-AU"/>
              </w:rPr>
              <w:t>Total</w:t>
            </w:r>
          </w:p>
        </w:tc>
        <w:tc>
          <w:tcPr>
            <w:tcW w:w="1701" w:type="dxa"/>
            <w:shd w:val="clear" w:color="auto" w:fill="BFBFBF" w:themeFill="background1" w:themeFillShade="BF"/>
          </w:tcPr>
          <w:p w14:paraId="221A9252"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1 590</w:t>
            </w:r>
          </w:p>
        </w:tc>
        <w:tc>
          <w:tcPr>
            <w:tcW w:w="1701" w:type="dxa"/>
            <w:shd w:val="clear" w:color="auto" w:fill="BFBFBF" w:themeFill="background1" w:themeFillShade="BF"/>
          </w:tcPr>
          <w:p w14:paraId="706C0670"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1 553</w:t>
            </w:r>
          </w:p>
        </w:tc>
        <w:tc>
          <w:tcPr>
            <w:tcW w:w="1701" w:type="dxa"/>
            <w:shd w:val="clear" w:color="auto" w:fill="BFBFBF" w:themeFill="background1" w:themeFillShade="BF"/>
          </w:tcPr>
          <w:p w14:paraId="7B3FEECB" w14:textId="77777777" w:rsidR="00944905" w:rsidRPr="00BC74B2" w:rsidRDefault="00944905" w:rsidP="002F533B">
            <w:pPr>
              <w:jc w:val="center"/>
              <w:rPr>
                <w:rFonts w:ascii="Gill Sans MT" w:hAnsi="Gill Sans MT"/>
                <w:b/>
                <w:lang w:val="en-AU"/>
              </w:rPr>
            </w:pPr>
            <w:r w:rsidRPr="00BC74B2">
              <w:rPr>
                <w:rFonts w:ascii="Gill Sans MT" w:hAnsi="Gill Sans MT"/>
                <w:b/>
                <w:lang w:val="en-AU"/>
              </w:rPr>
              <w:t>1 560</w:t>
            </w:r>
          </w:p>
        </w:tc>
      </w:tr>
    </w:tbl>
    <w:p w14:paraId="76BDEDA4" w14:textId="77777777" w:rsidR="00944905" w:rsidRPr="0053777E" w:rsidRDefault="00944905" w:rsidP="00944905">
      <w:pPr>
        <w:rPr>
          <w:rFonts w:ascii="Gill Sans MT" w:hAnsi="Gill Sans MT"/>
          <w:bCs/>
          <w:sz w:val="16"/>
          <w:szCs w:val="18"/>
          <w:lang w:val="en-AU"/>
        </w:rPr>
      </w:pPr>
    </w:p>
    <w:p w14:paraId="5DE8789B" w14:textId="77777777" w:rsidR="00BC74B2" w:rsidRDefault="00BC74B2" w:rsidP="002A290A">
      <w:pPr>
        <w:jc w:val="both"/>
        <w:rPr>
          <w:rFonts w:ascii="Cambria" w:hAnsi="Cambria"/>
          <w:bCs/>
          <w:lang w:val="en-AU"/>
        </w:rPr>
      </w:pPr>
    </w:p>
    <w:p w14:paraId="399C98F0" w14:textId="77777777" w:rsidR="00BC74B2" w:rsidRDefault="00BC74B2" w:rsidP="002A290A">
      <w:pPr>
        <w:jc w:val="both"/>
        <w:rPr>
          <w:rFonts w:ascii="Cambria" w:hAnsi="Cambria"/>
          <w:bCs/>
          <w:lang w:val="en-AU"/>
        </w:rPr>
      </w:pPr>
    </w:p>
    <w:p w14:paraId="7AD8A4C3" w14:textId="77777777" w:rsidR="00BC74B2" w:rsidRDefault="00BC74B2" w:rsidP="002A290A">
      <w:pPr>
        <w:jc w:val="both"/>
        <w:rPr>
          <w:rFonts w:ascii="Cambria" w:hAnsi="Cambria"/>
          <w:bCs/>
          <w:lang w:val="en-AU"/>
        </w:rPr>
      </w:pPr>
    </w:p>
    <w:p w14:paraId="00A01E62" w14:textId="77777777" w:rsidR="00BC74B2" w:rsidRDefault="00BC74B2" w:rsidP="002A290A">
      <w:pPr>
        <w:jc w:val="both"/>
        <w:rPr>
          <w:rFonts w:ascii="Cambria" w:hAnsi="Cambria"/>
          <w:bCs/>
          <w:lang w:val="en-AU"/>
        </w:rPr>
      </w:pPr>
    </w:p>
    <w:p w14:paraId="5FBB0822" w14:textId="07D71A95" w:rsidR="00C0193A" w:rsidRPr="002B2195" w:rsidRDefault="00C0193A" w:rsidP="002A290A">
      <w:pPr>
        <w:jc w:val="both"/>
        <w:rPr>
          <w:rFonts w:ascii="Cambria" w:hAnsi="Cambria"/>
          <w:bCs/>
          <w:lang w:val="en-AU"/>
        </w:rPr>
      </w:pPr>
      <w:r w:rsidRPr="002B2195">
        <w:rPr>
          <w:rFonts w:ascii="Cambria" w:hAnsi="Cambria"/>
          <w:bCs/>
          <w:lang w:val="en-AU"/>
        </w:rPr>
        <w:lastRenderedPageBreak/>
        <w:t xml:space="preserve">Most worryingly, survivors of family </w:t>
      </w:r>
      <w:r w:rsidR="007968A8">
        <w:rPr>
          <w:rFonts w:ascii="Cambria" w:hAnsi="Cambria"/>
          <w:bCs/>
          <w:lang w:val="en-AU"/>
        </w:rPr>
        <w:t xml:space="preserve">and domestic </w:t>
      </w:r>
      <w:r w:rsidRPr="002B2195">
        <w:rPr>
          <w:rFonts w:ascii="Cambria" w:hAnsi="Cambria"/>
          <w:bCs/>
          <w:lang w:val="en-AU"/>
        </w:rPr>
        <w:t>violence who</w:t>
      </w:r>
      <w:r w:rsidR="002B2195" w:rsidRPr="002B2195">
        <w:rPr>
          <w:rFonts w:ascii="Cambria" w:hAnsi="Cambria"/>
          <w:bCs/>
          <w:lang w:val="en-AU"/>
        </w:rPr>
        <w:t xml:space="preserve"> remain</w:t>
      </w:r>
      <w:r w:rsidRPr="002B2195">
        <w:rPr>
          <w:rFonts w:ascii="Cambria" w:hAnsi="Cambria"/>
          <w:bCs/>
          <w:lang w:val="en-AU"/>
        </w:rPr>
        <w:t xml:space="preserve"> homeless </w:t>
      </w:r>
      <w:r w:rsidR="002B2195" w:rsidRPr="002B2195">
        <w:rPr>
          <w:rFonts w:ascii="Cambria" w:hAnsi="Cambria"/>
          <w:bCs/>
          <w:lang w:val="en-AU"/>
        </w:rPr>
        <w:t xml:space="preserve">after requesting assistance has </w:t>
      </w:r>
      <w:r w:rsidR="002B2195">
        <w:rPr>
          <w:rFonts w:ascii="Cambria" w:hAnsi="Cambria"/>
          <w:bCs/>
          <w:lang w:val="en-AU"/>
        </w:rPr>
        <w:t>risen from one third (34 per cent) to almost half (49 per cent)</w:t>
      </w:r>
      <w:r w:rsidRPr="002B2195">
        <w:rPr>
          <w:rFonts w:ascii="Cambria" w:hAnsi="Cambria"/>
          <w:bCs/>
          <w:lang w:val="en-AU"/>
        </w:rPr>
        <w:t>.</w:t>
      </w:r>
      <w:r w:rsidR="002A290A">
        <w:rPr>
          <w:rFonts w:ascii="Cambria" w:hAnsi="Cambria"/>
          <w:bCs/>
          <w:lang w:val="en-AU"/>
        </w:rPr>
        <w:t xml:space="preserve"> And, the number of survivors who </w:t>
      </w:r>
      <w:r w:rsidR="008A6A14">
        <w:rPr>
          <w:rFonts w:ascii="Cambria" w:hAnsi="Cambria"/>
          <w:bCs/>
          <w:lang w:val="en-AU"/>
        </w:rPr>
        <w:t xml:space="preserve">are </w:t>
      </w:r>
      <w:r w:rsidR="002A290A">
        <w:rPr>
          <w:rFonts w:ascii="Cambria" w:hAnsi="Cambria"/>
          <w:bCs/>
          <w:lang w:val="en-AU"/>
        </w:rPr>
        <w:t>housed in either a social housing</w:t>
      </w:r>
      <w:r w:rsidR="008A6A14">
        <w:rPr>
          <w:rFonts w:ascii="Cambria" w:hAnsi="Cambria"/>
          <w:bCs/>
          <w:lang w:val="en-AU"/>
        </w:rPr>
        <w:t xml:space="preserve"> </w:t>
      </w:r>
      <w:r w:rsidR="002A290A">
        <w:rPr>
          <w:rFonts w:ascii="Cambria" w:hAnsi="Cambria"/>
          <w:bCs/>
          <w:lang w:val="en-AU"/>
        </w:rPr>
        <w:t xml:space="preserve">or private rental </w:t>
      </w:r>
      <w:r w:rsidR="008A6A14">
        <w:rPr>
          <w:rFonts w:ascii="Cambria" w:hAnsi="Cambria"/>
          <w:bCs/>
          <w:lang w:val="en-AU"/>
        </w:rPr>
        <w:t xml:space="preserve">property </w:t>
      </w:r>
      <w:r w:rsidR="002A290A">
        <w:rPr>
          <w:rFonts w:ascii="Cambria" w:hAnsi="Cambria"/>
          <w:bCs/>
          <w:lang w:val="en-AU"/>
        </w:rPr>
        <w:t xml:space="preserve">has dropped by 37 per cent.  </w:t>
      </w:r>
      <w:r w:rsidRPr="002B2195">
        <w:rPr>
          <w:rFonts w:ascii="Cambria" w:hAnsi="Cambria"/>
          <w:bCs/>
          <w:lang w:val="en-AU"/>
        </w:rPr>
        <w:t xml:space="preserve"> </w:t>
      </w:r>
    </w:p>
    <w:p w14:paraId="51579AB2" w14:textId="77777777" w:rsidR="00C0193A" w:rsidRDefault="00C0193A" w:rsidP="0053777E">
      <w:pPr>
        <w:jc w:val="center"/>
        <w:rPr>
          <w:rFonts w:ascii="Gill Sans MT" w:hAnsi="Gill Sans MT"/>
          <w:b/>
          <w:u w:val="single"/>
          <w:lang w:val="en-AU"/>
        </w:rPr>
      </w:pPr>
    </w:p>
    <w:p w14:paraId="1C80DAB0" w14:textId="2533DAA4" w:rsidR="0053777E" w:rsidRPr="0053777E" w:rsidRDefault="00944905" w:rsidP="0053777E">
      <w:pPr>
        <w:jc w:val="center"/>
        <w:rPr>
          <w:rFonts w:ascii="Gill Sans MT" w:hAnsi="Gill Sans MT"/>
          <w:b/>
          <w:u w:val="single"/>
          <w:lang w:val="en-AU"/>
        </w:rPr>
      </w:pPr>
      <w:r w:rsidRPr="0053777E">
        <w:rPr>
          <w:rFonts w:ascii="Gill Sans MT" w:hAnsi="Gill Sans MT"/>
          <w:b/>
          <w:u w:val="single"/>
          <w:lang w:val="en-AU"/>
        </w:rPr>
        <w:t>Housing status (last reported) - family violence clients</w:t>
      </w:r>
    </w:p>
    <w:tbl>
      <w:tblPr>
        <w:tblStyle w:val="TableGrid"/>
        <w:tblW w:w="0" w:type="auto"/>
        <w:tblLook w:val="04A0" w:firstRow="1" w:lastRow="0" w:firstColumn="1" w:lastColumn="0" w:noHBand="0" w:noVBand="1"/>
      </w:tblPr>
      <w:tblGrid>
        <w:gridCol w:w="3628"/>
        <w:gridCol w:w="1701"/>
        <w:gridCol w:w="1701"/>
        <w:gridCol w:w="1701"/>
      </w:tblGrid>
      <w:tr w:rsidR="00944905" w:rsidRPr="00BC74B2" w14:paraId="6A5AE3AA" w14:textId="77777777" w:rsidTr="002F533B">
        <w:tc>
          <w:tcPr>
            <w:tcW w:w="3628" w:type="dxa"/>
            <w:shd w:val="clear" w:color="auto" w:fill="BFBFBF" w:themeFill="background1" w:themeFillShade="BF"/>
          </w:tcPr>
          <w:p w14:paraId="501A793B" w14:textId="77777777" w:rsidR="00944905" w:rsidRPr="00BC74B2" w:rsidRDefault="00944905" w:rsidP="002F533B">
            <w:pPr>
              <w:rPr>
                <w:rFonts w:ascii="Gill Sans MT" w:hAnsi="Gill Sans MT"/>
                <w:b/>
                <w:sz w:val="22"/>
                <w:szCs w:val="22"/>
                <w:lang w:val="en-AU"/>
              </w:rPr>
            </w:pPr>
            <w:r w:rsidRPr="00BC74B2">
              <w:rPr>
                <w:rFonts w:ascii="Gill Sans MT" w:hAnsi="Gill Sans MT"/>
                <w:b/>
                <w:sz w:val="22"/>
                <w:szCs w:val="22"/>
                <w:lang w:val="en-AU"/>
              </w:rPr>
              <w:t>Homelessness Status</w:t>
            </w:r>
          </w:p>
        </w:tc>
        <w:tc>
          <w:tcPr>
            <w:tcW w:w="1701" w:type="dxa"/>
            <w:shd w:val="clear" w:color="auto" w:fill="BFBFBF" w:themeFill="background1" w:themeFillShade="BF"/>
          </w:tcPr>
          <w:p w14:paraId="22A9A394" w14:textId="77777777" w:rsidR="00944905" w:rsidRPr="00BC74B2" w:rsidRDefault="00944905" w:rsidP="002F533B">
            <w:pPr>
              <w:jc w:val="center"/>
              <w:rPr>
                <w:rFonts w:ascii="Gill Sans MT" w:hAnsi="Gill Sans MT"/>
                <w:b/>
                <w:sz w:val="22"/>
                <w:szCs w:val="22"/>
                <w:lang w:val="en-AU"/>
              </w:rPr>
            </w:pPr>
            <w:r w:rsidRPr="00BC74B2">
              <w:rPr>
                <w:rFonts w:ascii="Gill Sans MT" w:hAnsi="Gill Sans MT"/>
                <w:b/>
                <w:sz w:val="22"/>
                <w:szCs w:val="22"/>
                <w:lang w:val="en-AU"/>
              </w:rPr>
              <w:t>2017-18</w:t>
            </w:r>
          </w:p>
        </w:tc>
        <w:tc>
          <w:tcPr>
            <w:tcW w:w="1701" w:type="dxa"/>
            <w:shd w:val="clear" w:color="auto" w:fill="BFBFBF" w:themeFill="background1" w:themeFillShade="BF"/>
          </w:tcPr>
          <w:p w14:paraId="60F521C1" w14:textId="77777777" w:rsidR="00944905" w:rsidRPr="00BC74B2" w:rsidRDefault="00944905" w:rsidP="002F533B">
            <w:pPr>
              <w:jc w:val="center"/>
              <w:rPr>
                <w:rFonts w:ascii="Gill Sans MT" w:hAnsi="Gill Sans MT"/>
                <w:b/>
                <w:sz w:val="22"/>
                <w:szCs w:val="22"/>
                <w:lang w:val="en-AU"/>
              </w:rPr>
            </w:pPr>
            <w:r w:rsidRPr="00BC74B2">
              <w:rPr>
                <w:rFonts w:ascii="Gill Sans MT" w:hAnsi="Gill Sans MT"/>
                <w:b/>
                <w:sz w:val="22"/>
                <w:szCs w:val="22"/>
                <w:lang w:val="en-AU"/>
              </w:rPr>
              <w:t>2018-19</w:t>
            </w:r>
          </w:p>
        </w:tc>
        <w:tc>
          <w:tcPr>
            <w:tcW w:w="1701" w:type="dxa"/>
            <w:shd w:val="clear" w:color="auto" w:fill="BFBFBF" w:themeFill="background1" w:themeFillShade="BF"/>
          </w:tcPr>
          <w:p w14:paraId="371CE3C6" w14:textId="77777777" w:rsidR="00944905" w:rsidRPr="00BC74B2" w:rsidRDefault="00944905" w:rsidP="002F533B">
            <w:pPr>
              <w:jc w:val="center"/>
              <w:rPr>
                <w:rFonts w:ascii="Gill Sans MT" w:hAnsi="Gill Sans MT"/>
                <w:b/>
                <w:sz w:val="22"/>
                <w:szCs w:val="22"/>
                <w:lang w:val="en-AU"/>
              </w:rPr>
            </w:pPr>
            <w:r w:rsidRPr="00BC74B2">
              <w:rPr>
                <w:rFonts w:ascii="Gill Sans MT" w:hAnsi="Gill Sans MT"/>
                <w:b/>
                <w:sz w:val="22"/>
                <w:szCs w:val="22"/>
                <w:lang w:val="en-AU"/>
              </w:rPr>
              <w:t>2019-20</w:t>
            </w:r>
          </w:p>
        </w:tc>
      </w:tr>
      <w:tr w:rsidR="00944905" w:rsidRPr="00BC74B2" w14:paraId="5D646B53" w14:textId="77777777" w:rsidTr="002F533B">
        <w:tc>
          <w:tcPr>
            <w:tcW w:w="3628" w:type="dxa"/>
          </w:tcPr>
          <w:p w14:paraId="3BDCEE90" w14:textId="77777777" w:rsidR="00944905" w:rsidRPr="00BC74B2" w:rsidRDefault="00944905" w:rsidP="002F533B">
            <w:pPr>
              <w:rPr>
                <w:rFonts w:ascii="Gill Sans MT" w:hAnsi="Gill Sans MT"/>
                <w:bCs/>
                <w:sz w:val="22"/>
                <w:szCs w:val="22"/>
                <w:lang w:val="en-AU"/>
              </w:rPr>
            </w:pPr>
            <w:r w:rsidRPr="00BC74B2">
              <w:rPr>
                <w:rFonts w:ascii="Gill Sans MT" w:hAnsi="Gill Sans MT"/>
                <w:bCs/>
                <w:sz w:val="22"/>
                <w:szCs w:val="22"/>
                <w:lang w:val="en-AU"/>
              </w:rPr>
              <w:t>Primary homeless:</w:t>
            </w:r>
          </w:p>
          <w:p w14:paraId="25B8E32E" w14:textId="77777777" w:rsidR="00944905" w:rsidRPr="00BC74B2" w:rsidRDefault="00944905" w:rsidP="00944905">
            <w:pPr>
              <w:pStyle w:val="ListParagraph"/>
              <w:numPr>
                <w:ilvl w:val="0"/>
                <w:numId w:val="2"/>
              </w:numPr>
              <w:rPr>
                <w:rFonts w:ascii="Gill Sans MT" w:hAnsi="Gill Sans MT"/>
                <w:bCs/>
                <w:szCs w:val="22"/>
              </w:rPr>
            </w:pPr>
            <w:r w:rsidRPr="00BC74B2">
              <w:rPr>
                <w:rFonts w:ascii="Gill Sans MT" w:hAnsi="Gill Sans MT"/>
                <w:bCs/>
                <w:szCs w:val="22"/>
              </w:rPr>
              <w:t>No shelter or improvised/inadequate dwelling</w:t>
            </w:r>
          </w:p>
          <w:p w14:paraId="40F01F85" w14:textId="77777777" w:rsidR="00944905" w:rsidRPr="00BC74B2" w:rsidRDefault="00944905" w:rsidP="00944905">
            <w:pPr>
              <w:pStyle w:val="ListParagraph"/>
              <w:numPr>
                <w:ilvl w:val="0"/>
                <w:numId w:val="2"/>
              </w:numPr>
              <w:rPr>
                <w:rFonts w:ascii="Gill Sans MT" w:hAnsi="Gill Sans MT"/>
                <w:bCs/>
                <w:szCs w:val="22"/>
              </w:rPr>
            </w:pPr>
            <w:r w:rsidRPr="00BC74B2">
              <w:rPr>
                <w:rFonts w:ascii="Gill Sans MT" w:hAnsi="Gill Sans MT"/>
                <w:bCs/>
                <w:szCs w:val="22"/>
              </w:rPr>
              <w:t>Other homeless</w:t>
            </w:r>
          </w:p>
        </w:tc>
        <w:tc>
          <w:tcPr>
            <w:tcW w:w="1701" w:type="dxa"/>
          </w:tcPr>
          <w:p w14:paraId="56F619EA"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50</w:t>
            </w:r>
          </w:p>
        </w:tc>
        <w:tc>
          <w:tcPr>
            <w:tcW w:w="1701" w:type="dxa"/>
          </w:tcPr>
          <w:p w14:paraId="3A4D15BA"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83</w:t>
            </w:r>
          </w:p>
        </w:tc>
        <w:tc>
          <w:tcPr>
            <w:tcW w:w="1701" w:type="dxa"/>
          </w:tcPr>
          <w:p w14:paraId="3A4753BE"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78</w:t>
            </w:r>
          </w:p>
        </w:tc>
      </w:tr>
      <w:tr w:rsidR="00944905" w:rsidRPr="00BC74B2" w14:paraId="29C09226" w14:textId="77777777" w:rsidTr="002F533B">
        <w:trPr>
          <w:trHeight w:val="77"/>
        </w:trPr>
        <w:tc>
          <w:tcPr>
            <w:tcW w:w="3628" w:type="dxa"/>
          </w:tcPr>
          <w:p w14:paraId="70763E0B" w14:textId="77777777" w:rsidR="00944905" w:rsidRPr="00BC74B2" w:rsidRDefault="00944905" w:rsidP="002F533B">
            <w:pPr>
              <w:rPr>
                <w:rFonts w:ascii="Gill Sans MT" w:hAnsi="Gill Sans MT"/>
                <w:bCs/>
                <w:sz w:val="22"/>
                <w:szCs w:val="22"/>
                <w:lang w:val="en-AU"/>
              </w:rPr>
            </w:pPr>
            <w:r w:rsidRPr="00BC74B2">
              <w:rPr>
                <w:rFonts w:ascii="Gill Sans MT" w:hAnsi="Gill Sans MT"/>
                <w:bCs/>
                <w:sz w:val="22"/>
                <w:szCs w:val="22"/>
                <w:lang w:val="en-AU"/>
              </w:rPr>
              <w:t>Secure accommodation:</w:t>
            </w:r>
          </w:p>
          <w:p w14:paraId="0337259C" w14:textId="77777777" w:rsidR="00944905" w:rsidRPr="00BC74B2" w:rsidRDefault="00944905" w:rsidP="00944905">
            <w:pPr>
              <w:pStyle w:val="ListParagraph"/>
              <w:numPr>
                <w:ilvl w:val="0"/>
                <w:numId w:val="2"/>
              </w:numPr>
              <w:rPr>
                <w:rFonts w:ascii="Gill Sans MT" w:hAnsi="Gill Sans MT"/>
                <w:bCs/>
                <w:szCs w:val="22"/>
              </w:rPr>
            </w:pPr>
            <w:r w:rsidRPr="00BC74B2">
              <w:rPr>
                <w:rFonts w:ascii="Gill Sans MT" w:hAnsi="Gill Sans MT"/>
                <w:bCs/>
                <w:szCs w:val="22"/>
              </w:rPr>
              <w:t>Public or community housing</w:t>
            </w:r>
          </w:p>
          <w:p w14:paraId="75AA7DA7" w14:textId="77777777" w:rsidR="00944905" w:rsidRPr="00BC74B2" w:rsidRDefault="00944905" w:rsidP="00944905">
            <w:pPr>
              <w:pStyle w:val="ListParagraph"/>
              <w:numPr>
                <w:ilvl w:val="0"/>
                <w:numId w:val="2"/>
              </w:numPr>
              <w:rPr>
                <w:rFonts w:ascii="Gill Sans MT" w:hAnsi="Gill Sans MT"/>
                <w:bCs/>
                <w:szCs w:val="22"/>
              </w:rPr>
            </w:pPr>
            <w:r w:rsidRPr="00BC74B2">
              <w:rPr>
                <w:rFonts w:ascii="Gill Sans MT" w:hAnsi="Gill Sans MT"/>
                <w:bCs/>
                <w:szCs w:val="22"/>
              </w:rPr>
              <w:t>Private or other housing</w:t>
            </w:r>
          </w:p>
        </w:tc>
        <w:tc>
          <w:tcPr>
            <w:tcW w:w="1701" w:type="dxa"/>
          </w:tcPr>
          <w:p w14:paraId="28A3616A"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1 178</w:t>
            </w:r>
          </w:p>
        </w:tc>
        <w:tc>
          <w:tcPr>
            <w:tcW w:w="1701" w:type="dxa"/>
          </w:tcPr>
          <w:p w14:paraId="1EDCDFB9"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725</w:t>
            </w:r>
          </w:p>
        </w:tc>
        <w:tc>
          <w:tcPr>
            <w:tcW w:w="1701" w:type="dxa"/>
          </w:tcPr>
          <w:p w14:paraId="1A7F893C"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744</w:t>
            </w:r>
          </w:p>
        </w:tc>
      </w:tr>
      <w:tr w:rsidR="00944905" w:rsidRPr="00BC74B2" w14:paraId="39921502" w14:textId="77777777" w:rsidTr="002F533B">
        <w:trPr>
          <w:trHeight w:val="77"/>
        </w:trPr>
        <w:tc>
          <w:tcPr>
            <w:tcW w:w="3628" w:type="dxa"/>
          </w:tcPr>
          <w:p w14:paraId="5BB37CFE" w14:textId="77777777" w:rsidR="00944905" w:rsidRPr="00BC74B2" w:rsidRDefault="00944905" w:rsidP="002F533B">
            <w:pPr>
              <w:rPr>
                <w:rFonts w:ascii="Gill Sans MT" w:hAnsi="Gill Sans MT"/>
                <w:bCs/>
                <w:sz w:val="22"/>
                <w:szCs w:val="22"/>
                <w:lang w:val="en-AU"/>
              </w:rPr>
            </w:pPr>
            <w:r w:rsidRPr="00BC74B2">
              <w:rPr>
                <w:rFonts w:ascii="Gill Sans MT" w:hAnsi="Gill Sans MT"/>
                <w:bCs/>
                <w:sz w:val="22"/>
                <w:szCs w:val="22"/>
                <w:lang w:val="en-AU"/>
              </w:rPr>
              <w:t>Other</w:t>
            </w:r>
          </w:p>
        </w:tc>
        <w:tc>
          <w:tcPr>
            <w:tcW w:w="1701" w:type="dxa"/>
          </w:tcPr>
          <w:p w14:paraId="0FCEF72A"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362</w:t>
            </w:r>
          </w:p>
        </w:tc>
        <w:tc>
          <w:tcPr>
            <w:tcW w:w="1701" w:type="dxa"/>
          </w:tcPr>
          <w:p w14:paraId="11ECC666"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745</w:t>
            </w:r>
          </w:p>
        </w:tc>
        <w:tc>
          <w:tcPr>
            <w:tcW w:w="1701" w:type="dxa"/>
          </w:tcPr>
          <w:p w14:paraId="4383FD1D" w14:textId="77777777" w:rsidR="00944905" w:rsidRPr="00BC74B2" w:rsidRDefault="00944905" w:rsidP="002F533B">
            <w:pPr>
              <w:jc w:val="center"/>
              <w:rPr>
                <w:rFonts w:ascii="Gill Sans MT" w:hAnsi="Gill Sans MT"/>
                <w:bCs/>
                <w:sz w:val="22"/>
                <w:szCs w:val="22"/>
                <w:lang w:val="en-AU"/>
              </w:rPr>
            </w:pPr>
            <w:r w:rsidRPr="00BC74B2">
              <w:rPr>
                <w:rFonts w:ascii="Gill Sans MT" w:hAnsi="Gill Sans MT"/>
                <w:bCs/>
                <w:sz w:val="22"/>
                <w:szCs w:val="22"/>
                <w:lang w:val="en-AU"/>
              </w:rPr>
              <w:t>738</w:t>
            </w:r>
          </w:p>
        </w:tc>
      </w:tr>
      <w:tr w:rsidR="00944905" w:rsidRPr="00BC74B2" w14:paraId="670595D5" w14:textId="77777777" w:rsidTr="002F533B">
        <w:tc>
          <w:tcPr>
            <w:tcW w:w="3628" w:type="dxa"/>
            <w:shd w:val="clear" w:color="auto" w:fill="BFBFBF" w:themeFill="background1" w:themeFillShade="BF"/>
          </w:tcPr>
          <w:p w14:paraId="343CAE8A" w14:textId="77777777" w:rsidR="00944905" w:rsidRPr="00BC74B2" w:rsidRDefault="00944905" w:rsidP="002F533B">
            <w:pPr>
              <w:rPr>
                <w:rFonts w:ascii="Gill Sans MT" w:hAnsi="Gill Sans MT"/>
                <w:b/>
                <w:sz w:val="22"/>
                <w:szCs w:val="22"/>
                <w:lang w:val="en-AU"/>
              </w:rPr>
            </w:pPr>
            <w:r w:rsidRPr="00BC74B2">
              <w:rPr>
                <w:rFonts w:ascii="Gill Sans MT" w:hAnsi="Gill Sans MT"/>
                <w:b/>
                <w:sz w:val="22"/>
                <w:szCs w:val="22"/>
                <w:lang w:val="en-AU"/>
              </w:rPr>
              <w:t>Total</w:t>
            </w:r>
          </w:p>
        </w:tc>
        <w:tc>
          <w:tcPr>
            <w:tcW w:w="1701" w:type="dxa"/>
            <w:shd w:val="clear" w:color="auto" w:fill="BFBFBF" w:themeFill="background1" w:themeFillShade="BF"/>
          </w:tcPr>
          <w:p w14:paraId="1700C28C" w14:textId="77777777" w:rsidR="00944905" w:rsidRPr="00BC74B2" w:rsidRDefault="00944905" w:rsidP="002F533B">
            <w:pPr>
              <w:jc w:val="center"/>
              <w:rPr>
                <w:rFonts w:ascii="Gill Sans MT" w:hAnsi="Gill Sans MT"/>
                <w:b/>
                <w:sz w:val="22"/>
                <w:szCs w:val="22"/>
                <w:lang w:val="en-AU"/>
              </w:rPr>
            </w:pPr>
            <w:r w:rsidRPr="00BC74B2">
              <w:rPr>
                <w:rFonts w:ascii="Gill Sans MT" w:hAnsi="Gill Sans MT"/>
                <w:b/>
                <w:sz w:val="22"/>
                <w:szCs w:val="22"/>
                <w:lang w:val="en-AU"/>
              </w:rPr>
              <w:t>1 590</w:t>
            </w:r>
          </w:p>
        </w:tc>
        <w:tc>
          <w:tcPr>
            <w:tcW w:w="1701" w:type="dxa"/>
            <w:shd w:val="clear" w:color="auto" w:fill="BFBFBF" w:themeFill="background1" w:themeFillShade="BF"/>
          </w:tcPr>
          <w:p w14:paraId="1334233E" w14:textId="77777777" w:rsidR="00944905" w:rsidRPr="00BC74B2" w:rsidRDefault="00944905" w:rsidP="002F533B">
            <w:pPr>
              <w:jc w:val="center"/>
              <w:rPr>
                <w:rFonts w:ascii="Gill Sans MT" w:hAnsi="Gill Sans MT"/>
                <w:b/>
                <w:sz w:val="22"/>
                <w:szCs w:val="22"/>
                <w:lang w:val="en-AU"/>
              </w:rPr>
            </w:pPr>
            <w:r w:rsidRPr="00BC74B2">
              <w:rPr>
                <w:rFonts w:ascii="Gill Sans MT" w:hAnsi="Gill Sans MT"/>
                <w:b/>
                <w:sz w:val="22"/>
                <w:szCs w:val="22"/>
                <w:lang w:val="en-AU"/>
              </w:rPr>
              <w:t>1 553</w:t>
            </w:r>
          </w:p>
        </w:tc>
        <w:tc>
          <w:tcPr>
            <w:tcW w:w="1701" w:type="dxa"/>
            <w:shd w:val="clear" w:color="auto" w:fill="BFBFBF" w:themeFill="background1" w:themeFillShade="BF"/>
          </w:tcPr>
          <w:p w14:paraId="5238C5B5" w14:textId="77777777" w:rsidR="00944905" w:rsidRPr="00BC74B2" w:rsidRDefault="00944905" w:rsidP="002F533B">
            <w:pPr>
              <w:jc w:val="center"/>
              <w:rPr>
                <w:rFonts w:ascii="Gill Sans MT" w:hAnsi="Gill Sans MT"/>
                <w:b/>
                <w:sz w:val="22"/>
                <w:szCs w:val="22"/>
                <w:lang w:val="en-AU"/>
              </w:rPr>
            </w:pPr>
            <w:r w:rsidRPr="00BC74B2">
              <w:rPr>
                <w:rFonts w:ascii="Gill Sans MT" w:hAnsi="Gill Sans MT"/>
                <w:b/>
                <w:sz w:val="22"/>
                <w:szCs w:val="22"/>
                <w:lang w:val="en-AU"/>
              </w:rPr>
              <w:t>1 560</w:t>
            </w:r>
          </w:p>
        </w:tc>
      </w:tr>
    </w:tbl>
    <w:p w14:paraId="3E698C82" w14:textId="77777777" w:rsidR="00BC74B2" w:rsidRDefault="00BC74B2" w:rsidP="003E500A">
      <w:pPr>
        <w:pStyle w:val="xmsonormal"/>
        <w:shd w:val="clear" w:color="auto" w:fill="FFFFFF"/>
        <w:spacing w:before="0" w:beforeAutospacing="0" w:after="0" w:afterAutospacing="0"/>
        <w:rPr>
          <w:rFonts w:ascii="Cambria" w:hAnsi="Cambria"/>
          <w:color w:val="000000"/>
          <w:bdr w:val="none" w:sz="0" w:space="0" w:color="auto" w:frame="1"/>
        </w:rPr>
      </w:pPr>
    </w:p>
    <w:p w14:paraId="3F7EE321" w14:textId="3E07703C" w:rsidR="00996D2E" w:rsidRDefault="00996D2E" w:rsidP="003E500A">
      <w:pPr>
        <w:pStyle w:val="xmsonormal"/>
        <w:shd w:val="clear" w:color="auto" w:fill="FFFFFF"/>
        <w:spacing w:before="0" w:beforeAutospacing="0" w:after="0" w:afterAutospacing="0"/>
        <w:rPr>
          <w:rFonts w:ascii="Cambria" w:hAnsi="Cambria"/>
          <w:color w:val="000000"/>
          <w:bdr w:val="none" w:sz="0" w:space="0" w:color="auto" w:frame="1"/>
        </w:rPr>
      </w:pPr>
      <w:r w:rsidRPr="0026470F">
        <w:rPr>
          <w:rFonts w:ascii="Cambria" w:hAnsi="Cambria"/>
          <w:color w:val="000000"/>
          <w:bdr w:val="none" w:sz="0" w:space="0" w:color="auto" w:frame="1"/>
        </w:rPr>
        <w:t>It is imperative that</w:t>
      </w:r>
      <w:r w:rsidR="0026470F" w:rsidRPr="0026470F">
        <w:rPr>
          <w:rFonts w:ascii="Cambria" w:hAnsi="Cambria"/>
          <w:color w:val="000000"/>
          <w:bdr w:val="none" w:sz="0" w:space="0" w:color="auto" w:frame="1"/>
        </w:rPr>
        <w:t xml:space="preserve"> a whole of Government approach is taken to addressing family</w:t>
      </w:r>
      <w:r w:rsidR="0026470F">
        <w:rPr>
          <w:rFonts w:ascii="Cambria" w:hAnsi="Cambria"/>
          <w:color w:val="000000"/>
          <w:bdr w:val="none" w:sz="0" w:space="0" w:color="auto" w:frame="1"/>
        </w:rPr>
        <w:t xml:space="preserve"> and domestic violence</w:t>
      </w:r>
      <w:r w:rsidR="004B0130">
        <w:rPr>
          <w:rFonts w:ascii="Cambria" w:hAnsi="Cambria"/>
          <w:color w:val="000000"/>
          <w:bdr w:val="none" w:sz="0" w:space="0" w:color="auto" w:frame="1"/>
        </w:rPr>
        <w:t xml:space="preserve"> including investing in transitional housing and community education as well as legislative reform. </w:t>
      </w:r>
    </w:p>
    <w:p w14:paraId="49B702A7" w14:textId="0CED969D" w:rsidR="004B0130" w:rsidRDefault="004B0130" w:rsidP="003E500A">
      <w:pPr>
        <w:pStyle w:val="xmsonormal"/>
        <w:shd w:val="clear" w:color="auto" w:fill="FFFFFF"/>
        <w:spacing w:before="0" w:beforeAutospacing="0" w:after="0" w:afterAutospacing="0"/>
        <w:rPr>
          <w:rFonts w:ascii="Cambria" w:hAnsi="Cambria"/>
          <w:color w:val="000000"/>
          <w:bdr w:val="none" w:sz="0" w:space="0" w:color="auto" w:frame="1"/>
        </w:rPr>
      </w:pPr>
    </w:p>
    <w:p w14:paraId="11B7C5A0" w14:textId="248540E3" w:rsidR="004B0130" w:rsidRPr="0026470F" w:rsidRDefault="004B0130" w:rsidP="003E500A">
      <w:pPr>
        <w:pStyle w:val="xmsonormal"/>
        <w:shd w:val="clear" w:color="auto" w:fill="FFFFFF"/>
        <w:spacing w:before="0" w:beforeAutospacing="0" w:after="0" w:afterAutospacing="0"/>
        <w:rPr>
          <w:rFonts w:ascii="Cambria" w:hAnsi="Cambria"/>
          <w:color w:val="000000"/>
          <w:bdr w:val="none" w:sz="0" w:space="0" w:color="auto" w:frame="1"/>
        </w:rPr>
      </w:pPr>
      <w:r>
        <w:rPr>
          <w:rFonts w:ascii="Cambria" w:hAnsi="Cambria"/>
          <w:color w:val="000000"/>
          <w:bdr w:val="none" w:sz="0" w:space="0" w:color="auto" w:frame="1"/>
        </w:rPr>
        <w:t xml:space="preserve">In relation to the Bill, we make the following observations. </w:t>
      </w:r>
    </w:p>
    <w:p w14:paraId="7816C68A" w14:textId="77777777" w:rsidR="00996D2E" w:rsidRDefault="00996D2E" w:rsidP="003E500A">
      <w:pPr>
        <w:pStyle w:val="xmsonormal"/>
        <w:shd w:val="clear" w:color="auto" w:fill="FFFFFF"/>
        <w:spacing w:before="0" w:beforeAutospacing="0" w:after="0" w:afterAutospacing="0"/>
        <w:rPr>
          <w:rFonts w:ascii="Cambria" w:hAnsi="Cambria"/>
          <w:b/>
          <w:bCs/>
          <w:color w:val="000000"/>
          <w:bdr w:val="none" w:sz="0" w:space="0" w:color="auto" w:frame="1"/>
        </w:rPr>
      </w:pPr>
    </w:p>
    <w:p w14:paraId="78597C9F" w14:textId="77777777" w:rsidR="004B0130" w:rsidRPr="004B0130" w:rsidRDefault="004B0130" w:rsidP="004B0130">
      <w:pPr>
        <w:pStyle w:val="xmsonormal"/>
        <w:shd w:val="clear" w:color="auto" w:fill="FFFFFF"/>
        <w:spacing w:before="0" w:beforeAutospacing="0" w:after="0" w:afterAutospacing="0"/>
        <w:jc w:val="both"/>
        <w:rPr>
          <w:rFonts w:ascii="Cambria" w:hAnsi="Cambria"/>
          <w:b/>
          <w:bCs/>
          <w:color w:val="000000"/>
          <w:bdr w:val="none" w:sz="0" w:space="0" w:color="auto" w:frame="1"/>
        </w:rPr>
      </w:pPr>
      <w:r w:rsidRPr="004B0130">
        <w:rPr>
          <w:rFonts w:ascii="Cambria" w:hAnsi="Cambria"/>
          <w:b/>
          <w:bCs/>
          <w:color w:val="000000"/>
          <w:bdr w:val="none" w:sz="0" w:space="0" w:color="auto" w:frame="1"/>
        </w:rPr>
        <w:t>Serial family violence perpetrator</w:t>
      </w:r>
    </w:p>
    <w:p w14:paraId="20BE6BAD" w14:textId="5BEBB8E2" w:rsidR="00CE5AF0" w:rsidRDefault="004B0130" w:rsidP="009E60D3">
      <w:pPr>
        <w:pStyle w:val="xmsonormal"/>
        <w:shd w:val="clear" w:color="auto" w:fill="FFFFFF"/>
        <w:spacing w:before="0" w:beforeAutospacing="0" w:after="0" w:afterAutospacing="0"/>
        <w:jc w:val="both"/>
        <w:rPr>
          <w:rFonts w:ascii="Cambria" w:hAnsi="Cambria"/>
          <w:color w:val="000000"/>
          <w:bdr w:val="none" w:sz="0" w:space="0" w:color="auto" w:frame="1"/>
        </w:rPr>
      </w:pPr>
      <w:r w:rsidRPr="003E500A">
        <w:rPr>
          <w:rFonts w:ascii="Cambria" w:hAnsi="Cambria"/>
          <w:color w:val="000000"/>
          <w:bdr w:val="none" w:sz="0" w:space="0" w:color="auto" w:frame="1"/>
        </w:rPr>
        <w:t xml:space="preserve">The principal reform introduced by the Bill is the ability of a court or judge to declare an offender a serial family violence perpetrator. In order for the declaration to be made the offender must be at least 18 years of age and have at least two indictable </w:t>
      </w:r>
      <w:r>
        <w:rPr>
          <w:rFonts w:ascii="Cambria" w:hAnsi="Cambria"/>
          <w:color w:val="000000"/>
          <w:bdr w:val="none" w:sz="0" w:space="0" w:color="auto" w:frame="1"/>
        </w:rPr>
        <w:t xml:space="preserve">offences </w:t>
      </w:r>
      <w:r w:rsidRPr="003E500A">
        <w:rPr>
          <w:rFonts w:ascii="Cambria" w:hAnsi="Cambria"/>
          <w:color w:val="000000"/>
          <w:bdr w:val="none" w:sz="0" w:space="0" w:color="auto" w:frame="1"/>
        </w:rPr>
        <w:t>or three indictable or summary family violence offences that have been recorded on separate days. Anecdotally, we are aware that</w:t>
      </w:r>
      <w:r w:rsidR="00112C62">
        <w:rPr>
          <w:rFonts w:ascii="Cambria" w:hAnsi="Cambria"/>
          <w:color w:val="000000"/>
          <w:bdr w:val="none" w:sz="0" w:space="0" w:color="auto" w:frame="1"/>
        </w:rPr>
        <w:t xml:space="preserve"> </w:t>
      </w:r>
      <w:r w:rsidRPr="003E500A">
        <w:rPr>
          <w:rFonts w:ascii="Cambria" w:hAnsi="Cambria"/>
          <w:color w:val="000000"/>
          <w:bdr w:val="none" w:sz="0" w:space="0" w:color="auto" w:frame="1"/>
        </w:rPr>
        <w:t>assault</w:t>
      </w:r>
      <w:r w:rsidR="00112C62">
        <w:rPr>
          <w:rFonts w:ascii="Cambria" w:hAnsi="Cambria"/>
          <w:color w:val="000000"/>
          <w:bdr w:val="none" w:sz="0" w:space="0" w:color="auto" w:frame="1"/>
        </w:rPr>
        <w:t xml:space="preserve"> is</w:t>
      </w:r>
      <w:r w:rsidRPr="003E500A">
        <w:rPr>
          <w:rFonts w:ascii="Cambria" w:hAnsi="Cambria"/>
          <w:color w:val="000000"/>
          <w:bdr w:val="none" w:sz="0" w:space="0" w:color="auto" w:frame="1"/>
        </w:rPr>
        <w:t xml:space="preserve"> </w:t>
      </w:r>
      <w:r>
        <w:rPr>
          <w:rFonts w:ascii="Cambria" w:hAnsi="Cambria"/>
          <w:color w:val="000000"/>
          <w:bdr w:val="none" w:sz="0" w:space="0" w:color="auto" w:frame="1"/>
        </w:rPr>
        <w:t xml:space="preserve">often </w:t>
      </w:r>
      <w:r w:rsidRPr="003E500A">
        <w:rPr>
          <w:rFonts w:ascii="Cambria" w:hAnsi="Cambria"/>
          <w:color w:val="000000"/>
          <w:bdr w:val="none" w:sz="0" w:space="0" w:color="auto" w:frame="1"/>
        </w:rPr>
        <w:t xml:space="preserve">tried as indictable offences but that other forms of abuse including economic and emotional abuse are </w:t>
      </w:r>
      <w:r w:rsidR="00CE5AF0">
        <w:rPr>
          <w:rFonts w:ascii="Cambria" w:hAnsi="Cambria"/>
          <w:color w:val="000000"/>
          <w:bdr w:val="none" w:sz="0" w:space="0" w:color="auto" w:frame="1"/>
        </w:rPr>
        <w:t xml:space="preserve">often </w:t>
      </w:r>
      <w:r w:rsidRPr="003E500A">
        <w:rPr>
          <w:rFonts w:ascii="Cambria" w:hAnsi="Cambria"/>
          <w:color w:val="000000"/>
          <w:bdr w:val="none" w:sz="0" w:space="0" w:color="auto" w:frame="1"/>
        </w:rPr>
        <w:t>tried summarily.</w:t>
      </w:r>
      <w:r w:rsidR="00EE2DCD">
        <w:rPr>
          <w:rStyle w:val="xapple-converted-space"/>
          <w:rFonts w:ascii="Cambria" w:hAnsi="Cambria"/>
          <w:color w:val="000000"/>
          <w:bdr w:val="none" w:sz="0" w:space="0" w:color="auto" w:frame="1"/>
        </w:rPr>
        <w:t xml:space="preserve"> </w:t>
      </w:r>
      <w:r w:rsidRPr="003E500A">
        <w:rPr>
          <w:rFonts w:ascii="Cambria" w:hAnsi="Cambria"/>
          <w:color w:val="000000"/>
          <w:bdr w:val="none" w:sz="0" w:space="0" w:color="auto" w:frame="1"/>
        </w:rPr>
        <w:t>We do not believe that in making the declaration there should be any distinction between indictable and summary offences.</w:t>
      </w:r>
      <w:r>
        <w:rPr>
          <w:rFonts w:ascii="Cambria" w:hAnsi="Cambria"/>
          <w:color w:val="000000"/>
          <w:bdr w:val="none" w:sz="0" w:space="0" w:color="auto" w:frame="1"/>
        </w:rPr>
        <w:t xml:space="preserve"> We therefore recommend that the number of indictable or summary </w:t>
      </w:r>
      <w:r w:rsidR="00253B25">
        <w:rPr>
          <w:rFonts w:ascii="Cambria" w:hAnsi="Cambria"/>
          <w:color w:val="000000"/>
          <w:bdr w:val="none" w:sz="0" w:space="0" w:color="auto" w:frame="1"/>
        </w:rPr>
        <w:t>offences</w:t>
      </w:r>
      <w:r w:rsidR="00EE2DCD">
        <w:rPr>
          <w:rFonts w:ascii="Cambria" w:hAnsi="Cambria"/>
          <w:color w:val="000000"/>
          <w:bdr w:val="none" w:sz="0" w:space="0" w:color="auto" w:frame="1"/>
        </w:rPr>
        <w:t xml:space="preserve"> is consistent.</w:t>
      </w:r>
      <w:r w:rsidR="00CE5AF0">
        <w:rPr>
          <w:rFonts w:ascii="Cambria" w:hAnsi="Cambria"/>
          <w:color w:val="000000"/>
          <w:bdr w:val="none" w:sz="0" w:space="0" w:color="auto" w:frame="1"/>
        </w:rPr>
        <w:t xml:space="preserve"> Although there is a concern that unintentional breaches of Police or Family Violence Orders may result in some survivors being declared a </w:t>
      </w:r>
      <w:r w:rsidR="00CE5AF0" w:rsidRPr="003E500A">
        <w:rPr>
          <w:rFonts w:ascii="Cambria" w:hAnsi="Cambria"/>
          <w:color w:val="000000"/>
          <w:bdr w:val="none" w:sz="0" w:space="0" w:color="auto" w:frame="1"/>
        </w:rPr>
        <w:t>serial family violence perpetrator</w:t>
      </w:r>
      <w:r w:rsidR="00CE5AF0">
        <w:rPr>
          <w:rFonts w:ascii="Cambria" w:hAnsi="Cambria"/>
          <w:color w:val="000000"/>
          <w:bdr w:val="none" w:sz="0" w:space="0" w:color="auto" w:frame="1"/>
        </w:rPr>
        <w:t xml:space="preserve">, we believe that there are appropriate safeguards in place, with section 29A(3) providing discretion in the making of the declaration and section 29(4) requiring the court or judge to consider “the nature and circumstances of the family violence offences” and “any other matter that the court or judge considers relevant”.  </w:t>
      </w:r>
    </w:p>
    <w:p w14:paraId="3A328A68" w14:textId="77777777" w:rsidR="009E60D3" w:rsidRDefault="009E60D3" w:rsidP="009E60D3">
      <w:pPr>
        <w:pStyle w:val="xmsonormal"/>
        <w:shd w:val="clear" w:color="auto" w:fill="FFFFFF"/>
        <w:spacing w:before="0" w:beforeAutospacing="0" w:after="0" w:afterAutospacing="0"/>
        <w:jc w:val="both"/>
        <w:rPr>
          <w:rFonts w:ascii="Cambria" w:hAnsi="Cambria"/>
          <w:color w:val="000000"/>
          <w:bdr w:val="none" w:sz="0" w:space="0" w:color="auto" w:frame="1"/>
        </w:rPr>
      </w:pPr>
    </w:p>
    <w:p w14:paraId="7D33A585" w14:textId="78DC6599" w:rsidR="003E500A" w:rsidRPr="009E60D3" w:rsidRDefault="004B0130" w:rsidP="009E60D3">
      <w:pPr>
        <w:pStyle w:val="xmsonormal"/>
        <w:shd w:val="clear" w:color="auto" w:fill="FFFFFF"/>
        <w:spacing w:before="0" w:beforeAutospacing="0" w:after="0" w:afterAutospacing="0"/>
        <w:jc w:val="both"/>
        <w:rPr>
          <w:rFonts w:ascii="Cambria" w:hAnsi="Cambria"/>
          <w:color w:val="000000"/>
          <w:bdr w:val="none" w:sz="0" w:space="0" w:color="auto" w:frame="1"/>
        </w:rPr>
      </w:pPr>
      <w:r>
        <w:rPr>
          <w:rFonts w:ascii="Cambria" w:hAnsi="Cambria"/>
          <w:b/>
          <w:bCs/>
          <w:color w:val="000000"/>
          <w:bdr w:val="none" w:sz="0" w:space="0" w:color="auto" w:frame="1"/>
        </w:rPr>
        <w:t>B</w:t>
      </w:r>
      <w:r w:rsidR="003E500A" w:rsidRPr="003E500A">
        <w:rPr>
          <w:rFonts w:ascii="Cambria" w:hAnsi="Cambria"/>
          <w:b/>
          <w:bCs/>
          <w:color w:val="000000"/>
          <w:bdr w:val="none" w:sz="0" w:space="0" w:color="auto" w:frame="1"/>
        </w:rPr>
        <w:t>ehaviour chang</w:t>
      </w:r>
      <w:r>
        <w:rPr>
          <w:rFonts w:ascii="Cambria" w:hAnsi="Cambria"/>
          <w:b/>
          <w:bCs/>
          <w:color w:val="000000"/>
          <w:bdr w:val="none" w:sz="0" w:space="0" w:color="auto" w:frame="1"/>
        </w:rPr>
        <w:t>e</w:t>
      </w:r>
      <w:r w:rsidR="003E500A" w:rsidRPr="003E500A">
        <w:rPr>
          <w:rFonts w:ascii="Cambria" w:hAnsi="Cambria"/>
          <w:b/>
          <w:bCs/>
          <w:color w:val="000000"/>
          <w:bdr w:val="none" w:sz="0" w:space="0" w:color="auto" w:frame="1"/>
        </w:rPr>
        <w:t xml:space="preserve"> programs </w:t>
      </w:r>
      <w:r w:rsidR="003E500A" w:rsidRPr="003E500A">
        <w:rPr>
          <w:color w:val="000000"/>
          <w:bdr w:val="none" w:sz="0" w:space="0" w:color="auto" w:frame="1"/>
        </w:rPr>
        <w:t> </w:t>
      </w:r>
    </w:p>
    <w:p w14:paraId="69FC9B70" w14:textId="727B131B" w:rsidR="00974BEE" w:rsidRPr="00112C62" w:rsidRDefault="00974BEE" w:rsidP="00974BEE">
      <w:pPr>
        <w:pStyle w:val="NoSpacing"/>
        <w:shd w:val="clear" w:color="auto" w:fill="FFFFFF"/>
        <w:jc w:val="both"/>
        <w:rPr>
          <w:rFonts w:ascii="Cambria" w:hAnsi="Cambria"/>
          <w:color w:val="000000"/>
          <w:bdr w:val="none" w:sz="0" w:space="0" w:color="auto" w:frame="1"/>
        </w:rPr>
      </w:pPr>
      <w:r w:rsidRPr="00112C62">
        <w:rPr>
          <w:rFonts w:ascii="Cambria" w:hAnsi="Cambria"/>
          <w:color w:val="000000"/>
          <w:bdr w:val="none" w:sz="0" w:space="0" w:color="auto" w:frame="1"/>
        </w:rPr>
        <w:t xml:space="preserve">The Sentencing Advisory Council reviewed breaches </w:t>
      </w:r>
      <w:r>
        <w:rPr>
          <w:rFonts w:ascii="Cambria" w:hAnsi="Cambria"/>
          <w:color w:val="000000"/>
          <w:bdr w:val="none" w:sz="0" w:space="0" w:color="auto" w:frame="1"/>
        </w:rPr>
        <w:t xml:space="preserve">of family violence orders and police family violence orders </w:t>
      </w:r>
      <w:r w:rsidRPr="00112C62">
        <w:rPr>
          <w:rFonts w:ascii="Cambria" w:hAnsi="Cambria"/>
          <w:color w:val="000000"/>
          <w:bdr w:val="none" w:sz="0" w:space="0" w:color="auto" w:frame="1"/>
        </w:rPr>
        <w:t>in</w:t>
      </w:r>
      <w:r>
        <w:rPr>
          <w:rFonts w:ascii="Cambria" w:hAnsi="Cambria"/>
          <w:color w:val="000000"/>
          <w:bdr w:val="none" w:sz="0" w:space="0" w:color="auto" w:frame="1"/>
        </w:rPr>
        <w:t xml:space="preserve"> its 2015 report</w:t>
      </w:r>
      <w:r w:rsidRPr="00112C62">
        <w:rPr>
          <w:rFonts w:ascii="Cambria" w:hAnsi="Cambria"/>
          <w:color w:val="000000"/>
          <w:bdr w:val="none" w:sz="0" w:space="0" w:color="auto" w:frame="1"/>
        </w:rPr>
        <w:t xml:space="preserve"> </w:t>
      </w:r>
      <w:r w:rsidRPr="00112C62">
        <w:rPr>
          <w:rFonts w:ascii="Cambria" w:hAnsi="Cambria"/>
          <w:i/>
          <w:iCs/>
          <w:color w:val="000000"/>
          <w:bdr w:val="none" w:sz="0" w:space="0" w:color="auto" w:frame="1"/>
          <w:shd w:val="clear" w:color="auto" w:fill="FFFFFF"/>
        </w:rPr>
        <w:t>Sentencing of Adult Family Violence Offenders</w:t>
      </w:r>
      <w:r w:rsidRPr="00112C62">
        <w:rPr>
          <w:rFonts w:ascii="Cambria" w:hAnsi="Cambria"/>
          <w:color w:val="000000"/>
          <w:bdr w:val="none" w:sz="0" w:space="0" w:color="auto" w:frame="1"/>
          <w:shd w:val="clear" w:color="auto" w:fill="FFFFFF"/>
        </w:rPr>
        <w:t>.</w:t>
      </w:r>
      <w:r>
        <w:rPr>
          <w:rStyle w:val="FootnoteReference"/>
          <w:rFonts w:ascii="Cambria" w:hAnsi="Cambria"/>
          <w:color w:val="000000"/>
          <w:bdr w:val="none" w:sz="0" w:space="0" w:color="auto" w:frame="1"/>
          <w:shd w:val="clear" w:color="auto" w:fill="FFFFFF"/>
        </w:rPr>
        <w:footnoteReference w:id="7"/>
      </w:r>
      <w:r>
        <w:rPr>
          <w:rFonts w:ascii="Cambria" w:hAnsi="Cambria"/>
          <w:color w:val="000000"/>
          <w:bdr w:val="none" w:sz="0" w:space="0" w:color="auto" w:frame="1"/>
          <w:shd w:val="clear" w:color="auto" w:fill="FFFFFF"/>
        </w:rPr>
        <w:t xml:space="preserve"> </w:t>
      </w:r>
      <w:r>
        <w:rPr>
          <w:rFonts w:ascii="Cambria" w:hAnsi="Cambria"/>
          <w:color w:val="000000"/>
          <w:bdr w:val="none" w:sz="0" w:space="0" w:color="auto" w:frame="1"/>
          <w:shd w:val="clear" w:color="auto" w:fill="FFFFFF"/>
        </w:rPr>
        <w:lastRenderedPageBreak/>
        <w:t>The data collected</w:t>
      </w:r>
      <w:r w:rsidR="00AC087C">
        <w:rPr>
          <w:rFonts w:ascii="Cambria" w:hAnsi="Cambria"/>
          <w:color w:val="000000"/>
          <w:bdr w:val="none" w:sz="0" w:space="0" w:color="auto" w:frame="1"/>
          <w:shd w:val="clear" w:color="auto" w:fill="FFFFFF"/>
        </w:rPr>
        <w:t xml:space="preserve"> in that report was from </w:t>
      </w:r>
      <w:r>
        <w:rPr>
          <w:rFonts w:ascii="Cambria" w:hAnsi="Cambria"/>
          <w:color w:val="000000"/>
          <w:bdr w:val="none" w:sz="0" w:space="0" w:color="auto" w:frame="1"/>
          <w:shd w:val="clear" w:color="auto" w:fill="FFFFFF"/>
        </w:rPr>
        <w:t>2004/05 – 2013/14</w:t>
      </w:r>
      <w:r w:rsidR="00AC087C">
        <w:rPr>
          <w:rFonts w:ascii="Cambria" w:hAnsi="Cambria"/>
          <w:color w:val="000000"/>
          <w:bdr w:val="none" w:sz="0" w:space="0" w:color="auto" w:frame="1"/>
          <w:shd w:val="clear" w:color="auto" w:fill="FFFFFF"/>
        </w:rPr>
        <w:t xml:space="preserve"> and</w:t>
      </w:r>
      <w:r>
        <w:rPr>
          <w:rFonts w:ascii="Cambria" w:hAnsi="Cambria"/>
          <w:color w:val="000000"/>
          <w:bdr w:val="none" w:sz="0" w:space="0" w:color="auto" w:frame="1"/>
          <w:shd w:val="clear" w:color="auto" w:fill="FFFFFF"/>
        </w:rPr>
        <w:t xml:space="preserve"> can be contrasted with</w:t>
      </w:r>
      <w:r w:rsidR="00251BF9">
        <w:rPr>
          <w:rFonts w:ascii="Cambria" w:hAnsi="Cambria"/>
          <w:color w:val="000000"/>
          <w:bdr w:val="none" w:sz="0" w:space="0" w:color="auto" w:frame="1"/>
          <w:shd w:val="clear" w:color="auto" w:fill="FFFFFF"/>
        </w:rPr>
        <w:t xml:space="preserve"> more recent</w:t>
      </w:r>
      <w:r>
        <w:rPr>
          <w:rFonts w:ascii="Cambria" w:hAnsi="Cambria"/>
          <w:color w:val="000000"/>
          <w:bdr w:val="none" w:sz="0" w:space="0" w:color="auto" w:frame="1"/>
          <w:shd w:val="clear" w:color="auto" w:fill="FFFFFF"/>
        </w:rPr>
        <w:t xml:space="preserve"> sentence</w:t>
      </w:r>
      <w:r w:rsidR="00251BF9">
        <w:rPr>
          <w:rFonts w:ascii="Cambria" w:hAnsi="Cambria"/>
          <w:color w:val="000000"/>
          <w:bdr w:val="none" w:sz="0" w:space="0" w:color="auto" w:frame="1"/>
          <w:shd w:val="clear" w:color="auto" w:fill="FFFFFF"/>
        </w:rPr>
        <w:t>s</w:t>
      </w:r>
      <w:r>
        <w:rPr>
          <w:rFonts w:ascii="Cambria" w:hAnsi="Cambria"/>
          <w:color w:val="000000"/>
          <w:bdr w:val="none" w:sz="0" w:space="0" w:color="auto" w:frame="1"/>
          <w:shd w:val="clear" w:color="auto" w:fill="FFFFFF"/>
        </w:rPr>
        <w:t xml:space="preserve"> imposed in the period 2015/16 – </w:t>
      </w:r>
      <w:r>
        <w:rPr>
          <w:rFonts w:ascii="Cambria" w:hAnsi="Cambria"/>
          <w:color w:val="000000" w:themeColor="text1"/>
        </w:rPr>
        <w:t>2020/</w:t>
      </w:r>
      <w:r w:rsidRPr="00CC4DE9">
        <w:rPr>
          <w:rFonts w:ascii="Cambria" w:hAnsi="Cambria"/>
          <w:color w:val="000000" w:themeColor="text1"/>
        </w:rPr>
        <w:t>21</w:t>
      </w:r>
      <w:r>
        <w:rPr>
          <w:rFonts w:ascii="Cambria" w:hAnsi="Cambria"/>
          <w:color w:val="000000" w:themeColor="text1"/>
        </w:rPr>
        <w:t xml:space="preserve"> as the following graph demonstrates</w:t>
      </w:r>
      <w:r w:rsidR="00251BF9">
        <w:rPr>
          <w:rFonts w:ascii="Cambria" w:hAnsi="Cambria"/>
          <w:color w:val="000000" w:themeColor="text1"/>
        </w:rPr>
        <w:t>:</w:t>
      </w:r>
      <w:r>
        <w:rPr>
          <w:rFonts w:ascii="Cambria" w:hAnsi="Cambria"/>
          <w:color w:val="000000" w:themeColor="text1"/>
        </w:rPr>
        <w:t xml:space="preserve"> </w:t>
      </w:r>
      <w:r w:rsidRPr="00CC4DE9">
        <w:rPr>
          <w:rFonts w:ascii="Cambria" w:hAnsi="Cambria"/>
          <w:color w:val="000000" w:themeColor="text1"/>
        </w:rPr>
        <w:t xml:space="preserve"> </w:t>
      </w:r>
      <w:r>
        <w:rPr>
          <w:rFonts w:ascii="Cambria" w:hAnsi="Cambria"/>
          <w:color w:val="000000"/>
          <w:bdr w:val="none" w:sz="0" w:space="0" w:color="auto" w:frame="1"/>
          <w:shd w:val="clear" w:color="auto" w:fill="FFFFFF"/>
        </w:rPr>
        <w:t xml:space="preserve">  </w:t>
      </w:r>
    </w:p>
    <w:p w14:paraId="1AE3FCEB" w14:textId="77777777" w:rsidR="00974BEE" w:rsidRDefault="00974BEE" w:rsidP="00974BEE">
      <w:pPr>
        <w:pStyle w:val="NoSpacing"/>
        <w:shd w:val="clear" w:color="auto" w:fill="FFFFFF"/>
        <w:jc w:val="both"/>
        <w:rPr>
          <w:rFonts w:ascii="Cambria" w:hAnsi="Cambria"/>
          <w:color w:val="000000" w:themeColor="text1"/>
        </w:rPr>
      </w:pPr>
    </w:p>
    <w:p w14:paraId="376A860F" w14:textId="77777777" w:rsidR="00974BEE" w:rsidRDefault="00974BEE" w:rsidP="00974BEE">
      <w:pPr>
        <w:pStyle w:val="NoSpacing"/>
        <w:shd w:val="clear" w:color="auto" w:fill="FFFFFF"/>
        <w:jc w:val="both"/>
        <w:rPr>
          <w:rFonts w:ascii="Cambria" w:hAnsi="Cambria"/>
          <w:color w:val="000000" w:themeColor="text1"/>
        </w:rPr>
      </w:pPr>
      <w:r>
        <w:rPr>
          <w:rFonts w:ascii="Cambria" w:hAnsi="Cambria"/>
          <w:noProof/>
          <w:color w:val="000000"/>
          <w:bdr w:val="none" w:sz="0" w:space="0" w:color="auto" w:frame="1"/>
        </w:rPr>
        <w:drawing>
          <wp:inline distT="0" distB="0" distL="0" distR="0" wp14:anchorId="23C865E9" wp14:editId="59FA52CA">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A5BA41" w14:textId="77777777" w:rsidR="00974BEE" w:rsidRPr="00EE2DCD" w:rsidRDefault="00974BEE" w:rsidP="00974BEE">
      <w:pPr>
        <w:pStyle w:val="NoSpacing"/>
        <w:shd w:val="clear" w:color="auto" w:fill="FFFFFF"/>
        <w:jc w:val="both"/>
        <w:rPr>
          <w:rFonts w:ascii="Cambria" w:hAnsi="Cambria"/>
          <w:color w:val="000000" w:themeColor="text1"/>
        </w:rPr>
      </w:pPr>
    </w:p>
    <w:p w14:paraId="0D1BDA7B" w14:textId="77777777" w:rsidR="009E60D3" w:rsidRPr="00EE2DCD" w:rsidRDefault="00974BEE" w:rsidP="00974BEE">
      <w:pPr>
        <w:pStyle w:val="NoSpacing"/>
        <w:shd w:val="clear" w:color="auto" w:fill="FFFFFF"/>
        <w:jc w:val="both"/>
        <w:rPr>
          <w:rFonts w:ascii="Cambria" w:hAnsi="Cambria"/>
          <w:color w:val="000000" w:themeColor="text1"/>
          <w:bdr w:val="none" w:sz="0" w:space="0" w:color="auto" w:frame="1"/>
        </w:rPr>
      </w:pPr>
      <w:r w:rsidRPr="00456AC8">
        <w:rPr>
          <w:rFonts w:ascii="Cambria" w:hAnsi="Cambria"/>
          <w:color w:val="000000" w:themeColor="text1"/>
          <w:bdr w:val="none" w:sz="0" w:space="0" w:color="auto" w:frame="1"/>
        </w:rPr>
        <w:t>The graph</w:t>
      </w:r>
      <w:r w:rsidR="009E60D3" w:rsidRPr="00EE2DCD">
        <w:rPr>
          <w:rFonts w:ascii="Cambria" w:hAnsi="Cambria"/>
          <w:color w:val="000000" w:themeColor="text1"/>
          <w:bdr w:val="none" w:sz="0" w:space="0" w:color="auto" w:frame="1"/>
        </w:rPr>
        <w:t xml:space="preserve"> demonstrates </w:t>
      </w:r>
      <w:r w:rsidRPr="00456AC8">
        <w:rPr>
          <w:rFonts w:ascii="Cambria" w:hAnsi="Cambria"/>
          <w:color w:val="000000" w:themeColor="text1"/>
          <w:bdr w:val="none" w:sz="0" w:space="0" w:color="auto" w:frame="1"/>
        </w:rPr>
        <w:t xml:space="preserve">that whilst Magistrates are now more likely to sentence offenders more harshly for minor breaches of a family violence order by imposing a fine instead of a good behaviour bond, they are less likely to impose imprisonment for serious breaches with </w:t>
      </w:r>
      <w:r w:rsidRPr="00EE2DCD">
        <w:rPr>
          <w:rFonts w:ascii="Cambria" w:hAnsi="Cambria"/>
          <w:color w:val="000000" w:themeColor="text1"/>
          <w:bdr w:val="none" w:sz="0" w:space="0" w:color="auto" w:frame="1"/>
        </w:rPr>
        <w:t>14 per cent</w:t>
      </w:r>
      <w:r w:rsidRPr="00456AC8">
        <w:rPr>
          <w:rFonts w:ascii="Cambria" w:hAnsi="Cambria"/>
          <w:color w:val="000000" w:themeColor="text1"/>
          <w:bdr w:val="none" w:sz="0" w:space="0" w:color="auto" w:frame="1"/>
        </w:rPr>
        <w:t xml:space="preserve"> sentenced to imprisonment over the last five years compared with 2</w:t>
      </w:r>
      <w:r w:rsidRPr="00EE2DCD">
        <w:rPr>
          <w:rFonts w:ascii="Cambria" w:hAnsi="Cambria"/>
          <w:color w:val="000000" w:themeColor="text1"/>
          <w:bdr w:val="none" w:sz="0" w:space="0" w:color="auto" w:frame="1"/>
        </w:rPr>
        <w:t>1</w:t>
      </w:r>
      <w:r w:rsidRPr="00456AC8">
        <w:rPr>
          <w:rFonts w:ascii="Cambria" w:hAnsi="Cambria"/>
          <w:color w:val="000000" w:themeColor="text1"/>
          <w:bdr w:val="none" w:sz="0" w:space="0" w:color="auto" w:frame="1"/>
        </w:rPr>
        <w:t xml:space="preserve"> per cent between </w:t>
      </w:r>
      <w:r w:rsidRPr="00456AC8">
        <w:rPr>
          <w:rFonts w:ascii="Cambria" w:hAnsi="Cambria"/>
          <w:color w:val="000000" w:themeColor="text1"/>
          <w:bdr w:val="none" w:sz="0" w:space="0" w:color="auto" w:frame="1"/>
          <w:shd w:val="clear" w:color="auto" w:fill="FFFFFF"/>
        </w:rPr>
        <w:t>2004/05 - 2013/14</w:t>
      </w:r>
      <w:r w:rsidRPr="00456AC8">
        <w:rPr>
          <w:rFonts w:ascii="Cambria" w:hAnsi="Cambria"/>
          <w:color w:val="000000" w:themeColor="text1"/>
          <w:bdr w:val="none" w:sz="0" w:space="0" w:color="auto" w:frame="1"/>
        </w:rPr>
        <w:t>.</w:t>
      </w:r>
      <w:r w:rsidR="009E60D3" w:rsidRPr="00EE2DCD">
        <w:rPr>
          <w:rFonts w:ascii="Cambria" w:hAnsi="Cambria"/>
          <w:color w:val="000000" w:themeColor="text1"/>
          <w:bdr w:val="none" w:sz="0" w:space="0" w:color="auto" w:frame="1"/>
        </w:rPr>
        <w:t xml:space="preserve"> However, as the Sentencing Advisory Council has observed </w:t>
      </w:r>
      <w:r w:rsidR="009E60D3" w:rsidRPr="00EE2DCD">
        <w:rPr>
          <w:rFonts w:ascii="Cambria" w:hAnsi="Cambria"/>
          <w:color w:val="000000" w:themeColor="text1"/>
          <w:bdr w:val="none" w:sz="0" w:space="0" w:color="auto" w:frame="1"/>
          <w:shd w:val="clear" w:color="auto" w:fill="FFFFFF"/>
        </w:rPr>
        <w:t xml:space="preserve"> "the imposition of sanctions alone is not bringing about a change in offender behaviour" and "it may be that a greater investment in rehabilitative interventions and the adoption of a more therapeutic approach to sentencing should be considered".</w:t>
      </w:r>
      <w:r w:rsidR="009E60D3" w:rsidRPr="00EE2DCD">
        <w:rPr>
          <w:rStyle w:val="FootnoteReference"/>
          <w:rFonts w:ascii="Cambria" w:hAnsi="Cambria"/>
          <w:color w:val="000000" w:themeColor="text1"/>
          <w:bdr w:val="none" w:sz="0" w:space="0" w:color="auto" w:frame="1"/>
          <w:shd w:val="clear" w:color="auto" w:fill="FFFFFF"/>
        </w:rPr>
        <w:footnoteReference w:id="8"/>
      </w:r>
      <w:r w:rsidR="009E60D3" w:rsidRPr="00EE2DCD">
        <w:rPr>
          <w:rFonts w:ascii="Cambria" w:hAnsi="Cambria"/>
          <w:color w:val="000000" w:themeColor="text1"/>
          <w:bdr w:val="none" w:sz="0" w:space="0" w:color="auto" w:frame="1"/>
        </w:rPr>
        <w:t xml:space="preserve">  </w:t>
      </w:r>
    </w:p>
    <w:p w14:paraId="15C2B49F" w14:textId="77777777" w:rsidR="009E60D3" w:rsidRPr="00EE2DCD" w:rsidRDefault="009E60D3" w:rsidP="00974BEE">
      <w:pPr>
        <w:pStyle w:val="NoSpacing"/>
        <w:shd w:val="clear" w:color="auto" w:fill="FFFFFF"/>
        <w:jc w:val="both"/>
        <w:rPr>
          <w:rFonts w:ascii="Cambria" w:hAnsi="Cambria"/>
          <w:color w:val="000000" w:themeColor="text1"/>
          <w:bdr w:val="none" w:sz="0" w:space="0" w:color="auto" w:frame="1"/>
        </w:rPr>
      </w:pPr>
    </w:p>
    <w:p w14:paraId="153B6CC4" w14:textId="0099579C" w:rsidR="00974BEE" w:rsidRPr="00F770B9" w:rsidRDefault="00974BEE" w:rsidP="00974BEE">
      <w:pPr>
        <w:pStyle w:val="NoSpacing"/>
        <w:shd w:val="clear" w:color="auto" w:fill="FFFFFF"/>
        <w:jc w:val="both"/>
        <w:rPr>
          <w:rFonts w:ascii="Cambria" w:hAnsi="Cambria"/>
          <w:color w:val="000000" w:themeColor="text1"/>
          <w:bdr w:val="none" w:sz="0" w:space="0" w:color="auto" w:frame="1"/>
        </w:rPr>
      </w:pPr>
      <w:r w:rsidRPr="00F770B9">
        <w:rPr>
          <w:rFonts w:ascii="Cambria" w:hAnsi="Cambria"/>
          <w:color w:val="000000" w:themeColor="text1"/>
          <w:bdr w:val="none" w:sz="0" w:space="0" w:color="auto" w:frame="1"/>
        </w:rPr>
        <w:t>The data does not detail how many offenders sentenced to a good behaviour bond were ordered to participate in a rehabilitation program. As well, although section 8(4) of the </w:t>
      </w:r>
      <w:r w:rsidRPr="00F770B9">
        <w:rPr>
          <w:rFonts w:ascii="Cambria" w:hAnsi="Cambria"/>
          <w:i/>
          <w:iCs/>
          <w:color w:val="000000" w:themeColor="text1"/>
          <w:bdr w:val="none" w:sz="0" w:space="0" w:color="auto" w:frame="1"/>
        </w:rPr>
        <w:t>Sentencing Act 1997</w:t>
      </w:r>
      <w:r w:rsidRPr="00F770B9">
        <w:rPr>
          <w:rFonts w:ascii="Cambria" w:hAnsi="Cambria"/>
          <w:color w:val="000000" w:themeColor="text1"/>
          <w:bdr w:val="none" w:sz="0" w:space="0" w:color="auto" w:frame="1"/>
        </w:rPr>
        <w:t> provides that offenders sentenced to a fine may also be required to participate in a rehabilitation program, it is unclear from the data whether this occurs</w:t>
      </w:r>
      <w:r w:rsidR="006C3B17" w:rsidRPr="00F770B9">
        <w:rPr>
          <w:rFonts w:ascii="Cambria" w:hAnsi="Cambria"/>
          <w:color w:val="000000" w:themeColor="text1"/>
          <w:bdr w:val="none" w:sz="0" w:space="0" w:color="auto" w:frame="1"/>
        </w:rPr>
        <w:t xml:space="preserve"> in practice</w:t>
      </w:r>
      <w:r w:rsidRPr="00F770B9">
        <w:rPr>
          <w:rFonts w:ascii="Cambria" w:hAnsi="Cambria"/>
          <w:color w:val="000000" w:themeColor="text1"/>
          <w:bdr w:val="none" w:sz="0" w:space="0" w:color="auto" w:frame="1"/>
        </w:rPr>
        <w:t>.</w:t>
      </w:r>
      <w:r w:rsidR="006C3B17" w:rsidRPr="00F770B9">
        <w:rPr>
          <w:rFonts w:ascii="Cambria" w:hAnsi="Cambria"/>
          <w:color w:val="000000" w:themeColor="text1"/>
          <w:bdr w:val="none" w:sz="0" w:space="0" w:color="auto" w:frame="1"/>
        </w:rPr>
        <w:t xml:space="preserve"> </w:t>
      </w:r>
      <w:r w:rsidRPr="00F770B9">
        <w:rPr>
          <w:rFonts w:ascii="Cambria" w:hAnsi="Cambria"/>
          <w:color w:val="000000" w:themeColor="text1"/>
          <w:bdr w:val="none" w:sz="0" w:space="0" w:color="auto" w:frame="1"/>
        </w:rPr>
        <w:t xml:space="preserve">The proposed amendment to </w:t>
      </w:r>
      <w:r w:rsidR="006C3B17" w:rsidRPr="00F770B9">
        <w:rPr>
          <w:rFonts w:ascii="Cambria" w:hAnsi="Cambria"/>
          <w:color w:val="000000" w:themeColor="text1"/>
          <w:bdr w:val="none" w:sz="0" w:space="0" w:color="auto" w:frame="1"/>
        </w:rPr>
        <w:t xml:space="preserve">section 16 of the </w:t>
      </w:r>
      <w:r w:rsidR="006C3B17" w:rsidRPr="00F770B9">
        <w:rPr>
          <w:rFonts w:ascii="Cambria" w:hAnsi="Cambria"/>
          <w:i/>
          <w:iCs/>
          <w:color w:val="000000" w:themeColor="text1"/>
          <w:bdr w:val="none" w:sz="0" w:space="0" w:color="auto" w:frame="1"/>
        </w:rPr>
        <w:t>Family Violence Act 2004</w:t>
      </w:r>
      <w:r w:rsidR="006C3B17" w:rsidRPr="00F770B9">
        <w:rPr>
          <w:rFonts w:ascii="Cambria" w:hAnsi="Cambria"/>
          <w:color w:val="000000" w:themeColor="text1"/>
          <w:bdr w:val="none" w:sz="0" w:space="0" w:color="auto" w:frame="1"/>
        </w:rPr>
        <w:t xml:space="preserve"> (Tas)</w:t>
      </w:r>
      <w:r w:rsidRPr="00F770B9">
        <w:rPr>
          <w:rFonts w:ascii="Cambria" w:hAnsi="Cambria"/>
          <w:color w:val="000000" w:themeColor="text1"/>
          <w:bdr w:val="none" w:sz="0" w:space="0" w:color="auto" w:frame="1"/>
        </w:rPr>
        <w:t xml:space="preserve"> to order participation in a rehabilitation program will ensure that the court is addressing the cause of the offending at the same time as </w:t>
      </w:r>
      <w:r w:rsidR="006C3B17" w:rsidRPr="00F770B9">
        <w:rPr>
          <w:rFonts w:ascii="Cambria" w:hAnsi="Cambria"/>
          <w:color w:val="000000" w:themeColor="text1"/>
          <w:bdr w:val="none" w:sz="0" w:space="0" w:color="auto" w:frame="1"/>
        </w:rPr>
        <w:t>allowing for monitoring and/or punishment.</w:t>
      </w:r>
    </w:p>
    <w:p w14:paraId="648EEEA1" w14:textId="77777777" w:rsidR="003E500A" w:rsidRPr="00EE2DCD" w:rsidRDefault="003E500A" w:rsidP="003E500A">
      <w:pPr>
        <w:pStyle w:val="xmsonormal"/>
        <w:shd w:val="clear" w:color="auto" w:fill="FFFFFF"/>
        <w:spacing w:before="0" w:beforeAutospacing="0" w:after="0" w:afterAutospacing="0"/>
        <w:jc w:val="both"/>
        <w:rPr>
          <w:rFonts w:ascii="Calibri" w:hAnsi="Calibri"/>
          <w:color w:val="000000"/>
        </w:rPr>
      </w:pPr>
      <w:r w:rsidRPr="00EE2DCD">
        <w:rPr>
          <w:rFonts w:ascii="Calibri" w:hAnsi="Calibri"/>
          <w:color w:val="000000"/>
          <w:bdr w:val="none" w:sz="0" w:space="0" w:color="auto" w:frame="1"/>
        </w:rPr>
        <w:t> </w:t>
      </w:r>
    </w:p>
    <w:p w14:paraId="5A6577E5" w14:textId="0F086E03" w:rsidR="003E500A" w:rsidRPr="00EE2DCD" w:rsidRDefault="003E500A" w:rsidP="003E500A">
      <w:pPr>
        <w:pStyle w:val="xmsonormal"/>
        <w:shd w:val="clear" w:color="auto" w:fill="FFFFFF"/>
        <w:spacing w:before="0" w:beforeAutospacing="0" w:after="0" w:afterAutospacing="0"/>
        <w:jc w:val="both"/>
        <w:rPr>
          <w:rFonts w:ascii="Calibri" w:hAnsi="Calibri"/>
          <w:color w:val="000000"/>
        </w:rPr>
      </w:pPr>
      <w:r w:rsidRPr="00EE2DCD">
        <w:rPr>
          <w:rFonts w:ascii="Cambria" w:hAnsi="Cambria"/>
          <w:color w:val="000000"/>
          <w:bdr w:val="none" w:sz="0" w:space="0" w:color="auto" w:frame="1"/>
        </w:rPr>
        <w:t xml:space="preserve">Participation in a rehabilitation program as a condition of a Family Violence Order is a reform we strongly support. However, participation is futile if the perpetrator is unsuitable. The additional requirement that an assessment be undertaken to ensure eligibility and suitability is supported. Some offenders may be better suited to alternative </w:t>
      </w:r>
      <w:r w:rsidRPr="00EE2DCD">
        <w:rPr>
          <w:rFonts w:ascii="Cambria" w:hAnsi="Cambria"/>
          <w:color w:val="000000"/>
          <w:bdr w:val="none" w:sz="0" w:space="0" w:color="auto" w:frame="1"/>
        </w:rPr>
        <w:lastRenderedPageBreak/>
        <w:t>forms of rehabilitation to group programs such as</w:t>
      </w:r>
      <w:r w:rsidRPr="00EE2DCD">
        <w:rPr>
          <w:rStyle w:val="xapple-converted-space"/>
          <w:rFonts w:ascii="Cambria" w:hAnsi="Cambria"/>
          <w:color w:val="000000"/>
          <w:bdr w:val="none" w:sz="0" w:space="0" w:color="auto" w:frame="1"/>
        </w:rPr>
        <w:t> </w:t>
      </w:r>
      <w:r w:rsidRPr="00EE2DCD">
        <w:rPr>
          <w:rFonts w:ascii="Cambria" w:hAnsi="Cambria"/>
          <w:color w:val="000000"/>
          <w:bdr w:val="none" w:sz="0" w:space="0" w:color="auto" w:frame="1"/>
        </w:rPr>
        <w:t>the</w:t>
      </w:r>
      <w:r w:rsidRPr="00EE2DCD">
        <w:rPr>
          <w:rStyle w:val="xapple-converted-space"/>
          <w:rFonts w:ascii="Cambria" w:hAnsi="Cambria"/>
          <w:color w:val="000000"/>
          <w:bdr w:val="none" w:sz="0" w:space="0" w:color="auto" w:frame="1"/>
        </w:rPr>
        <w:t> </w:t>
      </w:r>
      <w:r w:rsidRPr="00EE2DCD">
        <w:rPr>
          <w:rFonts w:ascii="Cambria" w:hAnsi="Cambria"/>
          <w:color w:val="000000"/>
          <w:bdr w:val="none" w:sz="0" w:space="0" w:color="auto" w:frame="1"/>
        </w:rPr>
        <w:t>Family Violence Offender Intervention Program (FVOIP) and we therefore recommend that the definition of ‘rehabilitation program’ is broadened to include one-on-one counselling as is the case in the Australian Capital Territory.</w:t>
      </w:r>
      <w:r w:rsidRPr="00EE2DCD">
        <w:rPr>
          <w:rStyle w:val="FootnoteReference"/>
          <w:rFonts w:ascii="Cambria" w:hAnsi="Cambria"/>
          <w:color w:val="000000"/>
          <w:bdr w:val="none" w:sz="0" w:space="0" w:color="auto" w:frame="1"/>
        </w:rPr>
        <w:footnoteReference w:id="9"/>
      </w:r>
    </w:p>
    <w:p w14:paraId="01B56B21" w14:textId="77777777" w:rsidR="003E500A" w:rsidRPr="00EE2DCD" w:rsidRDefault="003E500A" w:rsidP="003E500A">
      <w:pPr>
        <w:pStyle w:val="xmsonormal"/>
        <w:shd w:val="clear" w:color="auto" w:fill="FFFFFF"/>
        <w:spacing w:before="0" w:beforeAutospacing="0" w:after="0" w:afterAutospacing="0"/>
        <w:jc w:val="both"/>
        <w:rPr>
          <w:rFonts w:ascii="Calibri" w:hAnsi="Calibri"/>
          <w:color w:val="000000"/>
        </w:rPr>
      </w:pPr>
      <w:r w:rsidRPr="00EE2DCD">
        <w:rPr>
          <w:rFonts w:ascii="Cambria" w:hAnsi="Cambria"/>
          <w:color w:val="000000"/>
          <w:bdr w:val="none" w:sz="0" w:space="0" w:color="auto" w:frame="1"/>
        </w:rPr>
        <w:t> </w:t>
      </w:r>
    </w:p>
    <w:p w14:paraId="0E9E2751" w14:textId="77777777" w:rsidR="009E60D3" w:rsidRPr="00EE2DCD" w:rsidRDefault="003E500A" w:rsidP="009E60D3">
      <w:pPr>
        <w:pStyle w:val="xmsonormal"/>
        <w:shd w:val="clear" w:color="auto" w:fill="FFFFFF"/>
        <w:spacing w:before="0" w:beforeAutospacing="0" w:after="0" w:afterAutospacing="0"/>
        <w:jc w:val="both"/>
        <w:rPr>
          <w:rFonts w:ascii="Cambria" w:hAnsi="Cambria"/>
          <w:color w:val="000000"/>
          <w:bdr w:val="none" w:sz="0" w:space="0" w:color="auto" w:frame="1"/>
        </w:rPr>
      </w:pPr>
      <w:r w:rsidRPr="00EE2DCD">
        <w:rPr>
          <w:rFonts w:ascii="Cambria" w:hAnsi="Cambria"/>
          <w:color w:val="000000"/>
          <w:bdr w:val="none" w:sz="0" w:space="0" w:color="auto" w:frame="1"/>
        </w:rPr>
        <w:t>According to the Department of Justice’s most recent Annual Report there were 44 participants who commenced the Family Violence Offender Intervention Program (FVOIP) in 2019/20 compared to 80 participants in 2017/18.</w:t>
      </w:r>
      <w:r w:rsidRPr="00EE2DCD">
        <w:rPr>
          <w:rStyle w:val="FootnoteReference"/>
          <w:rFonts w:ascii="Cambria" w:hAnsi="Cambria"/>
          <w:color w:val="000000"/>
          <w:bdr w:val="none" w:sz="0" w:space="0" w:color="auto" w:frame="1"/>
        </w:rPr>
        <w:footnoteReference w:id="10"/>
      </w:r>
      <w:r w:rsidR="004B0130" w:rsidRPr="00EE2DCD">
        <w:rPr>
          <w:rFonts w:ascii="Cambria" w:hAnsi="Cambria"/>
          <w:color w:val="000000"/>
          <w:bdr w:val="none" w:sz="0" w:space="0" w:color="auto" w:frame="1"/>
        </w:rPr>
        <w:t xml:space="preserve"> </w:t>
      </w:r>
      <w:r w:rsidRPr="00EE2DCD">
        <w:rPr>
          <w:rFonts w:ascii="Cambria" w:hAnsi="Cambria"/>
          <w:color w:val="000000"/>
          <w:bdr w:val="none" w:sz="0" w:space="0" w:color="auto" w:frame="1"/>
        </w:rPr>
        <w:t>We strongly recommend that the Department of Justice undertake some modelling on the projected increase in persons found to be both eligible and suitable for a</w:t>
      </w:r>
      <w:r w:rsidR="004B0130" w:rsidRPr="00EE2DCD">
        <w:rPr>
          <w:rFonts w:ascii="Cambria" w:hAnsi="Cambria"/>
          <w:color w:val="000000"/>
          <w:bdr w:val="none" w:sz="0" w:space="0" w:color="auto" w:frame="1"/>
        </w:rPr>
        <w:t xml:space="preserve"> behaviour change </w:t>
      </w:r>
      <w:r w:rsidRPr="00EE2DCD">
        <w:rPr>
          <w:rFonts w:ascii="Cambria" w:hAnsi="Cambria"/>
          <w:color w:val="000000"/>
          <w:bdr w:val="none" w:sz="0" w:space="0" w:color="auto" w:frame="1"/>
        </w:rPr>
        <w:t xml:space="preserve">program. In the event that an increase in participation numbers is likely, additional resources must be </w:t>
      </w:r>
      <w:r w:rsidR="004B0130" w:rsidRPr="00EE2DCD">
        <w:rPr>
          <w:rFonts w:ascii="Cambria" w:hAnsi="Cambria"/>
          <w:color w:val="000000"/>
          <w:bdr w:val="none" w:sz="0" w:space="0" w:color="auto" w:frame="1"/>
        </w:rPr>
        <w:t>made available</w:t>
      </w:r>
      <w:r w:rsidRPr="00EE2DCD">
        <w:rPr>
          <w:rFonts w:ascii="Cambria" w:hAnsi="Cambria"/>
          <w:color w:val="000000"/>
          <w:bdr w:val="none" w:sz="0" w:space="0" w:color="auto" w:frame="1"/>
        </w:rPr>
        <w:t>.</w:t>
      </w:r>
      <w:r w:rsidRPr="00EE2DCD">
        <w:rPr>
          <w:rStyle w:val="xapple-converted-space"/>
          <w:rFonts w:ascii="Cambria" w:hAnsi="Cambria"/>
          <w:color w:val="000000"/>
          <w:bdr w:val="none" w:sz="0" w:space="0" w:color="auto" w:frame="1"/>
        </w:rPr>
        <w:t> </w:t>
      </w:r>
      <w:r w:rsidRPr="00EE2DCD">
        <w:rPr>
          <w:rFonts w:ascii="Cambria" w:hAnsi="Cambria"/>
          <w:color w:val="000000"/>
          <w:bdr w:val="none" w:sz="0" w:space="0" w:color="auto" w:frame="1"/>
        </w:rPr>
        <w:t> </w:t>
      </w:r>
    </w:p>
    <w:p w14:paraId="7BDF0AD5" w14:textId="77777777" w:rsidR="009E60D3" w:rsidRPr="00EE2DCD" w:rsidRDefault="009E60D3" w:rsidP="009E60D3">
      <w:pPr>
        <w:pStyle w:val="xmsonormal"/>
        <w:shd w:val="clear" w:color="auto" w:fill="FFFFFF"/>
        <w:spacing w:before="0" w:beforeAutospacing="0" w:after="0" w:afterAutospacing="0"/>
        <w:jc w:val="both"/>
        <w:rPr>
          <w:rFonts w:ascii="Cambria" w:hAnsi="Cambria"/>
          <w:color w:val="000000"/>
          <w:bdr w:val="none" w:sz="0" w:space="0" w:color="auto" w:frame="1"/>
        </w:rPr>
      </w:pPr>
    </w:p>
    <w:p w14:paraId="43920EF1" w14:textId="3D4CF3B1" w:rsidR="009E60D3" w:rsidRPr="00EE2DCD" w:rsidRDefault="009E60D3" w:rsidP="009E60D3">
      <w:pPr>
        <w:pStyle w:val="xmsonormal"/>
        <w:shd w:val="clear" w:color="auto" w:fill="FFFFFF"/>
        <w:spacing w:before="0" w:beforeAutospacing="0" w:after="0" w:afterAutospacing="0"/>
        <w:jc w:val="both"/>
        <w:rPr>
          <w:rFonts w:ascii="Cambria" w:hAnsi="Cambria"/>
          <w:color w:val="000000"/>
          <w:bdr w:val="none" w:sz="0" w:space="0" w:color="auto" w:frame="1"/>
        </w:rPr>
      </w:pPr>
      <w:r w:rsidRPr="00EE2DCD">
        <w:rPr>
          <w:rFonts w:ascii="Cambria" w:hAnsi="Cambria"/>
          <w:color w:val="000000"/>
          <w:bdr w:val="none" w:sz="0" w:space="0" w:color="auto" w:frame="1"/>
        </w:rPr>
        <w:t xml:space="preserve">We also note that </w:t>
      </w:r>
      <w:r w:rsidRPr="00EE2DCD">
        <w:rPr>
          <w:rFonts w:ascii="Cambria" w:hAnsi="Cambria"/>
          <w:color w:val="000000"/>
          <w:bdr w:val="none" w:sz="0" w:space="0" w:color="auto" w:frame="1"/>
          <w:shd w:val="clear" w:color="auto" w:fill="FFFFFF"/>
        </w:rPr>
        <w:t>d</w:t>
      </w:r>
      <w:r w:rsidRPr="009E60D3">
        <w:rPr>
          <w:rFonts w:ascii="Cambria" w:hAnsi="Cambria"/>
          <w:color w:val="000000"/>
          <w:bdr w:val="none" w:sz="0" w:space="0" w:color="auto" w:frame="1"/>
          <w:shd w:val="clear" w:color="auto" w:fill="FFFFFF"/>
        </w:rPr>
        <w:t xml:space="preserve">rug treatment orders are one of the rehabilitation programs recommended </w:t>
      </w:r>
      <w:r w:rsidRPr="00EE2DCD">
        <w:rPr>
          <w:rFonts w:ascii="Cambria" w:hAnsi="Cambria"/>
          <w:color w:val="000000"/>
          <w:bdr w:val="none" w:sz="0" w:space="0" w:color="auto" w:frame="1"/>
          <w:shd w:val="clear" w:color="auto" w:fill="FFFFFF"/>
        </w:rPr>
        <w:t>by the Sentencing Advisory Council</w:t>
      </w:r>
      <w:r w:rsidRPr="009E60D3">
        <w:rPr>
          <w:rFonts w:ascii="Cambria" w:hAnsi="Cambria"/>
          <w:color w:val="000000"/>
          <w:bdr w:val="none" w:sz="0" w:space="0" w:color="auto" w:frame="1"/>
          <w:shd w:val="clear" w:color="auto" w:fill="FFFFFF"/>
        </w:rPr>
        <w:t xml:space="preserve"> with the research demonstrating a correlation between substance abuse and family violence.</w:t>
      </w:r>
      <w:r w:rsidRPr="00EE2DCD">
        <w:rPr>
          <w:rStyle w:val="FootnoteReference"/>
          <w:rFonts w:ascii="Cambria" w:hAnsi="Cambria"/>
          <w:color w:val="000000"/>
          <w:bdr w:val="none" w:sz="0" w:space="0" w:color="auto" w:frame="1"/>
          <w:shd w:val="clear" w:color="auto" w:fill="FFFFFF"/>
        </w:rPr>
        <w:footnoteReference w:id="11"/>
      </w:r>
      <w:r w:rsidRPr="009E60D3">
        <w:rPr>
          <w:rFonts w:ascii="Cambria" w:hAnsi="Cambria"/>
          <w:color w:val="000000"/>
          <w:bdr w:val="none" w:sz="0" w:space="0" w:color="auto" w:frame="1"/>
          <w:shd w:val="clear" w:color="auto" w:fill="FFFFFF"/>
        </w:rPr>
        <w:t xml:space="preserve"> According to the Sentencing Advisory Council the current eligibility requirement that illicit drug use contributed to the commission of the offence (s27B(1)(b)) "means that a large proportion of offenders who have problems with alcohol abuse are ineligible".</w:t>
      </w:r>
      <w:r w:rsidR="00251BF9">
        <w:rPr>
          <w:rStyle w:val="FootnoteReference"/>
          <w:rFonts w:ascii="Cambria" w:hAnsi="Cambria"/>
          <w:color w:val="000000"/>
          <w:bdr w:val="none" w:sz="0" w:space="0" w:color="auto" w:frame="1"/>
          <w:shd w:val="clear" w:color="auto" w:fill="FFFFFF"/>
        </w:rPr>
        <w:footnoteReference w:id="12"/>
      </w:r>
      <w:r w:rsidRPr="009E60D3">
        <w:rPr>
          <w:rFonts w:ascii="Cambria" w:hAnsi="Cambria"/>
          <w:color w:val="000000"/>
          <w:bdr w:val="none" w:sz="0" w:space="0" w:color="auto" w:frame="1"/>
          <w:shd w:val="clear" w:color="auto" w:fill="FFFFFF"/>
        </w:rPr>
        <w:t xml:space="preserve"> We strongly support extending the eligibility criteria for drug treatment orders to also include offenders who abuse legal drugs including alcohol.</w:t>
      </w:r>
      <w:r w:rsidR="00EE2DCD" w:rsidRPr="00EE2DCD">
        <w:rPr>
          <w:rStyle w:val="FootnoteReference"/>
          <w:rFonts w:ascii="Cambria" w:hAnsi="Cambria"/>
          <w:color w:val="000000"/>
          <w:bdr w:val="none" w:sz="0" w:space="0" w:color="auto" w:frame="1"/>
          <w:shd w:val="clear" w:color="auto" w:fill="FFFFFF"/>
        </w:rPr>
        <w:footnoteReference w:id="13"/>
      </w:r>
      <w:r w:rsidRPr="009E60D3">
        <w:rPr>
          <w:rFonts w:ascii="Cambria" w:hAnsi="Cambria"/>
          <w:color w:val="000000"/>
          <w:bdr w:val="none" w:sz="0" w:space="0" w:color="auto" w:frame="1"/>
          <w:shd w:val="clear" w:color="auto" w:fill="FFFFFF"/>
        </w:rPr>
        <w:t> </w:t>
      </w:r>
    </w:p>
    <w:p w14:paraId="4FCF6501" w14:textId="77777777" w:rsidR="001A5671" w:rsidRPr="00EE2DCD" w:rsidRDefault="001A5671" w:rsidP="003E500A">
      <w:pPr>
        <w:pStyle w:val="xmsonormal"/>
        <w:shd w:val="clear" w:color="auto" w:fill="FFFFFF"/>
        <w:spacing w:before="0" w:beforeAutospacing="0" w:after="0" w:afterAutospacing="0"/>
        <w:jc w:val="both"/>
        <w:rPr>
          <w:rFonts w:ascii="Cambria" w:hAnsi="Cambria"/>
          <w:color w:val="000000"/>
          <w:bdr w:val="none" w:sz="0" w:space="0" w:color="auto" w:frame="1"/>
        </w:rPr>
      </w:pPr>
    </w:p>
    <w:p w14:paraId="276A87D9" w14:textId="77777777" w:rsidR="001A5671" w:rsidRPr="00EE2DCD" w:rsidRDefault="001A5671" w:rsidP="001A5671">
      <w:pPr>
        <w:pStyle w:val="xmsonormal"/>
        <w:shd w:val="clear" w:color="auto" w:fill="FFFFFF"/>
        <w:spacing w:before="0" w:beforeAutospacing="0" w:after="0" w:afterAutospacing="0"/>
        <w:jc w:val="both"/>
        <w:rPr>
          <w:rFonts w:ascii="Calibri" w:hAnsi="Calibri"/>
          <w:color w:val="000000"/>
        </w:rPr>
      </w:pPr>
      <w:r w:rsidRPr="00EE2DCD">
        <w:rPr>
          <w:rFonts w:ascii="Cambria" w:hAnsi="Cambria"/>
          <w:color w:val="000000"/>
          <w:bdr w:val="none" w:sz="0" w:space="0" w:color="auto" w:frame="1"/>
        </w:rPr>
        <w:t>Finally, we note that section 13(b) of the </w:t>
      </w:r>
      <w:r w:rsidRPr="00EE2DCD">
        <w:rPr>
          <w:rFonts w:ascii="Cambria" w:hAnsi="Cambria"/>
          <w:i/>
          <w:iCs/>
          <w:color w:val="000000"/>
          <w:bdr w:val="none" w:sz="0" w:space="0" w:color="auto" w:frame="1"/>
        </w:rPr>
        <w:t>Family Violence Act 2004</w:t>
      </w:r>
      <w:r w:rsidRPr="00EE2DCD">
        <w:rPr>
          <w:rFonts w:ascii="Cambria" w:hAnsi="Cambria"/>
          <w:color w:val="000000"/>
          <w:bdr w:val="none" w:sz="0" w:space="0" w:color="auto" w:frame="1"/>
        </w:rPr>
        <w:t> (Tas) currently provides that in determining the sentence for a family violence offender the court or judge is to “take into account the results of any rehabilitation program assessment undertaken in respect of the offender”. It is our understanding that enrolment or mere attendance is used by some defence lawyers as a mitigating factor. We strongly recommend that section 13(b) is amended so that reference is made to participants having “genuinely and actively engaged” in the rehabilitation program. </w:t>
      </w:r>
      <w:r w:rsidRPr="00EE2DCD">
        <w:rPr>
          <w:rFonts w:ascii="Calibri" w:hAnsi="Calibri"/>
          <w:color w:val="000000"/>
          <w:bdr w:val="none" w:sz="0" w:space="0" w:color="auto" w:frame="1"/>
        </w:rPr>
        <w:t>  </w:t>
      </w:r>
      <w:bookmarkStart w:id="0" w:name="OLE_LINK1"/>
    </w:p>
    <w:p w14:paraId="04F39F0B" w14:textId="77777777" w:rsidR="001A5671" w:rsidRPr="00EE2DCD" w:rsidRDefault="001A5671" w:rsidP="001A5671">
      <w:pPr>
        <w:pStyle w:val="xmsonormal"/>
        <w:shd w:val="clear" w:color="auto" w:fill="FFFFFF"/>
        <w:spacing w:before="0" w:beforeAutospacing="0" w:after="0" w:afterAutospacing="0"/>
        <w:jc w:val="both"/>
        <w:rPr>
          <w:rFonts w:ascii="Calibri" w:hAnsi="Calibri"/>
          <w:color w:val="000000"/>
        </w:rPr>
      </w:pPr>
    </w:p>
    <w:p w14:paraId="5EC65731" w14:textId="3CEA560A" w:rsidR="00914BBA" w:rsidRPr="00EE2DCD" w:rsidRDefault="00914BBA" w:rsidP="001A5671">
      <w:pPr>
        <w:pStyle w:val="xmsonormal"/>
        <w:shd w:val="clear" w:color="auto" w:fill="FFFFFF"/>
        <w:spacing w:before="0" w:beforeAutospacing="0" w:after="0" w:afterAutospacing="0"/>
        <w:jc w:val="both"/>
        <w:rPr>
          <w:rFonts w:ascii="Calibri" w:hAnsi="Calibri"/>
          <w:color w:val="000000"/>
        </w:rPr>
      </w:pPr>
      <w:r w:rsidRPr="00EE2DCD">
        <w:rPr>
          <w:rFonts w:ascii="Cambria" w:hAnsi="Cambria"/>
        </w:rPr>
        <w:t xml:space="preserve">If you have any queries, or would like to discuss our submission further, please do not hesitate to contact us. </w:t>
      </w:r>
    </w:p>
    <w:p w14:paraId="7A0BD63A" w14:textId="77777777" w:rsidR="00914BBA" w:rsidRPr="00EE2DCD" w:rsidRDefault="00914BBA" w:rsidP="00914BBA">
      <w:pPr>
        <w:rPr>
          <w:rFonts w:ascii="Cambria" w:hAnsi="Cambria"/>
          <w:lang w:val="en-AU"/>
        </w:rPr>
      </w:pPr>
    </w:p>
    <w:p w14:paraId="332670B3" w14:textId="77777777" w:rsidR="00914BBA" w:rsidRPr="00EE2DCD" w:rsidRDefault="00914BBA" w:rsidP="00914BBA">
      <w:pPr>
        <w:rPr>
          <w:rFonts w:ascii="Cambria" w:hAnsi="Cambria"/>
          <w:lang w:val="en-AU"/>
        </w:rPr>
      </w:pPr>
      <w:r w:rsidRPr="00EE2DCD">
        <w:rPr>
          <w:rFonts w:ascii="Cambria" w:hAnsi="Cambria"/>
          <w:lang w:val="en-AU"/>
        </w:rPr>
        <w:t>Yours faithfully,</w:t>
      </w:r>
    </w:p>
    <w:bookmarkEnd w:id="0"/>
    <w:p w14:paraId="64BE3FCB" w14:textId="77777777" w:rsidR="00914BBA" w:rsidRPr="00EE2DCD" w:rsidRDefault="00914BBA" w:rsidP="00914BBA">
      <w:pPr>
        <w:rPr>
          <w:rFonts w:ascii="Cambria" w:hAnsi="Cambria"/>
          <w:lang w:val="en-AU"/>
        </w:rPr>
      </w:pPr>
    </w:p>
    <w:p w14:paraId="71A2347F" w14:textId="77777777" w:rsidR="00914BBA" w:rsidRPr="00EE2DCD" w:rsidRDefault="00914BBA" w:rsidP="00914BBA">
      <w:pPr>
        <w:rPr>
          <w:rFonts w:ascii="Cambria" w:hAnsi="Cambria"/>
          <w:lang w:val="en-AU"/>
        </w:rPr>
      </w:pPr>
    </w:p>
    <w:p w14:paraId="76C4DF99" w14:textId="77777777" w:rsidR="00914BBA" w:rsidRPr="00EE2DCD" w:rsidRDefault="00914BBA" w:rsidP="00914BBA">
      <w:pPr>
        <w:rPr>
          <w:rFonts w:ascii="Cambria" w:hAnsi="Cambria"/>
          <w:lang w:val="en-AU"/>
        </w:rPr>
      </w:pPr>
      <w:r w:rsidRPr="00EE2DCD">
        <w:rPr>
          <w:rFonts w:ascii="Cambria" w:hAnsi="Cambria"/>
          <w:lang w:val="en-AU"/>
        </w:rPr>
        <w:t>Benedict Bartl</w:t>
      </w:r>
    </w:p>
    <w:p w14:paraId="79C2ED56" w14:textId="77777777" w:rsidR="00914BBA" w:rsidRPr="00EE2DCD" w:rsidRDefault="00914BBA" w:rsidP="00914BBA">
      <w:pPr>
        <w:rPr>
          <w:rFonts w:ascii="Cambria" w:hAnsi="Cambria"/>
          <w:lang w:val="en-AU"/>
        </w:rPr>
      </w:pPr>
      <w:r w:rsidRPr="00EE2DCD">
        <w:rPr>
          <w:rFonts w:ascii="Cambria" w:hAnsi="Cambria"/>
          <w:lang w:val="en-AU"/>
        </w:rPr>
        <w:t>Policy Officer</w:t>
      </w:r>
    </w:p>
    <w:p w14:paraId="40F398DF" w14:textId="173BDCE1" w:rsidR="005F1C09" w:rsidRPr="00251BF9" w:rsidRDefault="00914BBA" w:rsidP="00251BF9">
      <w:pPr>
        <w:pBdr>
          <w:bottom w:val="single" w:sz="6" w:space="1" w:color="auto"/>
        </w:pBdr>
        <w:rPr>
          <w:rFonts w:ascii="Cambria" w:hAnsi="Cambria"/>
          <w:b/>
          <w:bCs/>
          <w:lang w:val="en-AU"/>
        </w:rPr>
      </w:pPr>
      <w:r w:rsidRPr="00EE2DCD">
        <w:rPr>
          <w:rFonts w:ascii="Cambria" w:hAnsi="Cambria"/>
          <w:b/>
          <w:bCs/>
          <w:lang w:val="en-AU"/>
        </w:rPr>
        <w:t>Community Legal Centres Tasmania</w:t>
      </w:r>
    </w:p>
    <w:sectPr w:rsidR="005F1C09" w:rsidRPr="00251BF9" w:rsidSect="00215FCE">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4DC1C" w14:textId="77777777" w:rsidR="0046403D" w:rsidRDefault="0046403D" w:rsidP="00914BBA">
      <w:r>
        <w:separator/>
      </w:r>
    </w:p>
  </w:endnote>
  <w:endnote w:type="continuationSeparator" w:id="0">
    <w:p w14:paraId="54B43A90" w14:textId="77777777" w:rsidR="0046403D" w:rsidRDefault="0046403D" w:rsidP="0091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1108557"/>
      <w:docPartObj>
        <w:docPartGallery w:val="Page Numbers (Bottom of Page)"/>
        <w:docPartUnique/>
      </w:docPartObj>
    </w:sdtPr>
    <w:sdtEndPr>
      <w:rPr>
        <w:rStyle w:val="PageNumber"/>
      </w:rPr>
    </w:sdtEndPr>
    <w:sdtContent>
      <w:p w14:paraId="71DC7D8F" w14:textId="77777777" w:rsidR="00B90B1A" w:rsidRDefault="000337FF"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9DC8C" w14:textId="77777777" w:rsidR="00B90B1A" w:rsidRDefault="0046403D"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691377"/>
      <w:docPartObj>
        <w:docPartGallery w:val="Page Numbers (Bottom of Page)"/>
        <w:docPartUnique/>
      </w:docPartObj>
    </w:sdtPr>
    <w:sdtEndPr>
      <w:rPr>
        <w:rStyle w:val="PageNumber"/>
      </w:rPr>
    </w:sdtEndPr>
    <w:sdtContent>
      <w:p w14:paraId="070FED7F" w14:textId="77777777" w:rsidR="00B90B1A" w:rsidRDefault="000337FF"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16DFDB" w14:textId="77777777" w:rsidR="00B90B1A" w:rsidRDefault="0046403D"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C783F" w14:textId="77777777" w:rsidR="0046403D" w:rsidRDefault="0046403D" w:rsidP="00914BBA">
      <w:r>
        <w:separator/>
      </w:r>
    </w:p>
  </w:footnote>
  <w:footnote w:type="continuationSeparator" w:id="0">
    <w:p w14:paraId="73F1DDDD" w14:textId="77777777" w:rsidR="0046403D" w:rsidRDefault="0046403D" w:rsidP="00914BBA">
      <w:r>
        <w:continuationSeparator/>
      </w:r>
    </w:p>
  </w:footnote>
  <w:footnote w:id="1">
    <w:p w14:paraId="78D39CF6" w14:textId="77777777" w:rsidR="00914BBA" w:rsidRPr="00251BF9" w:rsidRDefault="00914BBA" w:rsidP="00914BBA">
      <w:pPr>
        <w:pStyle w:val="FootnoteText"/>
        <w:rPr>
          <w:rFonts w:ascii="Cambria" w:hAnsi="Cambria"/>
          <w:lang w:val="en-AU"/>
        </w:rPr>
      </w:pPr>
      <w:r w:rsidRPr="00251BF9">
        <w:rPr>
          <w:rStyle w:val="FootnoteReference"/>
          <w:rFonts w:ascii="Cambria" w:hAnsi="Cambria"/>
          <w:lang w:val="en-AU"/>
        </w:rPr>
        <w:footnoteRef/>
      </w:r>
      <w:r w:rsidRPr="00251BF9">
        <w:rPr>
          <w:rFonts w:ascii="Cambria" w:hAnsi="Cambria"/>
          <w:lang w:val="en-AU"/>
        </w:rPr>
        <w:t xml:space="preserve"> </w:t>
      </w:r>
      <w:r w:rsidRPr="00251BF9">
        <w:rPr>
          <w:rFonts w:ascii="Cambria" w:hAnsi="Cambria"/>
          <w:sz w:val="20"/>
          <w:szCs w:val="20"/>
          <w:lang w:val="en-AU"/>
        </w:rPr>
        <w:t xml:space="preserve">CLC Tas would like to acknowledge those persons and organisations who gave freely of their time in assisting with our submission. </w:t>
      </w:r>
    </w:p>
  </w:footnote>
  <w:footnote w:id="2">
    <w:p w14:paraId="25A3662A" w14:textId="5548AB83" w:rsidR="00D10106" w:rsidRPr="00251BF9" w:rsidRDefault="00D10106">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lang w:val="en-AU"/>
        </w:rPr>
        <w:t xml:space="preserve">Australian Bureau of Statistics, ‘Recorded Crime – Victims’. As found at </w:t>
      </w:r>
      <w:hyperlink r:id="rId1" w:anchor="victims-of-family-and-domestic-violence-related-offences" w:history="1">
        <w:r w:rsidRPr="00251BF9">
          <w:rPr>
            <w:rStyle w:val="Hyperlink"/>
            <w:rFonts w:ascii="Cambria" w:hAnsi="Cambria"/>
            <w:sz w:val="20"/>
            <w:szCs w:val="20"/>
            <w:lang w:val="en-AU"/>
          </w:rPr>
          <w:t>https://www.abs.gov.au/statistics/people/crime-and-justice/recorded-crime-victims/2020#victims-of-family-and-domestic-violence-related-offences</w:t>
        </w:r>
      </w:hyperlink>
      <w:r w:rsidRPr="00251BF9">
        <w:rPr>
          <w:rFonts w:ascii="Cambria" w:hAnsi="Cambria"/>
          <w:sz w:val="20"/>
          <w:szCs w:val="20"/>
          <w:lang w:val="en-AU"/>
        </w:rPr>
        <w:t xml:space="preserve"> (Accessed </w:t>
      </w:r>
      <w:r w:rsidR="00F770B9" w:rsidRPr="00251BF9">
        <w:rPr>
          <w:rFonts w:ascii="Cambria" w:hAnsi="Cambria"/>
          <w:sz w:val="20"/>
          <w:szCs w:val="20"/>
          <w:lang w:val="en-AU"/>
        </w:rPr>
        <w:t>12 October</w:t>
      </w:r>
      <w:r w:rsidRPr="00251BF9">
        <w:rPr>
          <w:rFonts w:ascii="Cambria" w:hAnsi="Cambria"/>
          <w:sz w:val="20"/>
          <w:szCs w:val="20"/>
          <w:lang w:val="en-AU"/>
        </w:rPr>
        <w:t xml:space="preserve"> 2021).</w:t>
      </w:r>
      <w:r w:rsidRPr="00251BF9">
        <w:rPr>
          <w:rFonts w:ascii="Cambria" w:hAnsi="Cambria"/>
          <w:lang w:val="en-AU"/>
        </w:rPr>
        <w:t xml:space="preserve"> </w:t>
      </w:r>
    </w:p>
  </w:footnote>
  <w:footnote w:id="3">
    <w:p w14:paraId="78917B23" w14:textId="68BF5849" w:rsidR="004F0812" w:rsidRPr="00251BF9" w:rsidRDefault="004F0812" w:rsidP="004F0812">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lang w:val="en-AU"/>
        </w:rPr>
        <w:t xml:space="preserve">Australian Bureau of Statistics, ‘Recorded Crime – Victims’. As found at </w:t>
      </w:r>
      <w:hyperlink r:id="rId2" w:anchor="victims-of-family-and-domestic-violence-related-offences" w:history="1">
        <w:r w:rsidRPr="00251BF9">
          <w:rPr>
            <w:rStyle w:val="Hyperlink"/>
            <w:rFonts w:ascii="Cambria" w:hAnsi="Cambria"/>
            <w:sz w:val="20"/>
            <w:szCs w:val="20"/>
            <w:lang w:val="en-AU"/>
          </w:rPr>
          <w:t>https://www.abs.gov.au/statistics/people/crime-and-justice/recorded-crime-victims/2020#victims-of-family-and-domestic-violence-related-offences</w:t>
        </w:r>
      </w:hyperlink>
      <w:r w:rsidRPr="00251BF9">
        <w:rPr>
          <w:rFonts w:ascii="Cambria" w:hAnsi="Cambria"/>
          <w:sz w:val="20"/>
          <w:szCs w:val="20"/>
          <w:lang w:val="en-AU"/>
        </w:rPr>
        <w:t xml:space="preserve"> (Accessed </w:t>
      </w:r>
      <w:r w:rsidR="00F770B9" w:rsidRPr="00251BF9">
        <w:rPr>
          <w:rFonts w:ascii="Cambria" w:hAnsi="Cambria"/>
          <w:sz w:val="20"/>
          <w:szCs w:val="20"/>
          <w:lang w:val="en-AU"/>
        </w:rPr>
        <w:t>12 October</w:t>
      </w:r>
      <w:r w:rsidRPr="00251BF9">
        <w:rPr>
          <w:rFonts w:ascii="Cambria" w:hAnsi="Cambria"/>
          <w:sz w:val="20"/>
          <w:szCs w:val="20"/>
          <w:lang w:val="en-AU"/>
        </w:rPr>
        <w:t xml:space="preserve"> 2021).</w:t>
      </w:r>
      <w:r w:rsidRPr="00251BF9">
        <w:rPr>
          <w:rFonts w:ascii="Cambria" w:hAnsi="Cambria"/>
          <w:lang w:val="en-AU"/>
        </w:rPr>
        <w:t xml:space="preserve"> </w:t>
      </w:r>
    </w:p>
  </w:footnote>
  <w:footnote w:id="4">
    <w:p w14:paraId="07D8AF18" w14:textId="2F6411F4" w:rsidR="005B023D" w:rsidRPr="00251BF9" w:rsidRDefault="005B023D" w:rsidP="005B023D">
      <w:pPr>
        <w:pStyle w:val="FootnoteText"/>
        <w:rPr>
          <w:rFonts w:ascii="Cambria" w:hAnsi="Cambria"/>
          <w:lang w:val="en-AU"/>
        </w:rPr>
      </w:pPr>
      <w:r w:rsidRPr="00251BF9">
        <w:rPr>
          <w:rStyle w:val="FootnoteReference"/>
          <w:rFonts w:ascii="Cambria" w:hAnsi="Cambria"/>
          <w:lang w:val="en-AU"/>
        </w:rPr>
        <w:footnoteRef/>
      </w:r>
      <w:r w:rsidRPr="00251BF9">
        <w:rPr>
          <w:rFonts w:ascii="Cambria" w:hAnsi="Cambria"/>
          <w:lang w:val="en-AU"/>
        </w:rPr>
        <w:t xml:space="preserve"> </w:t>
      </w:r>
      <w:r w:rsidRPr="00251BF9">
        <w:rPr>
          <w:rFonts w:ascii="Cambria" w:hAnsi="Cambria"/>
          <w:sz w:val="20"/>
          <w:szCs w:val="20"/>
          <w:lang w:val="en-AU"/>
        </w:rPr>
        <w:t xml:space="preserve">Sentencing Advisory Council, </w:t>
      </w:r>
      <w:r w:rsidRPr="00251BF9">
        <w:rPr>
          <w:rFonts w:ascii="Cambria" w:hAnsi="Cambria"/>
          <w:i/>
          <w:iCs/>
          <w:sz w:val="20"/>
          <w:szCs w:val="20"/>
          <w:lang w:val="en-AU"/>
        </w:rPr>
        <w:t>Sentencing statistics</w:t>
      </w:r>
      <w:r w:rsidRPr="00251BF9">
        <w:rPr>
          <w:rFonts w:ascii="Cambria" w:hAnsi="Cambria"/>
          <w:sz w:val="20"/>
          <w:szCs w:val="20"/>
          <w:lang w:val="en-AU"/>
        </w:rPr>
        <w:t xml:space="preserve">. </w:t>
      </w:r>
      <w:r w:rsidRPr="00251BF9">
        <w:rPr>
          <w:rFonts w:ascii="Cambria" w:hAnsi="Cambria"/>
          <w:color w:val="000000" w:themeColor="text1"/>
          <w:sz w:val="20"/>
          <w:szCs w:val="20"/>
        </w:rPr>
        <w:t xml:space="preserve">The data relates only to cases where a single sentence was imposed for the charge. The data excludes cases where a global sentence was imposed (a single sentence for several charges) as well as offenders sentenced under the </w:t>
      </w:r>
      <w:r w:rsidRPr="00251BF9">
        <w:rPr>
          <w:rFonts w:ascii="Cambria" w:hAnsi="Cambria"/>
          <w:i/>
          <w:iCs/>
          <w:color w:val="000000" w:themeColor="text1"/>
          <w:sz w:val="20"/>
          <w:szCs w:val="20"/>
        </w:rPr>
        <w:t>Youth Justice Act 1997</w:t>
      </w:r>
      <w:r w:rsidRPr="00251BF9">
        <w:rPr>
          <w:rFonts w:ascii="Cambria" w:hAnsi="Cambria"/>
          <w:color w:val="000000" w:themeColor="text1"/>
          <w:sz w:val="20"/>
          <w:szCs w:val="20"/>
        </w:rPr>
        <w:t xml:space="preserve"> (Tas), Supreme Court cases and breaches of court orders or applications. </w:t>
      </w:r>
      <w:r w:rsidRPr="00251BF9">
        <w:rPr>
          <w:rFonts w:ascii="Cambria" w:hAnsi="Cambria"/>
          <w:sz w:val="20"/>
          <w:szCs w:val="20"/>
          <w:lang w:val="en-AU"/>
        </w:rPr>
        <w:t xml:space="preserve">As found at </w:t>
      </w:r>
      <w:hyperlink r:id="rId3" w:history="1">
        <w:r w:rsidRPr="00251BF9">
          <w:rPr>
            <w:rStyle w:val="Hyperlink"/>
            <w:rFonts w:ascii="Cambria" w:hAnsi="Cambria"/>
            <w:sz w:val="20"/>
            <w:szCs w:val="20"/>
            <w:lang w:val="en-AU"/>
          </w:rPr>
          <w:t>https://www.sentencingcouncil.tas.gov.au/statistics/magistratescourt</w:t>
        </w:r>
      </w:hyperlink>
      <w:r w:rsidRPr="00251BF9">
        <w:rPr>
          <w:rFonts w:ascii="Cambria" w:hAnsi="Cambria"/>
          <w:sz w:val="20"/>
          <w:szCs w:val="20"/>
          <w:lang w:val="en-AU"/>
        </w:rPr>
        <w:t xml:space="preserve"> (Accessed </w:t>
      </w:r>
      <w:r w:rsidR="00521658" w:rsidRPr="00251BF9">
        <w:rPr>
          <w:rFonts w:ascii="Cambria" w:hAnsi="Cambria"/>
          <w:sz w:val="20"/>
          <w:szCs w:val="20"/>
          <w:lang w:val="en-AU"/>
        </w:rPr>
        <w:t>13</w:t>
      </w:r>
      <w:r w:rsidRPr="00251BF9">
        <w:rPr>
          <w:rFonts w:ascii="Cambria" w:hAnsi="Cambria"/>
          <w:sz w:val="20"/>
          <w:szCs w:val="20"/>
          <w:lang w:val="en-AU"/>
        </w:rPr>
        <w:t xml:space="preserve"> October 2021).</w:t>
      </w:r>
      <w:r w:rsidRPr="00251BF9">
        <w:rPr>
          <w:rFonts w:ascii="Cambria" w:hAnsi="Cambria"/>
          <w:lang w:val="en-AU"/>
        </w:rPr>
        <w:t xml:space="preserve"> </w:t>
      </w:r>
    </w:p>
  </w:footnote>
  <w:footnote w:id="5">
    <w:p w14:paraId="13C4B138" w14:textId="27F7322D" w:rsidR="00521658" w:rsidRPr="00251BF9" w:rsidRDefault="00521658" w:rsidP="00521658">
      <w:pPr>
        <w:rPr>
          <w:rFonts w:ascii="Cambria" w:hAnsi="Cambria"/>
          <w:lang w:val="en-AU" w:eastAsia="en-GB"/>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lang w:val="en-AU" w:eastAsia="en-GB"/>
        </w:rPr>
        <w:t>Australian Institute of Health and Welfare</w:t>
      </w:r>
      <w:r w:rsidRPr="00251BF9">
        <w:rPr>
          <w:rFonts w:ascii="Cambria" w:hAnsi="Cambria"/>
          <w:sz w:val="20"/>
          <w:szCs w:val="20"/>
          <w:lang w:val="en-AU" w:eastAsia="en-GB"/>
        </w:rPr>
        <w:t xml:space="preserve">, </w:t>
      </w:r>
      <w:r w:rsidRPr="00251BF9">
        <w:rPr>
          <w:rFonts w:ascii="Cambria" w:hAnsi="Cambria"/>
          <w:i/>
          <w:iCs/>
          <w:sz w:val="20"/>
          <w:szCs w:val="20"/>
          <w:lang w:val="en-AU" w:eastAsia="en-GB"/>
        </w:rPr>
        <w:t>Specialist Homelessness Services Annual Report 2019</w:t>
      </w:r>
      <w:r w:rsidRPr="00251BF9">
        <w:rPr>
          <w:rFonts w:ascii="Cambria" w:hAnsi="Cambria"/>
          <w:i/>
          <w:iCs/>
          <w:sz w:val="20"/>
          <w:szCs w:val="20"/>
          <w:lang w:val="en-AU" w:eastAsia="en-GB"/>
        </w:rPr>
        <w:t>-20</w:t>
      </w:r>
      <w:r w:rsidRPr="00251BF9">
        <w:rPr>
          <w:rFonts w:ascii="Cambria" w:hAnsi="Cambria"/>
          <w:sz w:val="20"/>
          <w:szCs w:val="20"/>
          <w:lang w:val="en-AU" w:eastAsia="en-GB"/>
        </w:rPr>
        <w:t>.</w:t>
      </w:r>
      <w:r w:rsidRPr="00251BF9">
        <w:rPr>
          <w:rFonts w:ascii="Cambria" w:hAnsi="Cambria"/>
          <w:sz w:val="20"/>
          <w:szCs w:val="20"/>
          <w:lang w:val="en-AU" w:eastAsia="en-GB"/>
        </w:rPr>
        <w:t xml:space="preserve"> As found at </w:t>
      </w:r>
      <w:hyperlink r:id="rId4" w:history="1">
        <w:r w:rsidRPr="00251BF9">
          <w:rPr>
            <w:rStyle w:val="Hyperlink"/>
            <w:rFonts w:ascii="Cambria" w:hAnsi="Cambria"/>
            <w:sz w:val="20"/>
            <w:szCs w:val="20"/>
            <w:lang w:val="en-AU" w:eastAsia="en-GB"/>
          </w:rPr>
          <w:t>https://www.aihw.gov.au/reports/homelessness-services/specialist-homelessness-services-annual-report/contents/summary</w:t>
        </w:r>
      </w:hyperlink>
      <w:r w:rsidRPr="00251BF9">
        <w:rPr>
          <w:rFonts w:ascii="Cambria" w:hAnsi="Cambria"/>
          <w:sz w:val="20"/>
          <w:szCs w:val="20"/>
          <w:lang w:val="en-AU" w:eastAsia="en-GB"/>
        </w:rPr>
        <w:t xml:space="preserve"> (Accessed 1</w:t>
      </w:r>
      <w:r w:rsidR="00F770B9" w:rsidRPr="00251BF9">
        <w:rPr>
          <w:rFonts w:ascii="Cambria" w:hAnsi="Cambria"/>
          <w:sz w:val="20"/>
          <w:szCs w:val="20"/>
          <w:lang w:val="en-AU" w:eastAsia="en-GB"/>
        </w:rPr>
        <w:t>2</w:t>
      </w:r>
      <w:r w:rsidRPr="00251BF9">
        <w:rPr>
          <w:rFonts w:ascii="Cambria" w:hAnsi="Cambria"/>
          <w:sz w:val="20"/>
          <w:szCs w:val="20"/>
          <w:lang w:val="en-AU" w:eastAsia="en-GB"/>
        </w:rPr>
        <w:t xml:space="preserve"> October 2021).</w:t>
      </w:r>
      <w:r w:rsidRPr="00251BF9">
        <w:rPr>
          <w:rFonts w:ascii="Cambria" w:hAnsi="Cambria"/>
          <w:lang w:val="en-AU" w:eastAsia="en-GB"/>
        </w:rPr>
        <w:t xml:space="preserve"> </w:t>
      </w:r>
    </w:p>
  </w:footnote>
  <w:footnote w:id="6">
    <w:p w14:paraId="04BAB99D" w14:textId="06AFA7AC" w:rsidR="00C0193A" w:rsidRPr="00251BF9" w:rsidRDefault="00C0193A">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rPr>
        <w:t>Correspondence</w:t>
      </w:r>
      <w:r w:rsidRPr="00251BF9">
        <w:rPr>
          <w:rFonts w:ascii="Cambria" w:hAnsi="Cambria"/>
          <w:color w:val="000000" w:themeColor="text1"/>
          <w:sz w:val="20"/>
          <w:szCs w:val="20"/>
          <w:bdr w:val="none" w:sz="0" w:space="0" w:color="auto" w:frame="1"/>
          <w:lang w:val="en-AU"/>
        </w:rPr>
        <w:t xml:space="preserve"> received from Kylie Fidanza</w:t>
      </w:r>
      <w:r w:rsidRPr="00251BF9">
        <w:rPr>
          <w:rFonts w:ascii="Cambria" w:hAnsi="Cambria"/>
          <w:color w:val="000000" w:themeColor="text1"/>
          <w:sz w:val="20"/>
          <w:szCs w:val="20"/>
          <w:lang w:val="en-AU"/>
        </w:rPr>
        <w:t>, Principal Performance Advisor with Communities Tasmania on 5</w:t>
      </w:r>
      <w:r w:rsidRPr="00251BF9">
        <w:rPr>
          <w:rFonts w:ascii="Cambria" w:hAnsi="Cambria"/>
          <w:color w:val="000000" w:themeColor="text1"/>
          <w:sz w:val="20"/>
          <w:szCs w:val="20"/>
          <w:vertAlign w:val="superscript"/>
          <w:lang w:val="en-AU"/>
        </w:rPr>
        <w:t xml:space="preserve"> </w:t>
      </w:r>
      <w:r w:rsidRPr="00251BF9">
        <w:rPr>
          <w:rFonts w:ascii="Cambria" w:hAnsi="Cambria"/>
          <w:color w:val="000000" w:themeColor="text1"/>
          <w:sz w:val="20"/>
          <w:szCs w:val="20"/>
          <w:lang w:val="en-AU"/>
        </w:rPr>
        <w:t>July 2021.</w:t>
      </w:r>
    </w:p>
  </w:footnote>
  <w:footnote w:id="7">
    <w:p w14:paraId="0661D3DC" w14:textId="2FE8F641" w:rsidR="00974BEE" w:rsidRPr="00251BF9" w:rsidRDefault="00974BEE" w:rsidP="00251BF9">
      <w:pPr>
        <w:pStyle w:val="NoSpacing"/>
        <w:shd w:val="clear" w:color="auto" w:fill="FFFFFF"/>
        <w:rPr>
          <w:rFonts w:ascii="Cambria" w:hAnsi="Cambria"/>
          <w:color w:val="000000"/>
          <w:bdr w:val="none" w:sz="0" w:space="0" w:color="auto" w:frame="1"/>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rPr>
        <w:t xml:space="preserve">Sentencing Advisory Council, </w:t>
      </w:r>
      <w:r w:rsidRPr="00251BF9">
        <w:rPr>
          <w:rFonts w:ascii="Cambria" w:hAnsi="Cambria"/>
          <w:i/>
          <w:iCs/>
          <w:color w:val="000000"/>
          <w:sz w:val="20"/>
          <w:szCs w:val="20"/>
          <w:bdr w:val="none" w:sz="0" w:space="0" w:color="auto" w:frame="1"/>
          <w:shd w:val="clear" w:color="auto" w:fill="FFFFFF"/>
        </w:rPr>
        <w:t>Sentencing of Adult Family Violence Offenders</w:t>
      </w:r>
      <w:r w:rsidRPr="00251BF9">
        <w:rPr>
          <w:rFonts w:ascii="Cambria" w:hAnsi="Cambria"/>
          <w:color w:val="000000"/>
          <w:sz w:val="20"/>
          <w:szCs w:val="20"/>
          <w:bdr w:val="none" w:sz="0" w:space="0" w:color="auto" w:frame="1"/>
          <w:shd w:val="clear" w:color="auto" w:fill="FFFFFF"/>
        </w:rPr>
        <w:t xml:space="preserve"> (Final Report No. 5: October 2015). As found at </w:t>
      </w:r>
      <w:hyperlink r:id="rId5" w:history="1">
        <w:r w:rsidRPr="00251BF9">
          <w:rPr>
            <w:rStyle w:val="Hyperlink"/>
            <w:rFonts w:ascii="Cambria" w:hAnsi="Cambria"/>
            <w:sz w:val="20"/>
            <w:szCs w:val="20"/>
            <w:bdr w:val="none" w:sz="0" w:space="0" w:color="auto" w:frame="1"/>
            <w:shd w:val="clear" w:color="auto" w:fill="FFFFFF"/>
          </w:rPr>
          <w:t>https://www.sentencingcouncil.tas.gov.au/__data/assets/pdf_file/0018/333324/SAC_-_family_violence_report_-_corrected_accessible_version_for_web.pdf</w:t>
        </w:r>
      </w:hyperlink>
      <w:r w:rsidRPr="00251BF9">
        <w:rPr>
          <w:rFonts w:ascii="Cambria" w:hAnsi="Cambria"/>
          <w:color w:val="000000"/>
          <w:sz w:val="20"/>
          <w:szCs w:val="20"/>
          <w:bdr w:val="none" w:sz="0" w:space="0" w:color="auto" w:frame="1"/>
          <w:shd w:val="clear" w:color="auto" w:fill="FFFFFF"/>
        </w:rPr>
        <w:t xml:space="preserve"> (Accessed </w:t>
      </w:r>
      <w:r w:rsidR="00521658" w:rsidRPr="00251BF9">
        <w:rPr>
          <w:rFonts w:ascii="Cambria" w:hAnsi="Cambria"/>
          <w:color w:val="000000"/>
          <w:sz w:val="20"/>
          <w:szCs w:val="20"/>
          <w:bdr w:val="none" w:sz="0" w:space="0" w:color="auto" w:frame="1"/>
          <w:shd w:val="clear" w:color="auto" w:fill="FFFFFF"/>
        </w:rPr>
        <w:t>1</w:t>
      </w:r>
      <w:r w:rsidR="00F770B9" w:rsidRPr="00251BF9">
        <w:rPr>
          <w:rFonts w:ascii="Cambria" w:hAnsi="Cambria"/>
          <w:color w:val="000000"/>
          <w:sz w:val="20"/>
          <w:szCs w:val="20"/>
          <w:bdr w:val="none" w:sz="0" w:space="0" w:color="auto" w:frame="1"/>
          <w:shd w:val="clear" w:color="auto" w:fill="FFFFFF"/>
        </w:rPr>
        <w:t>2</w:t>
      </w:r>
      <w:r w:rsidRPr="00251BF9">
        <w:rPr>
          <w:rFonts w:ascii="Cambria" w:hAnsi="Cambria"/>
          <w:color w:val="000000"/>
          <w:sz w:val="20"/>
          <w:szCs w:val="20"/>
          <w:bdr w:val="none" w:sz="0" w:space="0" w:color="auto" w:frame="1"/>
          <w:shd w:val="clear" w:color="auto" w:fill="FFFFFF"/>
        </w:rPr>
        <w:t xml:space="preserve"> October 2021)</w:t>
      </w:r>
      <w:r w:rsidR="00251BF9" w:rsidRPr="00251BF9">
        <w:rPr>
          <w:rFonts w:ascii="Cambria" w:hAnsi="Cambria"/>
          <w:color w:val="000000"/>
          <w:sz w:val="20"/>
          <w:szCs w:val="20"/>
          <w:bdr w:val="none" w:sz="0" w:space="0" w:color="auto" w:frame="1"/>
          <w:shd w:val="clear" w:color="auto" w:fill="FFFFFF"/>
        </w:rPr>
        <w:t>.</w:t>
      </w:r>
    </w:p>
  </w:footnote>
  <w:footnote w:id="8">
    <w:p w14:paraId="0423E47C" w14:textId="518C695B" w:rsidR="009E60D3" w:rsidRPr="00251BF9" w:rsidRDefault="009E60D3">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rPr>
        <w:t xml:space="preserve">Sentencing Advisory Council, </w:t>
      </w:r>
      <w:r w:rsidRPr="00251BF9">
        <w:rPr>
          <w:rFonts w:ascii="Cambria" w:hAnsi="Cambria"/>
          <w:i/>
          <w:iCs/>
          <w:color w:val="000000"/>
          <w:sz w:val="20"/>
          <w:szCs w:val="20"/>
          <w:bdr w:val="none" w:sz="0" w:space="0" w:color="auto" w:frame="1"/>
          <w:shd w:val="clear" w:color="auto" w:fill="FFFFFF"/>
        </w:rPr>
        <w:t>Sentencing of Adult Family Violence Offenders</w:t>
      </w:r>
      <w:r w:rsidRPr="00251BF9">
        <w:rPr>
          <w:rFonts w:ascii="Cambria" w:hAnsi="Cambria"/>
          <w:color w:val="000000"/>
          <w:sz w:val="20"/>
          <w:szCs w:val="20"/>
          <w:bdr w:val="none" w:sz="0" w:space="0" w:color="auto" w:frame="1"/>
          <w:shd w:val="clear" w:color="auto" w:fill="FFFFFF"/>
        </w:rPr>
        <w:t xml:space="preserve"> (Final Report No. 5: October 2015) a</w:t>
      </w:r>
      <w:r w:rsidR="00EE2DCD" w:rsidRPr="00251BF9">
        <w:rPr>
          <w:rFonts w:ascii="Cambria" w:hAnsi="Cambria"/>
          <w:color w:val="000000"/>
          <w:sz w:val="20"/>
          <w:szCs w:val="20"/>
          <w:bdr w:val="none" w:sz="0" w:space="0" w:color="auto" w:frame="1"/>
          <w:shd w:val="clear" w:color="auto" w:fill="FFFFFF"/>
        </w:rPr>
        <w:t>t 31</w:t>
      </w:r>
      <w:r w:rsidRPr="00251BF9">
        <w:rPr>
          <w:rFonts w:ascii="Cambria" w:hAnsi="Cambria"/>
          <w:color w:val="000000"/>
          <w:sz w:val="20"/>
          <w:szCs w:val="20"/>
          <w:bdr w:val="none" w:sz="0" w:space="0" w:color="auto" w:frame="1"/>
          <w:shd w:val="clear" w:color="auto" w:fill="FFFFFF"/>
        </w:rPr>
        <w:t xml:space="preserve">. </w:t>
      </w:r>
    </w:p>
  </w:footnote>
  <w:footnote w:id="9">
    <w:p w14:paraId="51712A34" w14:textId="7B781768" w:rsidR="003E500A" w:rsidRPr="00251BF9" w:rsidRDefault="003E500A">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color w:val="000000"/>
          <w:sz w:val="20"/>
          <w:szCs w:val="20"/>
          <w:bdr w:val="none" w:sz="0" w:space="0" w:color="auto" w:frame="1"/>
        </w:rPr>
        <w:t xml:space="preserve">Section 38(2)(n) of the </w:t>
      </w:r>
      <w:r w:rsidRPr="00251BF9">
        <w:rPr>
          <w:rFonts w:ascii="Cambria" w:hAnsi="Cambria"/>
          <w:i/>
          <w:iCs/>
          <w:color w:val="000000"/>
          <w:sz w:val="20"/>
          <w:szCs w:val="20"/>
          <w:bdr w:val="none" w:sz="0" w:space="0" w:color="auto" w:frame="1"/>
        </w:rPr>
        <w:t>Family Violence Act 2016</w:t>
      </w:r>
      <w:r w:rsidRPr="00251BF9">
        <w:rPr>
          <w:rFonts w:ascii="Cambria" w:hAnsi="Cambria"/>
          <w:color w:val="000000"/>
          <w:sz w:val="20"/>
          <w:szCs w:val="20"/>
          <w:bdr w:val="none" w:sz="0" w:space="0" w:color="auto" w:frame="1"/>
        </w:rPr>
        <w:t xml:space="preserve"> (ACT).</w:t>
      </w:r>
      <w:r w:rsidRPr="00251BF9">
        <w:rPr>
          <w:rFonts w:ascii="Cambria" w:hAnsi="Cambria"/>
          <w:color w:val="000000"/>
          <w:bdr w:val="none" w:sz="0" w:space="0" w:color="auto" w:frame="1"/>
        </w:rPr>
        <w:t> </w:t>
      </w:r>
    </w:p>
  </w:footnote>
  <w:footnote w:id="10">
    <w:p w14:paraId="39D7DEF2" w14:textId="605F21E3" w:rsidR="003E500A" w:rsidRPr="00251BF9" w:rsidRDefault="003E500A">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color w:val="000000"/>
          <w:sz w:val="20"/>
          <w:szCs w:val="20"/>
          <w:bdr w:val="none" w:sz="0" w:space="0" w:color="auto" w:frame="1"/>
        </w:rPr>
        <w:t xml:space="preserve">Department of Justice Annual Report 2019/20 at 33. As found at </w:t>
      </w:r>
      <w:hyperlink r:id="rId6" w:history="1">
        <w:r w:rsidRPr="00251BF9">
          <w:rPr>
            <w:rStyle w:val="Hyperlink"/>
            <w:rFonts w:ascii="Cambria" w:hAnsi="Cambria"/>
            <w:sz w:val="20"/>
            <w:szCs w:val="20"/>
            <w:bdr w:val="none" w:sz="0" w:space="0" w:color="auto" w:frame="1"/>
          </w:rPr>
          <w:t>https://www.justice.tas.gov.au/__data/assets/pdf_file/0004/588064/doj_annualreport20_V4.pdf</w:t>
        </w:r>
      </w:hyperlink>
      <w:r w:rsidRPr="00251BF9">
        <w:rPr>
          <w:rFonts w:ascii="Cambria" w:hAnsi="Cambria"/>
          <w:color w:val="000000"/>
          <w:sz w:val="20"/>
          <w:szCs w:val="20"/>
          <w:bdr w:val="none" w:sz="0" w:space="0" w:color="auto" w:frame="1"/>
        </w:rPr>
        <w:t xml:space="preserve">  (Accessed </w:t>
      </w:r>
      <w:r w:rsidR="00521658" w:rsidRPr="00251BF9">
        <w:rPr>
          <w:rFonts w:ascii="Cambria" w:hAnsi="Cambria"/>
          <w:color w:val="000000"/>
          <w:sz w:val="20"/>
          <w:szCs w:val="20"/>
          <w:bdr w:val="none" w:sz="0" w:space="0" w:color="auto" w:frame="1"/>
        </w:rPr>
        <w:t>13 October</w:t>
      </w:r>
      <w:r w:rsidRPr="00251BF9">
        <w:rPr>
          <w:rFonts w:ascii="Cambria" w:hAnsi="Cambria"/>
          <w:color w:val="000000"/>
          <w:sz w:val="20"/>
          <w:szCs w:val="20"/>
          <w:bdr w:val="none" w:sz="0" w:space="0" w:color="auto" w:frame="1"/>
        </w:rPr>
        <w:t xml:space="preserve"> 2021).</w:t>
      </w:r>
      <w:r w:rsidRPr="00251BF9">
        <w:rPr>
          <w:rFonts w:ascii="Cambria" w:hAnsi="Cambria"/>
          <w:color w:val="000000"/>
          <w:bdr w:val="none" w:sz="0" w:space="0" w:color="auto" w:frame="1"/>
        </w:rPr>
        <w:t xml:space="preserve"> </w:t>
      </w:r>
    </w:p>
  </w:footnote>
  <w:footnote w:id="11">
    <w:p w14:paraId="6E9D9233" w14:textId="6A784089" w:rsidR="009E60D3" w:rsidRPr="00251BF9" w:rsidRDefault="009E60D3">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rPr>
        <w:t xml:space="preserve">Sentencing Advisory Council, </w:t>
      </w:r>
      <w:r w:rsidRPr="00251BF9">
        <w:rPr>
          <w:rFonts w:ascii="Cambria" w:hAnsi="Cambria"/>
          <w:i/>
          <w:iCs/>
          <w:color w:val="000000"/>
          <w:sz w:val="20"/>
          <w:szCs w:val="20"/>
          <w:bdr w:val="none" w:sz="0" w:space="0" w:color="auto" w:frame="1"/>
          <w:shd w:val="clear" w:color="auto" w:fill="FFFFFF"/>
        </w:rPr>
        <w:t>Sentencing of Adult Family Violence Offenders</w:t>
      </w:r>
      <w:r w:rsidRPr="00251BF9">
        <w:rPr>
          <w:rFonts w:ascii="Cambria" w:hAnsi="Cambria"/>
          <w:color w:val="000000"/>
          <w:sz w:val="20"/>
          <w:szCs w:val="20"/>
          <w:bdr w:val="none" w:sz="0" w:space="0" w:color="auto" w:frame="1"/>
          <w:shd w:val="clear" w:color="auto" w:fill="FFFFFF"/>
        </w:rPr>
        <w:t xml:space="preserve"> (Final Report No. 5: October 2015) at 42.</w:t>
      </w:r>
    </w:p>
  </w:footnote>
  <w:footnote w:id="12">
    <w:p w14:paraId="4C2D98D4" w14:textId="248D1626" w:rsidR="00251BF9" w:rsidRPr="00251BF9" w:rsidRDefault="00251BF9">
      <w:pPr>
        <w:pStyle w:val="FootnoteText"/>
        <w:rPr>
          <w:rFonts w:ascii="Cambria" w:hAnsi="Cambria"/>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rPr>
        <w:t xml:space="preserve">Sentencing Advisory Council, </w:t>
      </w:r>
      <w:r w:rsidRPr="00251BF9">
        <w:rPr>
          <w:rFonts w:ascii="Cambria" w:hAnsi="Cambria"/>
          <w:i/>
          <w:iCs/>
          <w:color w:val="000000"/>
          <w:sz w:val="20"/>
          <w:szCs w:val="20"/>
          <w:bdr w:val="none" w:sz="0" w:space="0" w:color="auto" w:frame="1"/>
          <w:shd w:val="clear" w:color="auto" w:fill="FFFFFF"/>
        </w:rPr>
        <w:t>Sentencing of Adult Family Violence Offenders</w:t>
      </w:r>
      <w:r w:rsidRPr="00251BF9">
        <w:rPr>
          <w:rFonts w:ascii="Cambria" w:hAnsi="Cambria"/>
          <w:color w:val="000000"/>
          <w:sz w:val="20"/>
          <w:szCs w:val="20"/>
          <w:bdr w:val="none" w:sz="0" w:space="0" w:color="auto" w:frame="1"/>
          <w:shd w:val="clear" w:color="auto" w:fill="FFFFFF"/>
        </w:rPr>
        <w:t xml:space="preserve"> (Final Report No. 5: October 2015) at 42.</w:t>
      </w:r>
    </w:p>
  </w:footnote>
  <w:footnote w:id="13">
    <w:p w14:paraId="3D883ED1" w14:textId="5EF85071" w:rsidR="00EE2DCD" w:rsidRPr="00EE2DCD" w:rsidRDefault="00EE2DCD">
      <w:pPr>
        <w:pStyle w:val="FootnoteText"/>
        <w:rPr>
          <w:lang w:val="en-AU"/>
        </w:rPr>
      </w:pPr>
      <w:r w:rsidRPr="00251BF9">
        <w:rPr>
          <w:rStyle w:val="FootnoteReference"/>
          <w:rFonts w:ascii="Cambria" w:hAnsi="Cambria"/>
        </w:rPr>
        <w:footnoteRef/>
      </w:r>
      <w:r w:rsidRPr="00251BF9">
        <w:rPr>
          <w:rFonts w:ascii="Cambria" w:hAnsi="Cambria"/>
        </w:rPr>
        <w:t xml:space="preserve"> </w:t>
      </w:r>
      <w:r w:rsidRPr="00251BF9">
        <w:rPr>
          <w:rFonts w:ascii="Cambria" w:hAnsi="Cambria"/>
          <w:sz w:val="20"/>
          <w:szCs w:val="20"/>
        </w:rPr>
        <w:t xml:space="preserve">Sentencing Advisory Council, </w:t>
      </w:r>
      <w:r w:rsidRPr="00251BF9">
        <w:rPr>
          <w:rFonts w:ascii="Cambria" w:hAnsi="Cambria"/>
          <w:i/>
          <w:iCs/>
          <w:color w:val="000000"/>
          <w:sz w:val="20"/>
          <w:szCs w:val="20"/>
          <w:bdr w:val="none" w:sz="0" w:space="0" w:color="auto" w:frame="1"/>
          <w:shd w:val="clear" w:color="auto" w:fill="FFFFFF"/>
        </w:rPr>
        <w:t>Sentencing of Adult Family Violence Offenders</w:t>
      </w:r>
      <w:r w:rsidRPr="00251BF9">
        <w:rPr>
          <w:rFonts w:ascii="Cambria" w:hAnsi="Cambria"/>
          <w:color w:val="000000"/>
          <w:sz w:val="20"/>
          <w:szCs w:val="20"/>
          <w:bdr w:val="none" w:sz="0" w:space="0" w:color="auto" w:frame="1"/>
          <w:shd w:val="clear" w:color="auto" w:fill="FFFFFF"/>
        </w:rPr>
        <w:t xml:space="preserve"> (Final Report No. 5: October 2015) at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125F7"/>
    <w:multiLevelType w:val="hybridMultilevel"/>
    <w:tmpl w:val="E5662F88"/>
    <w:lvl w:ilvl="0" w:tplc="88687E32">
      <w:start w:val="2019"/>
      <w:numFmt w:val="bullet"/>
      <w:lvlText w:val=""/>
      <w:lvlJc w:val="left"/>
      <w:pPr>
        <w:ind w:left="720" w:hanging="360"/>
      </w:pPr>
      <w:rPr>
        <w:rFonts w:ascii="Symbol" w:eastAsiaTheme="minorHAnsi" w:hAnsi="Symbol"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D45F6E"/>
    <w:multiLevelType w:val="hybridMultilevel"/>
    <w:tmpl w:val="98DE1BF0"/>
    <w:lvl w:ilvl="0" w:tplc="2C2E2458">
      <w:start w:val="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A"/>
    <w:rsid w:val="00024572"/>
    <w:rsid w:val="000337FF"/>
    <w:rsid w:val="00112C62"/>
    <w:rsid w:val="001A5671"/>
    <w:rsid w:val="001F05DC"/>
    <w:rsid w:val="00215FCE"/>
    <w:rsid w:val="00242BF7"/>
    <w:rsid w:val="00251BF9"/>
    <w:rsid w:val="00253B25"/>
    <w:rsid w:val="0026470F"/>
    <w:rsid w:val="0028379C"/>
    <w:rsid w:val="002A290A"/>
    <w:rsid w:val="002B2195"/>
    <w:rsid w:val="002D6A00"/>
    <w:rsid w:val="003362D4"/>
    <w:rsid w:val="003E49D9"/>
    <w:rsid w:val="003E500A"/>
    <w:rsid w:val="00456AC8"/>
    <w:rsid w:val="0046403D"/>
    <w:rsid w:val="004B0130"/>
    <w:rsid w:val="004F0812"/>
    <w:rsid w:val="00521658"/>
    <w:rsid w:val="0053777E"/>
    <w:rsid w:val="00564753"/>
    <w:rsid w:val="00596C37"/>
    <w:rsid w:val="005A30CE"/>
    <w:rsid w:val="005B023D"/>
    <w:rsid w:val="005F1C09"/>
    <w:rsid w:val="00687E30"/>
    <w:rsid w:val="006C3B17"/>
    <w:rsid w:val="0077293F"/>
    <w:rsid w:val="007968A8"/>
    <w:rsid w:val="007B3E69"/>
    <w:rsid w:val="007D0169"/>
    <w:rsid w:val="008A6A14"/>
    <w:rsid w:val="008B1D90"/>
    <w:rsid w:val="00910C94"/>
    <w:rsid w:val="00914BBA"/>
    <w:rsid w:val="00944905"/>
    <w:rsid w:val="00974BEE"/>
    <w:rsid w:val="0098681C"/>
    <w:rsid w:val="00996D2E"/>
    <w:rsid w:val="009E60D3"/>
    <w:rsid w:val="00A149CB"/>
    <w:rsid w:val="00AC087C"/>
    <w:rsid w:val="00B74E7B"/>
    <w:rsid w:val="00BC74B2"/>
    <w:rsid w:val="00BE0826"/>
    <w:rsid w:val="00C0193A"/>
    <w:rsid w:val="00C94DDC"/>
    <w:rsid w:val="00CC4DE9"/>
    <w:rsid w:val="00CD7ACE"/>
    <w:rsid w:val="00CE5AF0"/>
    <w:rsid w:val="00D10106"/>
    <w:rsid w:val="00D569B8"/>
    <w:rsid w:val="00E259B8"/>
    <w:rsid w:val="00ED215B"/>
    <w:rsid w:val="00EE2DCD"/>
    <w:rsid w:val="00F35DDC"/>
    <w:rsid w:val="00F770B9"/>
    <w:rsid w:val="00FA4935"/>
    <w:rsid w:val="00FE2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05B6"/>
  <w15:chartTrackingRefBased/>
  <w15:docId w15:val="{8790D741-3502-B044-BD54-687CED16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BA"/>
    <w:rPr>
      <w:rFonts w:ascii="Times New Roman" w:eastAsia="Times New Roman" w:hAnsi="Times New Roman"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BBA"/>
    <w:rPr>
      <w:color w:val="0563C1" w:themeColor="hyperlink"/>
      <w:u w:val="single"/>
    </w:rPr>
  </w:style>
  <w:style w:type="table" w:styleId="TableGrid">
    <w:name w:val="Table Grid"/>
    <w:basedOn w:val="TableNormal"/>
    <w:uiPriority w:val="39"/>
    <w:rsid w:val="0091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Text"/>
    <w:basedOn w:val="Normal"/>
    <w:link w:val="FootnoteTextChar"/>
    <w:uiPriority w:val="99"/>
    <w:unhideWhenUsed/>
    <w:rsid w:val="00914BBA"/>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914BBA"/>
    <w:rPr>
      <w:rFonts w:eastAsiaTheme="minorEastAsia"/>
      <w:lang w:val="en-US"/>
    </w:rPr>
  </w:style>
  <w:style w:type="character" w:styleId="FootnoteReference">
    <w:name w:val="footnote reference"/>
    <w:aliases w:val="Ref,de nota al pie"/>
    <w:basedOn w:val="DefaultParagraphFont"/>
    <w:unhideWhenUsed/>
    <w:qFormat/>
    <w:rsid w:val="00914BBA"/>
    <w:rPr>
      <w:vertAlign w:val="superscript"/>
    </w:rPr>
  </w:style>
  <w:style w:type="paragraph" w:styleId="NoSpacing">
    <w:name w:val="No Spacing"/>
    <w:uiPriority w:val="1"/>
    <w:qFormat/>
    <w:rsid w:val="00914BBA"/>
    <w:rPr>
      <w:rFonts w:ascii="Times New Roman" w:eastAsia="Times New Roman" w:hAnsi="Times New Roman" w:cs="Times New Roman"/>
      <w:lang w:eastAsia="en-GB"/>
    </w:rPr>
  </w:style>
  <w:style w:type="paragraph" w:styleId="Footer">
    <w:name w:val="footer"/>
    <w:basedOn w:val="Normal"/>
    <w:link w:val="FooterChar"/>
    <w:uiPriority w:val="99"/>
    <w:unhideWhenUsed/>
    <w:rsid w:val="00914BBA"/>
    <w:pPr>
      <w:tabs>
        <w:tab w:val="center" w:pos="4513"/>
        <w:tab w:val="right" w:pos="9026"/>
      </w:tabs>
    </w:pPr>
    <w:rPr>
      <w:lang w:val="en-AU" w:eastAsia="en-GB"/>
    </w:rPr>
  </w:style>
  <w:style w:type="character" w:customStyle="1" w:styleId="FooterChar">
    <w:name w:val="Footer Char"/>
    <w:basedOn w:val="DefaultParagraphFont"/>
    <w:link w:val="Footer"/>
    <w:uiPriority w:val="99"/>
    <w:rsid w:val="00914BBA"/>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14BBA"/>
  </w:style>
  <w:style w:type="paragraph" w:customStyle="1" w:styleId="xmsonormal">
    <w:name w:val="x_msonormal"/>
    <w:basedOn w:val="Normal"/>
    <w:rsid w:val="00687E30"/>
    <w:pPr>
      <w:spacing w:before="100" w:beforeAutospacing="1" w:after="100" w:afterAutospacing="1"/>
    </w:pPr>
    <w:rPr>
      <w:lang w:val="en-AU" w:eastAsia="en-GB"/>
    </w:rPr>
  </w:style>
  <w:style w:type="character" w:customStyle="1" w:styleId="marknw1a148kv">
    <w:name w:val="marknw1a148kv"/>
    <w:basedOn w:val="DefaultParagraphFont"/>
    <w:rsid w:val="00687E30"/>
  </w:style>
  <w:style w:type="paragraph" w:customStyle="1" w:styleId="xheadingparagraph">
    <w:name w:val="x_headingparagraph"/>
    <w:basedOn w:val="Normal"/>
    <w:rsid w:val="00687E30"/>
    <w:pPr>
      <w:spacing w:before="100" w:beforeAutospacing="1" w:after="100" w:afterAutospacing="1"/>
    </w:pPr>
    <w:rPr>
      <w:lang w:val="en-AU" w:eastAsia="en-GB"/>
    </w:rPr>
  </w:style>
  <w:style w:type="character" w:styleId="UnresolvedMention">
    <w:name w:val="Unresolved Mention"/>
    <w:basedOn w:val="DefaultParagraphFont"/>
    <w:uiPriority w:val="99"/>
    <w:semiHidden/>
    <w:unhideWhenUsed/>
    <w:rsid w:val="00D10106"/>
    <w:rPr>
      <w:color w:val="605E5C"/>
      <w:shd w:val="clear" w:color="auto" w:fill="E1DFDD"/>
    </w:rPr>
  </w:style>
  <w:style w:type="character" w:customStyle="1" w:styleId="xapple-converted-space">
    <w:name w:val="x_apple-converted-space"/>
    <w:basedOn w:val="DefaultParagraphFont"/>
    <w:rsid w:val="003E500A"/>
  </w:style>
  <w:style w:type="paragraph" w:styleId="ListParagraph">
    <w:name w:val="List Paragraph"/>
    <w:basedOn w:val="Normal"/>
    <w:uiPriority w:val="34"/>
    <w:qFormat/>
    <w:rsid w:val="00944905"/>
    <w:pPr>
      <w:tabs>
        <w:tab w:val="left" w:pos="567"/>
        <w:tab w:val="left" w:pos="1134"/>
        <w:tab w:val="left" w:pos="1701"/>
      </w:tabs>
      <w:spacing w:after="140" w:line="300" w:lineRule="exact"/>
      <w:contextualSpacing/>
    </w:pPr>
    <w:rPr>
      <w:rFonts w:asciiTheme="minorHAnsi" w:eastAsiaTheme="minorHAnsi" w:hAnsiTheme="minorHAnsi" w:cs="Times New Roman (Body CS)"/>
      <w:sz w:val="22"/>
      <w:lang w:val="en-AU"/>
    </w:rPr>
  </w:style>
  <w:style w:type="paragraph" w:styleId="BalloonText">
    <w:name w:val="Balloon Text"/>
    <w:basedOn w:val="Normal"/>
    <w:link w:val="BalloonTextChar"/>
    <w:uiPriority w:val="99"/>
    <w:semiHidden/>
    <w:unhideWhenUsed/>
    <w:rsid w:val="00F770B9"/>
    <w:rPr>
      <w:sz w:val="18"/>
      <w:szCs w:val="18"/>
    </w:rPr>
  </w:style>
  <w:style w:type="character" w:customStyle="1" w:styleId="BalloonTextChar">
    <w:name w:val="Balloon Text Char"/>
    <w:basedOn w:val="DefaultParagraphFont"/>
    <w:link w:val="BalloonText"/>
    <w:uiPriority w:val="99"/>
    <w:semiHidden/>
    <w:rsid w:val="00F770B9"/>
    <w:rPr>
      <w:rFonts w:ascii="Times New Roman" w:eastAsia="Times New Roman" w:hAnsi="Times New Roman" w:cs="Times New Roman"/>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813568">
      <w:bodyDiv w:val="1"/>
      <w:marLeft w:val="0"/>
      <w:marRight w:val="0"/>
      <w:marTop w:val="0"/>
      <w:marBottom w:val="0"/>
      <w:divBdr>
        <w:top w:val="none" w:sz="0" w:space="0" w:color="auto"/>
        <w:left w:val="none" w:sz="0" w:space="0" w:color="auto"/>
        <w:bottom w:val="none" w:sz="0" w:space="0" w:color="auto"/>
        <w:right w:val="none" w:sz="0" w:space="0" w:color="auto"/>
      </w:divBdr>
    </w:div>
    <w:div w:id="570309311">
      <w:bodyDiv w:val="1"/>
      <w:marLeft w:val="0"/>
      <w:marRight w:val="0"/>
      <w:marTop w:val="0"/>
      <w:marBottom w:val="0"/>
      <w:divBdr>
        <w:top w:val="none" w:sz="0" w:space="0" w:color="auto"/>
        <w:left w:val="none" w:sz="0" w:space="0" w:color="auto"/>
        <w:bottom w:val="none" w:sz="0" w:space="0" w:color="auto"/>
        <w:right w:val="none" w:sz="0" w:space="0" w:color="auto"/>
      </w:divBdr>
      <w:divsChild>
        <w:div w:id="1696661955">
          <w:marLeft w:val="0"/>
          <w:marRight w:val="0"/>
          <w:marTop w:val="0"/>
          <w:marBottom w:val="0"/>
          <w:divBdr>
            <w:top w:val="none" w:sz="0" w:space="0" w:color="auto"/>
            <w:left w:val="none" w:sz="0" w:space="0" w:color="auto"/>
            <w:bottom w:val="none" w:sz="0" w:space="0" w:color="auto"/>
            <w:right w:val="none" w:sz="0" w:space="0" w:color="auto"/>
          </w:divBdr>
        </w:div>
        <w:div w:id="232006161">
          <w:marLeft w:val="0"/>
          <w:marRight w:val="0"/>
          <w:marTop w:val="0"/>
          <w:marBottom w:val="0"/>
          <w:divBdr>
            <w:top w:val="none" w:sz="0" w:space="0" w:color="auto"/>
            <w:left w:val="none" w:sz="0" w:space="0" w:color="auto"/>
            <w:bottom w:val="none" w:sz="0" w:space="0" w:color="auto"/>
            <w:right w:val="none" w:sz="0" w:space="0" w:color="auto"/>
          </w:divBdr>
        </w:div>
        <w:div w:id="1841041597">
          <w:marLeft w:val="0"/>
          <w:marRight w:val="0"/>
          <w:marTop w:val="0"/>
          <w:marBottom w:val="0"/>
          <w:divBdr>
            <w:top w:val="none" w:sz="0" w:space="0" w:color="auto"/>
            <w:left w:val="none" w:sz="0" w:space="0" w:color="auto"/>
            <w:bottom w:val="none" w:sz="0" w:space="0" w:color="auto"/>
            <w:right w:val="none" w:sz="0" w:space="0" w:color="auto"/>
          </w:divBdr>
        </w:div>
      </w:divsChild>
    </w:div>
    <w:div w:id="687679227">
      <w:bodyDiv w:val="1"/>
      <w:marLeft w:val="0"/>
      <w:marRight w:val="0"/>
      <w:marTop w:val="0"/>
      <w:marBottom w:val="0"/>
      <w:divBdr>
        <w:top w:val="none" w:sz="0" w:space="0" w:color="auto"/>
        <w:left w:val="none" w:sz="0" w:space="0" w:color="auto"/>
        <w:bottom w:val="none" w:sz="0" w:space="0" w:color="auto"/>
        <w:right w:val="none" w:sz="0" w:space="0" w:color="auto"/>
      </w:divBdr>
    </w:div>
    <w:div w:id="990450471">
      <w:bodyDiv w:val="1"/>
      <w:marLeft w:val="0"/>
      <w:marRight w:val="0"/>
      <w:marTop w:val="0"/>
      <w:marBottom w:val="0"/>
      <w:divBdr>
        <w:top w:val="none" w:sz="0" w:space="0" w:color="auto"/>
        <w:left w:val="none" w:sz="0" w:space="0" w:color="auto"/>
        <w:bottom w:val="none" w:sz="0" w:space="0" w:color="auto"/>
        <w:right w:val="none" w:sz="0" w:space="0" w:color="auto"/>
      </w:divBdr>
    </w:div>
    <w:div w:id="1069498155">
      <w:bodyDiv w:val="1"/>
      <w:marLeft w:val="0"/>
      <w:marRight w:val="0"/>
      <w:marTop w:val="0"/>
      <w:marBottom w:val="0"/>
      <w:divBdr>
        <w:top w:val="none" w:sz="0" w:space="0" w:color="auto"/>
        <w:left w:val="none" w:sz="0" w:space="0" w:color="auto"/>
        <w:bottom w:val="none" w:sz="0" w:space="0" w:color="auto"/>
        <w:right w:val="none" w:sz="0" w:space="0" w:color="auto"/>
      </w:divBdr>
      <w:divsChild>
        <w:div w:id="1311641719">
          <w:marLeft w:val="0"/>
          <w:marRight w:val="0"/>
          <w:marTop w:val="0"/>
          <w:marBottom w:val="0"/>
          <w:divBdr>
            <w:top w:val="none" w:sz="0" w:space="0" w:color="auto"/>
            <w:left w:val="none" w:sz="0" w:space="0" w:color="auto"/>
            <w:bottom w:val="none" w:sz="0" w:space="0" w:color="auto"/>
            <w:right w:val="none" w:sz="0" w:space="0" w:color="auto"/>
          </w:divBdr>
          <w:divsChild>
            <w:div w:id="96554322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8162199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421949260">
                      <w:blockQuote w:val="1"/>
                      <w:marLeft w:val="0"/>
                      <w:marRight w:val="0"/>
                      <w:marTop w:val="120"/>
                      <w:marBottom w:val="120"/>
                      <w:divBdr>
                        <w:top w:val="none" w:sz="0" w:space="0" w:color="auto"/>
                        <w:left w:val="none" w:sz="0" w:space="0" w:color="auto"/>
                        <w:bottom w:val="none" w:sz="0" w:space="0" w:color="auto"/>
                        <w:right w:val="none" w:sz="0" w:space="0" w:color="auto"/>
                      </w:divBdr>
                    </w:div>
                    <w:div w:id="176857335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03110886">
      <w:bodyDiv w:val="1"/>
      <w:marLeft w:val="0"/>
      <w:marRight w:val="0"/>
      <w:marTop w:val="0"/>
      <w:marBottom w:val="0"/>
      <w:divBdr>
        <w:top w:val="none" w:sz="0" w:space="0" w:color="auto"/>
        <w:left w:val="none" w:sz="0" w:space="0" w:color="auto"/>
        <w:bottom w:val="none" w:sz="0" w:space="0" w:color="auto"/>
        <w:right w:val="none" w:sz="0" w:space="0" w:color="auto"/>
      </w:divBdr>
    </w:div>
    <w:div w:id="1160465176">
      <w:bodyDiv w:val="1"/>
      <w:marLeft w:val="0"/>
      <w:marRight w:val="0"/>
      <w:marTop w:val="0"/>
      <w:marBottom w:val="0"/>
      <w:divBdr>
        <w:top w:val="none" w:sz="0" w:space="0" w:color="auto"/>
        <w:left w:val="none" w:sz="0" w:space="0" w:color="auto"/>
        <w:bottom w:val="none" w:sz="0" w:space="0" w:color="auto"/>
        <w:right w:val="none" w:sz="0" w:space="0" w:color="auto"/>
      </w:divBdr>
      <w:divsChild>
        <w:div w:id="395519284">
          <w:marLeft w:val="0"/>
          <w:marRight w:val="0"/>
          <w:marTop w:val="240"/>
          <w:marBottom w:val="240"/>
          <w:divBdr>
            <w:top w:val="none" w:sz="0" w:space="0" w:color="auto"/>
            <w:left w:val="none" w:sz="0" w:space="0" w:color="auto"/>
            <w:bottom w:val="none" w:sz="0" w:space="0" w:color="auto"/>
            <w:right w:val="none" w:sz="0" w:space="0" w:color="auto"/>
          </w:divBdr>
          <w:divsChild>
            <w:div w:id="1126311274">
              <w:marLeft w:val="0"/>
              <w:marRight w:val="120"/>
              <w:marTop w:val="0"/>
              <w:marBottom w:val="180"/>
              <w:divBdr>
                <w:top w:val="none" w:sz="0" w:space="0" w:color="auto"/>
                <w:left w:val="none" w:sz="0" w:space="0" w:color="auto"/>
                <w:bottom w:val="none" w:sz="0" w:space="0" w:color="auto"/>
                <w:right w:val="none" w:sz="0" w:space="0" w:color="auto"/>
              </w:divBdr>
            </w:div>
            <w:div w:id="1670983311">
              <w:marLeft w:val="0"/>
              <w:marRight w:val="120"/>
              <w:marTop w:val="0"/>
              <w:marBottom w:val="180"/>
              <w:divBdr>
                <w:top w:val="none" w:sz="0" w:space="0" w:color="auto"/>
                <w:left w:val="none" w:sz="0" w:space="0" w:color="auto"/>
                <w:bottom w:val="none" w:sz="0" w:space="0" w:color="auto"/>
                <w:right w:val="none" w:sz="0" w:space="0" w:color="auto"/>
              </w:divBdr>
            </w:div>
            <w:div w:id="11499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1678">
      <w:bodyDiv w:val="1"/>
      <w:marLeft w:val="0"/>
      <w:marRight w:val="0"/>
      <w:marTop w:val="0"/>
      <w:marBottom w:val="0"/>
      <w:divBdr>
        <w:top w:val="none" w:sz="0" w:space="0" w:color="auto"/>
        <w:left w:val="none" w:sz="0" w:space="0" w:color="auto"/>
        <w:bottom w:val="none" w:sz="0" w:space="0" w:color="auto"/>
        <w:right w:val="none" w:sz="0" w:space="0" w:color="auto"/>
      </w:divBdr>
    </w:div>
    <w:div w:id="1719888968">
      <w:bodyDiv w:val="1"/>
      <w:marLeft w:val="0"/>
      <w:marRight w:val="0"/>
      <w:marTop w:val="0"/>
      <w:marBottom w:val="0"/>
      <w:divBdr>
        <w:top w:val="none" w:sz="0" w:space="0" w:color="auto"/>
        <w:left w:val="none" w:sz="0" w:space="0" w:color="auto"/>
        <w:bottom w:val="none" w:sz="0" w:space="0" w:color="auto"/>
        <w:right w:val="none" w:sz="0" w:space="0" w:color="auto"/>
      </w:divBdr>
    </w:div>
    <w:div w:id="18176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haveyoursay@justice.tas.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entencingcouncil.tas.gov.au/statistics/magistratescourt" TargetMode="External"/><Relationship Id="rId2" Type="http://schemas.openxmlformats.org/officeDocument/2006/relationships/hyperlink" Target="https://www.abs.gov.au/statistics/people/crime-and-justice/recorded-crime-victims/2020" TargetMode="External"/><Relationship Id="rId1" Type="http://schemas.openxmlformats.org/officeDocument/2006/relationships/hyperlink" Target="https://www.abs.gov.au/statistics/people/crime-and-justice/recorded-crime-victims/2020" TargetMode="External"/><Relationship Id="rId6" Type="http://schemas.openxmlformats.org/officeDocument/2006/relationships/hyperlink" Target="https://www.justice.tas.gov.au/__data/assets/pdf_file/0004/588064/doj_annualreport20_V4.pdf" TargetMode="External"/><Relationship Id="rId5" Type="http://schemas.openxmlformats.org/officeDocument/2006/relationships/hyperlink" Target="https://www.sentencingcouncil.tas.gov.au/__data/assets/pdf_file/0018/333324/SAC_-_family_violence_report_-_corrected_accessible_version_for_web.pdf" TargetMode="External"/><Relationship Id="rId4" Type="http://schemas.openxmlformats.org/officeDocument/2006/relationships/hyperlink" Target="https://www.aihw.gov.au/reports/homelessness-services/specialist-homelessness-services-annual-report/contents/summar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Sentences for breach</a:t>
            </a:r>
            <a:r>
              <a:rPr lang="en-GB" b="1" baseline="0"/>
              <a:t> of PFVO or FVO</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2004/05 - 2013/14</c:v>
                </c:pt>
              </c:strCache>
            </c:strRef>
          </c:tx>
          <c:spPr>
            <a:solidFill>
              <a:schemeClr val="accent1"/>
            </a:solidFill>
            <a:ln>
              <a:noFill/>
            </a:ln>
            <a:effectLst/>
          </c:spPr>
          <c:invertIfNegative val="0"/>
          <c:cat>
            <c:strRef>
              <c:f>Sheet1!$A$2:$A$9</c:f>
              <c:strCache>
                <c:ptCount val="8"/>
                <c:pt idx="0">
                  <c:v>Nominal</c:v>
                </c:pt>
                <c:pt idx="1">
                  <c:v>Undertaking</c:v>
                </c:pt>
                <c:pt idx="2">
                  <c:v>Fine</c:v>
                </c:pt>
                <c:pt idx="3">
                  <c:v>Community Service Order</c:v>
                </c:pt>
                <c:pt idx="4">
                  <c:v>Probation</c:v>
                </c:pt>
                <c:pt idx="5">
                  <c:v>Wholly Suspended Sentence </c:v>
                </c:pt>
                <c:pt idx="6">
                  <c:v>Imprisonment</c:v>
                </c:pt>
                <c:pt idx="7">
                  <c:v>Partially Suspended Sentence</c:v>
                </c:pt>
              </c:strCache>
            </c:strRef>
          </c:cat>
          <c:val>
            <c:numRef>
              <c:f>Sheet1!$B$2:$B$9</c:f>
              <c:numCache>
                <c:formatCode>0.00%</c:formatCode>
                <c:ptCount val="8"/>
                <c:pt idx="0">
                  <c:v>3.5999999999999997E-2</c:v>
                </c:pt>
                <c:pt idx="1">
                  <c:v>0.379</c:v>
                </c:pt>
                <c:pt idx="2">
                  <c:v>0.307</c:v>
                </c:pt>
                <c:pt idx="3">
                  <c:v>0.03</c:v>
                </c:pt>
                <c:pt idx="4">
                  <c:v>3.3000000000000002E-2</c:v>
                </c:pt>
                <c:pt idx="5">
                  <c:v>0.112</c:v>
                </c:pt>
                <c:pt idx="6">
                  <c:v>0.10199999999999999</c:v>
                </c:pt>
              </c:numCache>
            </c:numRef>
          </c:val>
          <c:extLst>
            <c:ext xmlns:c16="http://schemas.microsoft.com/office/drawing/2014/chart" uri="{C3380CC4-5D6E-409C-BE32-E72D297353CC}">
              <c16:uniqueId val="{00000000-4605-A649-9602-0302A4722B1F}"/>
            </c:ext>
          </c:extLst>
        </c:ser>
        <c:ser>
          <c:idx val="1"/>
          <c:order val="1"/>
          <c:tx>
            <c:strRef>
              <c:f>Sheet1!$C$1</c:f>
              <c:strCache>
                <c:ptCount val="1"/>
                <c:pt idx="0">
                  <c:v>2015/16 - 2020/21</c:v>
                </c:pt>
              </c:strCache>
            </c:strRef>
          </c:tx>
          <c:spPr>
            <a:solidFill>
              <a:schemeClr val="accent2"/>
            </a:solidFill>
            <a:ln>
              <a:noFill/>
            </a:ln>
            <a:effectLst/>
          </c:spPr>
          <c:invertIfNegative val="0"/>
          <c:cat>
            <c:strRef>
              <c:f>Sheet1!$A$2:$A$9</c:f>
              <c:strCache>
                <c:ptCount val="8"/>
                <c:pt idx="0">
                  <c:v>Nominal</c:v>
                </c:pt>
                <c:pt idx="1">
                  <c:v>Undertaking</c:v>
                </c:pt>
                <c:pt idx="2">
                  <c:v>Fine</c:v>
                </c:pt>
                <c:pt idx="3">
                  <c:v>Community Service Order</c:v>
                </c:pt>
                <c:pt idx="4">
                  <c:v>Probation</c:v>
                </c:pt>
                <c:pt idx="5">
                  <c:v>Wholly Suspended Sentence </c:v>
                </c:pt>
                <c:pt idx="6">
                  <c:v>Imprisonment</c:v>
                </c:pt>
                <c:pt idx="7">
                  <c:v>Partially Suspended Sentence</c:v>
                </c:pt>
              </c:strCache>
            </c:strRef>
          </c:cat>
          <c:val>
            <c:numRef>
              <c:f>Sheet1!$C$2:$C$9</c:f>
              <c:numCache>
                <c:formatCode>0.00%</c:formatCode>
                <c:ptCount val="8"/>
                <c:pt idx="0">
                  <c:v>3.6999999999999998E-2</c:v>
                </c:pt>
                <c:pt idx="1">
                  <c:v>0.27800000000000002</c:v>
                </c:pt>
                <c:pt idx="2">
                  <c:v>0.497</c:v>
                </c:pt>
                <c:pt idx="3">
                  <c:v>1.4999999999999999E-2</c:v>
                </c:pt>
                <c:pt idx="4">
                  <c:v>3.1E-2</c:v>
                </c:pt>
                <c:pt idx="5">
                  <c:v>6.6000000000000003E-2</c:v>
                </c:pt>
                <c:pt idx="6">
                  <c:v>5.5E-2</c:v>
                </c:pt>
                <c:pt idx="7">
                  <c:v>1.7000000000000001E-2</c:v>
                </c:pt>
              </c:numCache>
            </c:numRef>
          </c:val>
          <c:extLst>
            <c:ext xmlns:c16="http://schemas.microsoft.com/office/drawing/2014/chart" uri="{C3380CC4-5D6E-409C-BE32-E72D297353CC}">
              <c16:uniqueId val="{00000001-4605-A649-9602-0302A4722B1F}"/>
            </c:ext>
          </c:extLst>
        </c:ser>
        <c:dLbls>
          <c:showLegendKey val="0"/>
          <c:showVal val="0"/>
          <c:showCatName val="0"/>
          <c:showSerName val="0"/>
          <c:showPercent val="0"/>
          <c:showBubbleSize val="0"/>
        </c:dLbls>
        <c:gapWidth val="219"/>
        <c:overlap val="-27"/>
        <c:axId val="1417951455"/>
        <c:axId val="1417975919"/>
      </c:barChart>
      <c:catAx>
        <c:axId val="141795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975919"/>
        <c:crosses val="autoZero"/>
        <c:auto val="1"/>
        <c:lblAlgn val="ctr"/>
        <c:lblOffset val="100"/>
        <c:noMultiLvlLbl val="0"/>
      </c:catAx>
      <c:valAx>
        <c:axId val="14179759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9514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2F72-95E1-A641-935D-C582E510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2021-10-11T23:26:00Z</cp:lastPrinted>
  <dcterms:created xsi:type="dcterms:W3CDTF">2021-10-11T23:28:00Z</dcterms:created>
  <dcterms:modified xsi:type="dcterms:W3CDTF">2021-10-11T23:28:00Z</dcterms:modified>
</cp:coreProperties>
</file>