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18A9" w14:textId="77777777" w:rsidR="00A067FF" w:rsidRPr="00D92193" w:rsidRDefault="00A067FF" w:rsidP="00A067FF">
      <w:pPr>
        <w:ind w:right="-347"/>
        <w:jc w:val="center"/>
      </w:pPr>
      <w:r>
        <w:rPr>
          <w:noProof/>
          <w:sz w:val="20"/>
          <w:szCs w:val="20"/>
          <w:lang w:val="en-AU" w:eastAsia="en-AU"/>
        </w:rPr>
        <w:drawing>
          <wp:inline distT="0" distB="0" distL="0" distR="0" wp14:anchorId="527D7F8A" wp14:editId="3392BD08">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1AAA2617" w14:textId="77777777" w:rsidR="00A067FF" w:rsidRPr="00C9655B" w:rsidRDefault="00A067FF" w:rsidP="00A067FF">
      <w:pPr>
        <w:ind w:right="-347"/>
        <w:rPr>
          <w:rFonts w:ascii="Cambria" w:hAnsi="Cambria"/>
        </w:rPr>
      </w:pPr>
    </w:p>
    <w:p w14:paraId="22AFDF3E" w14:textId="33E40522" w:rsidR="00A067FF" w:rsidRPr="00C9655B" w:rsidRDefault="00A067FF" w:rsidP="00A067FF">
      <w:pPr>
        <w:ind w:right="-347"/>
        <w:rPr>
          <w:rFonts w:ascii="Cambria" w:hAnsi="Cambria"/>
        </w:rPr>
      </w:pPr>
      <w:r w:rsidRPr="00C9655B">
        <w:rPr>
          <w:rFonts w:ascii="Cambria" w:hAnsi="Cambria"/>
        </w:rPr>
        <w:t>23 September 2021</w:t>
      </w:r>
    </w:p>
    <w:p w14:paraId="50140AD0" w14:textId="77777777" w:rsidR="00A067FF" w:rsidRPr="00C9655B" w:rsidRDefault="00A067FF" w:rsidP="00A067FF">
      <w:pPr>
        <w:ind w:right="-347"/>
        <w:rPr>
          <w:rFonts w:ascii="Cambria" w:hAnsi="Cambria"/>
        </w:rPr>
      </w:pPr>
    </w:p>
    <w:p w14:paraId="2BEFBDBB" w14:textId="77777777" w:rsidR="00A067FF" w:rsidRPr="00C9655B" w:rsidRDefault="00A067FF" w:rsidP="00A067FF">
      <w:pPr>
        <w:ind w:right="-347"/>
        <w:rPr>
          <w:rFonts w:ascii="Cambria" w:hAnsi="Cambria"/>
        </w:rPr>
      </w:pPr>
      <w:r w:rsidRPr="00C9655B">
        <w:rPr>
          <w:rFonts w:ascii="Cambria" w:hAnsi="Cambria"/>
        </w:rPr>
        <w:t>Department of Justice</w:t>
      </w:r>
    </w:p>
    <w:p w14:paraId="274E858D" w14:textId="77777777" w:rsidR="00A067FF" w:rsidRPr="00C9655B" w:rsidRDefault="00A067FF" w:rsidP="00A067FF">
      <w:pPr>
        <w:ind w:right="-347"/>
        <w:rPr>
          <w:rFonts w:ascii="Cambria" w:hAnsi="Cambria"/>
        </w:rPr>
      </w:pPr>
      <w:r w:rsidRPr="00C9655B">
        <w:rPr>
          <w:rFonts w:ascii="Cambria" w:hAnsi="Cambria"/>
        </w:rPr>
        <w:t>Office of the Secretary</w:t>
      </w:r>
    </w:p>
    <w:p w14:paraId="0A664B2B" w14:textId="77777777" w:rsidR="00A067FF" w:rsidRPr="00C9655B" w:rsidRDefault="00A067FF" w:rsidP="00A067FF">
      <w:pPr>
        <w:ind w:right="-347"/>
        <w:rPr>
          <w:rFonts w:ascii="Cambria" w:hAnsi="Cambria"/>
        </w:rPr>
      </w:pPr>
      <w:r w:rsidRPr="00C9655B">
        <w:rPr>
          <w:rFonts w:ascii="Cambria" w:hAnsi="Cambria"/>
        </w:rPr>
        <w:t xml:space="preserve">GPO Box 825 </w:t>
      </w:r>
    </w:p>
    <w:p w14:paraId="115E550A" w14:textId="77777777" w:rsidR="00A067FF" w:rsidRPr="00C9655B" w:rsidRDefault="00A067FF" w:rsidP="00A067FF">
      <w:pPr>
        <w:ind w:right="-347"/>
        <w:rPr>
          <w:rFonts w:ascii="Cambria" w:hAnsi="Cambria"/>
        </w:rPr>
      </w:pPr>
      <w:r w:rsidRPr="00C9655B">
        <w:rPr>
          <w:rFonts w:ascii="Cambria" w:hAnsi="Cambria"/>
        </w:rPr>
        <w:t>Hobart TAS 7001</w:t>
      </w:r>
    </w:p>
    <w:p w14:paraId="6AF11EBF" w14:textId="63C1C4BB" w:rsidR="00A067FF" w:rsidRPr="00C9655B" w:rsidRDefault="00A067FF" w:rsidP="00A067FF">
      <w:pPr>
        <w:ind w:right="-347"/>
        <w:rPr>
          <w:rFonts w:ascii="Cambria" w:hAnsi="Cambria"/>
        </w:rPr>
      </w:pPr>
      <w:proofErr w:type="spellStart"/>
      <w:r w:rsidRPr="00C9655B">
        <w:rPr>
          <w:rFonts w:ascii="Cambria" w:hAnsi="Cambria"/>
        </w:rPr>
        <w:t>attn:</w:t>
      </w:r>
      <w:proofErr w:type="spellEnd"/>
      <w:r w:rsidRPr="00C9655B">
        <w:rPr>
          <w:rFonts w:ascii="Cambria" w:hAnsi="Cambria"/>
        </w:rPr>
        <w:t xml:space="preserve"> </w:t>
      </w:r>
      <w:r w:rsidR="00B6190A" w:rsidRPr="00C9655B">
        <w:rPr>
          <w:rFonts w:ascii="Cambria" w:hAnsi="Cambria"/>
        </w:rPr>
        <w:t>Secretary</w:t>
      </w:r>
    </w:p>
    <w:p w14:paraId="3F35757B" w14:textId="77777777" w:rsidR="00A067FF" w:rsidRPr="00C9655B" w:rsidRDefault="00A067FF" w:rsidP="00A067FF">
      <w:pPr>
        <w:ind w:right="-347"/>
        <w:rPr>
          <w:rFonts w:ascii="Cambria" w:hAnsi="Cambria"/>
        </w:rPr>
      </w:pPr>
    </w:p>
    <w:p w14:paraId="00E8BF56" w14:textId="77777777" w:rsidR="00A067FF" w:rsidRPr="00EB4257" w:rsidRDefault="00A067FF" w:rsidP="00EB4257">
      <w:pPr>
        <w:ind w:left="2160" w:right="-347"/>
        <w:rPr>
          <w:rFonts w:ascii="Cambria" w:hAnsi="Cambria"/>
          <w:i/>
          <w:iCs/>
        </w:rPr>
      </w:pPr>
      <w:r w:rsidRPr="00EB4257">
        <w:rPr>
          <w:rFonts w:ascii="Cambria" w:hAnsi="Cambria"/>
          <w:b/>
          <w:bCs/>
          <w:i/>
          <w:iCs/>
        </w:rPr>
        <w:t>via email</w:t>
      </w:r>
      <w:r w:rsidRPr="00EB4257">
        <w:rPr>
          <w:rFonts w:ascii="Cambria" w:hAnsi="Cambria"/>
          <w:i/>
          <w:iCs/>
        </w:rPr>
        <w:t xml:space="preserve">: </w:t>
      </w:r>
      <w:hyperlink r:id="rId8" w:history="1">
        <w:r w:rsidRPr="00EB4257">
          <w:rPr>
            <w:rStyle w:val="Hyperlink"/>
            <w:rFonts w:ascii="Cambria" w:hAnsi="Cambria"/>
            <w:i/>
            <w:iCs/>
          </w:rPr>
          <w:t>haveyoursay@justice.tas.gov.au</w:t>
        </w:r>
      </w:hyperlink>
      <w:r w:rsidRPr="00EB4257">
        <w:rPr>
          <w:rFonts w:ascii="Cambria" w:hAnsi="Cambria"/>
          <w:i/>
          <w:iCs/>
        </w:rPr>
        <w:t xml:space="preserve"> </w:t>
      </w:r>
    </w:p>
    <w:p w14:paraId="75AAB83B" w14:textId="77777777" w:rsidR="00EB4257" w:rsidRDefault="00EB4257" w:rsidP="00A067FF">
      <w:pPr>
        <w:ind w:right="-347"/>
        <w:rPr>
          <w:rFonts w:ascii="Cambria" w:hAnsi="Cambria"/>
        </w:rPr>
      </w:pPr>
    </w:p>
    <w:p w14:paraId="4CF473F5" w14:textId="029A5490" w:rsidR="00A067FF" w:rsidRPr="00C9655B" w:rsidRDefault="00A067FF" w:rsidP="00A067FF">
      <w:pPr>
        <w:ind w:right="-347"/>
        <w:rPr>
          <w:rFonts w:ascii="Cambria" w:hAnsi="Cambria"/>
        </w:rPr>
      </w:pPr>
      <w:r w:rsidRPr="00C9655B">
        <w:rPr>
          <w:rFonts w:ascii="Cambria" w:hAnsi="Cambria"/>
        </w:rPr>
        <w:t xml:space="preserve">To </w:t>
      </w:r>
      <w:proofErr w:type="spellStart"/>
      <w:r w:rsidRPr="00C9655B">
        <w:rPr>
          <w:rFonts w:ascii="Cambria" w:hAnsi="Cambria"/>
        </w:rPr>
        <w:t>Ginna</w:t>
      </w:r>
      <w:proofErr w:type="spellEnd"/>
      <w:r w:rsidRPr="00C9655B">
        <w:rPr>
          <w:rFonts w:ascii="Cambria" w:hAnsi="Cambria"/>
        </w:rPr>
        <w:t>,</w:t>
      </w:r>
    </w:p>
    <w:p w14:paraId="59114B41" w14:textId="513F8B04" w:rsidR="00A067FF" w:rsidRPr="00C9655B" w:rsidRDefault="00A067FF" w:rsidP="00A067FF">
      <w:pPr>
        <w:pBdr>
          <w:bottom w:val="single" w:sz="6" w:space="1" w:color="auto"/>
        </w:pBdr>
        <w:ind w:right="-347"/>
        <w:rPr>
          <w:rFonts w:ascii="Cambria" w:hAnsi="Cambria" w:cs="Arial"/>
        </w:rPr>
      </w:pPr>
      <w:r w:rsidRPr="00C9655B">
        <w:rPr>
          <w:rFonts w:ascii="Cambria" w:hAnsi="Cambria"/>
          <w:b/>
        </w:rPr>
        <w:t xml:space="preserve">Re: </w:t>
      </w:r>
      <w:r w:rsidRPr="00C9655B">
        <w:rPr>
          <w:rFonts w:ascii="Cambria" w:hAnsi="Cambria"/>
          <w:b/>
          <w:i/>
        </w:rPr>
        <w:t>Workplaces (Protection from Protest</w:t>
      </w:r>
      <w:r w:rsidR="00FD6373" w:rsidRPr="00C9655B">
        <w:rPr>
          <w:rFonts w:ascii="Cambria" w:hAnsi="Cambria"/>
          <w:b/>
          <w:i/>
        </w:rPr>
        <w:t>e</w:t>
      </w:r>
      <w:r w:rsidRPr="00C9655B">
        <w:rPr>
          <w:rFonts w:ascii="Cambria" w:hAnsi="Cambria"/>
          <w:b/>
          <w:i/>
        </w:rPr>
        <w:t>rs) Amendment Bill 2021</w:t>
      </w:r>
    </w:p>
    <w:p w14:paraId="0780E0DF" w14:textId="77777777" w:rsidR="00A067FF" w:rsidRPr="00C9655B" w:rsidRDefault="00A067FF" w:rsidP="00A067FF">
      <w:pPr>
        <w:ind w:right="-347"/>
        <w:jc w:val="both"/>
        <w:rPr>
          <w:rFonts w:ascii="Cambria" w:hAnsi="Cambria" w:cs="Calibri"/>
        </w:rPr>
      </w:pPr>
    </w:p>
    <w:p w14:paraId="763F7FD5" w14:textId="57E63509" w:rsidR="00A067FF" w:rsidRPr="00C9655B" w:rsidRDefault="00A067FF" w:rsidP="00A067FF">
      <w:pPr>
        <w:ind w:right="-347"/>
        <w:jc w:val="both"/>
        <w:rPr>
          <w:rFonts w:ascii="Cambria" w:hAnsi="Cambria"/>
        </w:rPr>
      </w:pPr>
      <w:r w:rsidRPr="00C9655B">
        <w:rPr>
          <w:rFonts w:ascii="Cambria" w:hAnsi="Cambria" w:cs="Calibri"/>
        </w:rPr>
        <w:t xml:space="preserve">Community Legal </w:t>
      </w:r>
      <w:proofErr w:type="spellStart"/>
      <w:r w:rsidRPr="00C9655B">
        <w:rPr>
          <w:rFonts w:ascii="Cambria" w:hAnsi="Cambria" w:cs="Calibri"/>
        </w:rPr>
        <w:t>Centres</w:t>
      </w:r>
      <w:proofErr w:type="spellEnd"/>
      <w:r w:rsidRPr="00C9655B">
        <w:rPr>
          <w:rFonts w:ascii="Cambria" w:hAnsi="Cambria" w:cs="Calibri"/>
        </w:rPr>
        <w:t xml:space="preserve"> Tasmania (CLC Tas)</w:t>
      </w:r>
      <w:r w:rsidRPr="00C9655B">
        <w:rPr>
          <w:rFonts w:ascii="Cambria" w:hAnsi="Cambria"/>
        </w:rPr>
        <w:t xml:space="preserve"> welcomes the opportunity to provide comment on the </w:t>
      </w:r>
      <w:r w:rsidRPr="00C9655B">
        <w:rPr>
          <w:rFonts w:ascii="Cambria" w:hAnsi="Cambria"/>
          <w:i/>
        </w:rPr>
        <w:t>Workplaces (Protection from Protest</w:t>
      </w:r>
      <w:r w:rsidR="00FD6373" w:rsidRPr="00C9655B">
        <w:rPr>
          <w:rFonts w:ascii="Cambria" w:hAnsi="Cambria"/>
          <w:i/>
        </w:rPr>
        <w:t>e</w:t>
      </w:r>
      <w:r w:rsidRPr="00C9655B">
        <w:rPr>
          <w:rFonts w:ascii="Cambria" w:hAnsi="Cambria"/>
          <w:i/>
        </w:rPr>
        <w:t xml:space="preserve">rs) Amendment Bill 2021 </w:t>
      </w:r>
      <w:r w:rsidRPr="00C9655B">
        <w:rPr>
          <w:rFonts w:ascii="Cambria" w:hAnsi="Cambria"/>
        </w:rPr>
        <w:t>(‘the Bill’).</w:t>
      </w:r>
      <w:r w:rsidRPr="00C9655B">
        <w:rPr>
          <w:rStyle w:val="FootnoteReference"/>
          <w:rFonts w:ascii="Cambria" w:hAnsi="Cambria"/>
        </w:rPr>
        <w:footnoteReference w:id="1"/>
      </w:r>
    </w:p>
    <w:p w14:paraId="7D1810C0" w14:textId="77777777" w:rsidR="00A067FF" w:rsidRPr="00C9655B" w:rsidRDefault="00A067FF" w:rsidP="00A067FF">
      <w:pPr>
        <w:ind w:right="-347"/>
        <w:jc w:val="both"/>
        <w:rPr>
          <w:rFonts w:ascii="Cambria" w:hAnsi="Cambria"/>
        </w:rPr>
      </w:pPr>
    </w:p>
    <w:p w14:paraId="1F47980D" w14:textId="77777777" w:rsidR="00A067FF" w:rsidRPr="00C9655B" w:rsidRDefault="00A067FF" w:rsidP="00A067FF">
      <w:pPr>
        <w:ind w:right="-347"/>
        <w:jc w:val="both"/>
        <w:rPr>
          <w:rFonts w:ascii="Cambria" w:hAnsi="Cambria"/>
        </w:rPr>
      </w:pPr>
      <w:r w:rsidRPr="00C9655B">
        <w:rPr>
          <w:rFonts w:ascii="Cambria" w:eastAsia="Times New Roman" w:hAnsi="Cambria" w:cs="Arial"/>
          <w:lang w:eastAsia="en-AU"/>
        </w:rPr>
        <w:t xml:space="preserve">CLC Tas </w:t>
      </w:r>
      <w:r w:rsidRPr="00C9655B">
        <w:rPr>
          <w:rFonts w:ascii="Cambria" w:hAnsi="Cambria" w:cs="Arial"/>
        </w:rPr>
        <w:t xml:space="preserve">is the peak body representing the interests of nine community legal </w:t>
      </w:r>
      <w:proofErr w:type="spellStart"/>
      <w:r w:rsidRPr="00C9655B">
        <w:rPr>
          <w:rFonts w:ascii="Cambria" w:hAnsi="Cambria" w:cs="Arial"/>
        </w:rPr>
        <w:t>centres</w:t>
      </w:r>
      <w:proofErr w:type="spellEnd"/>
      <w:r w:rsidRPr="00C9655B">
        <w:rPr>
          <w:rFonts w:ascii="Cambria" w:hAnsi="Cambria" w:cs="Arial"/>
        </w:rPr>
        <w:t xml:space="preserve"> (CLCs) located throughout Tasmania. We are a member-based, independent, not-for-profit and incorporated </w:t>
      </w:r>
      <w:proofErr w:type="spellStart"/>
      <w:r w:rsidRPr="00C9655B">
        <w:rPr>
          <w:rFonts w:ascii="Cambria" w:hAnsi="Cambria" w:cs="Arial"/>
        </w:rPr>
        <w:t>organisation</w:t>
      </w:r>
      <w:proofErr w:type="spellEnd"/>
      <w:r w:rsidRPr="00C9655B">
        <w:rPr>
          <w:rFonts w:ascii="Cambria" w:hAnsi="Cambria" w:cs="Arial"/>
        </w:rPr>
        <w:t xml:space="preserve"> that</w:t>
      </w:r>
      <w:r w:rsidRPr="00C9655B">
        <w:rPr>
          <w:rFonts w:ascii="Cambria" w:hAnsi="Cambria" w:cs="Arial"/>
          <w:color w:val="000000"/>
        </w:rPr>
        <w:t xml:space="preserve"> advocates for law reform on a range of public interest matters aimed at improving access to justice, reducing discrimination and protecting and promoting human rights. </w:t>
      </w:r>
    </w:p>
    <w:p w14:paraId="18A0FFC5" w14:textId="77777777" w:rsidR="00A067FF" w:rsidRPr="00C9655B" w:rsidRDefault="00A067FF" w:rsidP="00A067FF">
      <w:pPr>
        <w:ind w:right="-347"/>
        <w:jc w:val="both"/>
        <w:rPr>
          <w:rFonts w:ascii="Cambria" w:hAnsi="Cambria"/>
        </w:rPr>
      </w:pPr>
    </w:p>
    <w:p w14:paraId="54C96028" w14:textId="316A97D0" w:rsidR="00027C9A" w:rsidRPr="00C9655B" w:rsidRDefault="00A067FF" w:rsidP="00D81B21">
      <w:pPr>
        <w:ind w:right="-347"/>
        <w:jc w:val="both"/>
        <w:rPr>
          <w:rFonts w:ascii="Cambria" w:hAnsi="Cambria"/>
        </w:rPr>
      </w:pPr>
      <w:r w:rsidRPr="00C9655B">
        <w:rPr>
          <w:rFonts w:ascii="Cambria" w:hAnsi="Cambria"/>
        </w:rPr>
        <w:t xml:space="preserve">We are strongly opposed to the </w:t>
      </w:r>
      <w:r w:rsidRPr="00C9655B">
        <w:rPr>
          <w:rFonts w:ascii="Cambria" w:hAnsi="Cambria"/>
          <w:i/>
        </w:rPr>
        <w:t xml:space="preserve">Workplaces (Protection from Protesters) Act 2014 </w:t>
      </w:r>
      <w:r w:rsidRPr="00C9655B">
        <w:rPr>
          <w:rFonts w:ascii="Cambria" w:hAnsi="Cambria"/>
        </w:rPr>
        <w:t xml:space="preserve">(‘the Act’). In our opinion, the Act is unnecessary with existing legislation already providing sufficient scope to punish illegal protest. For example, under the </w:t>
      </w:r>
      <w:r w:rsidRPr="00C9655B">
        <w:rPr>
          <w:rFonts w:ascii="Cambria" w:hAnsi="Cambria"/>
          <w:i/>
          <w:iCs/>
        </w:rPr>
        <w:t xml:space="preserve">Police Offences Act 1935 </w:t>
      </w:r>
      <w:r w:rsidRPr="00C9655B">
        <w:rPr>
          <w:rFonts w:ascii="Cambria" w:hAnsi="Cambria"/>
          <w:iCs/>
        </w:rPr>
        <w:t>(Tas),</w:t>
      </w:r>
      <w:r w:rsidRPr="00C9655B">
        <w:rPr>
          <w:rFonts w:ascii="Cambria" w:hAnsi="Cambria"/>
          <w:i/>
          <w:iCs/>
        </w:rPr>
        <w:t xml:space="preserve"> </w:t>
      </w:r>
      <w:r w:rsidRPr="00C9655B">
        <w:rPr>
          <w:rFonts w:ascii="Cambria" w:hAnsi="Cambria"/>
        </w:rPr>
        <w:t>it is an offence to unlawfully enter land with the penalty for non-residential land being a fine of up to $</w:t>
      </w:r>
      <w:r w:rsidR="00C06801" w:rsidRPr="00C9655B">
        <w:rPr>
          <w:rFonts w:ascii="Cambria" w:hAnsi="Cambria"/>
        </w:rPr>
        <w:t>4</w:t>
      </w:r>
      <w:r w:rsidR="00EB4257">
        <w:rPr>
          <w:rFonts w:ascii="Cambria" w:hAnsi="Cambria"/>
        </w:rPr>
        <w:t>,</w:t>
      </w:r>
      <w:r w:rsidR="00C06801" w:rsidRPr="00C9655B">
        <w:rPr>
          <w:rFonts w:ascii="Cambria" w:hAnsi="Cambria"/>
        </w:rPr>
        <w:t>325</w:t>
      </w:r>
      <w:r w:rsidRPr="00C9655B">
        <w:rPr>
          <w:rFonts w:ascii="Cambria" w:hAnsi="Cambria"/>
        </w:rPr>
        <w:t xml:space="preserve"> </w:t>
      </w:r>
      <w:r w:rsidRPr="00C9655B">
        <w:rPr>
          <w:rFonts w:ascii="Cambria" w:hAnsi="Cambria"/>
          <w:bCs/>
        </w:rPr>
        <w:t xml:space="preserve">or </w:t>
      </w:r>
      <w:r w:rsidRPr="00C9655B">
        <w:rPr>
          <w:rFonts w:ascii="Cambria" w:hAnsi="Cambria"/>
        </w:rPr>
        <w:t>a prison term not exceeding 6 months.</w:t>
      </w:r>
      <w:r w:rsidRPr="00C9655B">
        <w:rPr>
          <w:rStyle w:val="FootnoteReference"/>
          <w:rFonts w:ascii="Cambria" w:hAnsi="Cambria"/>
        </w:rPr>
        <w:footnoteReference w:id="2"/>
      </w:r>
      <w:r w:rsidRPr="00C9655B">
        <w:rPr>
          <w:rFonts w:ascii="Cambria" w:hAnsi="Cambria"/>
        </w:rPr>
        <w:t xml:space="preserve"> Additionally, the </w:t>
      </w:r>
      <w:r w:rsidRPr="00C9655B">
        <w:rPr>
          <w:rFonts w:ascii="Cambria" w:hAnsi="Cambria"/>
          <w:i/>
          <w:iCs/>
        </w:rPr>
        <w:t xml:space="preserve">Police Offences Act </w:t>
      </w:r>
      <w:r w:rsidRPr="00C9655B">
        <w:rPr>
          <w:rFonts w:ascii="Cambria" w:hAnsi="Cambria"/>
          <w:i/>
        </w:rPr>
        <w:t>1935</w:t>
      </w:r>
      <w:r w:rsidRPr="00C9655B">
        <w:rPr>
          <w:rFonts w:ascii="Cambria" w:hAnsi="Cambria"/>
        </w:rPr>
        <w:t xml:space="preserve"> (Tas) makes it an offence to destroy or injure property with the penalties being a fine not exceeding $1,</w:t>
      </w:r>
      <w:r w:rsidR="00C06801" w:rsidRPr="00C9655B">
        <w:rPr>
          <w:rFonts w:ascii="Cambria" w:hAnsi="Cambria"/>
        </w:rPr>
        <w:t>730</w:t>
      </w:r>
      <w:r w:rsidRPr="00C9655B">
        <w:rPr>
          <w:rFonts w:ascii="Cambria" w:hAnsi="Cambria"/>
        </w:rPr>
        <w:t xml:space="preserve"> </w:t>
      </w:r>
      <w:r w:rsidRPr="00C9655B">
        <w:rPr>
          <w:rFonts w:ascii="Cambria" w:hAnsi="Cambria"/>
          <w:bCs/>
        </w:rPr>
        <w:t xml:space="preserve">or </w:t>
      </w:r>
      <w:r w:rsidRPr="00C9655B">
        <w:rPr>
          <w:rFonts w:ascii="Cambria" w:hAnsi="Cambria"/>
        </w:rPr>
        <w:t>a prison term not exceeding 12 months.</w:t>
      </w:r>
      <w:r w:rsidRPr="00C9655B">
        <w:rPr>
          <w:rStyle w:val="FootnoteReference"/>
          <w:rFonts w:ascii="Cambria" w:hAnsi="Cambria"/>
        </w:rPr>
        <w:footnoteReference w:id="3"/>
      </w:r>
      <w:r w:rsidRPr="00C9655B">
        <w:rPr>
          <w:rFonts w:ascii="Cambria" w:hAnsi="Cambria"/>
        </w:rPr>
        <w:t xml:space="preserve"> </w:t>
      </w:r>
    </w:p>
    <w:p w14:paraId="1BEB9B95" w14:textId="77777777" w:rsidR="00027C9A" w:rsidRPr="00C9655B" w:rsidRDefault="00027C9A" w:rsidP="00D81B21">
      <w:pPr>
        <w:ind w:right="-347"/>
        <w:jc w:val="both"/>
        <w:rPr>
          <w:rFonts w:ascii="Cambria" w:hAnsi="Cambria"/>
        </w:rPr>
      </w:pPr>
    </w:p>
    <w:p w14:paraId="2359821A" w14:textId="4C7ABE84" w:rsidR="00D81B21" w:rsidRPr="00C9655B" w:rsidRDefault="00A067FF" w:rsidP="00D81B21">
      <w:pPr>
        <w:ind w:right="-347"/>
        <w:jc w:val="both"/>
        <w:rPr>
          <w:rFonts w:ascii="Cambria" w:hAnsi="Cambria"/>
        </w:rPr>
      </w:pPr>
      <w:r w:rsidRPr="00C9655B">
        <w:rPr>
          <w:rFonts w:ascii="Cambria" w:hAnsi="Cambria"/>
          <w:color w:val="000000" w:themeColor="text1"/>
        </w:rPr>
        <w:lastRenderedPageBreak/>
        <w:t>The Act also infringes on Australia’s human rights obligations with</w:t>
      </w:r>
      <w:r w:rsidR="00D81B21" w:rsidRPr="00C9655B">
        <w:rPr>
          <w:rFonts w:ascii="Cambria" w:hAnsi="Cambria"/>
          <w:color w:val="000000" w:themeColor="text1"/>
        </w:rPr>
        <w:t xml:space="preserve"> three </w:t>
      </w:r>
      <w:r w:rsidRPr="00C9655B">
        <w:rPr>
          <w:rFonts w:ascii="Cambria" w:hAnsi="Cambria"/>
          <w:color w:val="000000" w:themeColor="text1"/>
        </w:rPr>
        <w:t xml:space="preserve">United Nations human rights experts </w:t>
      </w:r>
      <w:r w:rsidRPr="00C9655B">
        <w:rPr>
          <w:rFonts w:ascii="Cambria" w:eastAsia="Times New Roman" w:hAnsi="Cambria" w:cs="Times New Roman"/>
          <w:color w:val="000000" w:themeColor="text1"/>
          <w:shd w:val="clear" w:color="auto" w:fill="FFFFFF"/>
          <w:lang w:val="en-AU"/>
        </w:rPr>
        <w:t>having urged the Tasmanian Government</w:t>
      </w:r>
      <w:r w:rsidR="00D81B21" w:rsidRPr="00C9655B">
        <w:rPr>
          <w:rFonts w:ascii="Cambria" w:eastAsia="Times New Roman" w:hAnsi="Cambria" w:cs="Times New Roman"/>
          <w:color w:val="000000" w:themeColor="text1"/>
          <w:shd w:val="clear" w:color="auto" w:fill="FFFFFF"/>
          <w:lang w:val="en-AU"/>
        </w:rPr>
        <w:t xml:space="preserve"> in 2014 to refrain from passing the Bill into law. The three UN experts noted:</w:t>
      </w:r>
      <w:r w:rsidR="00D81B21" w:rsidRPr="00C9655B">
        <w:rPr>
          <w:rStyle w:val="FootnoteReference"/>
          <w:rFonts w:ascii="Cambria" w:eastAsia="Times New Roman" w:hAnsi="Cambria" w:cs="Times New Roman"/>
          <w:color w:val="000000" w:themeColor="text1"/>
          <w:shd w:val="clear" w:color="auto" w:fill="FFFFFF"/>
          <w:lang w:val="en-AU"/>
        </w:rPr>
        <w:footnoteReference w:id="4"/>
      </w:r>
    </w:p>
    <w:p w14:paraId="3BF42ECD" w14:textId="77777777" w:rsidR="00D81B21" w:rsidRPr="00C9655B" w:rsidRDefault="00D81B21" w:rsidP="00D81B21">
      <w:pPr>
        <w:ind w:right="-347"/>
        <w:jc w:val="both"/>
        <w:rPr>
          <w:rFonts w:ascii="Cambria" w:eastAsia="Times New Roman" w:hAnsi="Cambria" w:cs="Times New Roman"/>
          <w:color w:val="000000" w:themeColor="text1"/>
          <w:shd w:val="clear" w:color="auto" w:fill="FFFFFF"/>
          <w:lang w:val="en-AU"/>
        </w:rPr>
      </w:pPr>
    </w:p>
    <w:p w14:paraId="15C30DF3" w14:textId="5F2F2BBD" w:rsidR="00D81B21" w:rsidRPr="00D81B21" w:rsidRDefault="00D81B21" w:rsidP="008653F5">
      <w:pPr>
        <w:ind w:left="720" w:right="-347"/>
        <w:jc w:val="both"/>
        <w:rPr>
          <w:rFonts w:ascii="Cambria" w:eastAsia="Times New Roman" w:hAnsi="Cambria" w:cs="Times New Roman"/>
          <w:i/>
          <w:iCs/>
          <w:color w:val="000000" w:themeColor="text1"/>
          <w:shd w:val="clear" w:color="auto" w:fill="FFFFFF"/>
          <w:lang w:val="en-AU"/>
        </w:rPr>
      </w:pPr>
      <w:r w:rsidRPr="00D81B21">
        <w:rPr>
          <w:rFonts w:ascii="Cambria" w:eastAsia="Times New Roman" w:hAnsi="Cambria" w:cs="Times New Roman"/>
          <w:i/>
          <w:iCs/>
          <w:color w:val="000000" w:themeColor="text1"/>
          <w:shd w:val="clear" w:color="auto" w:fill="FFFFFF"/>
          <w:lang w:val="en-AU" w:eastAsia="en-GB"/>
        </w:rPr>
        <w:t>If passed, the law would almost certainly run afoul of Australia’s human rights obligations, which Tasmania is also obliged to uphold. State governments in Australia need to ensure the legislation they adopt is in line with the country’s international obligations under international human rights law</w:t>
      </w:r>
      <w:r w:rsidRPr="00C9655B">
        <w:rPr>
          <w:rFonts w:ascii="Cambria" w:eastAsia="Times New Roman" w:hAnsi="Cambria" w:cs="Times New Roman"/>
          <w:i/>
          <w:iCs/>
          <w:color w:val="000000" w:themeColor="text1"/>
          <w:shd w:val="clear" w:color="auto" w:fill="FFFFFF"/>
          <w:lang w:val="en-AU" w:eastAsia="en-GB"/>
        </w:rPr>
        <w:t>.</w:t>
      </w:r>
    </w:p>
    <w:p w14:paraId="2707E2DB" w14:textId="337466EA" w:rsidR="00D81B21" w:rsidRPr="00C9655B" w:rsidRDefault="00D81B21" w:rsidP="00A067FF">
      <w:pPr>
        <w:ind w:right="-347"/>
        <w:jc w:val="both"/>
        <w:rPr>
          <w:rFonts w:ascii="Cambria" w:eastAsia="Times New Roman" w:hAnsi="Cambria" w:cs="Times New Roman"/>
          <w:color w:val="000000" w:themeColor="text1"/>
          <w:shd w:val="clear" w:color="auto" w:fill="FFFFFF"/>
          <w:lang w:val="en-AU"/>
        </w:rPr>
      </w:pPr>
      <w:r w:rsidRPr="00C9655B">
        <w:rPr>
          <w:rFonts w:ascii="Cambria" w:eastAsia="Times New Roman" w:hAnsi="Cambria" w:cs="Times New Roman"/>
          <w:color w:val="000000" w:themeColor="text1"/>
          <w:shd w:val="clear" w:color="auto" w:fill="FFFFFF"/>
          <w:lang w:val="en-AU"/>
        </w:rPr>
        <w:t xml:space="preserve"> </w:t>
      </w:r>
      <w:r w:rsidR="00A067FF" w:rsidRPr="00C9655B">
        <w:rPr>
          <w:rFonts w:ascii="Cambria" w:eastAsia="Times New Roman" w:hAnsi="Cambria" w:cs="Times New Roman"/>
          <w:color w:val="000000" w:themeColor="text1"/>
          <w:shd w:val="clear" w:color="auto" w:fill="FFFFFF"/>
          <w:lang w:val="en-AU"/>
        </w:rPr>
        <w:t xml:space="preserve"> </w:t>
      </w:r>
    </w:p>
    <w:p w14:paraId="636A9258" w14:textId="5E552F2B" w:rsidR="00761F1B" w:rsidRPr="00C9655B" w:rsidRDefault="008653F5" w:rsidP="00A067FF">
      <w:pPr>
        <w:ind w:right="-347"/>
        <w:jc w:val="both"/>
        <w:rPr>
          <w:rFonts w:ascii="Cambria" w:hAnsi="Cambria"/>
          <w:color w:val="000000" w:themeColor="text1"/>
        </w:rPr>
      </w:pPr>
      <w:r w:rsidRPr="00C9655B">
        <w:rPr>
          <w:rFonts w:ascii="Cambria" w:hAnsi="Cambria"/>
          <w:color w:val="000000" w:themeColor="text1"/>
        </w:rPr>
        <w:t xml:space="preserve">More than two years after the Bill was passed into law the United Nations Special Rapporteur on the situation of human rights defenders </w:t>
      </w:r>
      <w:r w:rsidR="00761F1B" w:rsidRPr="00C9655B">
        <w:rPr>
          <w:rFonts w:ascii="Cambria" w:hAnsi="Cambria"/>
          <w:color w:val="000000" w:themeColor="text1"/>
        </w:rPr>
        <w:t xml:space="preserve">undertook an official mission to Australia, during which he </w:t>
      </w:r>
      <w:r w:rsidRPr="00C9655B">
        <w:rPr>
          <w:rFonts w:ascii="Cambria" w:hAnsi="Cambria"/>
          <w:color w:val="000000" w:themeColor="text1"/>
        </w:rPr>
        <w:t>“conveyed to the Tasmanian government his concern about the law, its implementation and deleterious impact on the freedom to peaceful assembly and human rights advocacy”.</w:t>
      </w:r>
      <w:r w:rsidRPr="00C9655B">
        <w:rPr>
          <w:rStyle w:val="FootnoteReference"/>
          <w:rFonts w:ascii="Cambria" w:eastAsia="Times New Roman" w:hAnsi="Cambria" w:cs="Times New Roman"/>
          <w:color w:val="000000" w:themeColor="text1"/>
          <w:shd w:val="clear" w:color="auto" w:fill="FFFFFF"/>
          <w:lang w:val="en-AU"/>
        </w:rPr>
        <w:footnoteReference w:id="5"/>
      </w:r>
      <w:r w:rsidR="00761F1B" w:rsidRPr="00C9655B">
        <w:rPr>
          <w:rFonts w:ascii="Cambria" w:hAnsi="Cambria"/>
          <w:color w:val="000000" w:themeColor="text1"/>
        </w:rPr>
        <w:t xml:space="preserve"> </w:t>
      </w:r>
    </w:p>
    <w:p w14:paraId="7E7E7A90" w14:textId="77777777" w:rsidR="00761F1B" w:rsidRPr="00C9655B" w:rsidRDefault="00761F1B" w:rsidP="00A067FF">
      <w:pPr>
        <w:ind w:right="-347"/>
        <w:jc w:val="both"/>
        <w:rPr>
          <w:rFonts w:ascii="Cambria" w:hAnsi="Cambria"/>
          <w:color w:val="000000" w:themeColor="text1"/>
        </w:rPr>
      </w:pPr>
    </w:p>
    <w:p w14:paraId="64FF7322" w14:textId="744C917B" w:rsidR="008653F5" w:rsidRPr="00C9655B" w:rsidRDefault="00761F1B" w:rsidP="00A067FF">
      <w:pPr>
        <w:ind w:right="-347"/>
        <w:jc w:val="both"/>
        <w:rPr>
          <w:rFonts w:ascii="Cambria" w:hAnsi="Cambria"/>
          <w:color w:val="000000" w:themeColor="text1"/>
        </w:rPr>
      </w:pPr>
      <w:r w:rsidRPr="00C9655B">
        <w:rPr>
          <w:rFonts w:ascii="Cambria" w:hAnsi="Cambria"/>
          <w:color w:val="000000" w:themeColor="text1"/>
        </w:rPr>
        <w:t>Following his official mission to Australia the Special Rapporteur presented his report in an End of Mission Statement in which he observed as follows:</w:t>
      </w:r>
    </w:p>
    <w:p w14:paraId="6B79BAEA" w14:textId="77777777" w:rsidR="00761F1B" w:rsidRPr="00C9655B" w:rsidRDefault="00761F1B" w:rsidP="00761F1B">
      <w:pPr>
        <w:pStyle w:val="NoSpacing"/>
        <w:rPr>
          <w:rFonts w:ascii="Cambria" w:hAnsi="Cambria"/>
        </w:rPr>
      </w:pPr>
    </w:p>
    <w:p w14:paraId="380498DF" w14:textId="77777777" w:rsidR="00761F1B" w:rsidRPr="00C9655B" w:rsidRDefault="00761F1B" w:rsidP="00761F1B">
      <w:pPr>
        <w:pStyle w:val="NoSpacing"/>
        <w:ind w:left="720"/>
        <w:jc w:val="both"/>
        <w:rPr>
          <w:rFonts w:ascii="Cambria" w:eastAsia="Times New Roman" w:hAnsi="Cambria"/>
          <w:i/>
          <w:iCs/>
          <w:lang w:val="en-AU"/>
        </w:rPr>
      </w:pPr>
      <w:r w:rsidRPr="00C9655B">
        <w:rPr>
          <w:rFonts w:ascii="Cambria" w:hAnsi="Cambria"/>
          <w:i/>
          <w:iCs/>
        </w:rPr>
        <w:t xml:space="preserve">Freedom of peaceful assembly is an essential part of democratic societies. Demonstrations and protests help raise awareness about human rights and encourage dialogue on social concerns and environmental, </w:t>
      </w:r>
      <w:proofErr w:type="spellStart"/>
      <w:r w:rsidRPr="00C9655B">
        <w:rPr>
          <w:rFonts w:ascii="Cambria" w:hAnsi="Cambria"/>
          <w:i/>
          <w:iCs/>
        </w:rPr>
        <w:t>labour</w:t>
      </w:r>
      <w:proofErr w:type="spellEnd"/>
      <w:r w:rsidRPr="00C9655B">
        <w:rPr>
          <w:rFonts w:ascii="Cambria" w:hAnsi="Cambria"/>
          <w:i/>
          <w:iCs/>
        </w:rPr>
        <w:t xml:space="preserve"> or economic issues. Australia can be proud of its history of successful protest movements triggering many political, social and environ</w:t>
      </w:r>
      <w:r w:rsidRPr="00C9655B">
        <w:rPr>
          <w:rFonts w:ascii="Cambria" w:hAnsi="Cambria"/>
          <w:i/>
          <w:iCs/>
        </w:rPr>
        <w:softHyphen/>
        <w:t xml:space="preserve">mental advances. This has included some important </w:t>
      </w:r>
      <w:proofErr w:type="spellStart"/>
      <w:r w:rsidRPr="00C9655B">
        <w:rPr>
          <w:rFonts w:ascii="Cambria" w:hAnsi="Cambria"/>
          <w:i/>
          <w:iCs/>
        </w:rPr>
        <w:t>labour</w:t>
      </w:r>
      <w:proofErr w:type="spellEnd"/>
      <w:r w:rsidRPr="00C9655B">
        <w:rPr>
          <w:rFonts w:ascii="Cambria" w:hAnsi="Cambria"/>
          <w:i/>
          <w:iCs/>
        </w:rPr>
        <w:t xml:space="preserve">-related achievements, universal voting rights, reconciliation progress towards the recognition of the indigenous peoples’ historic injustices, and environmental movement in </w:t>
      </w:r>
      <w:proofErr w:type="spellStart"/>
      <w:r w:rsidRPr="00C9655B">
        <w:rPr>
          <w:rFonts w:ascii="Cambria" w:hAnsi="Cambria"/>
          <w:i/>
          <w:iCs/>
        </w:rPr>
        <w:t>defence</w:t>
      </w:r>
      <w:proofErr w:type="spellEnd"/>
      <w:r w:rsidRPr="00C9655B">
        <w:rPr>
          <w:rFonts w:ascii="Cambria" w:hAnsi="Cambria"/>
          <w:i/>
          <w:iCs/>
        </w:rPr>
        <w:t xml:space="preserve"> of the Franklin River from a dam.</w:t>
      </w:r>
    </w:p>
    <w:p w14:paraId="272F7898" w14:textId="77777777" w:rsidR="00761F1B" w:rsidRPr="00C9655B" w:rsidRDefault="00761F1B" w:rsidP="00761F1B">
      <w:pPr>
        <w:pStyle w:val="NoSpacing"/>
        <w:ind w:left="720"/>
        <w:jc w:val="both"/>
        <w:rPr>
          <w:rFonts w:ascii="Cambria" w:hAnsi="Cambria"/>
          <w:i/>
          <w:iCs/>
        </w:rPr>
      </w:pPr>
    </w:p>
    <w:p w14:paraId="23697237" w14:textId="38762328" w:rsidR="00761F1B" w:rsidRPr="00C9655B" w:rsidRDefault="00761F1B" w:rsidP="00761F1B">
      <w:pPr>
        <w:pStyle w:val="NoSpacing"/>
        <w:ind w:left="720"/>
        <w:jc w:val="both"/>
        <w:rPr>
          <w:rFonts w:ascii="Cambria" w:hAnsi="Cambria"/>
          <w:i/>
          <w:iCs/>
        </w:rPr>
      </w:pPr>
      <w:r w:rsidRPr="00C9655B">
        <w:rPr>
          <w:rFonts w:ascii="Cambria" w:hAnsi="Cambria"/>
          <w:i/>
          <w:iCs/>
        </w:rPr>
        <w:t>Despite this, it is alarming to observe the increasing trend by State governments to constrain the exercise of this fundamental freedom through what essentially is anti-protest legislation. Jointly with other fellow UN experts, I have conveyed repeated concerns to the Australian Government that such laws would contravene Australia’s international obligations under international human rights law, including the rights to freedom of expression as well as peaceful assembly. The proposed laws would criminalize a wide range of legitimate conduct by determining them as “disrupting” business operations, physically preventing a lawful activity or possessing an object for the purpose of preventing a lawful activity. Peaceful civil disobedience and any non-violent direct action could be characterized as disruption and “physically preventing a lawful activity”, and thus become criminalized. The sanctions carry hefty fines or penalties of imprisonment of up to two years.</w:t>
      </w:r>
    </w:p>
    <w:p w14:paraId="2650C39B" w14:textId="77777777" w:rsidR="00761F1B" w:rsidRPr="00C9655B" w:rsidRDefault="00761F1B" w:rsidP="00761F1B">
      <w:pPr>
        <w:pStyle w:val="NoSpacing"/>
        <w:ind w:left="720"/>
        <w:jc w:val="both"/>
        <w:rPr>
          <w:rFonts w:ascii="Cambria" w:hAnsi="Cambria"/>
          <w:i/>
          <w:iCs/>
        </w:rPr>
      </w:pPr>
    </w:p>
    <w:p w14:paraId="1F4F5B3C" w14:textId="2B27861D" w:rsidR="00761F1B" w:rsidRPr="00C9655B" w:rsidRDefault="00761F1B" w:rsidP="00761F1B">
      <w:pPr>
        <w:pStyle w:val="NoSpacing"/>
        <w:ind w:left="720"/>
        <w:jc w:val="both"/>
        <w:rPr>
          <w:rFonts w:ascii="Cambria" w:hAnsi="Cambria"/>
          <w:i/>
          <w:iCs/>
        </w:rPr>
      </w:pPr>
      <w:r w:rsidRPr="00C9655B">
        <w:rPr>
          <w:rFonts w:ascii="Cambria" w:hAnsi="Cambria"/>
          <w:i/>
          <w:iCs/>
        </w:rPr>
        <w:t>While the bill is still under consideration of the Legislative Assembly of Western Australia, the Tasmanian Government has regrettably enacted it through the Workplaces (Protection from Protesters) Act in 2014. Since the adoption, the Act has unjustifiably targeted environmental protestors in Tasmania, the birthplace of the first green party in the world. I have met a number of environmental defenders in Hobart who were charged under this law, and could discern a sense of bewilderment and indignation among civil society of the law’s arbitrariness and unfairness. I am concerned about the implementation of the law, and its impact on the exercise of the freedom to peaceful assembly by environmental and indigenous activists, trying to raise awareness of key environmental and land rights issues.</w:t>
      </w:r>
    </w:p>
    <w:p w14:paraId="45B77C47" w14:textId="77777777" w:rsidR="00761F1B" w:rsidRPr="00C9655B" w:rsidRDefault="00761F1B" w:rsidP="00761F1B">
      <w:pPr>
        <w:pStyle w:val="NoSpacing"/>
        <w:ind w:left="720"/>
        <w:jc w:val="both"/>
        <w:rPr>
          <w:rFonts w:ascii="Cambria" w:hAnsi="Cambria"/>
          <w:i/>
          <w:iCs/>
        </w:rPr>
      </w:pPr>
    </w:p>
    <w:p w14:paraId="426BC990" w14:textId="3C207F11" w:rsidR="00761F1B" w:rsidRPr="00C9655B" w:rsidRDefault="00761F1B" w:rsidP="00761F1B">
      <w:pPr>
        <w:pStyle w:val="NoSpacing"/>
        <w:ind w:left="720"/>
        <w:jc w:val="both"/>
        <w:rPr>
          <w:rFonts w:ascii="Cambria" w:hAnsi="Cambria"/>
          <w:i/>
          <w:iCs/>
        </w:rPr>
      </w:pPr>
      <w:r w:rsidRPr="00C9655B">
        <w:rPr>
          <w:rFonts w:ascii="Cambria" w:hAnsi="Cambria"/>
          <w:i/>
          <w:iCs/>
        </w:rPr>
        <w:t>From my discussions with the Tasmanian Government, it has become clear that the Government had prioritized business and government resource interests over the democratic rights of individuals to peacefully protest. I reminded the Government that human rights defenders have a legitimate right to promote and protect all human rights, including the right to a healthy environment, regardless of whether their peaceful activities are seen by some as frustrating development projects. I therefore recommend that the laws criminalizing peaceful protests are urgently reviewed and rescinded.</w:t>
      </w:r>
    </w:p>
    <w:p w14:paraId="254FD3B2" w14:textId="77777777" w:rsidR="00761F1B" w:rsidRPr="00C9655B" w:rsidRDefault="00761F1B" w:rsidP="00A067FF">
      <w:pPr>
        <w:ind w:right="-347"/>
        <w:jc w:val="both"/>
        <w:rPr>
          <w:rFonts w:ascii="Cambria" w:hAnsi="Cambria"/>
          <w:color w:val="000000" w:themeColor="text1"/>
        </w:rPr>
      </w:pPr>
    </w:p>
    <w:p w14:paraId="4C9AE06B" w14:textId="397C6B8D" w:rsidR="00F835DB" w:rsidRPr="00C9655B" w:rsidRDefault="00073930" w:rsidP="00A067FF">
      <w:pPr>
        <w:ind w:right="-347"/>
        <w:jc w:val="both"/>
        <w:rPr>
          <w:rFonts w:ascii="Cambria" w:hAnsi="Cambria"/>
          <w:color w:val="000000" w:themeColor="text1"/>
        </w:rPr>
      </w:pPr>
      <w:r w:rsidRPr="00C9655B">
        <w:rPr>
          <w:rFonts w:ascii="Cambria" w:hAnsi="Cambria"/>
          <w:color w:val="000000" w:themeColor="text1"/>
        </w:rPr>
        <w:t>Finally,</w:t>
      </w:r>
      <w:r w:rsidR="00A067FF" w:rsidRPr="00C9655B">
        <w:rPr>
          <w:rFonts w:ascii="Cambria" w:hAnsi="Cambria"/>
          <w:color w:val="000000" w:themeColor="text1"/>
        </w:rPr>
        <w:t xml:space="preserve"> </w:t>
      </w:r>
      <w:r w:rsidR="00FD6373" w:rsidRPr="00C9655B">
        <w:rPr>
          <w:rFonts w:ascii="Cambria" w:hAnsi="Cambria"/>
          <w:color w:val="000000" w:themeColor="text1"/>
        </w:rPr>
        <w:t xml:space="preserve">we </w:t>
      </w:r>
      <w:r w:rsidR="00A067FF" w:rsidRPr="00C9655B">
        <w:rPr>
          <w:rFonts w:ascii="Cambria" w:hAnsi="Cambria"/>
          <w:color w:val="000000" w:themeColor="text1"/>
        </w:rPr>
        <w:t xml:space="preserve">are also concerned that whilst some in our community may be able to understand the </w:t>
      </w:r>
      <w:r w:rsidR="00EB4257">
        <w:rPr>
          <w:rFonts w:ascii="Cambria" w:hAnsi="Cambria"/>
          <w:color w:val="000000" w:themeColor="text1"/>
        </w:rPr>
        <w:t>Act</w:t>
      </w:r>
      <w:r w:rsidR="00A067FF" w:rsidRPr="00C9655B">
        <w:rPr>
          <w:rFonts w:ascii="Cambria" w:hAnsi="Cambria"/>
          <w:color w:val="000000" w:themeColor="text1"/>
        </w:rPr>
        <w:t xml:space="preserve"> and make an informed decision in relation t</w:t>
      </w:r>
      <w:r w:rsidR="00EB4257">
        <w:rPr>
          <w:rFonts w:ascii="Cambria" w:hAnsi="Cambria"/>
          <w:color w:val="000000" w:themeColor="text1"/>
        </w:rPr>
        <w:t>o protest activity</w:t>
      </w:r>
      <w:r w:rsidR="00A067FF" w:rsidRPr="00C9655B">
        <w:rPr>
          <w:rFonts w:ascii="Cambria" w:hAnsi="Cambria"/>
          <w:color w:val="000000" w:themeColor="text1"/>
        </w:rPr>
        <w:t xml:space="preserve">, most will not, particularly as the Bill, if passed, is likely to lead to duplication with already existing legislation. </w:t>
      </w:r>
      <w:r w:rsidR="00ED2F03">
        <w:rPr>
          <w:rFonts w:ascii="Cambria" w:hAnsi="Cambria"/>
          <w:color w:val="000000" w:themeColor="text1"/>
        </w:rPr>
        <w:t>As we have already noted,</w:t>
      </w:r>
      <w:r w:rsidR="0034403A" w:rsidRPr="00C9655B">
        <w:rPr>
          <w:rFonts w:ascii="Cambria" w:hAnsi="Cambria"/>
          <w:color w:val="000000" w:themeColor="text1"/>
        </w:rPr>
        <w:t xml:space="preserve"> </w:t>
      </w:r>
      <w:r w:rsidR="00A067FF" w:rsidRPr="00C9655B">
        <w:rPr>
          <w:rFonts w:ascii="Cambria" w:hAnsi="Cambria"/>
          <w:color w:val="000000" w:themeColor="text1"/>
        </w:rPr>
        <w:t xml:space="preserve">trespass and damage to property provisions in the </w:t>
      </w:r>
      <w:r w:rsidR="0034403A" w:rsidRPr="00C9655B">
        <w:rPr>
          <w:rFonts w:ascii="Cambria" w:hAnsi="Cambria"/>
          <w:color w:val="000000" w:themeColor="text1"/>
        </w:rPr>
        <w:t>Bill are</w:t>
      </w:r>
      <w:r w:rsidR="00A067FF" w:rsidRPr="00C9655B">
        <w:rPr>
          <w:rFonts w:ascii="Cambria" w:hAnsi="Cambria"/>
          <w:color w:val="000000" w:themeColor="text1"/>
        </w:rPr>
        <w:t xml:space="preserve"> already contained in the </w:t>
      </w:r>
      <w:r w:rsidR="00A067FF" w:rsidRPr="00C9655B">
        <w:rPr>
          <w:rFonts w:ascii="Cambria" w:hAnsi="Cambria"/>
          <w:i/>
          <w:color w:val="000000" w:themeColor="text1"/>
        </w:rPr>
        <w:t>Police Offences Act 1935</w:t>
      </w:r>
      <w:r w:rsidR="00A067FF" w:rsidRPr="00C9655B">
        <w:rPr>
          <w:rFonts w:ascii="Cambria" w:hAnsi="Cambria"/>
          <w:color w:val="000000" w:themeColor="text1"/>
        </w:rPr>
        <w:t xml:space="preserve"> (Tas).</w:t>
      </w:r>
      <w:r w:rsidR="00A067FF" w:rsidRPr="00C9655B">
        <w:rPr>
          <w:rStyle w:val="FootnoteReference"/>
          <w:rFonts w:ascii="Cambria" w:hAnsi="Cambria"/>
          <w:color w:val="000000" w:themeColor="text1"/>
        </w:rPr>
        <w:footnoteReference w:id="6"/>
      </w:r>
      <w:r w:rsidR="00A067FF" w:rsidRPr="00C9655B">
        <w:rPr>
          <w:rFonts w:ascii="Cambria" w:hAnsi="Cambria"/>
          <w:color w:val="000000" w:themeColor="text1"/>
        </w:rPr>
        <w:t xml:space="preserve">    </w:t>
      </w:r>
    </w:p>
    <w:p w14:paraId="5B2EF1A9" w14:textId="77777777" w:rsidR="00F835DB" w:rsidRPr="00C9655B" w:rsidRDefault="00F835DB" w:rsidP="00A067FF">
      <w:pPr>
        <w:ind w:right="-347"/>
        <w:jc w:val="both"/>
        <w:rPr>
          <w:rFonts w:ascii="Cambria" w:hAnsi="Cambria"/>
          <w:color w:val="000000" w:themeColor="text1"/>
        </w:rPr>
      </w:pPr>
    </w:p>
    <w:p w14:paraId="00A9408C" w14:textId="00CB1599" w:rsidR="00F835DB" w:rsidRPr="00C9655B" w:rsidRDefault="00A067FF" w:rsidP="00A067FF">
      <w:pPr>
        <w:ind w:right="-347"/>
        <w:jc w:val="both"/>
        <w:rPr>
          <w:rFonts w:ascii="Cambria" w:hAnsi="Cambria"/>
          <w:color w:val="000000" w:themeColor="text1"/>
        </w:rPr>
      </w:pPr>
      <w:r w:rsidRPr="00C9655B">
        <w:rPr>
          <w:rFonts w:ascii="Cambria" w:hAnsi="Cambria"/>
        </w:rPr>
        <w:t xml:space="preserve">In our opinion, if the Government’s intention is to provide greater protections to business, the </w:t>
      </w:r>
      <w:r w:rsidRPr="00C9655B">
        <w:rPr>
          <w:rFonts w:ascii="Cambria" w:hAnsi="Cambria"/>
          <w:i/>
        </w:rPr>
        <w:t>Workplaces (Protection from Protesters) Act 2014</w:t>
      </w:r>
      <w:r w:rsidRPr="00C9655B">
        <w:rPr>
          <w:rFonts w:ascii="Cambria" w:hAnsi="Cambria"/>
        </w:rPr>
        <w:t xml:space="preserve"> should be repealed and the</w:t>
      </w:r>
      <w:r w:rsidRPr="00C9655B">
        <w:rPr>
          <w:rFonts w:ascii="Cambria" w:hAnsi="Cambria"/>
          <w:i/>
        </w:rPr>
        <w:t xml:space="preserve"> </w:t>
      </w:r>
      <w:r w:rsidRPr="00C9655B">
        <w:rPr>
          <w:rFonts w:ascii="Cambria" w:hAnsi="Cambria"/>
        </w:rPr>
        <w:t xml:space="preserve">maximum penalties available under the </w:t>
      </w:r>
      <w:r w:rsidRPr="00C9655B">
        <w:rPr>
          <w:rFonts w:ascii="Cambria" w:hAnsi="Cambria"/>
          <w:i/>
          <w:iCs/>
        </w:rPr>
        <w:t xml:space="preserve">Police Offences Act 1935 </w:t>
      </w:r>
      <w:r w:rsidRPr="00C9655B">
        <w:rPr>
          <w:rFonts w:ascii="Cambria" w:hAnsi="Cambria"/>
          <w:iCs/>
        </w:rPr>
        <w:t>(Tas) for trespass</w:t>
      </w:r>
      <w:r w:rsidR="00ED2F03">
        <w:rPr>
          <w:rFonts w:ascii="Cambria" w:hAnsi="Cambria"/>
          <w:iCs/>
        </w:rPr>
        <w:t xml:space="preserve"> and </w:t>
      </w:r>
      <w:r w:rsidRPr="00C9655B">
        <w:rPr>
          <w:rFonts w:ascii="Cambria" w:hAnsi="Cambria"/>
          <w:iCs/>
        </w:rPr>
        <w:t>destroying or injuring property</w:t>
      </w:r>
      <w:r w:rsidR="00ED2F03">
        <w:rPr>
          <w:rFonts w:ascii="Cambria" w:hAnsi="Cambria"/>
          <w:iCs/>
        </w:rPr>
        <w:t xml:space="preserve"> </w:t>
      </w:r>
      <w:r w:rsidRPr="00C9655B">
        <w:rPr>
          <w:rFonts w:ascii="Cambria" w:hAnsi="Cambria"/>
          <w:iCs/>
        </w:rPr>
        <w:t xml:space="preserve">be reviewed.  </w:t>
      </w:r>
      <w:r w:rsidRPr="00C9655B">
        <w:rPr>
          <w:rFonts w:ascii="Cambria" w:hAnsi="Cambria"/>
        </w:rPr>
        <w:t xml:space="preserve"> </w:t>
      </w:r>
    </w:p>
    <w:p w14:paraId="2FF1038C" w14:textId="77777777" w:rsidR="00F835DB" w:rsidRPr="00C9655B" w:rsidRDefault="00F835DB" w:rsidP="00A067FF">
      <w:pPr>
        <w:ind w:right="-347"/>
        <w:jc w:val="both"/>
        <w:rPr>
          <w:rFonts w:ascii="Cambria" w:hAnsi="Cambria"/>
          <w:color w:val="000000" w:themeColor="text1"/>
        </w:rPr>
      </w:pPr>
    </w:p>
    <w:p w14:paraId="5EE99D87" w14:textId="781DF29A" w:rsidR="00A067FF" w:rsidRPr="00C9655B" w:rsidRDefault="00A067FF" w:rsidP="00A067FF">
      <w:pPr>
        <w:ind w:right="-347"/>
        <w:jc w:val="both"/>
        <w:rPr>
          <w:rFonts w:ascii="Cambria" w:hAnsi="Cambria"/>
          <w:color w:val="000000" w:themeColor="text1"/>
        </w:rPr>
      </w:pPr>
      <w:r w:rsidRPr="00C9655B">
        <w:rPr>
          <w:rFonts w:ascii="Cambria" w:hAnsi="Cambria"/>
        </w:rPr>
        <w:t xml:space="preserve">Nevertheless, if the Government intends to </w:t>
      </w:r>
      <w:r w:rsidR="00FD6373" w:rsidRPr="00C9655B">
        <w:rPr>
          <w:rFonts w:ascii="Cambria" w:hAnsi="Cambria"/>
        </w:rPr>
        <w:t>make</w:t>
      </w:r>
      <w:r w:rsidRPr="00C9655B">
        <w:rPr>
          <w:rFonts w:ascii="Cambria" w:hAnsi="Cambria"/>
        </w:rPr>
        <w:t xml:space="preserve"> the </w:t>
      </w:r>
      <w:proofErr w:type="gramStart"/>
      <w:r w:rsidRPr="00C9655B">
        <w:rPr>
          <w:rFonts w:ascii="Cambria" w:hAnsi="Cambria"/>
        </w:rPr>
        <w:t>Bill</w:t>
      </w:r>
      <w:proofErr w:type="gramEnd"/>
      <w:r w:rsidRPr="00C9655B">
        <w:rPr>
          <w:rFonts w:ascii="Cambria" w:hAnsi="Cambria"/>
        </w:rPr>
        <w:t xml:space="preserve"> we recommend adoption of the following amendments.</w:t>
      </w:r>
    </w:p>
    <w:p w14:paraId="594A8DA3" w14:textId="77777777" w:rsidR="00FD6373" w:rsidRPr="00C9655B" w:rsidRDefault="00FD6373" w:rsidP="00FD6373">
      <w:pPr>
        <w:jc w:val="both"/>
        <w:rPr>
          <w:rFonts w:ascii="Cambria" w:hAnsi="Cambria"/>
        </w:rPr>
      </w:pPr>
    </w:p>
    <w:p w14:paraId="1C289D34" w14:textId="77777777" w:rsidR="00FD6373" w:rsidRPr="00C9655B" w:rsidRDefault="00FD6373" w:rsidP="00FD6373">
      <w:pPr>
        <w:pStyle w:val="ListParagraph"/>
        <w:numPr>
          <w:ilvl w:val="0"/>
          <w:numId w:val="1"/>
        </w:numPr>
        <w:jc w:val="both"/>
        <w:rPr>
          <w:rFonts w:ascii="Cambria" w:hAnsi="Cambria"/>
          <w:b/>
          <w:i/>
        </w:rPr>
      </w:pPr>
      <w:r w:rsidRPr="00C9655B">
        <w:rPr>
          <w:rFonts w:ascii="Cambria" w:hAnsi="Cambria"/>
          <w:b/>
          <w:i/>
        </w:rPr>
        <w:t>Police Direction</w:t>
      </w:r>
    </w:p>
    <w:p w14:paraId="5D239873" w14:textId="77777777" w:rsidR="00FD6373" w:rsidRPr="00C9655B" w:rsidRDefault="00FD6373" w:rsidP="00FD6373">
      <w:pPr>
        <w:ind w:right="-347"/>
        <w:jc w:val="both"/>
        <w:rPr>
          <w:rFonts w:ascii="Cambria" w:hAnsi="Cambria"/>
        </w:rPr>
      </w:pPr>
      <w:r w:rsidRPr="00C9655B">
        <w:rPr>
          <w:rFonts w:ascii="Cambria" w:hAnsi="Cambria"/>
        </w:rPr>
        <w:t xml:space="preserve">We strongly believe that police officers should be required to direct, warn and move-on persons from business premises or business access areas before arresting them. As it currently stands, sections 8 and 11 of the Act allow police officers to direct persons away from business premises or business access areas. Similar directions are common in other Tasmanian Acts including the </w:t>
      </w:r>
      <w:r w:rsidRPr="00C9655B">
        <w:rPr>
          <w:rFonts w:ascii="Cambria" w:hAnsi="Cambria"/>
          <w:i/>
        </w:rPr>
        <w:t>Police Offences Act 1935</w:t>
      </w:r>
      <w:r w:rsidRPr="00C9655B">
        <w:rPr>
          <w:rFonts w:ascii="Cambria" w:hAnsi="Cambria"/>
        </w:rPr>
        <w:t xml:space="preserve"> (Tas).</w:t>
      </w:r>
      <w:r w:rsidRPr="00C9655B">
        <w:rPr>
          <w:rStyle w:val="FootnoteReference"/>
          <w:rFonts w:ascii="Cambria" w:hAnsi="Cambria"/>
        </w:rPr>
        <w:footnoteReference w:id="7"/>
      </w:r>
      <w:r w:rsidRPr="00C9655B">
        <w:rPr>
          <w:rFonts w:ascii="Cambria" w:hAnsi="Cambria"/>
        </w:rPr>
        <w:t xml:space="preserve"> </w:t>
      </w:r>
    </w:p>
    <w:p w14:paraId="399C5556" w14:textId="77777777" w:rsidR="00FD6373" w:rsidRPr="00C9655B" w:rsidRDefault="00FD6373" w:rsidP="00FD6373">
      <w:pPr>
        <w:ind w:right="-347"/>
        <w:jc w:val="both"/>
        <w:rPr>
          <w:rFonts w:ascii="Cambria" w:hAnsi="Cambria"/>
        </w:rPr>
      </w:pPr>
    </w:p>
    <w:p w14:paraId="7E8637B7" w14:textId="112AF3C2" w:rsidR="00F835DB" w:rsidRPr="00C9655B" w:rsidRDefault="00FD6373" w:rsidP="00A067FF">
      <w:pPr>
        <w:ind w:right="-347"/>
        <w:jc w:val="both"/>
        <w:rPr>
          <w:rFonts w:ascii="Cambria" w:hAnsi="Cambria"/>
        </w:rPr>
      </w:pPr>
      <w:r w:rsidRPr="00C9655B">
        <w:rPr>
          <w:rFonts w:ascii="Cambria" w:hAnsi="Cambria"/>
        </w:rPr>
        <w:lastRenderedPageBreak/>
        <w:t xml:space="preserve">Whilst sections 8 and 11 of the Act were struck down by the High Court in </w:t>
      </w:r>
      <w:r w:rsidRPr="00C9655B">
        <w:rPr>
          <w:rFonts w:ascii="Cambria" w:hAnsi="Cambria"/>
          <w:i/>
        </w:rPr>
        <w:t>Brown v Tasmania</w:t>
      </w:r>
      <w:r w:rsidRPr="00C9655B">
        <w:rPr>
          <w:rStyle w:val="FootnoteReference"/>
          <w:rFonts w:ascii="Cambria" w:hAnsi="Cambria"/>
        </w:rPr>
        <w:footnoteReference w:id="8"/>
      </w:r>
      <w:r w:rsidRPr="00C9655B">
        <w:rPr>
          <w:rFonts w:ascii="Cambria" w:hAnsi="Cambria"/>
        </w:rPr>
        <w:t xml:space="preserve"> their invalidity was not a consequence of the subject matter but rather the lack of clarity about when and where it could legitimately be used. Taking into account the majority view that police directions were both a form of procedural fairness and recognition of the need for proportionality,</w:t>
      </w:r>
      <w:r w:rsidRPr="00C9655B">
        <w:rPr>
          <w:rStyle w:val="FootnoteReference"/>
          <w:rFonts w:ascii="Cambria" w:hAnsi="Cambria"/>
        </w:rPr>
        <w:footnoteReference w:id="9"/>
      </w:r>
      <w:r w:rsidRPr="00C9655B">
        <w:rPr>
          <w:rFonts w:ascii="Cambria" w:hAnsi="Cambria"/>
        </w:rPr>
        <w:t xml:space="preserve"> we therefore recommend that amended sections 8 and 11 of the existing Act be retained. </w:t>
      </w:r>
    </w:p>
    <w:p w14:paraId="434D2CB8" w14:textId="77777777" w:rsidR="00A067FF" w:rsidRPr="00C9655B" w:rsidRDefault="00A067FF" w:rsidP="00A067FF">
      <w:pPr>
        <w:ind w:right="-347"/>
        <w:jc w:val="both"/>
        <w:rPr>
          <w:rFonts w:ascii="Cambria" w:hAnsi="Cambria"/>
        </w:rPr>
      </w:pPr>
    </w:p>
    <w:p w14:paraId="02B95F2C" w14:textId="77777777" w:rsidR="00A067FF" w:rsidRPr="00C9655B" w:rsidRDefault="00A067FF" w:rsidP="00A067FF">
      <w:pPr>
        <w:pStyle w:val="ListParagraph"/>
        <w:numPr>
          <w:ilvl w:val="0"/>
          <w:numId w:val="1"/>
        </w:numPr>
        <w:ind w:right="-347"/>
        <w:jc w:val="both"/>
        <w:rPr>
          <w:rFonts w:ascii="Cambria" w:hAnsi="Cambria"/>
          <w:b/>
        </w:rPr>
      </w:pPr>
      <w:r w:rsidRPr="00C9655B">
        <w:rPr>
          <w:rFonts w:ascii="Cambria" w:hAnsi="Cambria"/>
          <w:b/>
        </w:rPr>
        <w:t>Thoroughfare Obstruction</w:t>
      </w:r>
    </w:p>
    <w:p w14:paraId="21A42971" w14:textId="1558027F" w:rsidR="00E67AC0" w:rsidRPr="00C9655B" w:rsidRDefault="00E67AC0" w:rsidP="00A067FF">
      <w:pPr>
        <w:ind w:right="-347"/>
        <w:jc w:val="both"/>
        <w:rPr>
          <w:rFonts w:ascii="Cambria" w:hAnsi="Cambria"/>
          <w:color w:val="000000" w:themeColor="text1"/>
        </w:rPr>
      </w:pPr>
      <w:r w:rsidRPr="00C9655B">
        <w:rPr>
          <w:rFonts w:ascii="Cambria" w:hAnsi="Cambria"/>
          <w:color w:val="000000" w:themeColor="text1"/>
        </w:rPr>
        <w:t>As it stands, c</w:t>
      </w:r>
      <w:r w:rsidR="00A067FF" w:rsidRPr="00C9655B">
        <w:rPr>
          <w:rFonts w:ascii="Cambria" w:hAnsi="Cambria"/>
          <w:color w:val="000000" w:themeColor="text1"/>
        </w:rPr>
        <w:t>lause</w:t>
      </w:r>
      <w:r w:rsidR="00002BAB" w:rsidRPr="00C9655B">
        <w:rPr>
          <w:rFonts w:ascii="Cambria" w:hAnsi="Cambria"/>
          <w:color w:val="000000" w:themeColor="text1"/>
        </w:rPr>
        <w:t xml:space="preserve"> 8</w:t>
      </w:r>
      <w:r w:rsidR="00A067FF" w:rsidRPr="00C9655B">
        <w:rPr>
          <w:rFonts w:ascii="Cambria" w:hAnsi="Cambria"/>
          <w:color w:val="000000" w:themeColor="text1"/>
        </w:rPr>
        <w:t xml:space="preserve"> of the Bill</w:t>
      </w:r>
      <w:r w:rsidR="00D07F5B" w:rsidRPr="00C9655B">
        <w:rPr>
          <w:rFonts w:ascii="Cambria" w:hAnsi="Cambria"/>
          <w:color w:val="000000" w:themeColor="text1"/>
        </w:rPr>
        <w:t xml:space="preserve"> provides that </w:t>
      </w:r>
      <w:r w:rsidR="00A067FF" w:rsidRPr="00C9655B">
        <w:rPr>
          <w:rFonts w:ascii="Cambria" w:hAnsi="Cambria"/>
          <w:color w:val="000000" w:themeColor="text1"/>
        </w:rPr>
        <w:t>any obstruction of a public thoroughfare, including</w:t>
      </w:r>
      <w:r w:rsidR="00002BAB" w:rsidRPr="00C9655B">
        <w:rPr>
          <w:rFonts w:ascii="Cambria" w:hAnsi="Cambria"/>
          <w:color w:val="000000" w:themeColor="text1"/>
        </w:rPr>
        <w:t xml:space="preserve"> a </w:t>
      </w:r>
      <w:r w:rsidR="00A067FF" w:rsidRPr="00C9655B">
        <w:rPr>
          <w:rFonts w:ascii="Cambria" w:hAnsi="Cambria"/>
          <w:color w:val="000000" w:themeColor="text1"/>
        </w:rPr>
        <w:t>‘public p</w:t>
      </w:r>
      <w:r w:rsidR="00002BAB" w:rsidRPr="00C9655B">
        <w:rPr>
          <w:rFonts w:ascii="Cambria" w:hAnsi="Cambria"/>
          <w:color w:val="000000" w:themeColor="text1"/>
        </w:rPr>
        <w:t>l</w:t>
      </w:r>
      <w:r w:rsidR="00A067FF" w:rsidRPr="00C9655B">
        <w:rPr>
          <w:rFonts w:ascii="Cambria" w:hAnsi="Cambria"/>
          <w:color w:val="000000" w:themeColor="text1"/>
        </w:rPr>
        <w:t xml:space="preserve">ace’ that </w:t>
      </w:r>
      <w:r w:rsidR="00002BAB" w:rsidRPr="00C9655B">
        <w:rPr>
          <w:rFonts w:ascii="Cambria" w:hAnsi="Cambria"/>
          <w:color w:val="000000" w:themeColor="text1"/>
        </w:rPr>
        <w:t xml:space="preserve">may </w:t>
      </w:r>
      <w:r w:rsidR="00A067FF" w:rsidRPr="00C9655B">
        <w:rPr>
          <w:rFonts w:ascii="Cambria" w:hAnsi="Cambria"/>
          <w:color w:val="000000" w:themeColor="text1"/>
        </w:rPr>
        <w:t>impede the carrying out of a business activity is an offence.</w:t>
      </w:r>
      <w:r w:rsidRPr="00C9655B">
        <w:rPr>
          <w:rFonts w:ascii="Cambria" w:hAnsi="Cambria"/>
          <w:color w:val="000000" w:themeColor="text1"/>
        </w:rPr>
        <w:t xml:space="preserve"> </w:t>
      </w:r>
      <w:r w:rsidR="00A067FF" w:rsidRPr="00C9655B">
        <w:rPr>
          <w:rFonts w:ascii="Cambria" w:hAnsi="Cambria"/>
          <w:color w:val="000000" w:themeColor="text1"/>
        </w:rPr>
        <w:t xml:space="preserve">In other words, </w:t>
      </w:r>
      <w:r w:rsidR="00A067FF" w:rsidRPr="00C9655B">
        <w:rPr>
          <w:rFonts w:ascii="Cambria" w:eastAsiaTheme="minorHAnsi" w:hAnsi="Cambria" w:cs="Avenir-Book"/>
          <w:color w:val="000000" w:themeColor="text1"/>
          <w:lang w:val="en-AU"/>
        </w:rPr>
        <w:t xml:space="preserve">a protest </w:t>
      </w:r>
      <w:r w:rsidRPr="00C9655B">
        <w:rPr>
          <w:rFonts w:ascii="Cambria" w:eastAsiaTheme="minorHAnsi" w:hAnsi="Cambria" w:cs="Avenir-Book"/>
          <w:color w:val="000000" w:themeColor="text1"/>
          <w:lang w:val="en-AU"/>
        </w:rPr>
        <w:t>on the footpath outside a</w:t>
      </w:r>
      <w:r w:rsidR="00A067FF" w:rsidRPr="00C9655B">
        <w:rPr>
          <w:rFonts w:ascii="Cambria" w:eastAsiaTheme="minorHAnsi" w:hAnsi="Cambria" w:cs="Avenir-Book"/>
          <w:color w:val="000000" w:themeColor="text1"/>
          <w:lang w:val="en-AU"/>
        </w:rPr>
        <w:t xml:space="preserve"> business</w:t>
      </w:r>
      <w:r w:rsidRPr="00C9655B">
        <w:rPr>
          <w:rFonts w:ascii="Cambria" w:eastAsiaTheme="minorHAnsi" w:hAnsi="Cambria" w:cs="Avenir-Book"/>
          <w:color w:val="000000" w:themeColor="text1"/>
          <w:lang w:val="en-AU"/>
        </w:rPr>
        <w:t xml:space="preserve"> or close to a business </w:t>
      </w:r>
      <w:r w:rsidR="00A067FF" w:rsidRPr="00C9655B">
        <w:rPr>
          <w:rFonts w:ascii="Cambria" w:eastAsiaTheme="minorHAnsi" w:hAnsi="Cambria" w:cs="Avenir-Book"/>
          <w:color w:val="000000" w:themeColor="text1"/>
          <w:lang w:val="en-AU"/>
        </w:rPr>
        <w:t xml:space="preserve">would be an offence. </w:t>
      </w:r>
      <w:r w:rsidRPr="00C9655B">
        <w:rPr>
          <w:rFonts w:ascii="Cambria" w:eastAsiaTheme="minorHAnsi" w:hAnsi="Cambria" w:cs="Avenir-Book"/>
          <w:color w:val="000000" w:themeColor="text1"/>
          <w:lang w:val="en-AU"/>
        </w:rPr>
        <w:t xml:space="preserve">For example, </w:t>
      </w:r>
      <w:r w:rsidRPr="00C9655B">
        <w:rPr>
          <w:rFonts w:ascii="Cambria" w:hAnsi="Cambria"/>
          <w:color w:val="000000" w:themeColor="text1"/>
        </w:rPr>
        <w:t>p</w:t>
      </w:r>
      <w:r w:rsidR="00A067FF" w:rsidRPr="00C9655B">
        <w:rPr>
          <w:rFonts w:ascii="Cambria" w:hAnsi="Cambria"/>
          <w:color w:val="000000" w:themeColor="text1"/>
        </w:rPr>
        <w:t xml:space="preserve">rotestors standing </w:t>
      </w:r>
      <w:r w:rsidRPr="00C9655B">
        <w:rPr>
          <w:rFonts w:ascii="Cambria" w:hAnsi="Cambria"/>
          <w:color w:val="000000" w:themeColor="text1"/>
        </w:rPr>
        <w:t xml:space="preserve">in Salamanca Square </w:t>
      </w:r>
      <w:r w:rsidR="00A067FF" w:rsidRPr="00C9655B">
        <w:rPr>
          <w:rFonts w:ascii="Cambria" w:hAnsi="Cambria"/>
          <w:color w:val="000000" w:themeColor="text1"/>
        </w:rPr>
        <w:t>handing out leaflets and/or holding a banner raising awareness of the harmful effects of salmon farming</w:t>
      </w:r>
      <w:r w:rsidRPr="00C9655B">
        <w:rPr>
          <w:rFonts w:ascii="Cambria" w:hAnsi="Cambria"/>
          <w:color w:val="000000" w:themeColor="text1"/>
        </w:rPr>
        <w:t xml:space="preserve"> would be obstructing a public thoroughfare </w:t>
      </w:r>
      <w:r w:rsidR="00A067FF" w:rsidRPr="00C9655B">
        <w:rPr>
          <w:rFonts w:ascii="Cambria" w:hAnsi="Cambria"/>
          <w:color w:val="000000" w:themeColor="text1"/>
        </w:rPr>
        <w:t>in an attempt to impede business activities, either through consumer spending or increased community concern.</w:t>
      </w:r>
      <w:r w:rsidR="00D07F5B" w:rsidRPr="00C9655B">
        <w:rPr>
          <w:rFonts w:ascii="Cambria" w:hAnsi="Cambria"/>
          <w:color w:val="000000" w:themeColor="text1"/>
        </w:rPr>
        <w:t xml:space="preserve"> </w:t>
      </w:r>
      <w:r w:rsidRPr="00C9655B">
        <w:rPr>
          <w:rFonts w:ascii="Cambria" w:hAnsi="Cambria"/>
          <w:color w:val="000000" w:themeColor="text1"/>
        </w:rPr>
        <w:t>Similarly, persons holding a banner on the opposite side of</w:t>
      </w:r>
      <w:r w:rsidR="00F505A0" w:rsidRPr="00C9655B">
        <w:rPr>
          <w:rFonts w:ascii="Cambria" w:hAnsi="Cambria"/>
          <w:color w:val="000000" w:themeColor="text1"/>
        </w:rPr>
        <w:t xml:space="preserve"> the</w:t>
      </w:r>
      <w:r w:rsidRPr="00C9655B">
        <w:rPr>
          <w:rFonts w:ascii="Cambria" w:hAnsi="Cambria"/>
          <w:color w:val="000000" w:themeColor="text1"/>
        </w:rPr>
        <w:t xml:space="preserve"> street to Sustainable Timber Tasmania to protest against old-growth logging would be impeding business activities with some members of the public choosing not to enter the </w:t>
      </w:r>
      <w:r w:rsidR="00F505A0" w:rsidRPr="00C9655B">
        <w:rPr>
          <w:rFonts w:ascii="Cambria" w:hAnsi="Cambria"/>
          <w:color w:val="000000" w:themeColor="text1"/>
        </w:rPr>
        <w:t xml:space="preserve">STT </w:t>
      </w:r>
      <w:r w:rsidRPr="00C9655B">
        <w:rPr>
          <w:rFonts w:ascii="Cambria" w:hAnsi="Cambria"/>
          <w:color w:val="000000" w:themeColor="text1"/>
        </w:rPr>
        <w:t>premises because of the protest. The</w:t>
      </w:r>
      <w:r w:rsidR="00C9655B" w:rsidRPr="00C9655B">
        <w:rPr>
          <w:rFonts w:ascii="Cambria" w:hAnsi="Cambria"/>
          <w:color w:val="000000" w:themeColor="text1"/>
        </w:rPr>
        <w:t xml:space="preserve"> </w:t>
      </w:r>
      <w:r w:rsidRPr="00C9655B">
        <w:rPr>
          <w:rFonts w:ascii="Cambria" w:hAnsi="Cambria"/>
          <w:color w:val="000000" w:themeColor="text1"/>
        </w:rPr>
        <w:t xml:space="preserve">effect of clause 8 is likely to have a chilling effect, with some members of our community choosing not to protest for fear of being charged under the Act. </w:t>
      </w:r>
    </w:p>
    <w:p w14:paraId="0C3C81A4" w14:textId="77777777" w:rsidR="00E67AC0" w:rsidRPr="00C9655B" w:rsidRDefault="00E67AC0" w:rsidP="00A067FF">
      <w:pPr>
        <w:ind w:right="-347"/>
        <w:jc w:val="both"/>
        <w:rPr>
          <w:rFonts w:ascii="Cambria" w:hAnsi="Cambria"/>
          <w:color w:val="000000" w:themeColor="text1"/>
        </w:rPr>
      </w:pPr>
    </w:p>
    <w:p w14:paraId="25AAA2EC" w14:textId="09A43B96" w:rsidR="00FD6373" w:rsidRPr="00C9655B" w:rsidRDefault="00F505A0" w:rsidP="00A067FF">
      <w:pPr>
        <w:ind w:right="-347"/>
        <w:jc w:val="both"/>
        <w:rPr>
          <w:rFonts w:ascii="Cambria" w:hAnsi="Cambria"/>
          <w:color w:val="000000" w:themeColor="text1"/>
        </w:rPr>
      </w:pPr>
      <w:r w:rsidRPr="00C9655B">
        <w:rPr>
          <w:rFonts w:ascii="Cambria" w:hAnsi="Cambria"/>
          <w:color w:val="000000" w:themeColor="text1"/>
        </w:rPr>
        <w:t>The insufficient circumscribing of the scope of clause 8 can be contrasted with clause 7 which clearly identifies that a person commits an offence if the person trespasses on business premises or performs an act while trespassing on business premises.</w:t>
      </w:r>
      <w:r w:rsidR="00C9655B" w:rsidRPr="00C9655B">
        <w:rPr>
          <w:rFonts w:ascii="Cambria" w:hAnsi="Cambria"/>
          <w:color w:val="000000" w:themeColor="text1"/>
        </w:rPr>
        <w:t xml:space="preserve"> </w:t>
      </w:r>
      <w:r w:rsidRPr="00C9655B">
        <w:rPr>
          <w:rFonts w:ascii="Cambria" w:hAnsi="Cambria"/>
          <w:color w:val="000000" w:themeColor="text1"/>
        </w:rPr>
        <w:t>We therefore strongly recommend that cl</w:t>
      </w:r>
      <w:r w:rsidR="00E67AC0" w:rsidRPr="00C9655B">
        <w:rPr>
          <w:rFonts w:ascii="Cambria" w:hAnsi="Cambria"/>
          <w:color w:val="000000" w:themeColor="text1"/>
        </w:rPr>
        <w:t xml:space="preserve">ause </w:t>
      </w:r>
      <w:r w:rsidRPr="00C9655B">
        <w:rPr>
          <w:rFonts w:ascii="Cambria" w:hAnsi="Cambria"/>
          <w:color w:val="000000" w:themeColor="text1"/>
        </w:rPr>
        <w:t xml:space="preserve">8 and its offence of obstructing a public thoroughfare is removed.   </w:t>
      </w:r>
    </w:p>
    <w:p w14:paraId="33B243C3" w14:textId="77777777" w:rsidR="00C9655B" w:rsidRPr="00C9655B" w:rsidRDefault="00C9655B" w:rsidP="00A067FF">
      <w:pPr>
        <w:ind w:right="-347"/>
        <w:jc w:val="both"/>
        <w:rPr>
          <w:rFonts w:ascii="Cambria" w:hAnsi="Cambria"/>
          <w:color w:val="000000" w:themeColor="text1"/>
        </w:rPr>
      </w:pPr>
    </w:p>
    <w:p w14:paraId="3EDA80ED" w14:textId="7DD9C013" w:rsidR="00A067FF" w:rsidRPr="00C9655B" w:rsidRDefault="00A067FF" w:rsidP="00A067FF">
      <w:pPr>
        <w:ind w:right="-347"/>
        <w:jc w:val="both"/>
        <w:rPr>
          <w:rFonts w:ascii="Cambria" w:hAnsi="Cambria"/>
          <w:bCs/>
        </w:rPr>
      </w:pPr>
      <w:r w:rsidRPr="00C9655B">
        <w:rPr>
          <w:rFonts w:ascii="Cambria" w:hAnsi="Cambria"/>
          <w:bCs/>
        </w:rPr>
        <w:t>If we can be of any further assistance, please do not hesitate to contact us.</w:t>
      </w:r>
    </w:p>
    <w:p w14:paraId="5F90E4AE" w14:textId="77777777" w:rsidR="00A067FF" w:rsidRPr="00C9655B" w:rsidRDefault="00A067FF" w:rsidP="00A067FF">
      <w:pPr>
        <w:ind w:right="-347"/>
        <w:jc w:val="both"/>
        <w:rPr>
          <w:rFonts w:ascii="Cambria" w:hAnsi="Cambria"/>
          <w:bCs/>
        </w:rPr>
      </w:pPr>
    </w:p>
    <w:p w14:paraId="54A1C638" w14:textId="77777777" w:rsidR="00A067FF" w:rsidRPr="00C9655B" w:rsidRDefault="00A067FF" w:rsidP="00A067FF">
      <w:pPr>
        <w:ind w:right="-347"/>
        <w:jc w:val="both"/>
        <w:rPr>
          <w:rFonts w:ascii="Cambria" w:hAnsi="Cambria"/>
          <w:bCs/>
        </w:rPr>
      </w:pPr>
    </w:p>
    <w:p w14:paraId="5D3E3878" w14:textId="77777777" w:rsidR="00A067FF" w:rsidRPr="00C9655B" w:rsidRDefault="00A067FF" w:rsidP="00A067FF">
      <w:pPr>
        <w:ind w:right="-347"/>
        <w:jc w:val="both"/>
        <w:rPr>
          <w:rFonts w:ascii="Cambria" w:hAnsi="Cambria"/>
          <w:bCs/>
        </w:rPr>
      </w:pPr>
      <w:r w:rsidRPr="00C9655B">
        <w:rPr>
          <w:rFonts w:ascii="Cambria" w:hAnsi="Cambria"/>
          <w:bCs/>
        </w:rPr>
        <w:t>Yours faithfully,</w:t>
      </w:r>
    </w:p>
    <w:p w14:paraId="3709438A" w14:textId="77777777" w:rsidR="00A067FF" w:rsidRPr="00C9655B" w:rsidRDefault="00A067FF" w:rsidP="00A067FF">
      <w:pPr>
        <w:ind w:right="-347"/>
        <w:jc w:val="both"/>
        <w:rPr>
          <w:rFonts w:ascii="Cambria" w:hAnsi="Cambria"/>
          <w:bCs/>
        </w:rPr>
      </w:pPr>
    </w:p>
    <w:p w14:paraId="7970C6D7" w14:textId="77777777" w:rsidR="00A067FF" w:rsidRPr="00C9655B" w:rsidRDefault="00A067FF" w:rsidP="00A067FF">
      <w:pPr>
        <w:ind w:right="-347"/>
        <w:jc w:val="both"/>
        <w:rPr>
          <w:rFonts w:ascii="Cambria" w:hAnsi="Cambria"/>
          <w:bCs/>
        </w:rPr>
      </w:pPr>
    </w:p>
    <w:p w14:paraId="768931C5" w14:textId="77777777" w:rsidR="00A067FF" w:rsidRPr="00C9655B" w:rsidRDefault="00A067FF" w:rsidP="00A067FF">
      <w:pPr>
        <w:ind w:right="-347"/>
        <w:jc w:val="both"/>
        <w:rPr>
          <w:rFonts w:ascii="Cambria" w:hAnsi="Cambria"/>
          <w:bCs/>
        </w:rPr>
      </w:pPr>
    </w:p>
    <w:p w14:paraId="08474297" w14:textId="77777777" w:rsidR="00A067FF" w:rsidRPr="00C9655B" w:rsidRDefault="00A067FF" w:rsidP="00A067FF">
      <w:pPr>
        <w:ind w:right="-347"/>
        <w:jc w:val="both"/>
        <w:rPr>
          <w:rFonts w:ascii="Cambria" w:hAnsi="Cambria"/>
          <w:bCs/>
        </w:rPr>
      </w:pPr>
      <w:r w:rsidRPr="00C9655B">
        <w:rPr>
          <w:rFonts w:ascii="Cambria" w:hAnsi="Cambria"/>
          <w:bCs/>
        </w:rPr>
        <w:t xml:space="preserve">Benedict </w:t>
      </w:r>
      <w:proofErr w:type="spellStart"/>
      <w:r w:rsidRPr="00C9655B">
        <w:rPr>
          <w:rFonts w:ascii="Cambria" w:hAnsi="Cambria"/>
          <w:bCs/>
        </w:rPr>
        <w:t>Bartl</w:t>
      </w:r>
      <w:proofErr w:type="spellEnd"/>
    </w:p>
    <w:p w14:paraId="30D23D40" w14:textId="77777777" w:rsidR="00A067FF" w:rsidRPr="00C9655B" w:rsidRDefault="00A067FF" w:rsidP="00A067FF">
      <w:pPr>
        <w:ind w:right="-347"/>
        <w:jc w:val="both"/>
        <w:rPr>
          <w:rFonts w:ascii="Cambria" w:hAnsi="Cambria"/>
          <w:bCs/>
        </w:rPr>
      </w:pPr>
      <w:r w:rsidRPr="00C9655B">
        <w:rPr>
          <w:rFonts w:ascii="Cambria" w:hAnsi="Cambria"/>
          <w:bCs/>
        </w:rPr>
        <w:t>Policy Officer</w:t>
      </w:r>
    </w:p>
    <w:p w14:paraId="0C84820A" w14:textId="3466D313" w:rsidR="00A067FF" w:rsidRPr="00C9655B" w:rsidRDefault="00A067FF" w:rsidP="00A067FF">
      <w:pPr>
        <w:pBdr>
          <w:bottom w:val="single" w:sz="6" w:space="1" w:color="auto"/>
        </w:pBdr>
        <w:ind w:right="-347"/>
        <w:jc w:val="both"/>
        <w:rPr>
          <w:rFonts w:ascii="Cambria" w:hAnsi="Cambria"/>
          <w:b/>
          <w:bCs/>
        </w:rPr>
      </w:pPr>
      <w:r w:rsidRPr="00C9655B">
        <w:rPr>
          <w:rFonts w:ascii="Cambria" w:hAnsi="Cambria"/>
          <w:b/>
          <w:bCs/>
        </w:rPr>
        <w:t xml:space="preserve">Community Legal </w:t>
      </w:r>
      <w:proofErr w:type="spellStart"/>
      <w:r w:rsidRPr="00C9655B">
        <w:rPr>
          <w:rFonts w:ascii="Cambria" w:hAnsi="Cambria"/>
          <w:b/>
          <w:bCs/>
        </w:rPr>
        <w:t>Cent</w:t>
      </w:r>
      <w:r w:rsidR="00A0147F">
        <w:rPr>
          <w:rFonts w:ascii="Cambria" w:hAnsi="Cambria"/>
          <w:b/>
          <w:bCs/>
        </w:rPr>
        <w:t>re</w:t>
      </w:r>
      <w:r w:rsidRPr="00C9655B">
        <w:rPr>
          <w:rFonts w:ascii="Cambria" w:hAnsi="Cambria"/>
          <w:b/>
          <w:bCs/>
        </w:rPr>
        <w:t>s</w:t>
      </w:r>
      <w:proofErr w:type="spellEnd"/>
      <w:r w:rsidRPr="00C9655B">
        <w:rPr>
          <w:rFonts w:ascii="Cambria" w:hAnsi="Cambria"/>
          <w:b/>
          <w:bCs/>
        </w:rPr>
        <w:t xml:space="preserve"> Tasmania</w:t>
      </w:r>
    </w:p>
    <w:p w14:paraId="5C51EAF3" w14:textId="37C062E8" w:rsidR="00576A90" w:rsidRPr="00C9655B" w:rsidRDefault="00B81354">
      <w:pPr>
        <w:rPr>
          <w:rFonts w:ascii="Cambria" w:hAnsi="Cambria"/>
        </w:rPr>
      </w:pPr>
    </w:p>
    <w:p w14:paraId="6A9F2277" w14:textId="77777777" w:rsidR="007A3699" w:rsidRPr="007A3699" w:rsidRDefault="007A3699" w:rsidP="007A3699">
      <w:pPr>
        <w:pStyle w:val="NoSpacing"/>
        <w:rPr>
          <w:rFonts w:ascii="Cambria" w:hAnsi="Cambria"/>
        </w:rPr>
      </w:pPr>
    </w:p>
    <w:sectPr w:rsidR="007A3699" w:rsidRPr="007A3699" w:rsidSect="003A60A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0E935" w14:textId="77777777" w:rsidR="00B81354" w:rsidRDefault="00B81354" w:rsidP="00A067FF">
      <w:r>
        <w:separator/>
      </w:r>
    </w:p>
  </w:endnote>
  <w:endnote w:type="continuationSeparator" w:id="0">
    <w:p w14:paraId="6710F814" w14:textId="77777777" w:rsidR="00B81354" w:rsidRDefault="00B81354" w:rsidP="00A0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8718" w14:textId="77777777" w:rsidR="00FB2301" w:rsidRDefault="008D73A3"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1A6EB" w14:textId="77777777" w:rsidR="00FB2301" w:rsidRDefault="00B81354" w:rsidP="003A6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E8AC" w14:textId="77777777" w:rsidR="00FB2301" w:rsidRDefault="008D73A3"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DCC135" w14:textId="77777777" w:rsidR="00FB2301" w:rsidRDefault="00B81354" w:rsidP="003A60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0AFB1" w14:textId="77777777" w:rsidR="00B81354" w:rsidRDefault="00B81354" w:rsidP="00A067FF">
      <w:r>
        <w:separator/>
      </w:r>
    </w:p>
  </w:footnote>
  <w:footnote w:type="continuationSeparator" w:id="0">
    <w:p w14:paraId="75462085" w14:textId="77777777" w:rsidR="00B81354" w:rsidRDefault="00B81354" w:rsidP="00A067FF">
      <w:r>
        <w:continuationSeparator/>
      </w:r>
    </w:p>
  </w:footnote>
  <w:footnote w:id="1">
    <w:p w14:paraId="1F6AA4F7" w14:textId="77777777" w:rsidR="00A067FF" w:rsidRPr="00EB4257" w:rsidRDefault="00A067FF" w:rsidP="00A067FF">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Pr="00EB4257">
        <w:rPr>
          <w:rFonts w:ascii="Cambria" w:hAnsi="Cambria"/>
          <w:color w:val="000000" w:themeColor="text1"/>
          <w:sz w:val="20"/>
          <w:szCs w:val="20"/>
        </w:rPr>
        <w:t xml:space="preserve">CLC Tas would like to acknowledge University of Tasmania constitutional law lecturer Brendan </w:t>
      </w:r>
      <w:proofErr w:type="spellStart"/>
      <w:r w:rsidRPr="00EB4257">
        <w:rPr>
          <w:rFonts w:ascii="Cambria" w:hAnsi="Cambria"/>
          <w:color w:val="000000" w:themeColor="text1"/>
          <w:sz w:val="20"/>
          <w:szCs w:val="20"/>
        </w:rPr>
        <w:t>Gogarty</w:t>
      </w:r>
      <w:proofErr w:type="spellEnd"/>
      <w:r w:rsidRPr="00EB4257">
        <w:rPr>
          <w:rFonts w:ascii="Cambria" w:hAnsi="Cambria"/>
          <w:color w:val="000000" w:themeColor="text1"/>
          <w:sz w:val="20"/>
          <w:szCs w:val="20"/>
        </w:rPr>
        <w:t xml:space="preserve"> who assisted in the preparation of this response.</w:t>
      </w:r>
    </w:p>
  </w:footnote>
  <w:footnote w:id="2">
    <w:p w14:paraId="59474F07" w14:textId="26E9806D" w:rsidR="00A067FF" w:rsidRPr="00EB4257" w:rsidRDefault="00A067FF" w:rsidP="00A067FF">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Pr="00EB4257">
        <w:rPr>
          <w:rFonts w:ascii="Cambria" w:hAnsi="Cambria"/>
          <w:sz w:val="20"/>
          <w:szCs w:val="20"/>
          <w:lang w:val="en-AU"/>
        </w:rPr>
        <w:t xml:space="preserve">Section 14B of the </w:t>
      </w:r>
      <w:r w:rsidRPr="00EB4257">
        <w:rPr>
          <w:rFonts w:ascii="Cambria" w:hAnsi="Cambria"/>
          <w:i/>
          <w:sz w:val="20"/>
          <w:szCs w:val="20"/>
          <w:lang w:val="en-AU"/>
        </w:rPr>
        <w:t>Police Offences Act 1935</w:t>
      </w:r>
      <w:r w:rsidRPr="00EB4257">
        <w:rPr>
          <w:rFonts w:ascii="Cambria" w:hAnsi="Cambria"/>
          <w:sz w:val="20"/>
          <w:szCs w:val="20"/>
          <w:lang w:val="en-AU"/>
        </w:rPr>
        <w:t xml:space="preserve"> (Tas). Also see sections 79, 244 of the </w:t>
      </w:r>
      <w:r w:rsidRPr="00EB4257">
        <w:rPr>
          <w:rFonts w:ascii="Cambria" w:hAnsi="Cambria"/>
          <w:i/>
          <w:sz w:val="20"/>
          <w:szCs w:val="20"/>
          <w:lang w:val="en-AU"/>
        </w:rPr>
        <w:t>Criminal Code Act 1924</w:t>
      </w:r>
      <w:r w:rsidRPr="00EB4257">
        <w:rPr>
          <w:rFonts w:ascii="Cambria" w:hAnsi="Cambria"/>
          <w:sz w:val="20"/>
          <w:szCs w:val="20"/>
          <w:lang w:val="en-AU"/>
        </w:rPr>
        <w:t xml:space="preserve"> (Tas). </w:t>
      </w:r>
    </w:p>
  </w:footnote>
  <w:footnote w:id="3">
    <w:p w14:paraId="1FAF9B55" w14:textId="77777777" w:rsidR="00A067FF" w:rsidRPr="00EB4257" w:rsidRDefault="00A067FF" w:rsidP="00A067FF">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Pr="00EB4257">
        <w:rPr>
          <w:rFonts w:ascii="Cambria" w:hAnsi="Cambria"/>
          <w:sz w:val="20"/>
          <w:szCs w:val="20"/>
          <w:lang w:val="en-AU"/>
        </w:rPr>
        <w:t xml:space="preserve">Section 37 of the </w:t>
      </w:r>
      <w:r w:rsidRPr="00EB4257">
        <w:rPr>
          <w:rFonts w:ascii="Cambria" w:hAnsi="Cambria"/>
          <w:i/>
          <w:sz w:val="20"/>
          <w:szCs w:val="20"/>
          <w:lang w:val="en-AU"/>
        </w:rPr>
        <w:t>Police Offences Act 1935</w:t>
      </w:r>
      <w:r w:rsidRPr="00EB4257">
        <w:rPr>
          <w:rFonts w:ascii="Cambria" w:hAnsi="Cambria"/>
          <w:sz w:val="20"/>
          <w:szCs w:val="20"/>
          <w:lang w:val="en-AU"/>
        </w:rPr>
        <w:t xml:space="preserve"> (Tas).</w:t>
      </w:r>
      <w:r w:rsidRPr="00EB4257">
        <w:rPr>
          <w:rFonts w:ascii="Cambria" w:hAnsi="Cambria"/>
          <w:lang w:val="en-AU"/>
        </w:rPr>
        <w:t xml:space="preserve"> </w:t>
      </w:r>
    </w:p>
  </w:footnote>
  <w:footnote w:id="4">
    <w:p w14:paraId="717DB275" w14:textId="34EA3CBA" w:rsidR="00D81B21" w:rsidRPr="00EB4257" w:rsidRDefault="00D81B21">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008653F5" w:rsidRPr="00ED2F03">
        <w:rPr>
          <w:rFonts w:ascii="Cambria" w:hAnsi="Cambria"/>
          <w:sz w:val="20"/>
          <w:szCs w:val="20"/>
        </w:rPr>
        <w:t>Office of the United Nations High Commissioner for Human Rights (2014), ‘UN experts urge Tasmania to drop its anti-protest bill’ 9</w:t>
      </w:r>
      <w:r w:rsidR="008653F5" w:rsidRPr="00ED2F03">
        <w:rPr>
          <w:rFonts w:ascii="Cambria" w:hAnsi="Cambria"/>
          <w:sz w:val="20"/>
          <w:szCs w:val="20"/>
          <w:vertAlign w:val="superscript"/>
        </w:rPr>
        <w:t>th</w:t>
      </w:r>
      <w:r w:rsidR="008653F5" w:rsidRPr="00ED2F03">
        <w:rPr>
          <w:rFonts w:ascii="Cambria" w:hAnsi="Cambria"/>
          <w:sz w:val="20"/>
          <w:szCs w:val="20"/>
        </w:rPr>
        <w:t xml:space="preserve"> September 2014. As found at </w:t>
      </w:r>
      <w:hyperlink r:id="rId1" w:history="1">
        <w:r w:rsidR="008653F5" w:rsidRPr="00ED2F03">
          <w:rPr>
            <w:rStyle w:val="Hyperlink"/>
            <w:rFonts w:ascii="Cambria" w:hAnsi="Cambria"/>
            <w:sz w:val="20"/>
            <w:szCs w:val="20"/>
          </w:rPr>
          <w:t>https://www.ohchr.org/EN/NewsEvents/Pages/DisplayNews.aspx?NewsID=15002&amp;LangID=E</w:t>
        </w:r>
      </w:hyperlink>
      <w:r w:rsidR="008653F5" w:rsidRPr="00ED2F03">
        <w:rPr>
          <w:rFonts w:ascii="Cambria" w:hAnsi="Cambria"/>
          <w:sz w:val="20"/>
          <w:szCs w:val="20"/>
        </w:rPr>
        <w:t xml:space="preserve"> </w:t>
      </w:r>
      <w:r w:rsidRPr="00ED2F03">
        <w:rPr>
          <w:rFonts w:ascii="Cambria" w:hAnsi="Cambria"/>
          <w:sz w:val="20"/>
          <w:szCs w:val="20"/>
          <w:lang w:val="en-AU"/>
        </w:rPr>
        <w:t xml:space="preserve">(Accessed </w:t>
      </w:r>
      <w:r w:rsidR="00EB4257" w:rsidRPr="00ED2F03">
        <w:rPr>
          <w:rFonts w:ascii="Cambria" w:hAnsi="Cambria"/>
          <w:sz w:val="20"/>
          <w:szCs w:val="20"/>
          <w:lang w:val="en-AU"/>
        </w:rPr>
        <w:t>23</w:t>
      </w:r>
      <w:r w:rsidRPr="00ED2F03">
        <w:rPr>
          <w:rFonts w:ascii="Cambria" w:hAnsi="Cambria"/>
          <w:sz w:val="20"/>
          <w:szCs w:val="20"/>
          <w:lang w:val="en-AU"/>
        </w:rPr>
        <w:t xml:space="preserve"> September 2021). </w:t>
      </w:r>
    </w:p>
  </w:footnote>
  <w:footnote w:id="5">
    <w:p w14:paraId="60EDD8AC" w14:textId="79A4D5E1" w:rsidR="008653F5" w:rsidRPr="00EB4257" w:rsidRDefault="008653F5" w:rsidP="008653F5">
      <w:pPr>
        <w:pStyle w:val="FootnoteText"/>
        <w:rPr>
          <w:rFonts w:ascii="Cambria" w:hAnsi="Cambria"/>
        </w:rPr>
      </w:pPr>
      <w:r w:rsidRPr="00EB4257">
        <w:rPr>
          <w:rStyle w:val="FootnoteReference"/>
          <w:rFonts w:ascii="Cambria" w:hAnsi="Cambria"/>
        </w:rPr>
        <w:footnoteRef/>
      </w:r>
      <w:r w:rsidRPr="00EB4257">
        <w:rPr>
          <w:rFonts w:ascii="Cambria" w:hAnsi="Cambria"/>
        </w:rPr>
        <w:t xml:space="preserve"> </w:t>
      </w:r>
      <w:r w:rsidRPr="00ED2F03">
        <w:rPr>
          <w:rFonts w:ascii="Cambria" w:hAnsi="Cambria"/>
          <w:sz w:val="20"/>
          <w:szCs w:val="20"/>
        </w:rPr>
        <w:t xml:space="preserve">Office of the United Nations High Commissioner for Human Rights (2017), </w:t>
      </w:r>
      <w:r w:rsidRPr="00ED2F03">
        <w:rPr>
          <w:rFonts w:ascii="Cambria" w:hAnsi="Cambria"/>
          <w:i/>
          <w:sz w:val="20"/>
          <w:szCs w:val="20"/>
        </w:rPr>
        <w:t>Report of the Special Rapporteur on the situation of human rights defenders on his mission to Australia</w:t>
      </w:r>
      <w:r w:rsidRPr="00ED2F03">
        <w:rPr>
          <w:rFonts w:ascii="Cambria" w:hAnsi="Cambria"/>
          <w:sz w:val="20"/>
          <w:szCs w:val="20"/>
        </w:rPr>
        <w:t xml:space="preserve">. As found at </w:t>
      </w:r>
      <w:hyperlink r:id="rId2" w:history="1">
        <w:r w:rsidRPr="00ED2F03">
          <w:rPr>
            <w:rStyle w:val="Hyperlink"/>
            <w:rFonts w:ascii="Cambria" w:hAnsi="Cambria"/>
            <w:sz w:val="20"/>
            <w:szCs w:val="20"/>
          </w:rPr>
          <w:t>https://www.ohchr.org/EN/HRBodies/HRC/RegularSessions/Session37/Documents/A_HRC_37_51_Add_3_EN.docx</w:t>
        </w:r>
      </w:hyperlink>
      <w:r w:rsidRPr="00ED2F03">
        <w:rPr>
          <w:rFonts w:ascii="Cambria" w:hAnsi="Cambria"/>
          <w:sz w:val="20"/>
          <w:szCs w:val="20"/>
        </w:rPr>
        <w:t xml:space="preserve"> (Accessed </w:t>
      </w:r>
      <w:r w:rsidR="00EB4257" w:rsidRPr="00ED2F03">
        <w:rPr>
          <w:rFonts w:ascii="Cambria" w:hAnsi="Cambria"/>
          <w:sz w:val="20"/>
          <w:szCs w:val="20"/>
        </w:rPr>
        <w:t>23 September 2021</w:t>
      </w:r>
      <w:r w:rsidRPr="00ED2F03">
        <w:rPr>
          <w:rFonts w:ascii="Cambria" w:hAnsi="Cambria"/>
          <w:sz w:val="20"/>
          <w:szCs w:val="20"/>
        </w:rPr>
        <w:t>).</w:t>
      </w:r>
      <w:r w:rsidRPr="00EB4257">
        <w:rPr>
          <w:rFonts w:ascii="Cambria" w:hAnsi="Cambria"/>
        </w:rPr>
        <w:t xml:space="preserve">   </w:t>
      </w:r>
    </w:p>
  </w:footnote>
  <w:footnote w:id="6">
    <w:p w14:paraId="248FB860" w14:textId="6352DAE1" w:rsidR="00A067FF" w:rsidRPr="00EB4257" w:rsidRDefault="00A067FF" w:rsidP="00A067FF">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0034403A" w:rsidRPr="00EB4257">
        <w:rPr>
          <w:rFonts w:ascii="Cambria" w:hAnsi="Cambria"/>
          <w:sz w:val="20"/>
          <w:szCs w:val="20"/>
          <w:lang w:val="en-AU"/>
        </w:rPr>
        <w:t xml:space="preserve">Sections 14B and 37 of the </w:t>
      </w:r>
      <w:r w:rsidR="0034403A" w:rsidRPr="00EB4257">
        <w:rPr>
          <w:rFonts w:ascii="Cambria" w:hAnsi="Cambria"/>
          <w:i/>
          <w:sz w:val="20"/>
          <w:szCs w:val="20"/>
          <w:lang w:val="en-AU"/>
        </w:rPr>
        <w:t>Police Offences Act 1935</w:t>
      </w:r>
      <w:r w:rsidR="0034403A" w:rsidRPr="00EB4257">
        <w:rPr>
          <w:rFonts w:ascii="Cambria" w:hAnsi="Cambria"/>
          <w:sz w:val="20"/>
          <w:szCs w:val="20"/>
          <w:lang w:val="en-AU"/>
        </w:rPr>
        <w:t xml:space="preserve"> (Tas). Also see sections 79, 244 of the </w:t>
      </w:r>
      <w:r w:rsidR="0034403A" w:rsidRPr="00EB4257">
        <w:rPr>
          <w:rFonts w:ascii="Cambria" w:hAnsi="Cambria"/>
          <w:i/>
          <w:sz w:val="20"/>
          <w:szCs w:val="20"/>
          <w:lang w:val="en-AU"/>
        </w:rPr>
        <w:t>Criminal Code Act 1924</w:t>
      </w:r>
      <w:r w:rsidR="0034403A" w:rsidRPr="00EB4257">
        <w:rPr>
          <w:rFonts w:ascii="Cambria" w:hAnsi="Cambria"/>
          <w:sz w:val="20"/>
          <w:szCs w:val="20"/>
          <w:lang w:val="en-AU"/>
        </w:rPr>
        <w:t xml:space="preserve"> (Tas).</w:t>
      </w:r>
    </w:p>
  </w:footnote>
  <w:footnote w:id="7">
    <w:p w14:paraId="5411BEAA" w14:textId="77777777" w:rsidR="00FD6373" w:rsidRPr="00EB4257" w:rsidRDefault="00FD6373" w:rsidP="00FD6373">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Pr="00EB4257">
        <w:rPr>
          <w:rFonts w:ascii="Cambria" w:hAnsi="Cambria"/>
          <w:sz w:val="20"/>
          <w:szCs w:val="20"/>
          <w:lang w:val="en-AU"/>
        </w:rPr>
        <w:t xml:space="preserve">See, for example sections 10, 15B, 63A of the </w:t>
      </w:r>
      <w:r w:rsidRPr="00EB4257">
        <w:rPr>
          <w:rFonts w:ascii="Cambria" w:hAnsi="Cambria"/>
          <w:i/>
          <w:sz w:val="20"/>
          <w:szCs w:val="20"/>
          <w:lang w:val="en-AU"/>
        </w:rPr>
        <w:t>Police Offences Act 1935</w:t>
      </w:r>
      <w:r w:rsidRPr="00EB4257">
        <w:rPr>
          <w:rFonts w:ascii="Cambria" w:hAnsi="Cambria"/>
          <w:sz w:val="20"/>
          <w:szCs w:val="20"/>
          <w:lang w:val="en-AU"/>
        </w:rPr>
        <w:t xml:space="preserve"> (Tas). </w:t>
      </w:r>
      <w:r w:rsidRPr="00EB4257">
        <w:rPr>
          <w:rFonts w:ascii="Cambria" w:hAnsi="Cambria"/>
          <w:lang w:val="en-AU"/>
        </w:rPr>
        <w:t xml:space="preserve"> </w:t>
      </w:r>
    </w:p>
  </w:footnote>
  <w:footnote w:id="8">
    <w:p w14:paraId="47CC7492" w14:textId="77777777" w:rsidR="00FD6373" w:rsidRPr="00EB4257" w:rsidRDefault="00FD6373" w:rsidP="00FD6373">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Pr="00EB4257">
        <w:rPr>
          <w:rFonts w:ascii="Cambria" w:hAnsi="Cambria"/>
          <w:i/>
          <w:color w:val="000000" w:themeColor="text1"/>
          <w:sz w:val="20"/>
          <w:szCs w:val="20"/>
        </w:rPr>
        <w:t>Brown v Tasmania</w:t>
      </w:r>
      <w:r w:rsidRPr="00EB4257">
        <w:rPr>
          <w:rFonts w:ascii="Cambria" w:hAnsi="Cambria"/>
          <w:color w:val="000000" w:themeColor="text1"/>
          <w:sz w:val="20"/>
          <w:szCs w:val="20"/>
        </w:rPr>
        <w:t xml:space="preserve"> [2017] HCA 43 at para. [113]-[116] per </w:t>
      </w:r>
      <w:proofErr w:type="spellStart"/>
      <w:r w:rsidRPr="00EB4257">
        <w:rPr>
          <w:rFonts w:ascii="Cambria" w:hAnsi="Cambria"/>
          <w:color w:val="000000" w:themeColor="text1"/>
          <w:sz w:val="20"/>
          <w:szCs w:val="20"/>
        </w:rPr>
        <w:t>Kiefel</w:t>
      </w:r>
      <w:proofErr w:type="spellEnd"/>
      <w:r w:rsidRPr="00EB4257">
        <w:rPr>
          <w:rFonts w:ascii="Cambria" w:hAnsi="Cambria"/>
          <w:color w:val="000000" w:themeColor="text1"/>
          <w:sz w:val="20"/>
          <w:szCs w:val="20"/>
        </w:rPr>
        <w:t xml:space="preserve"> CJ, Bell and Keane JJ. </w:t>
      </w:r>
    </w:p>
  </w:footnote>
  <w:footnote w:id="9">
    <w:p w14:paraId="09A0E5B3" w14:textId="77777777" w:rsidR="00FD6373" w:rsidRPr="00EB4257" w:rsidRDefault="00FD6373" w:rsidP="00FD6373">
      <w:pPr>
        <w:pStyle w:val="FootnoteText"/>
        <w:rPr>
          <w:rFonts w:ascii="Cambria" w:hAnsi="Cambria"/>
          <w:lang w:val="en-AU"/>
        </w:rPr>
      </w:pPr>
      <w:r w:rsidRPr="00EB4257">
        <w:rPr>
          <w:rStyle w:val="FootnoteReference"/>
          <w:rFonts w:ascii="Cambria" w:hAnsi="Cambria"/>
        </w:rPr>
        <w:footnoteRef/>
      </w:r>
      <w:r w:rsidRPr="00EB4257">
        <w:rPr>
          <w:rFonts w:ascii="Cambria" w:hAnsi="Cambria"/>
        </w:rPr>
        <w:t xml:space="preserve"> </w:t>
      </w:r>
      <w:r w:rsidRPr="00EB4257">
        <w:rPr>
          <w:rFonts w:ascii="Cambria" w:hAnsi="Cambria"/>
          <w:sz w:val="20"/>
          <w:szCs w:val="20"/>
        </w:rPr>
        <w:t xml:space="preserve">For example, the majority observed that </w:t>
      </w:r>
      <w:r w:rsidRPr="00EB4257">
        <w:rPr>
          <w:rFonts w:ascii="Cambria" w:eastAsia="Times New Roman" w:hAnsi="Cambria" w:cs="Times New Roman"/>
          <w:sz w:val="20"/>
          <w:szCs w:val="20"/>
          <w:lang w:val="en-AU" w:eastAsia="en-AU"/>
        </w:rPr>
        <w:t xml:space="preserve">because it was unclear when and where an illegal act might arise, a police officer might ‘erroneously’ direct a person to move away from a place where they had a legal right to be. Further, because a warning could be given to a ‘group of persons’, even by loudspeaker, there was a chance that some of the group did hear the direction but were in fact not breaching the law at the time, but were still required to move on. See </w:t>
      </w:r>
      <w:r w:rsidRPr="00EB4257">
        <w:rPr>
          <w:rFonts w:ascii="Cambria" w:hAnsi="Cambria"/>
          <w:i/>
          <w:color w:val="000000" w:themeColor="text1"/>
          <w:sz w:val="20"/>
          <w:szCs w:val="20"/>
        </w:rPr>
        <w:t>Brown v Tasmania</w:t>
      </w:r>
      <w:r w:rsidRPr="00EB4257">
        <w:rPr>
          <w:rFonts w:ascii="Cambria" w:hAnsi="Cambria"/>
          <w:color w:val="000000" w:themeColor="text1"/>
          <w:sz w:val="20"/>
          <w:szCs w:val="20"/>
        </w:rPr>
        <w:t xml:space="preserve"> [2017] HCA 43 at para. [80]-[83] per </w:t>
      </w:r>
      <w:proofErr w:type="spellStart"/>
      <w:r w:rsidRPr="00EB4257">
        <w:rPr>
          <w:rFonts w:ascii="Cambria" w:hAnsi="Cambria"/>
          <w:color w:val="000000" w:themeColor="text1"/>
          <w:sz w:val="20"/>
          <w:szCs w:val="20"/>
        </w:rPr>
        <w:t>Kiefel</w:t>
      </w:r>
      <w:proofErr w:type="spellEnd"/>
      <w:r w:rsidRPr="00EB4257">
        <w:rPr>
          <w:rFonts w:ascii="Cambria" w:hAnsi="Cambria"/>
          <w:color w:val="000000" w:themeColor="text1"/>
          <w:sz w:val="20"/>
          <w:szCs w:val="20"/>
        </w:rPr>
        <w:t xml:space="preserve"> CJ, Bell and Keane JJ.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6B39"/>
    <w:multiLevelType w:val="hybridMultilevel"/>
    <w:tmpl w:val="48265216"/>
    <w:lvl w:ilvl="0" w:tplc="D23C0104">
      <w:start w:val="2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FF"/>
    <w:rsid w:val="00002BAB"/>
    <w:rsid w:val="00024572"/>
    <w:rsid w:val="00027C9A"/>
    <w:rsid w:val="00073930"/>
    <w:rsid w:val="00190759"/>
    <w:rsid w:val="001A0104"/>
    <w:rsid w:val="001B5897"/>
    <w:rsid w:val="001D08FE"/>
    <w:rsid w:val="00215FCE"/>
    <w:rsid w:val="00220DEB"/>
    <w:rsid w:val="00266CB9"/>
    <w:rsid w:val="0034403A"/>
    <w:rsid w:val="003C245A"/>
    <w:rsid w:val="00527829"/>
    <w:rsid w:val="00761F1B"/>
    <w:rsid w:val="00762DCE"/>
    <w:rsid w:val="007A3699"/>
    <w:rsid w:val="008653F5"/>
    <w:rsid w:val="008D73A3"/>
    <w:rsid w:val="0091598F"/>
    <w:rsid w:val="00A0147F"/>
    <w:rsid w:val="00A067FF"/>
    <w:rsid w:val="00B6190A"/>
    <w:rsid w:val="00B81354"/>
    <w:rsid w:val="00C06801"/>
    <w:rsid w:val="00C26DC3"/>
    <w:rsid w:val="00C9655B"/>
    <w:rsid w:val="00CB0C4B"/>
    <w:rsid w:val="00CF18B0"/>
    <w:rsid w:val="00D07F5B"/>
    <w:rsid w:val="00D81B21"/>
    <w:rsid w:val="00DA5888"/>
    <w:rsid w:val="00E67AC0"/>
    <w:rsid w:val="00EB4257"/>
    <w:rsid w:val="00ED2F03"/>
    <w:rsid w:val="00EE41AA"/>
    <w:rsid w:val="00F505A0"/>
    <w:rsid w:val="00F835DB"/>
    <w:rsid w:val="00FD6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C4E928"/>
  <w15:chartTrackingRefBased/>
  <w15:docId w15:val="{F6031F8A-2E01-8D4B-9995-83B3AA5F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F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rsid w:val="00A067FF"/>
  </w:style>
  <w:style w:type="character" w:customStyle="1" w:styleId="FootnoteTextChar">
    <w:name w:val="Footnote Text Char"/>
    <w:aliases w:val="Footnote Char,Text Char"/>
    <w:basedOn w:val="DefaultParagraphFont"/>
    <w:link w:val="FootnoteText"/>
    <w:uiPriority w:val="99"/>
    <w:rsid w:val="00A067FF"/>
    <w:rPr>
      <w:rFonts w:eastAsiaTheme="minorEastAsia"/>
      <w:lang w:val="en-US"/>
    </w:rPr>
  </w:style>
  <w:style w:type="character" w:styleId="FootnoteReference">
    <w:name w:val="footnote reference"/>
    <w:basedOn w:val="DefaultParagraphFont"/>
    <w:unhideWhenUsed/>
    <w:rsid w:val="00A067FF"/>
    <w:rPr>
      <w:vertAlign w:val="superscript"/>
    </w:rPr>
  </w:style>
  <w:style w:type="character" w:styleId="Hyperlink">
    <w:name w:val="Hyperlink"/>
    <w:basedOn w:val="DefaultParagraphFont"/>
    <w:uiPriority w:val="99"/>
    <w:unhideWhenUsed/>
    <w:rsid w:val="00A067FF"/>
    <w:rPr>
      <w:color w:val="0563C1" w:themeColor="hyperlink"/>
      <w:u w:val="single"/>
    </w:rPr>
  </w:style>
  <w:style w:type="paragraph" w:styleId="Footer">
    <w:name w:val="footer"/>
    <w:basedOn w:val="Normal"/>
    <w:link w:val="FooterChar"/>
    <w:uiPriority w:val="99"/>
    <w:unhideWhenUsed/>
    <w:rsid w:val="00A067FF"/>
    <w:pPr>
      <w:tabs>
        <w:tab w:val="center" w:pos="4513"/>
        <w:tab w:val="right" w:pos="9026"/>
      </w:tabs>
    </w:pPr>
  </w:style>
  <w:style w:type="character" w:customStyle="1" w:styleId="FooterChar">
    <w:name w:val="Footer Char"/>
    <w:basedOn w:val="DefaultParagraphFont"/>
    <w:link w:val="Footer"/>
    <w:uiPriority w:val="99"/>
    <w:rsid w:val="00A067FF"/>
    <w:rPr>
      <w:rFonts w:eastAsiaTheme="minorEastAsia"/>
      <w:lang w:val="en-US"/>
    </w:rPr>
  </w:style>
  <w:style w:type="character" w:styleId="PageNumber">
    <w:name w:val="page number"/>
    <w:basedOn w:val="DefaultParagraphFont"/>
    <w:uiPriority w:val="99"/>
    <w:semiHidden/>
    <w:unhideWhenUsed/>
    <w:rsid w:val="00A067FF"/>
  </w:style>
  <w:style w:type="paragraph" w:styleId="ListParagraph">
    <w:name w:val="List Paragraph"/>
    <w:basedOn w:val="Normal"/>
    <w:uiPriority w:val="34"/>
    <w:qFormat/>
    <w:rsid w:val="00A067FF"/>
    <w:pPr>
      <w:ind w:left="720"/>
      <w:contextualSpacing/>
    </w:pPr>
  </w:style>
  <w:style w:type="paragraph" w:styleId="NormalWeb">
    <w:name w:val="Normal (Web)"/>
    <w:basedOn w:val="Normal"/>
    <w:uiPriority w:val="99"/>
    <w:semiHidden/>
    <w:unhideWhenUsed/>
    <w:rsid w:val="007A3699"/>
    <w:pPr>
      <w:spacing w:before="100" w:beforeAutospacing="1" w:after="100" w:afterAutospacing="1"/>
    </w:pPr>
    <w:rPr>
      <w:rFonts w:ascii="Times New Roman" w:eastAsia="Times New Roman" w:hAnsi="Times New Roman" w:cs="Times New Roman"/>
      <w:lang w:val="en-AU" w:eastAsia="en-GB"/>
    </w:rPr>
  </w:style>
  <w:style w:type="paragraph" w:styleId="NoSpacing">
    <w:name w:val="No Spacing"/>
    <w:uiPriority w:val="1"/>
    <w:qFormat/>
    <w:rsid w:val="007A3699"/>
    <w:rPr>
      <w:rFonts w:eastAsiaTheme="minorEastAsia"/>
      <w:lang w:val="en-US"/>
    </w:rPr>
  </w:style>
  <w:style w:type="character" w:styleId="UnresolvedMention">
    <w:name w:val="Unresolved Mention"/>
    <w:basedOn w:val="DefaultParagraphFont"/>
    <w:uiPriority w:val="99"/>
    <w:semiHidden/>
    <w:unhideWhenUsed/>
    <w:rsid w:val="007A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82762">
      <w:bodyDiv w:val="1"/>
      <w:marLeft w:val="0"/>
      <w:marRight w:val="0"/>
      <w:marTop w:val="0"/>
      <w:marBottom w:val="0"/>
      <w:divBdr>
        <w:top w:val="none" w:sz="0" w:space="0" w:color="auto"/>
        <w:left w:val="none" w:sz="0" w:space="0" w:color="auto"/>
        <w:bottom w:val="none" w:sz="0" w:space="0" w:color="auto"/>
        <w:right w:val="none" w:sz="0" w:space="0" w:color="auto"/>
      </w:divBdr>
      <w:divsChild>
        <w:div w:id="15430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686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0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488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348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2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6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5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999331">
      <w:bodyDiv w:val="1"/>
      <w:marLeft w:val="0"/>
      <w:marRight w:val="0"/>
      <w:marTop w:val="0"/>
      <w:marBottom w:val="0"/>
      <w:divBdr>
        <w:top w:val="none" w:sz="0" w:space="0" w:color="auto"/>
        <w:left w:val="none" w:sz="0" w:space="0" w:color="auto"/>
        <w:bottom w:val="none" w:sz="0" w:space="0" w:color="auto"/>
        <w:right w:val="none" w:sz="0" w:space="0" w:color="auto"/>
      </w:divBdr>
    </w:div>
    <w:div w:id="12671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HRC/RegularSessions/Session37/Documents/A_HRC_37_51_Add_3_EN.docx" TargetMode="External"/><Relationship Id="rId1" Type="http://schemas.openxmlformats.org/officeDocument/2006/relationships/hyperlink" Target="https://www.ohchr.org/EN/NewsEvents/Pages/DisplayNews.aspx?NewsID=15002&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2021-09-22T23:01:00Z</cp:lastPrinted>
  <dcterms:created xsi:type="dcterms:W3CDTF">2021-09-18T00:59:00Z</dcterms:created>
  <dcterms:modified xsi:type="dcterms:W3CDTF">2021-09-22T23:16:00Z</dcterms:modified>
</cp:coreProperties>
</file>