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D419B" w14:textId="77777777" w:rsidR="006A13DA" w:rsidRPr="00187347" w:rsidRDefault="006A13DA" w:rsidP="006A13DA">
      <w:pPr>
        <w:jc w:val="center"/>
        <w:rPr>
          <w:lang w:val="en-AU"/>
        </w:rPr>
      </w:pPr>
      <w:r w:rsidRPr="00187347">
        <w:rPr>
          <w:rFonts w:asciiTheme="minorHAnsi" w:hAnsiTheme="minorHAnsi"/>
          <w:noProof/>
          <w:sz w:val="20"/>
          <w:szCs w:val="20"/>
          <w:lang w:val="en-AU"/>
        </w:rPr>
        <w:drawing>
          <wp:inline distT="0" distB="0" distL="0" distR="0" wp14:anchorId="2DB33D5B" wp14:editId="5045A632">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050ACC5A" w14:textId="77777777" w:rsidR="006A13DA" w:rsidRPr="00187347" w:rsidRDefault="006A13DA" w:rsidP="006A13DA">
      <w:pPr>
        <w:rPr>
          <w:rFonts w:ascii="Cambria" w:hAnsi="Cambria"/>
          <w:lang w:val="en-AU"/>
        </w:rPr>
      </w:pPr>
    </w:p>
    <w:p w14:paraId="0A4E41AF" w14:textId="72ACCB4C" w:rsidR="006A13DA" w:rsidRPr="006A13DA" w:rsidRDefault="006A13DA" w:rsidP="006A13DA">
      <w:pPr>
        <w:rPr>
          <w:rFonts w:ascii="Cambria" w:hAnsi="Cambria"/>
          <w:lang w:val="en-AU"/>
        </w:rPr>
      </w:pPr>
      <w:r w:rsidRPr="006A13DA">
        <w:rPr>
          <w:rFonts w:ascii="Cambria" w:hAnsi="Cambria"/>
          <w:lang w:val="en-AU"/>
        </w:rPr>
        <w:t>1</w:t>
      </w:r>
      <w:r w:rsidR="00481AF0">
        <w:rPr>
          <w:rFonts w:ascii="Cambria" w:hAnsi="Cambria"/>
          <w:lang w:val="en-AU"/>
        </w:rPr>
        <w:t>7</w:t>
      </w:r>
      <w:r w:rsidRPr="006A13DA">
        <w:rPr>
          <w:rFonts w:ascii="Cambria" w:hAnsi="Cambria"/>
          <w:lang w:val="en-AU"/>
        </w:rPr>
        <w:t xml:space="preserve"> September 2021</w:t>
      </w:r>
    </w:p>
    <w:p w14:paraId="773A97C2" w14:textId="77777777" w:rsidR="006A13DA" w:rsidRPr="006A13DA" w:rsidRDefault="006A13DA" w:rsidP="006A13DA">
      <w:pPr>
        <w:rPr>
          <w:rFonts w:ascii="Cambria" w:hAnsi="Cambria"/>
          <w:lang w:val="en-AU"/>
        </w:rPr>
      </w:pPr>
    </w:p>
    <w:p w14:paraId="300A9CBB" w14:textId="00B8DA83" w:rsidR="006A13DA" w:rsidRPr="006A13DA" w:rsidRDefault="006A13DA" w:rsidP="006A13DA">
      <w:pPr>
        <w:rPr>
          <w:rFonts w:ascii="Cambria" w:hAnsi="Cambria"/>
          <w:lang w:val="en-AU"/>
        </w:rPr>
      </w:pPr>
      <w:r w:rsidRPr="006A13DA">
        <w:rPr>
          <w:rFonts w:ascii="Cambria" w:hAnsi="Cambria"/>
          <w:lang w:val="en-AU"/>
        </w:rPr>
        <w:t>Sentencing Advisory Council</w:t>
      </w:r>
    </w:p>
    <w:p w14:paraId="4EA38677" w14:textId="590F541A" w:rsidR="006A13DA" w:rsidRPr="006A13DA" w:rsidRDefault="006A13DA" w:rsidP="006A13DA">
      <w:pPr>
        <w:rPr>
          <w:rFonts w:ascii="Cambria" w:hAnsi="Cambria"/>
          <w:lang w:val="en-AU"/>
        </w:rPr>
      </w:pPr>
      <w:r w:rsidRPr="006A13DA">
        <w:rPr>
          <w:rFonts w:ascii="Cambria" w:hAnsi="Cambria"/>
          <w:lang w:val="en-AU"/>
        </w:rPr>
        <w:t>GPO Box 825</w:t>
      </w:r>
    </w:p>
    <w:p w14:paraId="776CE28F" w14:textId="39FEE9CA" w:rsidR="006A13DA" w:rsidRPr="006A13DA" w:rsidRDefault="006A13DA" w:rsidP="006A13DA">
      <w:pPr>
        <w:rPr>
          <w:rFonts w:ascii="Cambria" w:hAnsi="Cambria"/>
          <w:lang w:val="en-AU"/>
        </w:rPr>
      </w:pPr>
      <w:r w:rsidRPr="006A13DA">
        <w:rPr>
          <w:rFonts w:ascii="Cambria" w:hAnsi="Cambria"/>
          <w:lang w:val="en-AU"/>
        </w:rPr>
        <w:t>Hobart TAS 7000</w:t>
      </w:r>
    </w:p>
    <w:p w14:paraId="488FCB38" w14:textId="7D3EFEF5" w:rsidR="006A13DA" w:rsidRPr="006A13DA" w:rsidRDefault="006A13DA" w:rsidP="006A13DA">
      <w:pPr>
        <w:rPr>
          <w:rFonts w:ascii="Cambria" w:hAnsi="Cambria"/>
          <w:lang w:val="en-AU"/>
        </w:rPr>
      </w:pPr>
      <w:r w:rsidRPr="006A13DA">
        <w:rPr>
          <w:rFonts w:ascii="Cambria" w:hAnsi="Cambria"/>
          <w:lang w:val="en-AU"/>
        </w:rPr>
        <w:t xml:space="preserve">attn: </w:t>
      </w:r>
      <w:r>
        <w:rPr>
          <w:rFonts w:ascii="Cambria" w:hAnsi="Cambria"/>
          <w:lang w:val="en-AU"/>
        </w:rPr>
        <w:t>Rebecca Bradfield</w:t>
      </w:r>
      <w:r w:rsidRPr="006A13DA">
        <w:rPr>
          <w:rFonts w:ascii="Cambria" w:hAnsi="Cambria"/>
          <w:lang w:val="en-AU"/>
        </w:rPr>
        <w:tab/>
      </w:r>
      <w:r w:rsidRPr="006A13DA">
        <w:rPr>
          <w:rFonts w:ascii="Cambria" w:hAnsi="Cambria"/>
          <w:i/>
          <w:iCs/>
          <w:lang w:val="en-AU"/>
        </w:rPr>
        <w:t xml:space="preserve">via email: </w:t>
      </w:r>
      <w:hyperlink r:id="rId8" w:tgtFrame="_blank" w:history="1">
        <w:r w:rsidRPr="006A13DA">
          <w:rPr>
            <w:rStyle w:val="Hyperlink"/>
            <w:rFonts w:ascii="Cambria" w:hAnsi="Cambria" w:cs="Calibri"/>
            <w:i/>
            <w:iCs/>
            <w:bdr w:val="none" w:sz="0" w:space="0" w:color="auto" w:frame="1"/>
            <w:shd w:val="clear" w:color="auto" w:fill="FFFFFF"/>
          </w:rPr>
          <w:t>sentencingadvisory.council@justice.tas.gov.au</w:t>
        </w:r>
      </w:hyperlink>
      <w:r w:rsidRPr="006A13DA">
        <w:rPr>
          <w:rFonts w:ascii="Cambria" w:hAnsi="Cambria" w:cs="Calibri"/>
          <w:color w:val="323130"/>
          <w:shd w:val="clear" w:color="auto" w:fill="FFFFFF"/>
        </w:rPr>
        <w:t> </w:t>
      </w:r>
    </w:p>
    <w:p w14:paraId="222B7320" w14:textId="4F73FBD5" w:rsidR="006A13DA" w:rsidRPr="00187347" w:rsidRDefault="006A13DA" w:rsidP="006A13DA">
      <w:pPr>
        <w:rPr>
          <w:rFonts w:ascii="Cambria" w:hAnsi="Cambria"/>
          <w:lang w:val="en-AU"/>
        </w:rPr>
      </w:pPr>
    </w:p>
    <w:p w14:paraId="77EC4726" w14:textId="77777777" w:rsidR="006A13DA" w:rsidRPr="00187347" w:rsidRDefault="006A13DA" w:rsidP="006A13DA">
      <w:pPr>
        <w:rPr>
          <w:rFonts w:ascii="Cambria" w:hAnsi="Cambria"/>
          <w:lang w:val="en-AU"/>
        </w:rPr>
      </w:pPr>
    </w:p>
    <w:p w14:paraId="3E72634F" w14:textId="0245A1A4" w:rsidR="006A13DA" w:rsidRPr="00187347" w:rsidRDefault="006A13DA" w:rsidP="006A13DA">
      <w:pPr>
        <w:rPr>
          <w:rFonts w:ascii="Cambria" w:hAnsi="Cambria"/>
          <w:lang w:val="en-AU"/>
        </w:rPr>
      </w:pPr>
      <w:r w:rsidRPr="00187347">
        <w:rPr>
          <w:rFonts w:ascii="Cambria" w:hAnsi="Cambria"/>
          <w:lang w:val="en-AU"/>
        </w:rPr>
        <w:t xml:space="preserve">Dear </w:t>
      </w:r>
      <w:r>
        <w:rPr>
          <w:rFonts w:ascii="Cambria" w:hAnsi="Cambria"/>
          <w:lang w:val="en-AU"/>
        </w:rPr>
        <w:t>Rebecca Bradfield</w:t>
      </w:r>
      <w:r w:rsidRPr="00187347">
        <w:rPr>
          <w:rFonts w:ascii="Cambria" w:hAnsi="Cambria"/>
          <w:lang w:val="en-AU"/>
        </w:rPr>
        <w:t xml:space="preserve">, </w:t>
      </w:r>
    </w:p>
    <w:p w14:paraId="455893C2" w14:textId="11C02818" w:rsidR="006A13DA" w:rsidRPr="00187347" w:rsidRDefault="006A13DA" w:rsidP="006A13DA">
      <w:pPr>
        <w:pBdr>
          <w:bottom w:val="single" w:sz="6" w:space="1" w:color="auto"/>
        </w:pBdr>
        <w:rPr>
          <w:rFonts w:ascii="Cambria" w:hAnsi="Cambria"/>
          <w:b/>
          <w:bCs/>
          <w:lang w:val="en-AU"/>
        </w:rPr>
      </w:pPr>
      <w:r w:rsidRPr="00187347">
        <w:rPr>
          <w:rFonts w:ascii="Cambria" w:hAnsi="Cambria"/>
          <w:b/>
          <w:bCs/>
          <w:lang w:val="en-AU"/>
        </w:rPr>
        <w:t xml:space="preserve">Re: </w:t>
      </w:r>
      <w:r>
        <w:rPr>
          <w:rFonts w:ascii="Cambria" w:hAnsi="Cambria"/>
          <w:b/>
          <w:bCs/>
          <w:lang w:val="en-AU"/>
        </w:rPr>
        <w:t xml:space="preserve">Review of the </w:t>
      </w:r>
      <w:r w:rsidRPr="006A13DA">
        <w:rPr>
          <w:rFonts w:ascii="Cambria" w:hAnsi="Cambria"/>
          <w:b/>
          <w:bCs/>
          <w:i/>
          <w:iCs/>
          <w:lang w:val="en-AU"/>
        </w:rPr>
        <w:t>Sentencing Amendment (Phasing Out of Suspended Sentences) Act 2017</w:t>
      </w:r>
    </w:p>
    <w:p w14:paraId="72294CF2" w14:textId="77777777" w:rsidR="006A13DA" w:rsidRPr="00187347" w:rsidRDefault="006A13DA" w:rsidP="006A13DA">
      <w:pPr>
        <w:rPr>
          <w:rFonts w:ascii="Cambria" w:hAnsi="Cambria"/>
          <w:lang w:val="en-AU"/>
        </w:rPr>
      </w:pPr>
    </w:p>
    <w:p w14:paraId="3A96F596" w14:textId="0A0BC7B4" w:rsidR="00804F44" w:rsidRPr="009918FC" w:rsidRDefault="006A13DA" w:rsidP="009918FC">
      <w:pPr>
        <w:pStyle w:val="NoSpacing"/>
        <w:jc w:val="both"/>
        <w:rPr>
          <w:rFonts w:ascii="Cambria" w:hAnsi="Cambria"/>
          <w:color w:val="000000" w:themeColor="text1"/>
        </w:rPr>
      </w:pPr>
      <w:r w:rsidRPr="00D41D07">
        <w:rPr>
          <w:rFonts w:ascii="Cambria" w:hAnsi="Cambria" w:cs="Calibri"/>
          <w:color w:val="000000" w:themeColor="text1"/>
        </w:rPr>
        <w:t>Community Legal Centres Tasmania (CLC Tas)</w:t>
      </w:r>
      <w:r w:rsidRPr="00D41D07">
        <w:rPr>
          <w:rFonts w:ascii="Cambria" w:hAnsi="Cambria"/>
          <w:color w:val="000000" w:themeColor="text1"/>
        </w:rPr>
        <w:t xml:space="preserve"> welcomes the opportunity to respond to the Sentencing Advisory Council’s review of the </w:t>
      </w:r>
      <w:r w:rsidRPr="00D41D07">
        <w:rPr>
          <w:rFonts w:ascii="Cambria" w:hAnsi="Cambria"/>
          <w:i/>
          <w:iCs/>
          <w:color w:val="000000" w:themeColor="text1"/>
        </w:rPr>
        <w:t>Sentencing Amendment (Phasing Out of Suspended Sentences) Act 2017</w:t>
      </w:r>
      <w:r w:rsidRPr="00D41D07">
        <w:rPr>
          <w:rFonts w:ascii="Cambria" w:hAnsi="Cambria"/>
          <w:color w:val="000000" w:themeColor="text1"/>
        </w:rPr>
        <w:t>.</w:t>
      </w:r>
      <w:r w:rsidR="00A213A1" w:rsidRPr="00D41D07">
        <w:rPr>
          <w:rFonts w:ascii="Cambria" w:hAnsi="Cambria"/>
          <w:color w:val="000000" w:themeColor="text1"/>
        </w:rPr>
        <w:t xml:space="preserve"> </w:t>
      </w:r>
      <w:r w:rsidRPr="00D41D07">
        <w:rPr>
          <w:rFonts w:ascii="Cambria" w:hAnsi="Cambria"/>
          <w:color w:val="000000" w:themeColor="text1"/>
        </w:rPr>
        <w:t>Our response focuse</w:t>
      </w:r>
      <w:r w:rsidR="005366FF" w:rsidRPr="00D41D07">
        <w:rPr>
          <w:rFonts w:ascii="Cambria" w:hAnsi="Cambria"/>
          <w:color w:val="000000" w:themeColor="text1"/>
        </w:rPr>
        <w:t>s</w:t>
      </w:r>
      <w:r w:rsidRPr="00D41D07">
        <w:rPr>
          <w:rFonts w:ascii="Cambria" w:hAnsi="Cambria"/>
          <w:color w:val="000000" w:themeColor="text1"/>
        </w:rPr>
        <w:t xml:space="preserve"> on</w:t>
      </w:r>
      <w:r w:rsidR="00804F44">
        <w:rPr>
          <w:rFonts w:ascii="Cambria" w:hAnsi="Cambria"/>
          <w:color w:val="000000" w:themeColor="text1"/>
        </w:rPr>
        <w:t xml:space="preserve"> </w:t>
      </w:r>
      <w:r w:rsidRPr="00D41D07">
        <w:rPr>
          <w:rFonts w:ascii="Cambria" w:hAnsi="Cambria"/>
          <w:color w:val="000000" w:themeColor="text1"/>
        </w:rPr>
        <w:t>drug treatment order</w:t>
      </w:r>
      <w:r w:rsidR="00804F44">
        <w:rPr>
          <w:rFonts w:ascii="Cambria" w:hAnsi="Cambria"/>
          <w:color w:val="000000" w:themeColor="text1"/>
        </w:rPr>
        <w:t>s and reforms that would make the order more accessible</w:t>
      </w:r>
      <w:r w:rsidRPr="00D41D07">
        <w:rPr>
          <w:rFonts w:ascii="Cambria" w:hAnsi="Cambria"/>
          <w:color w:val="000000" w:themeColor="text1"/>
        </w:rPr>
        <w:t xml:space="preserve">. </w:t>
      </w:r>
      <w:r w:rsidR="00804F44">
        <w:rPr>
          <w:rFonts w:ascii="Cambria" w:hAnsi="Cambria"/>
          <w:color w:val="000000" w:themeColor="text1"/>
        </w:rPr>
        <w:t>We also call for an extension of the period of review so t</w:t>
      </w:r>
      <w:r w:rsidR="009918FC">
        <w:rPr>
          <w:rFonts w:ascii="Cambria" w:hAnsi="Cambria"/>
          <w:color w:val="000000" w:themeColor="text1"/>
        </w:rPr>
        <w:t>hat</w:t>
      </w:r>
      <w:r w:rsidR="00EB28D9">
        <w:rPr>
          <w:rFonts w:ascii="Cambria" w:hAnsi="Cambria"/>
          <w:color w:val="000000" w:themeColor="text1"/>
        </w:rPr>
        <w:t xml:space="preserve"> more significant </w:t>
      </w:r>
      <w:r w:rsidR="00804F44">
        <w:rPr>
          <w:rFonts w:ascii="Cambria" w:hAnsi="Cambria"/>
          <w:color w:val="000000" w:themeColor="text1"/>
        </w:rPr>
        <w:t>data</w:t>
      </w:r>
      <w:r w:rsidR="009918FC">
        <w:rPr>
          <w:rFonts w:ascii="Cambria" w:hAnsi="Cambria"/>
          <w:color w:val="000000" w:themeColor="text1"/>
        </w:rPr>
        <w:t xml:space="preserve"> </w:t>
      </w:r>
      <w:r w:rsidR="00EB28D9">
        <w:rPr>
          <w:rFonts w:ascii="Cambria" w:hAnsi="Cambria"/>
          <w:color w:val="000000" w:themeColor="text1"/>
        </w:rPr>
        <w:t>sets can be collected,</w:t>
      </w:r>
      <w:r w:rsidR="009918FC">
        <w:rPr>
          <w:rFonts w:ascii="Cambria" w:hAnsi="Cambria"/>
          <w:color w:val="000000" w:themeColor="text1"/>
        </w:rPr>
        <w:t xml:space="preserve"> analysed and a </w:t>
      </w:r>
      <w:r w:rsidR="00780BEE">
        <w:rPr>
          <w:rFonts w:ascii="Cambria" w:hAnsi="Cambria"/>
          <w:color w:val="000000" w:themeColor="text1"/>
        </w:rPr>
        <w:t>better-informed</w:t>
      </w:r>
      <w:r w:rsidR="009918FC">
        <w:rPr>
          <w:rFonts w:ascii="Cambria" w:hAnsi="Cambria"/>
          <w:color w:val="000000" w:themeColor="text1"/>
        </w:rPr>
        <w:t xml:space="preserve"> assessment made of alternative sentencing options and their </w:t>
      </w:r>
      <w:r w:rsidR="00804F44">
        <w:rPr>
          <w:rFonts w:ascii="Cambria" w:hAnsi="Cambria"/>
        </w:rPr>
        <w:t xml:space="preserve">suitability as a replacement for suspended sentences. </w:t>
      </w:r>
    </w:p>
    <w:p w14:paraId="1BD79BD8" w14:textId="77777777" w:rsidR="006A13DA" w:rsidRPr="00187347" w:rsidRDefault="006A13DA" w:rsidP="006A13DA">
      <w:pPr>
        <w:pStyle w:val="NoSpacing"/>
        <w:jc w:val="both"/>
        <w:rPr>
          <w:rFonts w:ascii="Cambria" w:hAnsi="Cambria"/>
          <w:color w:val="000000" w:themeColor="text1"/>
        </w:rPr>
      </w:pPr>
    </w:p>
    <w:p w14:paraId="07399D31" w14:textId="485007C3" w:rsidR="00780BEE" w:rsidRDefault="006A13DA" w:rsidP="00BC4661">
      <w:pPr>
        <w:pStyle w:val="NoSpacing"/>
        <w:jc w:val="both"/>
        <w:rPr>
          <w:rFonts w:ascii="Cambria" w:hAnsi="Cambria" w:cs="Arial"/>
          <w:color w:val="000000" w:themeColor="text1"/>
        </w:rPr>
      </w:pPr>
      <w:r w:rsidRPr="00187347">
        <w:rPr>
          <w:rFonts w:ascii="Cambria" w:hAnsi="Cambria" w:cs="Arial"/>
          <w:color w:val="000000" w:themeColor="text1"/>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1967D568" w14:textId="77777777" w:rsidR="00BC4661" w:rsidRDefault="00BC4661" w:rsidP="00BC4661">
      <w:pPr>
        <w:pStyle w:val="NoSpacing"/>
        <w:jc w:val="both"/>
        <w:rPr>
          <w:rFonts w:ascii="Cambria" w:hAnsi="Cambria" w:cs="Arial"/>
          <w:color w:val="000000" w:themeColor="text1"/>
        </w:rPr>
      </w:pPr>
    </w:p>
    <w:p w14:paraId="6A2A6DC8" w14:textId="3DD51FA2" w:rsidR="009918FC" w:rsidRPr="009918FC" w:rsidRDefault="009918FC" w:rsidP="00A213A1">
      <w:pPr>
        <w:pStyle w:val="NoSpacing"/>
        <w:jc w:val="both"/>
        <w:rPr>
          <w:rFonts w:ascii="Cambria" w:hAnsi="Cambria"/>
          <w:b/>
          <w:bCs/>
          <w:i/>
          <w:iCs/>
        </w:rPr>
      </w:pPr>
      <w:r w:rsidRPr="009918FC">
        <w:rPr>
          <w:rFonts w:ascii="Cambria" w:hAnsi="Cambria"/>
          <w:b/>
          <w:bCs/>
          <w:i/>
          <w:iCs/>
        </w:rPr>
        <w:t>Drug Treatment Orders</w:t>
      </w:r>
    </w:p>
    <w:p w14:paraId="5E6E963E" w14:textId="0034A81F" w:rsidR="00A213A1" w:rsidRPr="005366FF" w:rsidRDefault="00BC4661" w:rsidP="00A213A1">
      <w:pPr>
        <w:pStyle w:val="NoSpacing"/>
        <w:jc w:val="both"/>
        <w:rPr>
          <w:rFonts w:ascii="Cambria" w:hAnsi="Cambria"/>
        </w:rPr>
        <w:sectPr w:rsidR="00A213A1" w:rsidRPr="005366FF" w:rsidSect="00215FCE">
          <w:footerReference w:type="even" r:id="rId9"/>
          <w:footerReference w:type="default" r:id="rId10"/>
          <w:pgSz w:w="11900" w:h="16840"/>
          <w:pgMar w:top="1440" w:right="1440" w:bottom="1440" w:left="1440" w:header="708" w:footer="708" w:gutter="0"/>
          <w:cols w:space="708"/>
          <w:docGrid w:linePitch="360"/>
        </w:sectPr>
      </w:pPr>
      <w:r>
        <w:rPr>
          <w:rFonts w:ascii="Cambria" w:hAnsi="Cambria"/>
        </w:rPr>
        <w:t>In a</w:t>
      </w:r>
      <w:r w:rsidR="00AC4159">
        <w:rPr>
          <w:rFonts w:ascii="Cambria" w:hAnsi="Cambria"/>
        </w:rPr>
        <w:t xml:space="preserve">n </w:t>
      </w:r>
      <w:r>
        <w:rPr>
          <w:rFonts w:ascii="Cambria" w:hAnsi="Cambria"/>
        </w:rPr>
        <w:t xml:space="preserve">article to be published in the upcoming </w:t>
      </w:r>
      <w:r w:rsidRPr="00BC4661">
        <w:rPr>
          <w:rFonts w:ascii="Cambria" w:hAnsi="Cambria"/>
          <w:i/>
          <w:iCs/>
        </w:rPr>
        <w:t>Law Letter</w:t>
      </w:r>
      <w:r>
        <w:rPr>
          <w:rFonts w:ascii="Cambria" w:hAnsi="Cambria"/>
        </w:rPr>
        <w:t xml:space="preserve">, the Law Society of Tasmania member journal, we review drug treatment orders </w:t>
      </w:r>
      <w:r w:rsidR="00CD7BB4">
        <w:rPr>
          <w:rFonts w:ascii="Cambria" w:hAnsi="Cambria"/>
        </w:rPr>
        <w:t xml:space="preserve">made </w:t>
      </w:r>
      <w:r>
        <w:rPr>
          <w:rFonts w:ascii="Cambria" w:hAnsi="Cambria"/>
        </w:rPr>
        <w:t xml:space="preserve">in the Supreme Court and </w:t>
      </w:r>
      <w:r w:rsidR="005366FF">
        <w:rPr>
          <w:rFonts w:ascii="Cambria" w:hAnsi="Cambria"/>
        </w:rPr>
        <w:t xml:space="preserve">consider </w:t>
      </w:r>
      <w:r>
        <w:rPr>
          <w:rFonts w:ascii="Cambria" w:hAnsi="Cambria"/>
        </w:rPr>
        <w:t>whether reforms are necessary</w:t>
      </w:r>
      <w:r w:rsidR="00D41D07">
        <w:rPr>
          <w:rFonts w:ascii="Cambria" w:hAnsi="Cambria"/>
        </w:rPr>
        <w:t xml:space="preserve"> (see attached)</w:t>
      </w:r>
      <w:r>
        <w:rPr>
          <w:rFonts w:ascii="Cambria" w:hAnsi="Cambria"/>
        </w:rPr>
        <w:t>.</w:t>
      </w:r>
      <w:r w:rsidR="009918FC">
        <w:rPr>
          <w:rFonts w:ascii="Cambria" w:hAnsi="Cambria"/>
        </w:rPr>
        <w:t xml:space="preserve"> </w:t>
      </w:r>
      <w:r>
        <w:rPr>
          <w:rFonts w:ascii="Cambria" w:hAnsi="Cambria"/>
        </w:rPr>
        <w:t>Our research found that over the last three years</w:t>
      </w:r>
      <w:r w:rsidRPr="00A04F1E">
        <w:rPr>
          <w:rFonts w:ascii="Cambria" w:hAnsi="Cambria"/>
          <w:color w:val="000000"/>
          <w:bdr w:val="none" w:sz="0" w:space="0" w:color="auto" w:frame="1"/>
        </w:rPr>
        <w:t xml:space="preserve"> </w:t>
      </w:r>
      <w:r>
        <w:rPr>
          <w:rFonts w:ascii="Cambria" w:hAnsi="Cambria"/>
          <w:color w:val="000000"/>
          <w:bdr w:val="none" w:sz="0" w:space="0" w:color="auto" w:frame="1"/>
        </w:rPr>
        <w:t xml:space="preserve">(2017/18 – 2019/20) </w:t>
      </w:r>
      <w:r w:rsidRPr="00A04F1E">
        <w:rPr>
          <w:rFonts w:ascii="Cambria" w:hAnsi="Cambria"/>
          <w:color w:val="000000"/>
          <w:bdr w:val="none" w:sz="0" w:space="0" w:color="auto" w:frame="1"/>
        </w:rPr>
        <w:t>the Supreme Court has made around 1</w:t>
      </w:r>
      <w:r>
        <w:rPr>
          <w:rFonts w:ascii="Cambria" w:hAnsi="Cambria"/>
          <w:color w:val="000000"/>
          <w:bdr w:val="none" w:sz="0" w:space="0" w:color="auto" w:frame="1"/>
        </w:rPr>
        <w:t>3</w:t>
      </w:r>
      <w:r w:rsidRPr="00A04F1E">
        <w:rPr>
          <w:rFonts w:ascii="Cambria" w:hAnsi="Cambria"/>
          <w:color w:val="000000"/>
          <w:bdr w:val="none" w:sz="0" w:space="0" w:color="auto" w:frame="1"/>
        </w:rPr>
        <w:t xml:space="preserve"> referrals each year</w:t>
      </w:r>
      <w:r w:rsidRPr="00AD25F8">
        <w:rPr>
          <w:rStyle w:val="FootnoteReference"/>
          <w:rFonts w:ascii="Cambria" w:hAnsi="Cambria"/>
          <w:color w:val="000000"/>
          <w:bdr w:val="none" w:sz="0" w:space="0" w:color="auto" w:frame="1"/>
        </w:rPr>
        <w:footnoteReference w:id="1"/>
      </w:r>
      <w:r w:rsidRPr="00A04F1E">
        <w:rPr>
          <w:rFonts w:ascii="Cambria" w:hAnsi="Cambria"/>
          <w:color w:val="000000"/>
          <w:bdr w:val="none" w:sz="0" w:space="0" w:color="auto" w:frame="1"/>
        </w:rPr>
        <w:t xml:space="preserve"> with </w:t>
      </w:r>
      <w:r>
        <w:rPr>
          <w:rFonts w:ascii="Cambria" w:hAnsi="Cambria"/>
          <w:color w:val="000000"/>
          <w:bdr w:val="none" w:sz="0" w:space="0" w:color="auto" w:frame="1"/>
        </w:rPr>
        <w:t>eligible persons</w:t>
      </w:r>
      <w:r w:rsidRPr="00A04F1E">
        <w:rPr>
          <w:rFonts w:ascii="Cambria" w:hAnsi="Cambria"/>
          <w:color w:val="000000"/>
          <w:bdr w:val="none" w:sz="0" w:space="0" w:color="auto" w:frame="1"/>
        </w:rPr>
        <w:t xml:space="preserve"> required to be assessed as</w:t>
      </w:r>
      <w:r>
        <w:rPr>
          <w:rFonts w:ascii="Cambria" w:hAnsi="Cambria"/>
          <w:color w:val="000000"/>
          <w:bdr w:val="none" w:sz="0" w:space="0" w:color="auto" w:frame="1"/>
        </w:rPr>
        <w:t xml:space="preserve"> </w:t>
      </w:r>
      <w:r w:rsidRPr="00A04F1E">
        <w:rPr>
          <w:rFonts w:ascii="Cambria" w:hAnsi="Cambria"/>
          <w:color w:val="000000"/>
          <w:bdr w:val="none" w:sz="0" w:space="0" w:color="auto" w:frame="1"/>
        </w:rPr>
        <w:t>suitable for a drug treatment order.</w:t>
      </w:r>
      <w:r w:rsidRPr="00AD25F8">
        <w:rPr>
          <w:rStyle w:val="FootnoteReference"/>
          <w:rFonts w:ascii="Cambria" w:hAnsi="Cambria"/>
          <w:color w:val="000000"/>
          <w:bdr w:val="none" w:sz="0" w:space="0" w:color="auto" w:frame="1"/>
        </w:rPr>
        <w:footnoteReference w:id="2"/>
      </w:r>
      <w:r w:rsidRPr="00A04F1E">
        <w:rPr>
          <w:rFonts w:ascii="Cambria" w:hAnsi="Cambria"/>
          <w:color w:val="000000"/>
          <w:bdr w:val="none" w:sz="0" w:space="0" w:color="auto" w:frame="1"/>
        </w:rPr>
        <w:t> </w:t>
      </w:r>
      <w:r w:rsidRPr="00A04F1E">
        <w:rPr>
          <w:rFonts w:ascii="Cambria" w:hAnsi="Cambria"/>
          <w:color w:val="000000"/>
          <w:bdr w:val="none" w:sz="0" w:space="0" w:color="auto" w:frame="1"/>
          <w:shd w:val="clear" w:color="auto" w:fill="FFFFFF"/>
        </w:rPr>
        <w:t xml:space="preserve">Of those persons referred from the Supreme Court for assessment, </w:t>
      </w:r>
      <w:r>
        <w:rPr>
          <w:rFonts w:ascii="Cambria" w:hAnsi="Cambria"/>
          <w:color w:val="000000"/>
          <w:bdr w:val="none" w:sz="0" w:space="0" w:color="auto" w:frame="1"/>
          <w:shd w:val="clear" w:color="auto" w:fill="FFFFFF"/>
        </w:rPr>
        <w:t xml:space="preserve">60 per cent  </w:t>
      </w:r>
      <w:r w:rsidRPr="00A04F1E">
        <w:rPr>
          <w:rFonts w:ascii="Cambria" w:hAnsi="Cambria"/>
          <w:color w:val="000000"/>
          <w:bdr w:val="none" w:sz="0" w:space="0" w:color="auto" w:frame="1"/>
          <w:shd w:val="clear" w:color="auto" w:fill="FFFFFF"/>
        </w:rPr>
        <w:t>were assessed as</w:t>
      </w:r>
      <w:r>
        <w:rPr>
          <w:rFonts w:ascii="Cambria" w:hAnsi="Cambria"/>
          <w:color w:val="000000"/>
          <w:bdr w:val="none" w:sz="0" w:space="0" w:color="auto" w:frame="1"/>
          <w:shd w:val="clear" w:color="auto" w:fill="FFFFFF"/>
        </w:rPr>
        <w:t xml:space="preserve"> eligible and </w:t>
      </w:r>
      <w:r w:rsidRPr="00A04F1E">
        <w:rPr>
          <w:rFonts w:ascii="Cambria" w:hAnsi="Cambria"/>
          <w:color w:val="000000"/>
          <w:bdr w:val="none" w:sz="0" w:space="0" w:color="auto" w:frame="1"/>
          <w:shd w:val="clear" w:color="auto" w:fill="FFFFFF"/>
        </w:rPr>
        <w:t>suitable</w:t>
      </w:r>
      <w:r>
        <w:rPr>
          <w:rFonts w:ascii="Cambria" w:hAnsi="Cambria"/>
          <w:color w:val="000000"/>
          <w:bdr w:val="none" w:sz="0" w:space="0" w:color="auto" w:frame="1"/>
          <w:shd w:val="clear" w:color="auto" w:fill="FFFFFF"/>
        </w:rPr>
        <w:t xml:space="preserve"> and the drug treatment order was made</w:t>
      </w:r>
      <w:r w:rsidRPr="00A04F1E">
        <w:rPr>
          <w:rFonts w:ascii="Cambria" w:hAnsi="Cambria"/>
          <w:color w:val="000000"/>
          <w:bdr w:val="none" w:sz="0" w:space="0" w:color="auto" w:frame="1"/>
          <w:shd w:val="clear" w:color="auto" w:fill="FFFFFF"/>
        </w:rPr>
        <w:t>.</w:t>
      </w:r>
      <w:r w:rsidRPr="00AD25F8">
        <w:rPr>
          <w:rStyle w:val="FootnoteReference"/>
          <w:rFonts w:ascii="Cambria" w:hAnsi="Cambria"/>
          <w:color w:val="000000"/>
          <w:bdr w:val="none" w:sz="0" w:space="0" w:color="auto" w:frame="1"/>
          <w:shd w:val="clear" w:color="auto" w:fill="FFFFFF"/>
        </w:rPr>
        <w:footnoteReference w:id="3"/>
      </w:r>
    </w:p>
    <w:p w14:paraId="489E0215" w14:textId="77777777" w:rsidR="006E1111" w:rsidRDefault="006E1111" w:rsidP="00B472E4">
      <w:pPr>
        <w:jc w:val="both"/>
        <w:rPr>
          <w:rFonts w:ascii="Cambria" w:hAnsi="Cambria"/>
          <w:color w:val="000000"/>
          <w:bdr w:val="none" w:sz="0" w:space="0" w:color="auto" w:frame="1"/>
          <w:shd w:val="clear" w:color="auto" w:fill="FFFFFF"/>
          <w:lang w:val="en-AU" w:eastAsia="en-GB"/>
        </w:rPr>
      </w:pPr>
    </w:p>
    <w:p w14:paraId="105399E1" w14:textId="54547F21" w:rsidR="00B472E4" w:rsidRPr="00B472E4" w:rsidRDefault="00B472E4" w:rsidP="00B472E4">
      <w:pPr>
        <w:jc w:val="both"/>
        <w:rPr>
          <w:rFonts w:ascii="Cambria" w:hAnsi="Cambria"/>
          <w:color w:val="000000"/>
          <w:bdr w:val="none" w:sz="0" w:space="0" w:color="auto" w:frame="1"/>
          <w:shd w:val="clear" w:color="auto" w:fill="FFFFFF"/>
          <w:lang w:val="en-AU" w:eastAsia="en-GB"/>
        </w:rPr>
      </w:pPr>
      <w:r w:rsidRPr="00B472E4">
        <w:rPr>
          <w:rFonts w:ascii="Cambria" w:hAnsi="Cambria"/>
          <w:color w:val="000000"/>
          <w:bdr w:val="none" w:sz="0" w:space="0" w:color="auto" w:frame="1"/>
          <w:shd w:val="clear" w:color="auto" w:fill="FFFFFF"/>
          <w:lang w:val="en-AU" w:eastAsia="en-GB"/>
        </w:rPr>
        <w:t xml:space="preserve">Notwithstanding that persons may be both eligible and suitable for a drug treatment order, the </w:t>
      </w:r>
      <w:r>
        <w:rPr>
          <w:rFonts w:ascii="Cambria" w:hAnsi="Cambria"/>
          <w:color w:val="000000"/>
          <w:bdr w:val="none" w:sz="0" w:space="0" w:color="auto" w:frame="1"/>
          <w:shd w:val="clear" w:color="auto" w:fill="FFFFFF"/>
          <w:lang w:val="en-AU" w:eastAsia="en-GB"/>
        </w:rPr>
        <w:t>Supreme Court</w:t>
      </w:r>
      <w:r w:rsidRPr="00B472E4">
        <w:rPr>
          <w:rFonts w:ascii="Cambria" w:hAnsi="Cambria"/>
          <w:color w:val="000000"/>
          <w:bdr w:val="none" w:sz="0" w:space="0" w:color="auto" w:frame="1"/>
          <w:shd w:val="clear" w:color="auto" w:fill="FFFFFF"/>
          <w:lang w:val="en-AU" w:eastAsia="en-GB"/>
        </w:rPr>
        <w:t xml:space="preserve"> is still required to be “satisfied in all the circumstances that it is appropriate”.</w:t>
      </w:r>
      <w:r w:rsidRPr="00B472E4">
        <w:rPr>
          <w:rStyle w:val="FootnoteReference"/>
          <w:rFonts w:ascii="Cambria" w:hAnsi="Cambria"/>
          <w:color w:val="000000"/>
          <w:bdr w:val="none" w:sz="0" w:space="0" w:color="auto" w:frame="1"/>
          <w:shd w:val="clear" w:color="auto" w:fill="FFFFFF"/>
          <w:lang w:val="en-AU" w:eastAsia="en-GB"/>
        </w:rPr>
        <w:footnoteReference w:id="4"/>
      </w:r>
      <w:r w:rsidRPr="00B472E4">
        <w:rPr>
          <w:rFonts w:ascii="Cambria" w:hAnsi="Cambria"/>
          <w:color w:val="000000"/>
          <w:bdr w:val="none" w:sz="0" w:space="0" w:color="auto" w:frame="1"/>
          <w:shd w:val="clear" w:color="auto" w:fill="FFFFFF"/>
          <w:lang w:val="en-AU" w:eastAsia="en-GB"/>
        </w:rPr>
        <w:t xml:space="preserve"> In </w:t>
      </w:r>
      <w:r w:rsidRPr="00B472E4">
        <w:rPr>
          <w:rFonts w:ascii="Cambria" w:hAnsi="Cambria"/>
          <w:i/>
          <w:iCs/>
          <w:color w:val="000000"/>
          <w:bdr w:val="none" w:sz="0" w:space="0" w:color="auto" w:frame="1"/>
          <w:shd w:val="clear" w:color="auto" w:fill="FFFFFF"/>
          <w:lang w:val="en-AU" w:eastAsia="en-GB"/>
        </w:rPr>
        <w:t>Tasmania v Joseph</w:t>
      </w:r>
      <w:r w:rsidRPr="00B472E4">
        <w:rPr>
          <w:rStyle w:val="FootnoteReference"/>
          <w:rFonts w:ascii="Cambria" w:hAnsi="Cambria"/>
          <w:color w:val="000000"/>
          <w:bdr w:val="none" w:sz="0" w:space="0" w:color="auto" w:frame="1"/>
          <w:shd w:val="clear" w:color="auto" w:fill="FFFFFF"/>
          <w:lang w:val="en-AU" w:eastAsia="en-GB"/>
        </w:rPr>
        <w:footnoteReference w:id="5"/>
      </w:r>
      <w:r w:rsidRPr="00B472E4">
        <w:rPr>
          <w:rFonts w:ascii="Cambria" w:hAnsi="Cambria"/>
          <w:color w:val="000000"/>
          <w:bdr w:val="none" w:sz="0" w:space="0" w:color="auto" w:frame="1"/>
          <w:shd w:val="clear" w:color="auto" w:fill="FFFFFF"/>
          <w:lang w:val="en-AU" w:eastAsia="en-GB"/>
        </w:rPr>
        <w:t>  the appropriateness of a drug treatment order was considered by Brett J in circumstances where the 23-year-old offender had “had an illicit drug problem for some years” and had committed armed robbery “as an act of desperation in order to obtain illicit drugs”.</w:t>
      </w:r>
      <w:r w:rsidRPr="00B472E4">
        <w:rPr>
          <w:rStyle w:val="FootnoteReference"/>
          <w:rFonts w:ascii="Cambria" w:hAnsi="Cambria"/>
          <w:color w:val="000000"/>
          <w:bdr w:val="none" w:sz="0" w:space="0" w:color="auto" w:frame="1"/>
          <w:shd w:val="clear" w:color="auto" w:fill="FFFFFF"/>
          <w:lang w:val="en-AU" w:eastAsia="en-GB"/>
        </w:rPr>
        <w:footnoteReference w:id="6"/>
      </w:r>
      <w:r w:rsidR="00971DD2">
        <w:rPr>
          <w:rFonts w:ascii="Cambria" w:hAnsi="Cambria"/>
          <w:color w:val="000000"/>
          <w:bdr w:val="none" w:sz="0" w:space="0" w:color="auto" w:frame="1"/>
          <w:shd w:val="clear" w:color="auto" w:fill="FFFFFF"/>
          <w:lang w:val="en-AU" w:eastAsia="en-GB"/>
        </w:rPr>
        <w:t xml:space="preserve"> </w:t>
      </w:r>
      <w:r w:rsidRPr="00B472E4">
        <w:rPr>
          <w:rFonts w:ascii="Cambria" w:hAnsi="Cambria"/>
          <w:color w:val="000000" w:themeColor="text1"/>
          <w:bdr w:val="none" w:sz="0" w:space="0" w:color="auto" w:frame="1"/>
          <w:shd w:val="clear" w:color="auto" w:fill="FFFFFF"/>
          <w:lang w:val="en-AU" w:eastAsia="en-GB"/>
        </w:rPr>
        <w:t>Importantly, after reviewing the relevant provisions of the </w:t>
      </w:r>
      <w:r w:rsidRPr="00B472E4">
        <w:rPr>
          <w:rFonts w:ascii="Cambria" w:hAnsi="Cambria"/>
          <w:i/>
          <w:iCs/>
          <w:color w:val="000000" w:themeColor="text1"/>
          <w:bdr w:val="none" w:sz="0" w:space="0" w:color="auto" w:frame="1"/>
          <w:shd w:val="clear" w:color="auto" w:fill="FFFFFF"/>
          <w:lang w:val="en-AU" w:eastAsia="en-GB"/>
        </w:rPr>
        <w:t>Sentencing Act 1997</w:t>
      </w:r>
      <w:r w:rsidRPr="00B472E4">
        <w:rPr>
          <w:rFonts w:ascii="Cambria" w:hAnsi="Cambria"/>
          <w:color w:val="000000" w:themeColor="text1"/>
          <w:bdr w:val="none" w:sz="0" w:space="0" w:color="auto" w:frame="1"/>
          <w:shd w:val="clear" w:color="auto" w:fill="FFFFFF"/>
          <w:lang w:val="en-AU" w:eastAsia="en-GB"/>
        </w:rPr>
        <w:t> (Tas) his Honour concluded that as a matter of statutory construction “</w:t>
      </w:r>
      <w:r w:rsidRPr="00B472E4">
        <w:rPr>
          <w:rFonts w:ascii="Cambria" w:hAnsi="Cambria"/>
          <w:color w:val="000000" w:themeColor="text1"/>
          <w:bdr w:val="none" w:sz="0" w:space="0" w:color="auto" w:frame="1"/>
          <w:lang w:val="en-AU" w:eastAsia="en-GB"/>
        </w:rPr>
        <w:t>it would, in most circumstances, be inappropriate to make a drug treatment order if the custodial component will exceed two years”.</w:t>
      </w:r>
      <w:r w:rsidRPr="00B472E4">
        <w:rPr>
          <w:rStyle w:val="FootnoteReference"/>
          <w:rFonts w:ascii="Cambria" w:hAnsi="Cambria"/>
          <w:color w:val="000000" w:themeColor="text1"/>
          <w:bdr w:val="none" w:sz="0" w:space="0" w:color="auto" w:frame="1"/>
          <w:lang w:val="en-AU" w:eastAsia="en-GB"/>
        </w:rPr>
        <w:footnoteReference w:id="7"/>
      </w:r>
      <w:r w:rsidRPr="00B472E4">
        <w:rPr>
          <w:rFonts w:ascii="Cambria" w:hAnsi="Cambria"/>
          <w:color w:val="000000" w:themeColor="text1"/>
          <w:bdr w:val="none" w:sz="0" w:space="0" w:color="auto" w:frame="1"/>
          <w:lang w:val="en-AU" w:eastAsia="en-GB"/>
        </w:rPr>
        <w:t xml:space="preserve"> </w:t>
      </w:r>
    </w:p>
    <w:p w14:paraId="7242F87E" w14:textId="77777777" w:rsidR="00B472E4" w:rsidRPr="00B472E4" w:rsidRDefault="00B472E4" w:rsidP="00B472E4">
      <w:pPr>
        <w:jc w:val="both"/>
        <w:rPr>
          <w:rFonts w:ascii="Cambria" w:hAnsi="Cambria"/>
          <w:color w:val="000000" w:themeColor="text1"/>
          <w:lang w:val="en-AU" w:eastAsia="en-GB"/>
        </w:rPr>
      </w:pPr>
    </w:p>
    <w:p w14:paraId="41EFDDCB" w14:textId="5BF24F9F" w:rsidR="00A213A1" w:rsidRDefault="00B472E4" w:rsidP="00971DD2">
      <w:pPr>
        <w:jc w:val="both"/>
        <w:rPr>
          <w:rFonts w:ascii="Cambria" w:hAnsi="Cambria"/>
          <w:color w:val="000000" w:themeColor="text1"/>
          <w:lang w:val="en-AU" w:eastAsia="en-GB"/>
        </w:rPr>
      </w:pPr>
      <w:r w:rsidRPr="00B472E4">
        <w:rPr>
          <w:rFonts w:ascii="Cambria" w:hAnsi="Cambria"/>
          <w:color w:val="000000" w:themeColor="text1"/>
          <w:bdr w:val="none" w:sz="0" w:space="0" w:color="auto" w:frame="1"/>
          <w:shd w:val="clear" w:color="auto" w:fill="FFFFFF"/>
          <w:lang w:val="en-AU" w:eastAsia="en-GB"/>
        </w:rPr>
        <w:t xml:space="preserve">On the facts before him, Brett J acknowledged </w:t>
      </w:r>
      <w:r w:rsidR="005366FF">
        <w:rPr>
          <w:rFonts w:ascii="Cambria" w:hAnsi="Cambria"/>
          <w:color w:val="000000" w:themeColor="text1"/>
          <w:bdr w:val="none" w:sz="0" w:space="0" w:color="auto" w:frame="1"/>
          <w:shd w:val="clear" w:color="auto" w:fill="FFFFFF"/>
          <w:lang w:val="en-AU" w:eastAsia="en-GB"/>
        </w:rPr>
        <w:t>Joseph’s</w:t>
      </w:r>
      <w:r w:rsidRPr="00B472E4">
        <w:rPr>
          <w:rFonts w:ascii="Cambria" w:hAnsi="Cambria"/>
          <w:color w:val="000000" w:themeColor="text1"/>
          <w:bdr w:val="none" w:sz="0" w:space="0" w:color="auto" w:frame="1"/>
          <w:shd w:val="clear" w:color="auto" w:fill="FFFFFF"/>
          <w:lang w:val="en-AU" w:eastAsia="en-GB"/>
        </w:rPr>
        <w:t xml:space="preserve"> </w:t>
      </w:r>
      <w:r w:rsidRPr="00B472E4">
        <w:rPr>
          <w:rFonts w:ascii="Cambria" w:hAnsi="Cambria"/>
          <w:color w:val="000000" w:themeColor="text1"/>
          <w:lang w:val="en-AU" w:eastAsia="en-GB"/>
        </w:rPr>
        <w:t xml:space="preserve">history of substance use and </w:t>
      </w:r>
      <w:r w:rsidRPr="00B472E4">
        <w:rPr>
          <w:rFonts w:ascii="Cambria" w:hAnsi="Cambria"/>
          <w:color w:val="000000" w:themeColor="text1"/>
          <w:bdr w:val="none" w:sz="0" w:space="0" w:color="auto" w:frame="1"/>
          <w:shd w:val="clear" w:color="auto" w:fill="FFFFFF"/>
          <w:lang w:val="en-AU" w:eastAsia="en-GB"/>
        </w:rPr>
        <w:t>that the armed robbery was committed in order to obtain illicit drugs, but was nevertheless “</w:t>
      </w:r>
      <w:r w:rsidRPr="00B472E4">
        <w:rPr>
          <w:rFonts w:ascii="Cambria" w:hAnsi="Cambria"/>
          <w:color w:val="000000" w:themeColor="text1"/>
          <w:shd w:val="clear" w:color="auto" w:fill="FFFFFF"/>
          <w:lang w:val="en-AU" w:eastAsia="en-GB"/>
        </w:rPr>
        <w:t>satisfied that the only appropriate sentence in this case is a significant term of imprisonment”.</w:t>
      </w:r>
      <w:r w:rsidRPr="00B472E4">
        <w:rPr>
          <w:rStyle w:val="FootnoteReference"/>
          <w:rFonts w:ascii="Cambria" w:hAnsi="Cambria"/>
          <w:color w:val="000000" w:themeColor="text1"/>
          <w:shd w:val="clear" w:color="auto" w:fill="FFFFFF"/>
          <w:lang w:val="en-AU" w:eastAsia="en-GB"/>
        </w:rPr>
        <w:footnoteReference w:id="8"/>
      </w:r>
      <w:r w:rsidRPr="00B472E4">
        <w:rPr>
          <w:rFonts w:ascii="Cambria" w:hAnsi="Cambria"/>
          <w:color w:val="000000" w:themeColor="text1"/>
          <w:shd w:val="clear" w:color="auto" w:fill="FFFFFF"/>
          <w:lang w:val="en-AU" w:eastAsia="en-GB"/>
        </w:rPr>
        <w:t xml:space="preserve"> </w:t>
      </w:r>
      <w:r w:rsidR="005366FF">
        <w:rPr>
          <w:rFonts w:ascii="Cambria" w:hAnsi="Cambria"/>
          <w:color w:val="000000" w:themeColor="text1"/>
          <w:shd w:val="clear" w:color="auto" w:fill="FFFFFF"/>
          <w:lang w:val="en-AU" w:eastAsia="en-GB"/>
        </w:rPr>
        <w:t>Joseph</w:t>
      </w:r>
      <w:r w:rsidRPr="00B472E4">
        <w:rPr>
          <w:rFonts w:ascii="Cambria" w:hAnsi="Cambria"/>
          <w:color w:val="000000" w:themeColor="text1"/>
          <w:shd w:val="clear" w:color="auto" w:fill="FFFFFF"/>
          <w:lang w:val="en-AU" w:eastAsia="en-GB"/>
        </w:rPr>
        <w:t xml:space="preserve"> was thereafter sentenced to three years imprisonment. </w:t>
      </w:r>
    </w:p>
    <w:p w14:paraId="1FB67D75" w14:textId="77777777" w:rsidR="005366FF" w:rsidRDefault="005366FF" w:rsidP="002D58BC">
      <w:pPr>
        <w:jc w:val="both"/>
        <w:rPr>
          <w:rFonts w:ascii="Cambria" w:hAnsi="Cambria"/>
          <w:color w:val="000000" w:themeColor="text1"/>
          <w:lang w:val="en-AU" w:eastAsia="en-GB"/>
        </w:rPr>
      </w:pPr>
    </w:p>
    <w:p w14:paraId="71B5BCF4" w14:textId="77777777" w:rsidR="005366FF" w:rsidRDefault="00971DD2" w:rsidP="00242551">
      <w:pPr>
        <w:jc w:val="both"/>
        <w:rPr>
          <w:rFonts w:ascii="Cambria" w:hAnsi="Cambria"/>
          <w:color w:val="000000"/>
        </w:rPr>
      </w:pPr>
      <w:r w:rsidRPr="00971DD2">
        <w:rPr>
          <w:rFonts w:ascii="Cambria" w:hAnsi="Cambria"/>
          <w:color w:val="000000" w:themeColor="text1"/>
          <w:shd w:val="clear" w:color="auto" w:fill="FFFFFF"/>
          <w:lang w:val="en-AU" w:eastAsia="en-GB"/>
        </w:rPr>
        <w:t xml:space="preserve">Brett J’s finding that a drug treatment order would be inappropriate for sentences of more than two years was affirmed in the Court of Criminal Appeal decision of </w:t>
      </w:r>
      <w:r w:rsidRPr="00971DD2">
        <w:rPr>
          <w:rFonts w:ascii="Cambria" w:hAnsi="Cambria"/>
          <w:i/>
          <w:iCs/>
          <w:color w:val="000000"/>
          <w:bdr w:val="none" w:sz="0" w:space="0" w:color="auto" w:frame="1"/>
          <w:lang w:val="en-AU" w:eastAsia="en-GB"/>
        </w:rPr>
        <w:t>Bell v Tasmania</w:t>
      </w:r>
      <w:r w:rsidRPr="00971DD2">
        <w:rPr>
          <w:rStyle w:val="FootnoteReference"/>
          <w:rFonts w:ascii="Cambria" w:hAnsi="Cambria"/>
          <w:color w:val="000000"/>
          <w:bdr w:val="none" w:sz="0" w:space="0" w:color="auto" w:frame="1"/>
          <w:lang w:val="en-AU" w:eastAsia="en-GB"/>
        </w:rPr>
        <w:footnoteReference w:id="9"/>
      </w:r>
      <w:r w:rsidRPr="00971DD2">
        <w:rPr>
          <w:rFonts w:ascii="Cambria" w:hAnsi="Cambria"/>
          <w:i/>
          <w:iCs/>
          <w:color w:val="000000"/>
          <w:bdr w:val="none" w:sz="0" w:space="0" w:color="auto" w:frame="1"/>
          <w:lang w:val="en-AU" w:eastAsia="en-GB"/>
        </w:rPr>
        <w:t xml:space="preserve"> </w:t>
      </w:r>
      <w:r w:rsidRPr="00971DD2">
        <w:rPr>
          <w:rFonts w:ascii="Cambria" w:hAnsi="Cambria"/>
          <w:color w:val="000000" w:themeColor="text1"/>
          <w:shd w:val="clear" w:color="auto" w:fill="FFFFFF"/>
          <w:lang w:val="en-AU" w:eastAsia="en-GB"/>
        </w:rPr>
        <w:t>and has subsequently been applied in a number of Supreme Court cases</w:t>
      </w:r>
      <w:r w:rsidR="00A418C4" w:rsidRPr="00A418C4">
        <w:rPr>
          <w:rFonts w:ascii="Cambria" w:hAnsi="Cambria"/>
          <w:color w:val="000000"/>
          <w:bdr w:val="none" w:sz="0" w:space="0" w:color="auto" w:frame="1"/>
          <w:shd w:val="clear" w:color="auto" w:fill="FFFFFF"/>
        </w:rPr>
        <w:t>.</w:t>
      </w:r>
      <w:r w:rsidR="00A418C4" w:rsidRPr="00A418C4">
        <w:rPr>
          <w:rStyle w:val="FootnoteReference"/>
          <w:rFonts w:ascii="Cambria" w:hAnsi="Cambria"/>
          <w:color w:val="000000"/>
          <w:bdr w:val="none" w:sz="0" w:space="0" w:color="auto" w:frame="1"/>
          <w:shd w:val="clear" w:color="auto" w:fill="FFFFFF"/>
        </w:rPr>
        <w:footnoteReference w:id="10"/>
      </w:r>
      <w:r w:rsidR="00A418C4" w:rsidRPr="00A418C4">
        <w:rPr>
          <w:rFonts w:ascii="Cambria" w:hAnsi="Cambria"/>
          <w:color w:val="000000"/>
          <w:bdr w:val="none" w:sz="0" w:space="0" w:color="auto" w:frame="1"/>
          <w:shd w:val="clear" w:color="auto" w:fill="FFFFFF"/>
        </w:rPr>
        <w:t>    </w:t>
      </w:r>
      <w:r w:rsidR="00A418C4" w:rsidRPr="00A418C4">
        <w:rPr>
          <w:rFonts w:ascii="Cambria" w:hAnsi="Cambria"/>
          <w:color w:val="000000"/>
        </w:rPr>
        <w:t> </w:t>
      </w:r>
    </w:p>
    <w:p w14:paraId="0BE6406E" w14:textId="77777777" w:rsidR="005366FF" w:rsidRDefault="005366FF" w:rsidP="00242551">
      <w:pPr>
        <w:jc w:val="both"/>
        <w:rPr>
          <w:rFonts w:ascii="Cambria" w:hAnsi="Cambria"/>
          <w:color w:val="000000"/>
        </w:rPr>
      </w:pPr>
    </w:p>
    <w:p w14:paraId="69C3D5B9" w14:textId="6199D022" w:rsidR="00242551" w:rsidRPr="005366FF" w:rsidRDefault="00242551" w:rsidP="00242551">
      <w:pPr>
        <w:jc w:val="both"/>
        <w:rPr>
          <w:rFonts w:ascii="Cambria" w:hAnsi="Cambria"/>
          <w:color w:val="000000"/>
        </w:rPr>
      </w:pPr>
      <w:r>
        <w:rPr>
          <w:rFonts w:ascii="Cambria" w:hAnsi="Cambria"/>
          <w:color w:val="000000"/>
          <w:lang w:val="en-AU"/>
        </w:rPr>
        <w:t>The</w:t>
      </w:r>
      <w:r w:rsidR="005366FF">
        <w:rPr>
          <w:rFonts w:ascii="Cambria" w:hAnsi="Cambria"/>
          <w:color w:val="000000"/>
          <w:lang w:val="en-AU"/>
        </w:rPr>
        <w:t xml:space="preserve"> two</w:t>
      </w:r>
      <w:r w:rsidR="00E56296">
        <w:rPr>
          <w:rFonts w:ascii="Cambria" w:hAnsi="Cambria"/>
          <w:color w:val="000000"/>
          <w:lang w:val="en-AU"/>
        </w:rPr>
        <w:t>-</w:t>
      </w:r>
      <w:r w:rsidR="005366FF">
        <w:rPr>
          <w:rFonts w:ascii="Cambria" w:hAnsi="Cambria"/>
          <w:color w:val="000000"/>
          <w:lang w:val="en-AU"/>
        </w:rPr>
        <w:t xml:space="preserve">year limitation currently in place in Tasmania </w:t>
      </w:r>
      <w:r>
        <w:rPr>
          <w:rFonts w:ascii="Cambria" w:hAnsi="Cambria"/>
          <w:color w:val="000000"/>
          <w:lang w:val="en-AU"/>
        </w:rPr>
        <w:t xml:space="preserve">can be contrasted with the Australian Capital Territory Supreme Court and the Victorian County Court </w:t>
      </w:r>
      <w:r>
        <w:rPr>
          <w:rFonts w:ascii="Cambria" w:hAnsi="Cambria"/>
          <w:color w:val="000000"/>
          <w:bdr w:val="none" w:sz="0" w:space="0" w:color="auto" w:frame="1"/>
          <w:shd w:val="clear" w:color="auto" w:fill="FFFFFF"/>
          <w:lang w:val="en-AU"/>
        </w:rPr>
        <w:t>where</w:t>
      </w:r>
      <w:r w:rsidRPr="00A418C4">
        <w:rPr>
          <w:rFonts w:ascii="Cambria" w:hAnsi="Cambria"/>
          <w:color w:val="000000"/>
          <w:bdr w:val="none" w:sz="0" w:space="0" w:color="auto" w:frame="1"/>
          <w:shd w:val="clear" w:color="auto" w:fill="FFFFFF"/>
          <w:lang w:val="en-AU"/>
        </w:rPr>
        <w:t xml:space="preserve"> drug treatment orders </w:t>
      </w:r>
      <w:r>
        <w:rPr>
          <w:rFonts w:ascii="Cambria" w:hAnsi="Cambria"/>
          <w:color w:val="000000"/>
          <w:bdr w:val="none" w:sz="0" w:space="0" w:color="auto" w:frame="1"/>
          <w:shd w:val="clear" w:color="auto" w:fill="FFFFFF"/>
          <w:lang w:val="en-AU"/>
        </w:rPr>
        <w:t xml:space="preserve">are able to be imposed </w:t>
      </w:r>
      <w:r w:rsidRPr="00A418C4">
        <w:rPr>
          <w:rFonts w:ascii="Cambria" w:hAnsi="Cambria"/>
          <w:color w:val="000000"/>
          <w:bdr w:val="none" w:sz="0" w:space="0" w:color="auto" w:frame="1"/>
          <w:shd w:val="clear" w:color="auto" w:fill="FFFFFF"/>
          <w:lang w:val="en-AU"/>
        </w:rPr>
        <w:t>on persons who would otherwise be imprisoned for up to four years imprisonment.</w:t>
      </w:r>
      <w:r w:rsidRPr="00A418C4">
        <w:rPr>
          <w:rStyle w:val="FootnoteReference"/>
          <w:rFonts w:ascii="Cambria" w:hAnsi="Cambria"/>
          <w:color w:val="000000"/>
          <w:bdr w:val="none" w:sz="0" w:space="0" w:color="auto" w:frame="1"/>
          <w:shd w:val="clear" w:color="auto" w:fill="FFFFFF"/>
          <w:lang w:val="en-AU"/>
        </w:rPr>
        <w:footnoteReference w:id="11"/>
      </w:r>
      <w:r w:rsidRPr="00A418C4">
        <w:rPr>
          <w:rFonts w:ascii="Cambria" w:hAnsi="Cambria"/>
          <w:color w:val="000000"/>
          <w:bdr w:val="none" w:sz="0" w:space="0" w:color="auto" w:frame="1"/>
          <w:shd w:val="clear" w:color="auto" w:fill="FFFFFF"/>
          <w:lang w:val="en-AU"/>
        </w:rPr>
        <w:t xml:space="preserve"> </w:t>
      </w:r>
    </w:p>
    <w:p w14:paraId="5F4FB4AC" w14:textId="0FD32658" w:rsidR="00242551" w:rsidRDefault="00242551" w:rsidP="00242551">
      <w:pPr>
        <w:jc w:val="both"/>
        <w:rPr>
          <w:rFonts w:ascii="Cambria" w:hAnsi="Cambria"/>
          <w:color w:val="000000"/>
          <w:bdr w:val="none" w:sz="0" w:space="0" w:color="auto" w:frame="1"/>
          <w:shd w:val="clear" w:color="auto" w:fill="FFFFFF"/>
          <w:lang w:val="en-AU"/>
        </w:rPr>
      </w:pPr>
    </w:p>
    <w:p w14:paraId="7575DC28" w14:textId="77777777" w:rsidR="00242551" w:rsidRDefault="00242551" w:rsidP="00242551">
      <w:pPr>
        <w:jc w:val="both"/>
        <w:rPr>
          <w:rFonts w:ascii="Cambria" w:hAnsi="Cambria"/>
          <w:color w:val="0A1633"/>
          <w:shd w:val="clear" w:color="auto" w:fill="FFFFFF"/>
          <w:lang w:val="en-AU"/>
        </w:rPr>
      </w:pPr>
      <w:r w:rsidRPr="00A418C4">
        <w:rPr>
          <w:rFonts w:ascii="Cambria" w:hAnsi="Cambria"/>
          <w:color w:val="000000"/>
          <w:bdr w:val="none" w:sz="0" w:space="0" w:color="auto" w:frame="1"/>
          <w:shd w:val="clear" w:color="auto" w:fill="FFFFFF"/>
          <w:lang w:val="en-AU"/>
        </w:rPr>
        <w:t>In the Australian Capital Territory where the model has been in place since 2019, the drug and alcohol treatment order is available to persons with alcohol or illicit drug dependency and where eligibility is available to those who plead guilty to an offence other than a sexual offence or a serious violence offence.</w:t>
      </w:r>
      <w:r w:rsidRPr="00A418C4">
        <w:rPr>
          <w:rStyle w:val="FootnoteReference"/>
          <w:rFonts w:ascii="Cambria" w:hAnsi="Cambria"/>
          <w:color w:val="000000"/>
          <w:bdr w:val="none" w:sz="0" w:space="0" w:color="auto" w:frame="1"/>
          <w:shd w:val="clear" w:color="auto" w:fill="FFFFFF"/>
          <w:lang w:val="en-AU"/>
        </w:rPr>
        <w:footnoteReference w:id="12"/>
      </w:r>
      <w:r w:rsidRPr="00A418C4">
        <w:rPr>
          <w:rFonts w:ascii="Cambria" w:hAnsi="Cambria"/>
          <w:color w:val="000000"/>
          <w:bdr w:val="none" w:sz="0" w:space="0" w:color="auto" w:frame="1"/>
          <w:shd w:val="clear" w:color="auto" w:fill="FFFFFF"/>
          <w:lang w:val="en-AU"/>
        </w:rPr>
        <w:t xml:space="preserve"> Successful completion of the drug and alcohol treatment order means that the remainder of the offender’s custodial sentence is replaced with a good behaviour bond.</w:t>
      </w:r>
      <w:r w:rsidRPr="00A418C4">
        <w:rPr>
          <w:rStyle w:val="FootnoteReference"/>
          <w:rFonts w:ascii="Cambria" w:hAnsi="Cambria"/>
          <w:color w:val="000000"/>
          <w:bdr w:val="none" w:sz="0" w:space="0" w:color="auto" w:frame="1"/>
          <w:shd w:val="clear" w:color="auto" w:fill="FFFFFF"/>
          <w:lang w:val="en-AU"/>
        </w:rPr>
        <w:footnoteReference w:id="13"/>
      </w:r>
      <w:r w:rsidRPr="00A418C4">
        <w:rPr>
          <w:rFonts w:ascii="Cambria" w:hAnsi="Cambria"/>
          <w:color w:val="000000"/>
          <w:bdr w:val="none" w:sz="0" w:space="0" w:color="auto" w:frame="1"/>
          <w:shd w:val="clear" w:color="auto" w:fill="FFFFFF"/>
          <w:lang w:val="en-AU"/>
        </w:rPr>
        <w:t xml:space="preserve"> A review of the case law demonstrates that </w:t>
      </w:r>
      <w:r w:rsidRPr="00A418C4">
        <w:rPr>
          <w:rFonts w:ascii="Cambria" w:hAnsi="Cambria"/>
          <w:color w:val="0A1633"/>
          <w:shd w:val="clear" w:color="auto" w:fill="FFFFFF"/>
          <w:lang w:val="en-AU"/>
        </w:rPr>
        <w:t xml:space="preserve">aggravated robbery, </w:t>
      </w:r>
      <w:r w:rsidRPr="00A418C4">
        <w:rPr>
          <w:rFonts w:ascii="Cambria" w:hAnsi="Cambria"/>
          <w:color w:val="0A1633"/>
          <w:shd w:val="clear" w:color="auto" w:fill="FFFFFF"/>
          <w:lang w:val="en-AU" w:eastAsia="en-GB"/>
        </w:rPr>
        <w:t>aggravated burglary</w:t>
      </w:r>
      <w:r w:rsidRPr="00A418C4">
        <w:rPr>
          <w:rFonts w:ascii="Cambria" w:hAnsi="Cambria"/>
          <w:color w:val="0A1633"/>
          <w:shd w:val="clear" w:color="auto" w:fill="FFFFFF"/>
          <w:lang w:val="en-AU"/>
        </w:rPr>
        <w:t xml:space="preserve"> and </w:t>
      </w:r>
      <w:r w:rsidRPr="00A418C4">
        <w:rPr>
          <w:rFonts w:ascii="Cambria" w:hAnsi="Cambria"/>
          <w:color w:val="0A1633"/>
          <w:shd w:val="clear" w:color="auto" w:fill="FFFFFF"/>
          <w:lang w:val="en-AU" w:eastAsia="en-GB"/>
        </w:rPr>
        <w:t xml:space="preserve">aggravated </w:t>
      </w:r>
      <w:r w:rsidRPr="00A418C4">
        <w:rPr>
          <w:rFonts w:ascii="Cambria" w:hAnsi="Cambria"/>
          <w:color w:val="0A1633"/>
          <w:shd w:val="clear" w:color="auto" w:fill="FFFFFF"/>
          <w:lang w:val="en-AU"/>
        </w:rPr>
        <w:t>dangerous driving are all offences for which the ACT Supreme Court has been prepared to grant a drug and alcohol treatment order.</w:t>
      </w:r>
      <w:r w:rsidRPr="00A418C4">
        <w:rPr>
          <w:rStyle w:val="FootnoteReference"/>
          <w:rFonts w:ascii="Cambria" w:hAnsi="Cambria"/>
          <w:color w:val="0A1633"/>
          <w:shd w:val="clear" w:color="auto" w:fill="FFFFFF"/>
          <w:lang w:val="en-AU"/>
        </w:rPr>
        <w:footnoteReference w:id="14"/>
      </w:r>
      <w:r w:rsidRPr="00A418C4">
        <w:rPr>
          <w:rFonts w:ascii="Cambria" w:hAnsi="Cambria"/>
          <w:color w:val="0A1633"/>
          <w:shd w:val="clear" w:color="auto" w:fill="FFFFFF"/>
          <w:lang w:val="en-AU"/>
        </w:rPr>
        <w:t xml:space="preserve"> </w:t>
      </w:r>
    </w:p>
    <w:p w14:paraId="24937638" w14:textId="77777777" w:rsidR="00242551" w:rsidRDefault="00242551" w:rsidP="00242551">
      <w:pPr>
        <w:jc w:val="both"/>
        <w:rPr>
          <w:rFonts w:ascii="Cambria" w:hAnsi="Cambria"/>
          <w:color w:val="0A1633"/>
          <w:shd w:val="clear" w:color="auto" w:fill="FFFFFF"/>
          <w:lang w:val="en-AU"/>
        </w:rPr>
      </w:pPr>
    </w:p>
    <w:p w14:paraId="2F762D22" w14:textId="14F77896" w:rsidR="00242551" w:rsidRDefault="00242551" w:rsidP="00242551">
      <w:pPr>
        <w:jc w:val="both"/>
        <w:rPr>
          <w:rFonts w:ascii="Cambria" w:hAnsi="Cambria"/>
          <w:color w:val="000000"/>
          <w:shd w:val="clear" w:color="auto" w:fill="FFFFFF"/>
          <w:lang w:val="en-AU" w:eastAsia="en-GB"/>
        </w:rPr>
      </w:pPr>
      <w:r w:rsidRPr="00A418C4">
        <w:rPr>
          <w:rFonts w:ascii="Cambria" w:hAnsi="Cambria"/>
          <w:color w:val="000000"/>
          <w:shd w:val="clear" w:color="auto" w:fill="FFFFFF"/>
          <w:lang w:val="en-AU"/>
        </w:rPr>
        <w:t xml:space="preserve">In Victoria, the Magistrates Court has been able to sentence persons to drug and alcohol treatment orders since 2002. However, the program was recently expanded to the County Court with the establishment of a pilot program, meaning that </w:t>
      </w:r>
      <w:r w:rsidRPr="00A418C4">
        <w:rPr>
          <w:rFonts w:ascii="Cambria" w:hAnsi="Cambria"/>
          <w:color w:val="000000"/>
          <w:lang w:val="en-AU"/>
        </w:rPr>
        <w:t xml:space="preserve">persons who are liable for a maximum sentence of up to four years are also eligible. Persons </w:t>
      </w:r>
      <w:r w:rsidRPr="00A418C4">
        <w:rPr>
          <w:rFonts w:ascii="Cambria" w:hAnsi="Cambria"/>
          <w:color w:val="000000"/>
          <w:shd w:val="clear" w:color="auto" w:fill="FFFFFF"/>
          <w:lang w:val="en-AU" w:eastAsia="en-GB"/>
        </w:rPr>
        <w:t>convicted of sexual offences and offences involving the infliction of actual bodily harm will remain ineligible and in the County Court a number of other offences including aggravated home invasion and aggravated carjacking also result in exclusion.</w:t>
      </w:r>
      <w:r w:rsidRPr="00A418C4">
        <w:rPr>
          <w:rStyle w:val="FootnoteReference"/>
          <w:rFonts w:ascii="Cambria" w:hAnsi="Cambria"/>
          <w:color w:val="000000"/>
          <w:shd w:val="clear" w:color="auto" w:fill="FFFFFF"/>
          <w:lang w:val="en-AU" w:eastAsia="en-GB"/>
        </w:rPr>
        <w:footnoteReference w:id="15"/>
      </w:r>
      <w:r w:rsidRPr="00A418C4">
        <w:rPr>
          <w:rFonts w:ascii="Cambria" w:hAnsi="Cambria"/>
          <w:color w:val="000000"/>
          <w:shd w:val="clear" w:color="auto" w:fill="FFFFFF"/>
          <w:lang w:val="en-AU" w:eastAsia="en-GB"/>
        </w:rPr>
        <w:t xml:space="preserve"> Similar to the Australian Capital Territory model, completion of the drug and alcohol treatment order means that the person is able to remain in the community until the inactive custodial sentence ends.</w:t>
      </w:r>
    </w:p>
    <w:p w14:paraId="46E3D254" w14:textId="77777777" w:rsidR="009C0215" w:rsidRDefault="009C0215" w:rsidP="009C0215">
      <w:pPr>
        <w:jc w:val="both"/>
        <w:rPr>
          <w:rFonts w:ascii="Cambria" w:hAnsi="Cambria"/>
          <w:color w:val="000000"/>
          <w:bdr w:val="none" w:sz="0" w:space="0" w:color="auto" w:frame="1"/>
          <w:shd w:val="clear" w:color="auto" w:fill="FFFFFF"/>
          <w:lang w:val="en-AU"/>
        </w:rPr>
      </w:pPr>
    </w:p>
    <w:p w14:paraId="56AF0000" w14:textId="77777777" w:rsidR="00AC4159" w:rsidRDefault="009C0215" w:rsidP="00B00A6C">
      <w:pPr>
        <w:jc w:val="both"/>
        <w:rPr>
          <w:rFonts w:ascii="Cambria" w:hAnsi="Cambria"/>
          <w:color w:val="000000"/>
          <w:bdr w:val="none" w:sz="0" w:space="0" w:color="auto" w:frame="1"/>
          <w:shd w:val="clear" w:color="auto" w:fill="FFFFFF"/>
          <w:lang w:val="en-AU"/>
        </w:rPr>
      </w:pPr>
      <w:r>
        <w:rPr>
          <w:rFonts w:ascii="Cambria" w:hAnsi="Cambria"/>
          <w:color w:val="000000"/>
          <w:bdr w:val="none" w:sz="0" w:space="0" w:color="auto" w:frame="1"/>
          <w:shd w:val="clear" w:color="auto" w:fill="FFFFFF"/>
          <w:lang w:val="en-AU"/>
        </w:rPr>
        <w:t xml:space="preserve">It </w:t>
      </w:r>
      <w:r w:rsidR="00AC4159">
        <w:rPr>
          <w:rFonts w:ascii="Cambria" w:hAnsi="Cambria"/>
          <w:color w:val="000000"/>
          <w:bdr w:val="none" w:sz="0" w:space="0" w:color="auto" w:frame="1"/>
          <w:shd w:val="clear" w:color="auto" w:fill="FFFFFF"/>
          <w:lang w:val="en-AU"/>
        </w:rPr>
        <w:t>is also worth noting</w:t>
      </w:r>
      <w:r>
        <w:rPr>
          <w:rFonts w:ascii="Cambria" w:hAnsi="Cambria"/>
          <w:color w:val="000000"/>
          <w:bdr w:val="none" w:sz="0" w:space="0" w:color="auto" w:frame="1"/>
          <w:shd w:val="clear" w:color="auto" w:fill="FFFFFF"/>
          <w:lang w:val="en-AU"/>
        </w:rPr>
        <w:t xml:space="preserve"> that in Queensland magistrates are able to refer </w:t>
      </w:r>
      <w:r w:rsidR="00E56296">
        <w:rPr>
          <w:rFonts w:ascii="Cambria" w:hAnsi="Cambria"/>
          <w:color w:val="000000"/>
          <w:bdr w:val="none" w:sz="0" w:space="0" w:color="auto" w:frame="1"/>
          <w:shd w:val="clear" w:color="auto" w:fill="FFFFFF"/>
          <w:lang w:val="en-AU"/>
        </w:rPr>
        <w:t>offenders</w:t>
      </w:r>
      <w:r>
        <w:rPr>
          <w:rFonts w:ascii="Cambria" w:hAnsi="Cambria"/>
          <w:color w:val="000000"/>
          <w:bdr w:val="none" w:sz="0" w:space="0" w:color="auto" w:frame="1"/>
          <w:shd w:val="clear" w:color="auto" w:fill="FFFFFF"/>
          <w:lang w:val="en-AU"/>
        </w:rPr>
        <w:t xml:space="preserve"> to the Drug and Alcohol Court.</w:t>
      </w:r>
      <w:r w:rsidR="00E56296">
        <w:rPr>
          <w:rFonts w:ascii="Cambria" w:hAnsi="Cambria"/>
          <w:color w:val="000000"/>
          <w:bdr w:val="none" w:sz="0" w:space="0" w:color="auto" w:frame="1"/>
          <w:shd w:val="clear" w:color="auto" w:fill="FFFFFF"/>
          <w:lang w:val="en-AU"/>
        </w:rPr>
        <w:t xml:space="preserve"> In order to be</w:t>
      </w:r>
      <w:r>
        <w:rPr>
          <w:rFonts w:ascii="Cambria" w:hAnsi="Cambria"/>
          <w:color w:val="000000"/>
          <w:bdr w:val="none" w:sz="0" w:space="0" w:color="auto" w:frame="1"/>
          <w:shd w:val="clear" w:color="auto" w:fill="FFFFFF"/>
          <w:lang w:val="en-AU"/>
        </w:rPr>
        <w:t xml:space="preserve"> eligible</w:t>
      </w:r>
      <w:r w:rsidR="00E56296">
        <w:rPr>
          <w:rFonts w:ascii="Cambria" w:hAnsi="Cambria"/>
          <w:color w:val="000000"/>
          <w:bdr w:val="none" w:sz="0" w:space="0" w:color="auto" w:frame="1"/>
          <w:shd w:val="clear" w:color="auto" w:fill="FFFFFF"/>
          <w:lang w:val="en-AU"/>
        </w:rPr>
        <w:t>, offenders must</w:t>
      </w:r>
      <w:r>
        <w:rPr>
          <w:rFonts w:ascii="Cambria" w:hAnsi="Cambria"/>
          <w:color w:val="000000"/>
          <w:bdr w:val="none" w:sz="0" w:space="0" w:color="auto" w:frame="1"/>
          <w:shd w:val="clear" w:color="auto" w:fill="FFFFFF"/>
          <w:lang w:val="en-AU"/>
        </w:rPr>
        <w:t xml:space="preserve"> </w:t>
      </w:r>
      <w:r w:rsidR="00A91AA0">
        <w:rPr>
          <w:rFonts w:ascii="Cambria" w:hAnsi="Cambria"/>
          <w:color w:val="000000"/>
          <w:bdr w:val="none" w:sz="0" w:space="0" w:color="auto" w:frame="1"/>
          <w:shd w:val="clear" w:color="auto" w:fill="FFFFFF"/>
          <w:lang w:val="en-AU"/>
        </w:rPr>
        <w:t>reside within the district of the Brisbane Magistrates Court and</w:t>
      </w:r>
      <w:r>
        <w:rPr>
          <w:rFonts w:ascii="Cambria" w:hAnsi="Cambria"/>
          <w:color w:val="000000"/>
          <w:bdr w:val="none" w:sz="0" w:space="0" w:color="auto" w:frame="1"/>
          <w:shd w:val="clear" w:color="auto" w:fill="FFFFFF"/>
          <w:lang w:val="en-AU"/>
        </w:rPr>
        <w:t xml:space="preserve"> be sentenced to imprisonment of up to four years i.e. a summary offence or an indictable offence dealt with summarily.</w:t>
      </w:r>
      <w:r>
        <w:rPr>
          <w:rStyle w:val="FootnoteReference"/>
          <w:rFonts w:ascii="Cambria" w:hAnsi="Cambria"/>
          <w:color w:val="000000"/>
          <w:bdr w:val="none" w:sz="0" w:space="0" w:color="auto" w:frame="1"/>
          <w:shd w:val="clear" w:color="auto" w:fill="FFFFFF"/>
          <w:lang w:val="en-AU"/>
        </w:rPr>
        <w:footnoteReference w:id="16"/>
      </w:r>
      <w:r w:rsidR="00A91AA0">
        <w:rPr>
          <w:rFonts w:ascii="Cambria" w:hAnsi="Cambria"/>
          <w:color w:val="000000"/>
          <w:bdr w:val="none" w:sz="0" w:space="0" w:color="auto" w:frame="1"/>
          <w:shd w:val="clear" w:color="auto" w:fill="FFFFFF"/>
          <w:lang w:val="en-AU"/>
        </w:rPr>
        <w:t xml:space="preserve"> </w:t>
      </w:r>
      <w:r>
        <w:rPr>
          <w:rFonts w:ascii="Cambria" w:hAnsi="Cambria"/>
          <w:color w:val="000000"/>
          <w:bdr w:val="none" w:sz="0" w:space="0" w:color="auto" w:frame="1"/>
          <w:shd w:val="clear" w:color="auto" w:fill="FFFFFF"/>
          <w:lang w:val="en-AU"/>
        </w:rPr>
        <w:t xml:space="preserve">  </w:t>
      </w:r>
    </w:p>
    <w:p w14:paraId="1A3855FC" w14:textId="77777777" w:rsidR="00AC4159" w:rsidRDefault="00AC4159" w:rsidP="00B00A6C">
      <w:pPr>
        <w:jc w:val="both"/>
        <w:rPr>
          <w:rFonts w:ascii="Cambria" w:hAnsi="Cambria"/>
          <w:color w:val="000000"/>
          <w:bdr w:val="none" w:sz="0" w:space="0" w:color="auto" w:frame="1"/>
          <w:shd w:val="clear" w:color="auto" w:fill="FFFFFF"/>
          <w:lang w:val="en-AU"/>
        </w:rPr>
      </w:pPr>
    </w:p>
    <w:p w14:paraId="1393036F" w14:textId="129FDEF0" w:rsidR="00B00A6C" w:rsidRDefault="002D58BC" w:rsidP="00B00A6C">
      <w:pPr>
        <w:jc w:val="both"/>
        <w:rPr>
          <w:rFonts w:ascii="Cambria" w:hAnsi="Cambria"/>
          <w:color w:val="000000"/>
          <w:bdr w:val="none" w:sz="0" w:space="0" w:color="auto" w:frame="1"/>
          <w:shd w:val="clear" w:color="auto" w:fill="FFFFFF"/>
          <w:lang w:val="en-AU"/>
        </w:rPr>
      </w:pPr>
      <w:r w:rsidRPr="002D58BC">
        <w:rPr>
          <w:rFonts w:ascii="Cambria" w:hAnsi="Cambria"/>
          <w:color w:val="000000"/>
          <w:lang w:val="en-AU"/>
        </w:rPr>
        <w:t>We strongly believe that</w:t>
      </w:r>
      <w:r w:rsidR="00242551">
        <w:rPr>
          <w:rFonts w:ascii="Cambria" w:hAnsi="Cambria"/>
          <w:color w:val="000000"/>
          <w:lang w:val="en-AU"/>
        </w:rPr>
        <w:t xml:space="preserve"> the </w:t>
      </w:r>
      <w:r w:rsidR="00242551" w:rsidRPr="00242551">
        <w:rPr>
          <w:rFonts w:ascii="Cambria" w:hAnsi="Cambria"/>
          <w:i/>
          <w:iCs/>
          <w:color w:val="000000"/>
          <w:lang w:val="en-AU"/>
        </w:rPr>
        <w:t>Sentencing Act 1997</w:t>
      </w:r>
      <w:r w:rsidR="00242551">
        <w:rPr>
          <w:rFonts w:ascii="Cambria" w:hAnsi="Cambria"/>
          <w:color w:val="000000"/>
          <w:lang w:val="en-AU"/>
        </w:rPr>
        <w:t xml:space="preserve"> (Tas) should be broadened to allow for the imposition of drug treatment orders for persons who would otherwise be imprisoned for up to four years imprisonment. This reform </w:t>
      </w:r>
      <w:r w:rsidR="003074B6">
        <w:rPr>
          <w:rFonts w:ascii="Cambria" w:hAnsi="Cambria"/>
          <w:color w:val="000000"/>
          <w:lang w:val="en-AU"/>
        </w:rPr>
        <w:t xml:space="preserve">would bring Tasmania into line with the Australian Capital Territory, Queensland and Victoria. </w:t>
      </w:r>
      <w:r w:rsidR="00326F4D">
        <w:rPr>
          <w:rFonts w:ascii="Cambria" w:hAnsi="Cambria"/>
          <w:color w:val="000000"/>
          <w:lang w:val="en-AU"/>
        </w:rPr>
        <w:t>Importantly, t</w:t>
      </w:r>
      <w:r w:rsidR="00481652">
        <w:rPr>
          <w:rFonts w:ascii="Cambria" w:hAnsi="Cambria"/>
          <w:color w:val="000000"/>
          <w:lang w:val="en-AU"/>
        </w:rPr>
        <w:t>he reform is</w:t>
      </w:r>
      <w:r w:rsidR="00242551">
        <w:rPr>
          <w:rFonts w:ascii="Cambria" w:hAnsi="Cambria"/>
          <w:color w:val="000000"/>
          <w:lang w:val="en-AU"/>
        </w:rPr>
        <w:t xml:space="preserve"> likely to </w:t>
      </w:r>
      <w:r w:rsidR="00242551" w:rsidRPr="00A418C4">
        <w:rPr>
          <w:rFonts w:ascii="Cambria" w:hAnsi="Cambria"/>
          <w:color w:val="000000"/>
          <w:bdr w:val="none" w:sz="0" w:space="0" w:color="auto" w:frame="1"/>
          <w:shd w:val="clear" w:color="auto" w:fill="FFFFFF"/>
          <w:lang w:val="en-AU"/>
        </w:rPr>
        <w:t>broaden the range of offending behaviour subject to the order whilst also reducing recidivism</w:t>
      </w:r>
      <w:r w:rsidR="00A91AA0">
        <w:rPr>
          <w:rFonts w:ascii="Cambria" w:hAnsi="Cambria"/>
          <w:color w:val="000000"/>
          <w:bdr w:val="none" w:sz="0" w:space="0" w:color="auto" w:frame="1"/>
          <w:shd w:val="clear" w:color="auto" w:fill="FFFFFF"/>
          <w:lang w:val="en-AU"/>
        </w:rPr>
        <w:t xml:space="preserve"> with the cause of the offending </w:t>
      </w:r>
      <w:r w:rsidR="00326F4D">
        <w:rPr>
          <w:rFonts w:ascii="Cambria" w:hAnsi="Cambria"/>
          <w:color w:val="000000"/>
          <w:bdr w:val="none" w:sz="0" w:space="0" w:color="auto" w:frame="1"/>
          <w:shd w:val="clear" w:color="auto" w:fill="FFFFFF"/>
          <w:lang w:val="en-AU"/>
        </w:rPr>
        <w:t xml:space="preserve">more likely to be </w:t>
      </w:r>
      <w:r w:rsidR="00A91AA0">
        <w:rPr>
          <w:rFonts w:ascii="Cambria" w:hAnsi="Cambria"/>
          <w:color w:val="000000"/>
          <w:bdr w:val="none" w:sz="0" w:space="0" w:color="auto" w:frame="1"/>
          <w:shd w:val="clear" w:color="auto" w:fill="FFFFFF"/>
          <w:lang w:val="en-AU"/>
        </w:rPr>
        <w:t>addressed.</w:t>
      </w:r>
    </w:p>
    <w:p w14:paraId="62E1E9E1" w14:textId="77777777" w:rsidR="00B00A6C" w:rsidRDefault="00B00A6C" w:rsidP="00B00A6C">
      <w:pPr>
        <w:jc w:val="both"/>
        <w:rPr>
          <w:rFonts w:ascii="Cambria" w:hAnsi="Cambria"/>
          <w:color w:val="000000"/>
          <w:bdr w:val="none" w:sz="0" w:space="0" w:color="auto" w:frame="1"/>
          <w:shd w:val="clear" w:color="auto" w:fill="FFFFFF"/>
          <w:lang w:val="en-AU"/>
        </w:rPr>
      </w:pPr>
    </w:p>
    <w:tbl>
      <w:tblPr>
        <w:tblStyle w:val="TableGrid"/>
        <w:tblW w:w="0" w:type="auto"/>
        <w:tblLook w:val="04A0" w:firstRow="1" w:lastRow="0" w:firstColumn="1" w:lastColumn="0" w:noHBand="0" w:noVBand="1"/>
      </w:tblPr>
      <w:tblGrid>
        <w:gridCol w:w="9010"/>
      </w:tblGrid>
      <w:tr w:rsidR="00B00A6C" w14:paraId="2AD2BC97" w14:textId="77777777" w:rsidTr="00AB2A82">
        <w:tc>
          <w:tcPr>
            <w:tcW w:w="9010" w:type="dxa"/>
          </w:tcPr>
          <w:p w14:paraId="0FD6499D" w14:textId="77777777" w:rsidR="00B00A6C" w:rsidRDefault="00B00A6C" w:rsidP="00AB2A82">
            <w:pPr>
              <w:jc w:val="both"/>
              <w:rPr>
                <w:rFonts w:ascii="Cambria" w:hAnsi="Cambria"/>
                <w:color w:val="000000"/>
                <w:bdr w:val="none" w:sz="0" w:space="0" w:color="auto" w:frame="1"/>
                <w:shd w:val="clear" w:color="auto" w:fill="FFFFFF"/>
                <w:lang w:val="en-AU"/>
              </w:rPr>
            </w:pPr>
            <w:r w:rsidRPr="00E56296">
              <w:rPr>
                <w:rFonts w:ascii="Cambria" w:hAnsi="Cambria"/>
                <w:b/>
                <w:bCs/>
                <w:color w:val="000000"/>
                <w:bdr w:val="none" w:sz="0" w:space="0" w:color="auto" w:frame="1"/>
                <w:shd w:val="clear" w:color="auto" w:fill="FFFFFF"/>
                <w:lang w:val="en-AU"/>
              </w:rPr>
              <w:t>Recommendation:</w:t>
            </w:r>
            <w:r>
              <w:rPr>
                <w:rFonts w:ascii="Cambria" w:hAnsi="Cambria"/>
                <w:color w:val="000000"/>
                <w:bdr w:val="none" w:sz="0" w:space="0" w:color="auto" w:frame="1"/>
                <w:shd w:val="clear" w:color="auto" w:fill="FFFFFF"/>
                <w:lang w:val="en-AU"/>
              </w:rPr>
              <w:t xml:space="preserve"> That the </w:t>
            </w:r>
            <w:r w:rsidRPr="005366FF">
              <w:rPr>
                <w:rFonts w:ascii="Cambria" w:hAnsi="Cambria"/>
                <w:i/>
                <w:iCs/>
                <w:color w:val="000000"/>
                <w:bdr w:val="none" w:sz="0" w:space="0" w:color="auto" w:frame="1"/>
                <w:shd w:val="clear" w:color="auto" w:fill="FFFFFF"/>
                <w:lang w:val="en-AU"/>
              </w:rPr>
              <w:t>Sentencing Act 1997</w:t>
            </w:r>
            <w:r>
              <w:rPr>
                <w:rFonts w:ascii="Cambria" w:hAnsi="Cambria"/>
                <w:color w:val="000000"/>
                <w:bdr w:val="none" w:sz="0" w:space="0" w:color="auto" w:frame="1"/>
                <w:shd w:val="clear" w:color="auto" w:fill="FFFFFF"/>
                <w:lang w:val="en-AU"/>
              </w:rPr>
              <w:t xml:space="preserve"> (Tas) is amended to expressly provide that the statutory limit for imposing a drug treatment order is four years.   </w:t>
            </w:r>
          </w:p>
        </w:tc>
      </w:tr>
    </w:tbl>
    <w:p w14:paraId="61039E6F" w14:textId="77777777" w:rsidR="00B00A6C" w:rsidRDefault="00B00A6C" w:rsidP="00B00A6C">
      <w:pPr>
        <w:jc w:val="both"/>
        <w:rPr>
          <w:rFonts w:ascii="Cambria" w:hAnsi="Cambria"/>
          <w:color w:val="000000"/>
          <w:bdr w:val="none" w:sz="0" w:space="0" w:color="auto" w:frame="1"/>
          <w:shd w:val="clear" w:color="auto" w:fill="FFFFFF"/>
          <w:lang w:val="en-AU"/>
        </w:rPr>
      </w:pPr>
    </w:p>
    <w:p w14:paraId="14ECBE93" w14:textId="640FDF20" w:rsidR="00774BD4" w:rsidRDefault="00AC4159" w:rsidP="00774BD4">
      <w:pPr>
        <w:jc w:val="both"/>
        <w:rPr>
          <w:rFonts w:ascii="Cambria" w:hAnsi="Cambria"/>
          <w:color w:val="000000" w:themeColor="text1"/>
          <w:lang w:val="en-AU"/>
        </w:rPr>
      </w:pPr>
      <w:r>
        <w:rPr>
          <w:rFonts w:ascii="Cambria" w:hAnsi="Cambria"/>
          <w:lang w:val="en-AU"/>
        </w:rPr>
        <w:t>As well</w:t>
      </w:r>
      <w:r w:rsidR="00554EDF">
        <w:rPr>
          <w:rFonts w:ascii="Cambria" w:hAnsi="Cambria"/>
          <w:lang w:val="en-AU"/>
        </w:rPr>
        <w:t>, any offender who can demonstrate that they have a</w:t>
      </w:r>
      <w:r w:rsidR="00554EDF" w:rsidRPr="00187347">
        <w:rPr>
          <w:rFonts w:ascii="Cambria" w:hAnsi="Cambria"/>
          <w:color w:val="000000" w:themeColor="text1"/>
          <w:lang w:val="en-AU"/>
        </w:rPr>
        <w:t xml:space="preserve"> history of drug use </w:t>
      </w:r>
      <w:r w:rsidR="009918FC">
        <w:rPr>
          <w:rFonts w:ascii="Cambria" w:hAnsi="Cambria"/>
          <w:color w:val="000000" w:themeColor="text1"/>
          <w:lang w:val="en-AU"/>
        </w:rPr>
        <w:t>which</w:t>
      </w:r>
      <w:r w:rsidR="00554EDF" w:rsidRPr="00187347">
        <w:rPr>
          <w:rFonts w:ascii="Cambria" w:hAnsi="Cambria"/>
          <w:color w:val="000000" w:themeColor="text1"/>
          <w:lang w:val="en-AU"/>
        </w:rPr>
        <w:t xml:space="preserve"> contributed to</w:t>
      </w:r>
      <w:r w:rsidR="00554EDF">
        <w:rPr>
          <w:rFonts w:ascii="Cambria" w:hAnsi="Cambria"/>
          <w:color w:val="000000" w:themeColor="text1"/>
          <w:lang w:val="en-AU"/>
        </w:rPr>
        <w:t xml:space="preserve"> their offending should be considered for a drug treatment order.</w:t>
      </w:r>
      <w:r w:rsidR="004D706F">
        <w:rPr>
          <w:rFonts w:ascii="Cambria" w:hAnsi="Cambria"/>
          <w:color w:val="000000" w:themeColor="text1"/>
          <w:lang w:val="en-AU"/>
        </w:rPr>
        <w:t xml:space="preserve"> In the Australian Capital Territory, </w:t>
      </w:r>
      <w:r w:rsidR="00C728FC">
        <w:rPr>
          <w:rFonts w:ascii="Cambria" w:hAnsi="Cambria"/>
          <w:color w:val="000000" w:themeColor="text1"/>
          <w:lang w:val="en-AU"/>
        </w:rPr>
        <w:t>Queensland</w:t>
      </w:r>
      <w:r w:rsidR="00702164">
        <w:rPr>
          <w:rFonts w:ascii="Cambria" w:hAnsi="Cambria"/>
          <w:color w:val="000000" w:themeColor="text1"/>
          <w:lang w:val="en-AU"/>
        </w:rPr>
        <w:t xml:space="preserve"> </w:t>
      </w:r>
      <w:r w:rsidR="00C728FC">
        <w:rPr>
          <w:rFonts w:ascii="Cambria" w:hAnsi="Cambria"/>
          <w:color w:val="000000" w:themeColor="text1"/>
          <w:lang w:val="en-AU"/>
        </w:rPr>
        <w:t xml:space="preserve">and </w:t>
      </w:r>
      <w:r w:rsidR="004D706F">
        <w:rPr>
          <w:rFonts w:ascii="Cambria" w:hAnsi="Cambria"/>
          <w:color w:val="000000" w:themeColor="text1"/>
          <w:lang w:val="en-AU"/>
        </w:rPr>
        <w:t>Victoria</w:t>
      </w:r>
      <w:r w:rsidR="00702164">
        <w:rPr>
          <w:rStyle w:val="FootnoteReference"/>
          <w:rFonts w:ascii="Cambria" w:hAnsi="Cambria"/>
          <w:color w:val="000000" w:themeColor="text1"/>
          <w:lang w:val="en-AU"/>
        </w:rPr>
        <w:footnoteReference w:id="17"/>
      </w:r>
      <w:r w:rsidR="00702164">
        <w:rPr>
          <w:rFonts w:ascii="Cambria" w:hAnsi="Cambria"/>
          <w:color w:val="000000" w:themeColor="text1"/>
          <w:lang w:val="en-AU"/>
        </w:rPr>
        <w:t xml:space="preserve"> </w:t>
      </w:r>
      <w:r w:rsidR="00C728FC">
        <w:rPr>
          <w:rFonts w:ascii="Cambria" w:hAnsi="Cambria"/>
          <w:color w:val="000000" w:themeColor="text1"/>
          <w:lang w:val="en-AU"/>
        </w:rPr>
        <w:t>drug treatment orders</w:t>
      </w:r>
      <w:r w:rsidR="00095661">
        <w:rPr>
          <w:rFonts w:ascii="Cambria" w:hAnsi="Cambria"/>
          <w:color w:val="000000" w:themeColor="text1"/>
          <w:lang w:val="en-AU"/>
        </w:rPr>
        <w:t xml:space="preserve"> </w:t>
      </w:r>
      <w:r w:rsidR="004D706F">
        <w:rPr>
          <w:rFonts w:ascii="Cambria" w:hAnsi="Cambria"/>
          <w:color w:val="000000" w:themeColor="text1"/>
          <w:lang w:val="en-AU"/>
        </w:rPr>
        <w:t xml:space="preserve">are able to be made </w:t>
      </w:r>
      <w:r w:rsidR="00095661">
        <w:rPr>
          <w:rFonts w:ascii="Cambria" w:hAnsi="Cambria"/>
          <w:color w:val="000000" w:themeColor="text1"/>
          <w:lang w:val="en-AU"/>
        </w:rPr>
        <w:t xml:space="preserve">where </w:t>
      </w:r>
      <w:r w:rsidR="00D22E98">
        <w:rPr>
          <w:rFonts w:ascii="Cambria" w:hAnsi="Cambria"/>
          <w:color w:val="000000" w:themeColor="text1"/>
          <w:lang w:val="en-AU"/>
        </w:rPr>
        <w:t>either</w:t>
      </w:r>
      <w:r w:rsidR="00095661">
        <w:rPr>
          <w:rFonts w:ascii="Cambria" w:hAnsi="Cambria"/>
          <w:color w:val="000000" w:themeColor="text1"/>
          <w:lang w:val="en-AU"/>
        </w:rPr>
        <w:t xml:space="preserve"> </w:t>
      </w:r>
      <w:r w:rsidR="004D706F">
        <w:rPr>
          <w:rFonts w:ascii="Cambria" w:hAnsi="Cambria"/>
          <w:color w:val="000000" w:themeColor="text1"/>
          <w:lang w:val="en-AU"/>
        </w:rPr>
        <w:t>alcohol</w:t>
      </w:r>
      <w:r w:rsidR="00D22E98">
        <w:rPr>
          <w:rFonts w:ascii="Cambria" w:hAnsi="Cambria"/>
          <w:color w:val="000000" w:themeColor="text1"/>
          <w:lang w:val="en-AU"/>
        </w:rPr>
        <w:t xml:space="preserve"> and/or illicit drugs </w:t>
      </w:r>
      <w:r w:rsidR="00D22E98" w:rsidRPr="00187347">
        <w:rPr>
          <w:rFonts w:ascii="Cambria" w:hAnsi="Cambria"/>
          <w:color w:val="000000" w:themeColor="text1"/>
          <w:lang w:val="en-AU"/>
        </w:rPr>
        <w:t>contributed to th</w:t>
      </w:r>
      <w:r w:rsidR="00D22E98">
        <w:rPr>
          <w:rFonts w:ascii="Cambria" w:hAnsi="Cambria"/>
          <w:color w:val="000000" w:themeColor="text1"/>
          <w:lang w:val="en-AU"/>
        </w:rPr>
        <w:t>eir offending.</w:t>
      </w:r>
      <w:r w:rsidR="00702164">
        <w:rPr>
          <w:rFonts w:ascii="Cambria" w:hAnsi="Cambria"/>
          <w:color w:val="000000" w:themeColor="text1"/>
          <w:lang w:val="en-AU"/>
        </w:rPr>
        <w:t xml:space="preserve"> At the very least</w:t>
      </w:r>
      <w:r w:rsidR="009918FC">
        <w:rPr>
          <w:rFonts w:ascii="Cambria" w:hAnsi="Cambria"/>
          <w:color w:val="000000" w:themeColor="text1"/>
          <w:lang w:val="en-AU"/>
        </w:rPr>
        <w:t>,</w:t>
      </w:r>
      <w:r w:rsidR="00702164">
        <w:rPr>
          <w:rFonts w:ascii="Cambria" w:hAnsi="Cambria"/>
          <w:color w:val="000000" w:themeColor="text1"/>
          <w:lang w:val="en-AU"/>
        </w:rPr>
        <w:t xml:space="preserve"> drug treatment orders should be </w:t>
      </w:r>
      <w:r w:rsidR="009918FC">
        <w:rPr>
          <w:rFonts w:ascii="Cambria" w:hAnsi="Cambria"/>
          <w:color w:val="000000" w:themeColor="text1"/>
          <w:lang w:val="en-AU"/>
        </w:rPr>
        <w:t>broadened</w:t>
      </w:r>
      <w:r w:rsidR="00702164">
        <w:rPr>
          <w:rFonts w:ascii="Cambria" w:hAnsi="Cambria"/>
          <w:color w:val="000000" w:themeColor="text1"/>
          <w:lang w:val="en-AU"/>
        </w:rPr>
        <w:t xml:space="preserve"> to include alcohol. However</w:t>
      </w:r>
      <w:r w:rsidR="00326F4D">
        <w:rPr>
          <w:rFonts w:ascii="Cambria" w:hAnsi="Cambria"/>
          <w:color w:val="000000" w:themeColor="text1"/>
          <w:lang w:val="en-AU"/>
        </w:rPr>
        <w:t xml:space="preserve">, </w:t>
      </w:r>
      <w:r w:rsidR="00702164">
        <w:rPr>
          <w:rFonts w:ascii="Cambria" w:hAnsi="Cambria"/>
          <w:color w:val="000000" w:themeColor="text1"/>
          <w:lang w:val="en-AU"/>
        </w:rPr>
        <w:t xml:space="preserve">given </w:t>
      </w:r>
      <w:r w:rsidR="00686237">
        <w:rPr>
          <w:rFonts w:ascii="Cambria" w:hAnsi="Cambria"/>
          <w:color w:val="000000" w:themeColor="text1"/>
          <w:lang w:val="en-AU"/>
        </w:rPr>
        <w:t>Tasmania’s high rate of</w:t>
      </w:r>
      <w:r w:rsidR="0074583F">
        <w:rPr>
          <w:rFonts w:ascii="Cambria" w:hAnsi="Cambria"/>
          <w:color w:val="000000" w:themeColor="text1"/>
          <w:lang w:val="en-AU"/>
        </w:rPr>
        <w:t xml:space="preserve"> </w:t>
      </w:r>
      <w:r w:rsidR="009918FC">
        <w:rPr>
          <w:rFonts w:ascii="Cambria" w:hAnsi="Cambria"/>
          <w:color w:val="000000" w:themeColor="text1"/>
          <w:lang w:val="en-AU"/>
        </w:rPr>
        <w:t xml:space="preserve">pharmaceutical </w:t>
      </w:r>
      <w:r w:rsidR="00686237">
        <w:rPr>
          <w:rFonts w:ascii="Cambria" w:hAnsi="Cambria"/>
          <w:color w:val="000000" w:themeColor="text1"/>
          <w:lang w:val="en-AU"/>
        </w:rPr>
        <w:t>oxycodone and fentanyl</w:t>
      </w:r>
      <w:r w:rsidR="0074583F">
        <w:rPr>
          <w:rFonts w:ascii="Cambria" w:hAnsi="Cambria"/>
          <w:color w:val="000000" w:themeColor="text1"/>
          <w:lang w:val="en-AU"/>
        </w:rPr>
        <w:t xml:space="preserve"> abuse</w:t>
      </w:r>
      <w:r w:rsidR="0074583F">
        <w:rPr>
          <w:rStyle w:val="FootnoteReference"/>
          <w:rFonts w:ascii="Cambria" w:hAnsi="Cambria"/>
          <w:color w:val="000000" w:themeColor="text1"/>
          <w:lang w:val="en-AU"/>
        </w:rPr>
        <w:footnoteReference w:id="18"/>
      </w:r>
      <w:r w:rsidR="00686237">
        <w:rPr>
          <w:rFonts w:ascii="Cambria" w:hAnsi="Cambria"/>
          <w:color w:val="000000" w:themeColor="text1"/>
          <w:lang w:val="en-AU"/>
        </w:rPr>
        <w:t xml:space="preserve"> we strongly believe that </w:t>
      </w:r>
      <w:r w:rsidR="0074583F">
        <w:rPr>
          <w:rFonts w:ascii="Cambria" w:hAnsi="Cambria"/>
          <w:color w:val="000000" w:themeColor="text1"/>
          <w:lang w:val="en-AU"/>
        </w:rPr>
        <w:t>drug treatment orders should</w:t>
      </w:r>
      <w:r w:rsidR="009918FC">
        <w:rPr>
          <w:rFonts w:ascii="Cambria" w:hAnsi="Cambria"/>
          <w:color w:val="000000" w:themeColor="text1"/>
          <w:lang w:val="en-AU"/>
        </w:rPr>
        <w:t xml:space="preserve"> be</w:t>
      </w:r>
      <w:r w:rsidR="0074583F">
        <w:rPr>
          <w:rFonts w:ascii="Cambria" w:hAnsi="Cambria"/>
          <w:color w:val="000000" w:themeColor="text1"/>
          <w:lang w:val="en-AU"/>
        </w:rPr>
        <w:t xml:space="preserve"> </w:t>
      </w:r>
      <w:r w:rsidR="009918FC">
        <w:rPr>
          <w:rFonts w:ascii="Cambria" w:hAnsi="Cambria"/>
          <w:color w:val="000000" w:themeColor="text1"/>
          <w:lang w:val="en-AU"/>
        </w:rPr>
        <w:t>a sentencing option</w:t>
      </w:r>
      <w:r w:rsidR="0074583F">
        <w:rPr>
          <w:rFonts w:ascii="Cambria" w:hAnsi="Cambria"/>
          <w:color w:val="000000" w:themeColor="text1"/>
          <w:lang w:val="en-AU"/>
        </w:rPr>
        <w:t xml:space="preserve"> </w:t>
      </w:r>
      <w:r w:rsidR="009918FC">
        <w:rPr>
          <w:rFonts w:ascii="Cambria" w:hAnsi="Cambria"/>
          <w:color w:val="000000" w:themeColor="text1"/>
          <w:lang w:val="en-AU"/>
        </w:rPr>
        <w:t xml:space="preserve">for </w:t>
      </w:r>
      <w:r w:rsidR="00686237">
        <w:rPr>
          <w:rFonts w:ascii="Cambria" w:hAnsi="Cambria"/>
          <w:color w:val="000000" w:themeColor="text1"/>
          <w:lang w:val="en-AU"/>
        </w:rPr>
        <w:t>all d</w:t>
      </w:r>
      <w:r w:rsidR="0074583F">
        <w:rPr>
          <w:rFonts w:ascii="Cambria" w:hAnsi="Cambria"/>
          <w:color w:val="000000" w:themeColor="text1"/>
          <w:lang w:val="en-AU"/>
        </w:rPr>
        <w:t>r</w:t>
      </w:r>
      <w:r w:rsidR="00686237">
        <w:rPr>
          <w:rFonts w:ascii="Cambria" w:hAnsi="Cambria"/>
          <w:color w:val="000000" w:themeColor="text1"/>
          <w:lang w:val="en-AU"/>
        </w:rPr>
        <w:t>ug abuse including alcohol, pharmaceutical and illicit drug</w:t>
      </w:r>
      <w:r w:rsidR="0074583F">
        <w:rPr>
          <w:rFonts w:ascii="Cambria" w:hAnsi="Cambria"/>
          <w:color w:val="000000" w:themeColor="text1"/>
          <w:lang w:val="en-AU"/>
        </w:rPr>
        <w:t xml:space="preserve">s.  </w:t>
      </w:r>
      <w:r w:rsidR="00686237">
        <w:rPr>
          <w:rFonts w:ascii="Cambria" w:hAnsi="Cambria"/>
          <w:color w:val="000000" w:themeColor="text1"/>
          <w:lang w:val="en-AU"/>
        </w:rPr>
        <w:t xml:space="preserve"> </w:t>
      </w:r>
    </w:p>
    <w:p w14:paraId="1A244028" w14:textId="77777777" w:rsidR="00774BD4" w:rsidRDefault="00774BD4" w:rsidP="00774BD4">
      <w:pPr>
        <w:jc w:val="both"/>
        <w:rPr>
          <w:rFonts w:ascii="Cambria" w:hAnsi="Cambria"/>
          <w:color w:val="000000" w:themeColor="text1"/>
          <w:lang w:val="en-AU"/>
        </w:rPr>
      </w:pPr>
    </w:p>
    <w:p w14:paraId="769D0054" w14:textId="77777777" w:rsidR="00774BD4" w:rsidRDefault="00774BD4" w:rsidP="00774BD4">
      <w:pPr>
        <w:jc w:val="both"/>
        <w:rPr>
          <w:rFonts w:ascii="Cambria" w:hAnsi="Cambria"/>
          <w:lang w:val="en-AU"/>
        </w:rPr>
      </w:pPr>
    </w:p>
    <w:p w14:paraId="64760E8F" w14:textId="686A06F0" w:rsidR="00774BD4" w:rsidRDefault="00774BD4" w:rsidP="00774BD4">
      <w:pPr>
        <w:jc w:val="both"/>
        <w:rPr>
          <w:rFonts w:ascii="Cambria" w:hAnsi="Cambria"/>
          <w:color w:val="000000"/>
          <w:bdr w:val="none" w:sz="0" w:space="0" w:color="auto" w:frame="1"/>
          <w:shd w:val="clear" w:color="auto" w:fill="FFFFFF"/>
          <w:lang w:val="en-AU"/>
        </w:rPr>
      </w:pPr>
    </w:p>
    <w:p w14:paraId="46990432" w14:textId="77777777" w:rsidR="00E82B3C" w:rsidRDefault="00E82B3C" w:rsidP="00774BD4">
      <w:pPr>
        <w:jc w:val="both"/>
        <w:rPr>
          <w:rFonts w:ascii="Cambria" w:hAnsi="Cambria"/>
          <w:color w:val="000000"/>
          <w:bdr w:val="none" w:sz="0" w:space="0" w:color="auto" w:frame="1"/>
          <w:shd w:val="clear" w:color="auto" w:fill="FFFFFF"/>
          <w:lang w:val="en-AU"/>
        </w:rPr>
      </w:pPr>
    </w:p>
    <w:tbl>
      <w:tblPr>
        <w:tblStyle w:val="TableGrid"/>
        <w:tblW w:w="0" w:type="auto"/>
        <w:tblLook w:val="04A0" w:firstRow="1" w:lastRow="0" w:firstColumn="1" w:lastColumn="0" w:noHBand="0" w:noVBand="1"/>
      </w:tblPr>
      <w:tblGrid>
        <w:gridCol w:w="9010"/>
      </w:tblGrid>
      <w:tr w:rsidR="00774BD4" w14:paraId="0818E118" w14:textId="77777777" w:rsidTr="00AB2A82">
        <w:tc>
          <w:tcPr>
            <w:tcW w:w="9010" w:type="dxa"/>
          </w:tcPr>
          <w:p w14:paraId="20195D31" w14:textId="25CD0AFF" w:rsidR="00774BD4" w:rsidRDefault="00774BD4" w:rsidP="00AB2A82">
            <w:pPr>
              <w:jc w:val="both"/>
              <w:rPr>
                <w:rFonts w:ascii="Cambria" w:hAnsi="Cambria"/>
                <w:color w:val="000000"/>
                <w:bdr w:val="none" w:sz="0" w:space="0" w:color="auto" w:frame="1"/>
                <w:shd w:val="clear" w:color="auto" w:fill="FFFFFF"/>
                <w:lang w:val="en-AU"/>
              </w:rPr>
            </w:pPr>
            <w:r w:rsidRPr="00E56296">
              <w:rPr>
                <w:rFonts w:ascii="Cambria" w:hAnsi="Cambria"/>
                <w:b/>
                <w:bCs/>
                <w:color w:val="000000"/>
                <w:bdr w:val="none" w:sz="0" w:space="0" w:color="auto" w:frame="1"/>
                <w:shd w:val="clear" w:color="auto" w:fill="FFFFFF"/>
                <w:lang w:val="en-AU"/>
              </w:rPr>
              <w:t>Recommendation:</w:t>
            </w:r>
            <w:r>
              <w:rPr>
                <w:rFonts w:ascii="Cambria" w:hAnsi="Cambria"/>
                <w:color w:val="000000"/>
                <w:bdr w:val="none" w:sz="0" w:space="0" w:color="auto" w:frame="1"/>
                <w:shd w:val="clear" w:color="auto" w:fill="FFFFFF"/>
                <w:lang w:val="en-AU"/>
              </w:rPr>
              <w:t xml:space="preserve"> That the </w:t>
            </w:r>
            <w:r w:rsidRPr="005366FF">
              <w:rPr>
                <w:rFonts w:ascii="Cambria" w:hAnsi="Cambria"/>
                <w:i/>
                <w:iCs/>
                <w:color w:val="000000"/>
                <w:bdr w:val="none" w:sz="0" w:space="0" w:color="auto" w:frame="1"/>
                <w:shd w:val="clear" w:color="auto" w:fill="FFFFFF"/>
                <w:lang w:val="en-AU"/>
              </w:rPr>
              <w:t>Sentencing Act 1997</w:t>
            </w:r>
            <w:r>
              <w:rPr>
                <w:rFonts w:ascii="Cambria" w:hAnsi="Cambria"/>
                <w:color w:val="000000"/>
                <w:bdr w:val="none" w:sz="0" w:space="0" w:color="auto" w:frame="1"/>
                <w:shd w:val="clear" w:color="auto" w:fill="FFFFFF"/>
                <w:lang w:val="en-AU"/>
              </w:rPr>
              <w:t xml:space="preserve"> (Tas) is amended to expressly provide that drug treatment orders are a sentencing option available to any offender who has a history of alcohol and/or pharmaceutical and/or illicit drug use </w:t>
            </w:r>
            <w:r w:rsidR="00E82B3C">
              <w:rPr>
                <w:rFonts w:ascii="Cambria" w:hAnsi="Cambria"/>
                <w:color w:val="000000"/>
                <w:bdr w:val="none" w:sz="0" w:space="0" w:color="auto" w:frame="1"/>
                <w:shd w:val="clear" w:color="auto" w:fill="FFFFFF"/>
                <w:lang w:val="en-AU"/>
              </w:rPr>
              <w:t>which</w:t>
            </w:r>
            <w:r>
              <w:rPr>
                <w:rFonts w:ascii="Cambria" w:hAnsi="Cambria"/>
                <w:color w:val="000000"/>
                <w:bdr w:val="none" w:sz="0" w:space="0" w:color="auto" w:frame="1"/>
                <w:shd w:val="clear" w:color="auto" w:fill="FFFFFF"/>
                <w:lang w:val="en-AU"/>
              </w:rPr>
              <w:t xml:space="preserve"> contributed to their offending.      </w:t>
            </w:r>
          </w:p>
        </w:tc>
      </w:tr>
    </w:tbl>
    <w:p w14:paraId="71765A60" w14:textId="77777777" w:rsidR="00774BD4" w:rsidRDefault="00774BD4" w:rsidP="00774BD4">
      <w:pPr>
        <w:jc w:val="both"/>
        <w:rPr>
          <w:rFonts w:ascii="Cambria" w:hAnsi="Cambria"/>
          <w:lang w:val="en-AU"/>
        </w:rPr>
      </w:pPr>
    </w:p>
    <w:p w14:paraId="451EB8AD" w14:textId="789D9CFC" w:rsidR="00774BD4" w:rsidRPr="00774BD4" w:rsidRDefault="00804F44" w:rsidP="00774BD4">
      <w:pPr>
        <w:jc w:val="both"/>
        <w:rPr>
          <w:rFonts w:ascii="Cambria" w:hAnsi="Cambria"/>
          <w:b/>
          <w:bCs/>
          <w:color w:val="000000" w:themeColor="text1"/>
          <w:lang w:val="en-AU"/>
        </w:rPr>
      </w:pPr>
      <w:r>
        <w:rPr>
          <w:rFonts w:ascii="Cambria" w:hAnsi="Cambria"/>
          <w:b/>
          <w:bCs/>
          <w:lang w:val="en-AU"/>
        </w:rPr>
        <w:t xml:space="preserve">Extension of </w:t>
      </w:r>
      <w:r w:rsidR="00487518" w:rsidRPr="00774BD4">
        <w:rPr>
          <w:rFonts w:ascii="Cambria" w:hAnsi="Cambria"/>
          <w:b/>
          <w:bCs/>
          <w:lang w:val="en-AU"/>
        </w:rPr>
        <w:t>Transition Period</w:t>
      </w:r>
      <w:r w:rsidR="00774BD4" w:rsidRPr="00774BD4">
        <w:rPr>
          <w:rFonts w:ascii="Cambria" w:hAnsi="Cambria"/>
          <w:b/>
          <w:bCs/>
          <w:color w:val="000000" w:themeColor="text1"/>
          <w:lang w:val="en-AU"/>
        </w:rPr>
        <w:t xml:space="preserve"> </w:t>
      </w:r>
    </w:p>
    <w:p w14:paraId="354B2428" w14:textId="77777777" w:rsidR="005B5F39" w:rsidRDefault="00774BD4" w:rsidP="00774BD4">
      <w:pPr>
        <w:jc w:val="both"/>
        <w:rPr>
          <w:rFonts w:ascii="Cambria" w:hAnsi="Cambria"/>
          <w:lang w:val="en-AU"/>
        </w:rPr>
      </w:pPr>
      <w:r>
        <w:rPr>
          <w:rFonts w:ascii="Cambria" w:hAnsi="Cambria"/>
          <w:lang w:val="en-AU"/>
        </w:rPr>
        <w:t xml:space="preserve">The inability to impose some alternative sentencing options due to COVID-19, the small number of offenders captured in each offence category and the resultant lack of meaningful data able to be collected by the Sentencing Advisory Council are all reasons to extend the </w:t>
      </w:r>
      <w:r w:rsidR="005B5F39">
        <w:rPr>
          <w:rFonts w:ascii="Cambria" w:hAnsi="Cambria"/>
          <w:lang w:val="en-AU"/>
        </w:rPr>
        <w:t xml:space="preserve">period of review. In our opinion, a further three years should provide a more robust set of data that can then be analysed to assess the uptake of the new orders and their suitability as a replacement for suspended sentences. </w:t>
      </w:r>
    </w:p>
    <w:p w14:paraId="682EF1DA" w14:textId="77777777" w:rsidR="00E82B3C" w:rsidRDefault="00E82B3C" w:rsidP="00E82B3C">
      <w:pPr>
        <w:jc w:val="both"/>
        <w:rPr>
          <w:rFonts w:ascii="Cambria" w:hAnsi="Cambria"/>
          <w:color w:val="000000"/>
          <w:bdr w:val="none" w:sz="0" w:space="0" w:color="auto" w:frame="1"/>
          <w:shd w:val="clear" w:color="auto" w:fill="FFFFFF"/>
          <w:lang w:val="en-AU"/>
        </w:rPr>
      </w:pPr>
    </w:p>
    <w:tbl>
      <w:tblPr>
        <w:tblStyle w:val="TableGrid"/>
        <w:tblW w:w="0" w:type="auto"/>
        <w:tblLook w:val="04A0" w:firstRow="1" w:lastRow="0" w:firstColumn="1" w:lastColumn="0" w:noHBand="0" w:noVBand="1"/>
      </w:tblPr>
      <w:tblGrid>
        <w:gridCol w:w="9010"/>
      </w:tblGrid>
      <w:tr w:rsidR="00E82B3C" w14:paraId="03878DA1" w14:textId="77777777" w:rsidTr="00AB2A82">
        <w:tc>
          <w:tcPr>
            <w:tcW w:w="9010" w:type="dxa"/>
          </w:tcPr>
          <w:p w14:paraId="6C0128CF" w14:textId="5C7DD071" w:rsidR="00E82B3C" w:rsidRDefault="00E82B3C" w:rsidP="00AB2A82">
            <w:pPr>
              <w:jc w:val="both"/>
              <w:rPr>
                <w:rFonts w:ascii="Cambria" w:hAnsi="Cambria"/>
                <w:color w:val="000000"/>
                <w:bdr w:val="none" w:sz="0" w:space="0" w:color="auto" w:frame="1"/>
                <w:shd w:val="clear" w:color="auto" w:fill="FFFFFF"/>
                <w:lang w:val="en-AU"/>
              </w:rPr>
            </w:pPr>
            <w:r w:rsidRPr="00E56296">
              <w:rPr>
                <w:rFonts w:ascii="Cambria" w:hAnsi="Cambria"/>
                <w:b/>
                <w:bCs/>
                <w:color w:val="000000"/>
                <w:bdr w:val="none" w:sz="0" w:space="0" w:color="auto" w:frame="1"/>
                <w:shd w:val="clear" w:color="auto" w:fill="FFFFFF"/>
                <w:lang w:val="en-AU"/>
              </w:rPr>
              <w:t>Recommendation:</w:t>
            </w:r>
            <w:r>
              <w:rPr>
                <w:rFonts w:ascii="Cambria" w:hAnsi="Cambria"/>
                <w:color w:val="000000"/>
                <w:bdr w:val="none" w:sz="0" w:space="0" w:color="auto" w:frame="1"/>
                <w:shd w:val="clear" w:color="auto" w:fill="FFFFFF"/>
                <w:lang w:val="en-AU"/>
              </w:rPr>
              <w:t xml:space="preserve"> That the </w:t>
            </w:r>
            <w:r w:rsidRPr="00E82B3C">
              <w:rPr>
                <w:rFonts w:ascii="Cambria" w:hAnsi="Cambria"/>
                <w:color w:val="000000"/>
                <w:bdr w:val="none" w:sz="0" w:space="0" w:color="auto" w:frame="1"/>
                <w:shd w:val="clear" w:color="auto" w:fill="FFFFFF"/>
                <w:lang w:val="en-AU"/>
              </w:rPr>
              <w:t>review of the</w:t>
            </w:r>
            <w:r>
              <w:rPr>
                <w:rFonts w:ascii="Cambria" w:hAnsi="Cambria"/>
                <w:i/>
                <w:iCs/>
                <w:color w:val="000000"/>
                <w:bdr w:val="none" w:sz="0" w:space="0" w:color="auto" w:frame="1"/>
                <w:shd w:val="clear" w:color="auto" w:fill="FFFFFF"/>
                <w:lang w:val="en-AU"/>
              </w:rPr>
              <w:t xml:space="preserve"> Sentencing Amendment (Phasing Out of Suspended Sentences) Act 2017 </w:t>
            </w:r>
            <w:r>
              <w:rPr>
                <w:rFonts w:ascii="Cambria" w:hAnsi="Cambria"/>
                <w:color w:val="000000"/>
                <w:bdr w:val="none" w:sz="0" w:space="0" w:color="auto" w:frame="1"/>
                <w:shd w:val="clear" w:color="auto" w:fill="FFFFFF"/>
                <w:lang w:val="en-AU"/>
              </w:rPr>
              <w:t xml:space="preserve"> be extended for a further three years.      </w:t>
            </w:r>
          </w:p>
        </w:tc>
      </w:tr>
    </w:tbl>
    <w:p w14:paraId="6B7E527A" w14:textId="77777777" w:rsidR="00E82B3C" w:rsidRDefault="00E82B3C" w:rsidP="006A13DA">
      <w:pPr>
        <w:rPr>
          <w:rFonts w:ascii="Cambria" w:hAnsi="Cambria"/>
          <w:lang w:val="en-AU"/>
        </w:rPr>
      </w:pPr>
    </w:p>
    <w:p w14:paraId="4FB6CFE1" w14:textId="56502094" w:rsidR="00780BEE" w:rsidRPr="00633E14" w:rsidRDefault="00633E14" w:rsidP="006A13DA">
      <w:pPr>
        <w:rPr>
          <w:rFonts w:ascii="Cambria" w:hAnsi="Cambria"/>
          <w:b/>
          <w:bCs/>
          <w:lang w:val="en-AU"/>
        </w:rPr>
      </w:pPr>
      <w:r w:rsidRPr="00633E14">
        <w:rPr>
          <w:rFonts w:ascii="Cambria" w:hAnsi="Cambria"/>
          <w:b/>
          <w:bCs/>
          <w:lang w:val="en-AU"/>
        </w:rPr>
        <w:t xml:space="preserve">National Agreement on Closing the Gap </w:t>
      </w:r>
    </w:p>
    <w:p w14:paraId="2B1F3856" w14:textId="30611B30" w:rsidR="00633E14" w:rsidRDefault="00633E14" w:rsidP="009B5A0C">
      <w:pPr>
        <w:jc w:val="both"/>
        <w:rPr>
          <w:rFonts w:ascii="Cambria" w:hAnsi="Cambria"/>
          <w:lang w:val="en-AU"/>
        </w:rPr>
      </w:pPr>
      <w:r w:rsidRPr="00691B61">
        <w:rPr>
          <w:rFonts w:ascii="Cambria" w:hAnsi="Cambria"/>
          <w:lang w:val="en-AU"/>
        </w:rPr>
        <w:t xml:space="preserve">Finally, we </w:t>
      </w:r>
      <w:r w:rsidR="009B5A0C">
        <w:rPr>
          <w:rFonts w:ascii="Cambria" w:hAnsi="Cambria"/>
          <w:lang w:val="en-AU"/>
        </w:rPr>
        <w:t xml:space="preserve">reiterate </w:t>
      </w:r>
      <w:r w:rsidRPr="00691B61">
        <w:rPr>
          <w:rFonts w:ascii="Cambria" w:hAnsi="Cambria"/>
          <w:lang w:val="en-AU"/>
        </w:rPr>
        <w:t>the concerns of</w:t>
      </w:r>
      <w:r w:rsidR="009B5A0C">
        <w:rPr>
          <w:rFonts w:ascii="Cambria" w:hAnsi="Cambria"/>
          <w:lang w:val="en-AU"/>
        </w:rPr>
        <w:t xml:space="preserve"> </w:t>
      </w:r>
      <w:r w:rsidRPr="00691B61">
        <w:rPr>
          <w:rFonts w:ascii="Cambria" w:hAnsi="Cambria"/>
          <w:lang w:val="en-AU"/>
        </w:rPr>
        <w:t xml:space="preserve">the Tasmanian Aboriginal Legal Service who observed </w:t>
      </w:r>
      <w:r w:rsidR="00691B61">
        <w:rPr>
          <w:rFonts w:ascii="Cambria" w:hAnsi="Cambria"/>
          <w:lang w:val="en-AU"/>
        </w:rPr>
        <w:t xml:space="preserve">in its response, </w:t>
      </w:r>
      <w:r w:rsidRPr="00691B61">
        <w:rPr>
          <w:rFonts w:ascii="Cambria" w:hAnsi="Cambria"/>
          <w:lang w:val="en-AU"/>
        </w:rPr>
        <w:t xml:space="preserve">that the Terms of Reference </w:t>
      </w:r>
      <w:r w:rsidR="00691B61">
        <w:rPr>
          <w:rFonts w:ascii="Cambria" w:hAnsi="Cambria"/>
          <w:lang w:val="en-AU"/>
        </w:rPr>
        <w:t xml:space="preserve">for this review </w:t>
      </w:r>
      <w:r w:rsidRPr="00691B61">
        <w:rPr>
          <w:rFonts w:ascii="Cambria" w:hAnsi="Cambria"/>
          <w:lang w:val="en-AU"/>
        </w:rPr>
        <w:t xml:space="preserve">fail to address the </w:t>
      </w:r>
      <w:r w:rsidRPr="00691B61">
        <w:rPr>
          <w:rFonts w:ascii="Cambria" w:hAnsi="Cambria"/>
          <w:i/>
          <w:iCs/>
          <w:lang w:val="en-AU"/>
        </w:rPr>
        <w:t>National Agreement on Closing the Gap</w:t>
      </w:r>
      <w:r w:rsidR="00691B61" w:rsidRPr="00691B61">
        <w:rPr>
          <w:rFonts w:ascii="Cambria" w:hAnsi="Cambria"/>
          <w:i/>
          <w:iCs/>
          <w:lang w:val="en-AU"/>
        </w:rPr>
        <w:t>.</w:t>
      </w:r>
      <w:r w:rsidR="00691B61" w:rsidRPr="00691B61">
        <w:rPr>
          <w:rStyle w:val="FootnoteReference"/>
          <w:rFonts w:ascii="Cambria" w:hAnsi="Cambria"/>
          <w:lang w:val="en-AU"/>
        </w:rPr>
        <w:footnoteReference w:id="19"/>
      </w:r>
      <w:r w:rsidR="009B5A0C">
        <w:rPr>
          <w:rFonts w:ascii="Cambria" w:hAnsi="Cambria"/>
          <w:lang w:val="en-AU"/>
        </w:rPr>
        <w:t xml:space="preserve"> </w:t>
      </w:r>
      <w:r w:rsidR="00691B61" w:rsidRPr="00691B61">
        <w:rPr>
          <w:rFonts w:ascii="Cambria" w:hAnsi="Cambria"/>
          <w:lang w:val="en-AU"/>
        </w:rPr>
        <w:t>A</w:t>
      </w:r>
      <w:r w:rsidR="00691B61" w:rsidRPr="00691B61">
        <w:rPr>
          <w:rFonts w:ascii="Cambria" w:hAnsi="Cambria"/>
          <w:color w:val="000000"/>
          <w:bdr w:val="none" w:sz="0" w:space="0" w:color="auto" w:frame="1"/>
          <w:lang w:val="en-AU"/>
        </w:rPr>
        <w:t>ccording to a 2018 Australian Law Reform Commission report, the Aboriginal and Torres Strait Islander population constitutes just 2 per cent of the Australian adult population but comprises 27 per cent of the national adult prison population.</w:t>
      </w:r>
      <w:r w:rsidR="00691B61" w:rsidRPr="00691B61">
        <w:rPr>
          <w:rStyle w:val="FootnoteReference"/>
          <w:rFonts w:ascii="Cambria" w:hAnsi="Cambria"/>
          <w:color w:val="000000"/>
          <w:bdr w:val="none" w:sz="0" w:space="0" w:color="auto" w:frame="1"/>
          <w:lang w:val="en-AU"/>
        </w:rPr>
        <w:footnoteReference w:id="20"/>
      </w:r>
      <w:r w:rsidR="00691B61">
        <w:rPr>
          <w:rFonts w:ascii="Cambria" w:hAnsi="Cambria"/>
          <w:color w:val="000000"/>
          <w:bdr w:val="none" w:sz="0" w:space="0" w:color="auto" w:frame="1"/>
          <w:lang w:val="en-AU"/>
        </w:rPr>
        <w:t xml:space="preserve"> The overrepresentation of Aboriginal and Torres Strait Islander people in Tasmania</w:t>
      </w:r>
      <w:r w:rsidR="009B5A0C">
        <w:rPr>
          <w:rFonts w:ascii="Cambria" w:hAnsi="Cambria"/>
          <w:color w:val="000000"/>
          <w:bdr w:val="none" w:sz="0" w:space="0" w:color="auto" w:frame="1"/>
          <w:lang w:val="en-AU"/>
        </w:rPr>
        <w:t>’s prison system</w:t>
      </w:r>
      <w:r w:rsidR="00B023DD">
        <w:rPr>
          <w:rFonts w:ascii="Cambria" w:hAnsi="Cambria"/>
          <w:color w:val="000000"/>
          <w:bdr w:val="none" w:sz="0" w:space="0" w:color="auto" w:frame="1"/>
          <w:lang w:val="en-AU"/>
        </w:rPr>
        <w:t xml:space="preserve"> and the impact phasing out suspended sentences may have, </w:t>
      </w:r>
      <w:r w:rsidR="00691B61">
        <w:rPr>
          <w:rFonts w:ascii="Cambria" w:hAnsi="Cambria"/>
          <w:color w:val="000000"/>
          <w:bdr w:val="none" w:sz="0" w:space="0" w:color="auto" w:frame="1"/>
          <w:lang w:val="en-AU"/>
        </w:rPr>
        <w:t>is an issue that shoul</w:t>
      </w:r>
      <w:r w:rsidR="00B023DD">
        <w:rPr>
          <w:rFonts w:ascii="Cambria" w:hAnsi="Cambria"/>
          <w:color w:val="000000"/>
          <w:bdr w:val="none" w:sz="0" w:space="0" w:color="auto" w:frame="1"/>
          <w:lang w:val="en-AU"/>
        </w:rPr>
        <w:t xml:space="preserve">d be considered, particularly given the </w:t>
      </w:r>
      <w:r w:rsidR="009B5A0C">
        <w:rPr>
          <w:rFonts w:ascii="Cambria" w:hAnsi="Cambria"/>
          <w:color w:val="000000"/>
          <w:bdr w:val="none" w:sz="0" w:space="0" w:color="auto" w:frame="1"/>
          <w:lang w:val="en-AU"/>
        </w:rPr>
        <w:t>Closing the Gap target of reducing the rate of Aboriginal and Torres Strait Islander adults held in incarceration by at least 15 per cent by 2031.</w:t>
      </w:r>
      <w:r>
        <w:rPr>
          <w:rFonts w:ascii="Cambria" w:hAnsi="Cambria"/>
          <w:lang w:val="en-AU"/>
        </w:rPr>
        <w:t xml:space="preserve"> </w:t>
      </w:r>
    </w:p>
    <w:p w14:paraId="07EBED0F" w14:textId="77777777" w:rsidR="00B023DD" w:rsidRDefault="00B023DD" w:rsidP="00B023DD">
      <w:pPr>
        <w:jc w:val="both"/>
        <w:rPr>
          <w:rFonts w:ascii="Cambria" w:hAnsi="Cambria"/>
          <w:color w:val="000000"/>
          <w:bdr w:val="none" w:sz="0" w:space="0" w:color="auto" w:frame="1"/>
          <w:shd w:val="clear" w:color="auto" w:fill="FFFFFF"/>
          <w:lang w:val="en-AU"/>
        </w:rPr>
      </w:pPr>
    </w:p>
    <w:tbl>
      <w:tblPr>
        <w:tblStyle w:val="TableGrid"/>
        <w:tblW w:w="0" w:type="auto"/>
        <w:tblLook w:val="04A0" w:firstRow="1" w:lastRow="0" w:firstColumn="1" w:lastColumn="0" w:noHBand="0" w:noVBand="1"/>
      </w:tblPr>
      <w:tblGrid>
        <w:gridCol w:w="9010"/>
      </w:tblGrid>
      <w:tr w:rsidR="00B023DD" w14:paraId="611690E3" w14:textId="77777777" w:rsidTr="00AB2A82">
        <w:tc>
          <w:tcPr>
            <w:tcW w:w="9010" w:type="dxa"/>
          </w:tcPr>
          <w:p w14:paraId="00F20E2D" w14:textId="3F153E83" w:rsidR="00B023DD" w:rsidRDefault="00B023DD" w:rsidP="00AB2A82">
            <w:pPr>
              <w:jc w:val="both"/>
              <w:rPr>
                <w:rFonts w:ascii="Cambria" w:hAnsi="Cambria"/>
                <w:color w:val="000000"/>
                <w:bdr w:val="none" w:sz="0" w:space="0" w:color="auto" w:frame="1"/>
                <w:shd w:val="clear" w:color="auto" w:fill="FFFFFF"/>
                <w:lang w:val="en-AU"/>
              </w:rPr>
            </w:pPr>
            <w:r w:rsidRPr="00E56296">
              <w:rPr>
                <w:rFonts w:ascii="Cambria" w:hAnsi="Cambria"/>
                <w:b/>
                <w:bCs/>
                <w:color w:val="000000"/>
                <w:bdr w:val="none" w:sz="0" w:space="0" w:color="auto" w:frame="1"/>
                <w:shd w:val="clear" w:color="auto" w:fill="FFFFFF"/>
                <w:lang w:val="en-AU"/>
              </w:rPr>
              <w:t>Recommendation:</w:t>
            </w:r>
            <w:r>
              <w:rPr>
                <w:rFonts w:ascii="Cambria" w:hAnsi="Cambria"/>
                <w:color w:val="000000"/>
                <w:bdr w:val="none" w:sz="0" w:space="0" w:color="auto" w:frame="1"/>
                <w:shd w:val="clear" w:color="auto" w:fill="FFFFFF"/>
                <w:lang w:val="en-AU"/>
              </w:rPr>
              <w:t xml:space="preserve"> That any future </w:t>
            </w:r>
            <w:r w:rsidRPr="00E82B3C">
              <w:rPr>
                <w:rFonts w:ascii="Cambria" w:hAnsi="Cambria"/>
                <w:color w:val="000000"/>
                <w:bdr w:val="none" w:sz="0" w:space="0" w:color="auto" w:frame="1"/>
                <w:shd w:val="clear" w:color="auto" w:fill="FFFFFF"/>
                <w:lang w:val="en-AU"/>
              </w:rPr>
              <w:t>review of the</w:t>
            </w:r>
            <w:r>
              <w:rPr>
                <w:rFonts w:ascii="Cambria" w:hAnsi="Cambria"/>
                <w:i/>
                <w:iCs/>
                <w:color w:val="000000"/>
                <w:bdr w:val="none" w:sz="0" w:space="0" w:color="auto" w:frame="1"/>
                <w:shd w:val="clear" w:color="auto" w:fill="FFFFFF"/>
                <w:lang w:val="en-AU"/>
              </w:rPr>
              <w:t xml:space="preserve"> Sentencing Amendment (Phasing Out of Suspended Sentences) Act 2017 </w:t>
            </w:r>
            <w:r>
              <w:rPr>
                <w:rFonts w:ascii="Cambria" w:hAnsi="Cambria"/>
                <w:color w:val="000000"/>
                <w:bdr w:val="none" w:sz="0" w:space="0" w:color="auto" w:frame="1"/>
                <w:shd w:val="clear" w:color="auto" w:fill="FFFFFF"/>
                <w:lang w:val="en-AU"/>
              </w:rPr>
              <w:t xml:space="preserve">consider the impact on Aboriginal and Torres Strait Islander people.      </w:t>
            </w:r>
          </w:p>
        </w:tc>
      </w:tr>
    </w:tbl>
    <w:p w14:paraId="6350EF0A" w14:textId="77777777" w:rsidR="00780BEE" w:rsidRDefault="00780BEE" w:rsidP="006A13DA">
      <w:pPr>
        <w:rPr>
          <w:rFonts w:ascii="Cambria" w:hAnsi="Cambria"/>
          <w:lang w:val="en-AU"/>
        </w:rPr>
      </w:pPr>
    </w:p>
    <w:p w14:paraId="77672CC8" w14:textId="77777777" w:rsidR="006E1111" w:rsidRDefault="006E1111" w:rsidP="006A13DA">
      <w:pPr>
        <w:rPr>
          <w:rFonts w:ascii="Cambria" w:hAnsi="Cambria"/>
          <w:lang w:val="en-AU"/>
        </w:rPr>
      </w:pPr>
    </w:p>
    <w:p w14:paraId="179C2A54" w14:textId="77777777" w:rsidR="006E1111" w:rsidRDefault="006E1111" w:rsidP="006A13DA">
      <w:pPr>
        <w:rPr>
          <w:rFonts w:ascii="Cambria" w:hAnsi="Cambria"/>
          <w:lang w:val="en-AU"/>
        </w:rPr>
      </w:pPr>
    </w:p>
    <w:p w14:paraId="5F5E7ADE" w14:textId="77777777" w:rsidR="006E1111" w:rsidRDefault="006E1111" w:rsidP="006A13DA">
      <w:pPr>
        <w:rPr>
          <w:rFonts w:ascii="Cambria" w:hAnsi="Cambria"/>
          <w:lang w:val="en-AU"/>
        </w:rPr>
      </w:pPr>
    </w:p>
    <w:p w14:paraId="7A3B2116" w14:textId="77777777" w:rsidR="006E1111" w:rsidRDefault="006E1111" w:rsidP="006A13DA">
      <w:pPr>
        <w:rPr>
          <w:rFonts w:ascii="Cambria" w:hAnsi="Cambria"/>
          <w:lang w:val="en-AU"/>
        </w:rPr>
      </w:pPr>
    </w:p>
    <w:p w14:paraId="1BE65FE8" w14:textId="77777777" w:rsidR="006E1111" w:rsidRDefault="006E1111" w:rsidP="006A13DA">
      <w:pPr>
        <w:rPr>
          <w:rFonts w:ascii="Cambria" w:hAnsi="Cambria"/>
          <w:lang w:val="en-AU"/>
        </w:rPr>
      </w:pPr>
    </w:p>
    <w:p w14:paraId="68EC9E68" w14:textId="77777777" w:rsidR="006E1111" w:rsidRDefault="006E1111" w:rsidP="006A13DA">
      <w:pPr>
        <w:rPr>
          <w:rFonts w:ascii="Cambria" w:hAnsi="Cambria"/>
          <w:lang w:val="en-AU"/>
        </w:rPr>
      </w:pPr>
    </w:p>
    <w:p w14:paraId="255A98A7" w14:textId="77777777" w:rsidR="006E1111" w:rsidRDefault="006E1111" w:rsidP="006A13DA">
      <w:pPr>
        <w:rPr>
          <w:rFonts w:ascii="Cambria" w:hAnsi="Cambria"/>
          <w:lang w:val="en-AU"/>
        </w:rPr>
      </w:pPr>
    </w:p>
    <w:p w14:paraId="3542877C" w14:textId="77777777" w:rsidR="006E1111" w:rsidRDefault="006E1111" w:rsidP="006A13DA">
      <w:pPr>
        <w:rPr>
          <w:rFonts w:ascii="Cambria" w:hAnsi="Cambria"/>
          <w:lang w:val="en-AU"/>
        </w:rPr>
      </w:pPr>
    </w:p>
    <w:p w14:paraId="1EBB7F6B" w14:textId="1F9F1703" w:rsidR="006A13DA" w:rsidRPr="00187347" w:rsidRDefault="006A13DA" w:rsidP="006A13DA">
      <w:pPr>
        <w:rPr>
          <w:rFonts w:ascii="Cambria" w:hAnsi="Cambria"/>
          <w:lang w:val="en-AU"/>
        </w:rPr>
      </w:pPr>
      <w:r w:rsidRPr="00187347">
        <w:rPr>
          <w:rFonts w:ascii="Cambria" w:hAnsi="Cambria"/>
          <w:lang w:val="en-AU"/>
        </w:rPr>
        <w:t xml:space="preserve">If you have any queries, or would like to discuss our submission further, please do not hesitate to contact us. </w:t>
      </w:r>
    </w:p>
    <w:p w14:paraId="1A13F0F5" w14:textId="77777777" w:rsidR="006A13DA" w:rsidRPr="00187347" w:rsidRDefault="006A13DA" w:rsidP="006A13DA">
      <w:pPr>
        <w:rPr>
          <w:rFonts w:ascii="Cambria" w:hAnsi="Cambria"/>
          <w:lang w:val="en-AU"/>
        </w:rPr>
      </w:pPr>
    </w:p>
    <w:p w14:paraId="0A0FAC9E" w14:textId="77777777" w:rsidR="006A13DA" w:rsidRPr="00187347" w:rsidRDefault="006A13DA" w:rsidP="006A13DA">
      <w:pPr>
        <w:rPr>
          <w:rFonts w:ascii="Cambria" w:hAnsi="Cambria"/>
          <w:lang w:val="en-AU"/>
        </w:rPr>
      </w:pPr>
    </w:p>
    <w:p w14:paraId="165DD310" w14:textId="77777777" w:rsidR="006A13DA" w:rsidRPr="00187347" w:rsidRDefault="006A13DA" w:rsidP="006A13DA">
      <w:pPr>
        <w:rPr>
          <w:rFonts w:ascii="Cambria" w:hAnsi="Cambria"/>
          <w:lang w:val="en-AU"/>
        </w:rPr>
      </w:pPr>
      <w:r w:rsidRPr="00187347">
        <w:rPr>
          <w:rFonts w:ascii="Cambria" w:hAnsi="Cambria"/>
          <w:lang w:val="en-AU"/>
        </w:rPr>
        <w:t>Yours faithfully,</w:t>
      </w:r>
    </w:p>
    <w:p w14:paraId="2876BFFE" w14:textId="77777777" w:rsidR="006A13DA" w:rsidRPr="00D41D07" w:rsidRDefault="006A13DA" w:rsidP="006A13DA">
      <w:pPr>
        <w:rPr>
          <w:rFonts w:ascii="Cambria" w:hAnsi="Cambria"/>
          <w:lang w:val="en-AU"/>
        </w:rPr>
      </w:pPr>
    </w:p>
    <w:p w14:paraId="6EB02912" w14:textId="77777777" w:rsidR="006A13DA" w:rsidRPr="00D41D07" w:rsidRDefault="006A13DA" w:rsidP="006A13DA">
      <w:pPr>
        <w:rPr>
          <w:rFonts w:ascii="Cambria" w:hAnsi="Cambria"/>
          <w:lang w:val="en-AU"/>
        </w:rPr>
      </w:pPr>
    </w:p>
    <w:p w14:paraId="77248169" w14:textId="77777777" w:rsidR="006A13DA" w:rsidRPr="00D41D07" w:rsidRDefault="006A13DA" w:rsidP="006A13DA">
      <w:pPr>
        <w:rPr>
          <w:rFonts w:ascii="Cambria" w:hAnsi="Cambria"/>
          <w:lang w:val="en-AU"/>
        </w:rPr>
      </w:pPr>
    </w:p>
    <w:p w14:paraId="4E858C4F" w14:textId="77777777" w:rsidR="006A13DA" w:rsidRPr="00D41D07" w:rsidRDefault="006A13DA" w:rsidP="006A13DA">
      <w:pPr>
        <w:rPr>
          <w:rFonts w:ascii="Cambria" w:hAnsi="Cambria"/>
          <w:lang w:val="en-AU"/>
        </w:rPr>
      </w:pPr>
      <w:r w:rsidRPr="00D41D07">
        <w:rPr>
          <w:rFonts w:ascii="Cambria" w:hAnsi="Cambria"/>
          <w:lang w:val="en-AU"/>
        </w:rPr>
        <w:t>Benedict Bartl</w:t>
      </w:r>
    </w:p>
    <w:p w14:paraId="74649394" w14:textId="77777777" w:rsidR="006A13DA" w:rsidRPr="00D41D07" w:rsidRDefault="006A13DA" w:rsidP="006A13DA">
      <w:pPr>
        <w:rPr>
          <w:rFonts w:ascii="Cambria" w:hAnsi="Cambria"/>
          <w:lang w:val="en-AU"/>
        </w:rPr>
      </w:pPr>
      <w:r w:rsidRPr="00D41D07">
        <w:rPr>
          <w:rFonts w:ascii="Cambria" w:hAnsi="Cambria"/>
          <w:lang w:val="en-AU"/>
        </w:rPr>
        <w:t>Policy Officer</w:t>
      </w:r>
    </w:p>
    <w:p w14:paraId="517E8FA6" w14:textId="77777777" w:rsidR="006A13DA" w:rsidRPr="00D41D07" w:rsidRDefault="006A13DA" w:rsidP="006A13DA">
      <w:pPr>
        <w:pBdr>
          <w:bottom w:val="single" w:sz="6" w:space="1" w:color="auto"/>
        </w:pBdr>
        <w:rPr>
          <w:rFonts w:ascii="Cambria" w:hAnsi="Cambria"/>
          <w:b/>
          <w:bCs/>
          <w:lang w:val="en-AU"/>
        </w:rPr>
      </w:pPr>
      <w:r w:rsidRPr="00D41D07">
        <w:rPr>
          <w:rFonts w:ascii="Cambria" w:hAnsi="Cambria"/>
          <w:b/>
          <w:bCs/>
          <w:lang w:val="en-AU"/>
        </w:rPr>
        <w:t>Community Legal Centres Tasmania</w:t>
      </w:r>
    </w:p>
    <w:p w14:paraId="7F59A8F2" w14:textId="77777777" w:rsidR="006A13DA" w:rsidRPr="00D41D07" w:rsidRDefault="006A13DA" w:rsidP="006A13DA">
      <w:pPr>
        <w:rPr>
          <w:rFonts w:ascii="Cambria" w:hAnsi="Cambria"/>
          <w:lang w:val="en-AU"/>
        </w:rPr>
      </w:pPr>
    </w:p>
    <w:p w14:paraId="68CF16CA" w14:textId="23D0BE69" w:rsidR="00487518" w:rsidRPr="00AC4159" w:rsidRDefault="00D41D07">
      <w:pPr>
        <w:rPr>
          <w:rFonts w:ascii="Cambria" w:hAnsi="Cambria"/>
          <w:i/>
          <w:iCs/>
          <w:lang w:val="en-AU"/>
        </w:rPr>
      </w:pPr>
      <w:r w:rsidRPr="00AC4159">
        <w:rPr>
          <w:rFonts w:ascii="Cambria" w:hAnsi="Cambria"/>
          <w:lang w:val="en-AU"/>
        </w:rPr>
        <w:t xml:space="preserve">enc: </w:t>
      </w:r>
      <w:r w:rsidR="00AC4159" w:rsidRPr="00AC4159">
        <w:rPr>
          <w:rFonts w:ascii="Cambria" w:hAnsi="Cambria"/>
          <w:i/>
          <w:iCs/>
          <w:lang w:val="en-AU"/>
        </w:rPr>
        <w:t>A Review of Drug Treatment Orders in the Supreme Court</w:t>
      </w:r>
      <w:r w:rsidR="00AC4159" w:rsidRPr="00AC4159">
        <w:rPr>
          <w:rFonts w:ascii="Cambria" w:hAnsi="Cambria"/>
          <w:lang w:val="en-AU"/>
        </w:rPr>
        <w:t xml:space="preserve"> - </w:t>
      </w:r>
      <w:r w:rsidRPr="00AC4159">
        <w:rPr>
          <w:rFonts w:ascii="Cambria" w:hAnsi="Cambria"/>
          <w:lang w:val="en-AU"/>
        </w:rPr>
        <w:t xml:space="preserve">Article for </w:t>
      </w:r>
      <w:r w:rsidRPr="00AC4159">
        <w:rPr>
          <w:rFonts w:ascii="Cambria" w:hAnsi="Cambria"/>
          <w:i/>
          <w:iCs/>
          <w:lang w:val="en-AU"/>
        </w:rPr>
        <w:t>Law Letter</w:t>
      </w:r>
    </w:p>
    <w:sectPr w:rsidR="00487518" w:rsidRPr="00AC4159" w:rsidSect="00215FC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B2F0D" w14:textId="77777777" w:rsidR="00461E23" w:rsidRDefault="00461E23" w:rsidP="006A13DA">
      <w:r>
        <w:separator/>
      </w:r>
    </w:p>
  </w:endnote>
  <w:endnote w:type="continuationSeparator" w:id="0">
    <w:p w14:paraId="706A978A" w14:textId="77777777" w:rsidR="00461E23" w:rsidRDefault="00461E23" w:rsidP="006A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1108557"/>
      <w:docPartObj>
        <w:docPartGallery w:val="Page Numbers (Bottom of Page)"/>
        <w:docPartUnique/>
      </w:docPartObj>
    </w:sdtPr>
    <w:sdtEndPr>
      <w:rPr>
        <w:rStyle w:val="PageNumber"/>
      </w:rPr>
    </w:sdtEndPr>
    <w:sdtContent>
      <w:p w14:paraId="15B5F427" w14:textId="77777777" w:rsidR="00B90B1A" w:rsidRDefault="000D1520" w:rsidP="001B5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643531" w14:textId="77777777" w:rsidR="00B90B1A" w:rsidRDefault="00461E23" w:rsidP="00B90B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5691377"/>
      <w:docPartObj>
        <w:docPartGallery w:val="Page Numbers (Bottom of Page)"/>
        <w:docPartUnique/>
      </w:docPartObj>
    </w:sdtPr>
    <w:sdtEndPr>
      <w:rPr>
        <w:rStyle w:val="PageNumber"/>
      </w:rPr>
    </w:sdtEndPr>
    <w:sdtContent>
      <w:p w14:paraId="41206256" w14:textId="77777777" w:rsidR="00B90B1A" w:rsidRDefault="000D1520" w:rsidP="001B5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694F38" w14:textId="77777777" w:rsidR="00B90B1A" w:rsidRDefault="00461E23" w:rsidP="00B90B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2C8F9" w14:textId="77777777" w:rsidR="00461E23" w:rsidRDefault="00461E23" w:rsidP="006A13DA">
      <w:r>
        <w:separator/>
      </w:r>
    </w:p>
  </w:footnote>
  <w:footnote w:type="continuationSeparator" w:id="0">
    <w:p w14:paraId="3D5DDB96" w14:textId="77777777" w:rsidR="00461E23" w:rsidRDefault="00461E23" w:rsidP="006A13DA">
      <w:r>
        <w:continuationSeparator/>
      </w:r>
    </w:p>
  </w:footnote>
  <w:footnote w:id="1">
    <w:p w14:paraId="12B94123" w14:textId="77777777" w:rsidR="00BC4661" w:rsidRPr="00993771" w:rsidRDefault="00BC4661" w:rsidP="00BC4661">
      <w:pPr>
        <w:pStyle w:val="FootnoteText"/>
        <w:rPr>
          <w:rFonts w:ascii="Cambria" w:hAnsi="Cambria"/>
        </w:rPr>
      </w:pPr>
      <w:r w:rsidRPr="00993771">
        <w:rPr>
          <w:rStyle w:val="FootnoteReference"/>
          <w:rFonts w:ascii="Cambria" w:hAnsi="Cambria"/>
        </w:rPr>
        <w:footnoteRef/>
      </w:r>
      <w:r w:rsidRPr="00993771">
        <w:rPr>
          <w:rFonts w:ascii="Cambria" w:hAnsi="Cambria"/>
        </w:rPr>
        <w:t xml:space="preserve"> </w:t>
      </w:r>
      <w:r w:rsidRPr="00CD7BB4">
        <w:rPr>
          <w:rFonts w:ascii="Cambria" w:hAnsi="Cambria"/>
          <w:sz w:val="20"/>
          <w:szCs w:val="20"/>
        </w:rPr>
        <w:t xml:space="preserve">There were </w:t>
      </w:r>
      <w:r w:rsidRPr="00CD7BB4">
        <w:rPr>
          <w:rFonts w:ascii="Cambria" w:eastAsia="Times New Roman" w:hAnsi="Cambria" w:cs="Times New Roman"/>
          <w:color w:val="000000"/>
          <w:sz w:val="20"/>
          <w:szCs w:val="20"/>
          <w:bdr w:val="none" w:sz="0" w:space="0" w:color="auto" w:frame="1"/>
          <w:lang w:eastAsia="en-GB"/>
        </w:rPr>
        <w:t>13 referrals in 2017/18, 9 referrals in 2018/19 and 18 in 2019/20.</w:t>
      </w:r>
      <w:r w:rsidRPr="00993771">
        <w:rPr>
          <w:rFonts w:ascii="Cambria" w:eastAsia="Times New Roman" w:hAnsi="Cambria" w:cs="Times New Roman"/>
          <w:color w:val="000000"/>
          <w:bdr w:val="none" w:sz="0" w:space="0" w:color="auto" w:frame="1"/>
          <w:lang w:eastAsia="en-GB"/>
        </w:rPr>
        <w:t xml:space="preserve"> </w:t>
      </w:r>
    </w:p>
  </w:footnote>
  <w:footnote w:id="2">
    <w:p w14:paraId="68048DFD" w14:textId="77777777" w:rsidR="00BC4661" w:rsidRPr="00993771" w:rsidRDefault="00BC4661" w:rsidP="00BC4661">
      <w:pPr>
        <w:pStyle w:val="FootnoteText"/>
        <w:rPr>
          <w:rFonts w:ascii="Cambria" w:hAnsi="Cambria"/>
        </w:rPr>
      </w:pPr>
      <w:r w:rsidRPr="00993771">
        <w:rPr>
          <w:rStyle w:val="FootnoteReference"/>
          <w:rFonts w:ascii="Cambria" w:hAnsi="Cambria"/>
        </w:rPr>
        <w:footnoteRef/>
      </w:r>
      <w:r w:rsidRPr="00993771">
        <w:rPr>
          <w:rFonts w:ascii="Cambria" w:hAnsi="Cambria"/>
        </w:rPr>
        <w:t xml:space="preserve"> </w:t>
      </w:r>
      <w:r w:rsidRPr="00CD7BB4">
        <w:rPr>
          <w:rFonts w:ascii="Cambria" w:eastAsia="Times New Roman" w:hAnsi="Cambria" w:cs="Times New Roman"/>
          <w:color w:val="000000"/>
          <w:sz w:val="20"/>
          <w:szCs w:val="20"/>
          <w:bdr w:val="none" w:sz="0" w:space="0" w:color="auto" w:frame="1"/>
          <w:lang w:eastAsia="en-GB"/>
        </w:rPr>
        <w:t xml:space="preserve">Sections 27B and 27D of the </w:t>
      </w:r>
      <w:r w:rsidRPr="00CD7BB4">
        <w:rPr>
          <w:rFonts w:ascii="Cambria" w:eastAsia="Times New Roman" w:hAnsi="Cambria" w:cs="Times New Roman"/>
          <w:i/>
          <w:iCs/>
          <w:color w:val="000000"/>
          <w:sz w:val="20"/>
          <w:szCs w:val="20"/>
          <w:bdr w:val="none" w:sz="0" w:space="0" w:color="auto" w:frame="1"/>
          <w:lang w:eastAsia="en-GB"/>
        </w:rPr>
        <w:t>Sentencing Act 1997</w:t>
      </w:r>
      <w:r w:rsidRPr="00CD7BB4">
        <w:rPr>
          <w:rFonts w:ascii="Cambria" w:eastAsia="Times New Roman" w:hAnsi="Cambria" w:cs="Times New Roman"/>
          <w:color w:val="000000"/>
          <w:sz w:val="20"/>
          <w:szCs w:val="20"/>
          <w:bdr w:val="none" w:sz="0" w:space="0" w:color="auto" w:frame="1"/>
          <w:lang w:eastAsia="en-GB"/>
        </w:rPr>
        <w:t xml:space="preserve"> (Tas).</w:t>
      </w:r>
    </w:p>
  </w:footnote>
  <w:footnote w:id="3">
    <w:p w14:paraId="11C81E8C" w14:textId="77777777" w:rsidR="00BC4661" w:rsidRPr="00993771" w:rsidRDefault="00BC4661" w:rsidP="00BC4661">
      <w:pPr>
        <w:pStyle w:val="FootnoteText"/>
        <w:rPr>
          <w:rFonts w:ascii="Cambria" w:hAnsi="Cambria"/>
        </w:rPr>
      </w:pPr>
      <w:r w:rsidRPr="00993771">
        <w:rPr>
          <w:rStyle w:val="FootnoteReference"/>
          <w:rFonts w:ascii="Cambria" w:hAnsi="Cambria"/>
        </w:rPr>
        <w:footnoteRef/>
      </w:r>
      <w:r w:rsidRPr="00993771">
        <w:rPr>
          <w:rFonts w:ascii="Cambria" w:hAnsi="Cambria"/>
        </w:rPr>
        <w:t xml:space="preserve"> </w:t>
      </w:r>
      <w:r w:rsidRPr="00CD7BB4">
        <w:rPr>
          <w:rFonts w:ascii="Cambria" w:eastAsia="Times New Roman" w:hAnsi="Cambria" w:cs="Times New Roman"/>
          <w:color w:val="000000"/>
          <w:sz w:val="20"/>
          <w:szCs w:val="20"/>
          <w:bdr w:val="none" w:sz="0" w:space="0" w:color="auto" w:frame="1"/>
          <w:shd w:val="clear" w:color="auto" w:fill="FFFFFF"/>
          <w:lang w:eastAsia="en-GB"/>
        </w:rPr>
        <w:t xml:space="preserve">24 out of 40 referrals were assessed as both eligible and suitable. Persons whose referral resulted in a different community-based order (including a deferred sentence) or a sentence in the Magistrates Court have been excluded. </w:t>
      </w:r>
      <w:r w:rsidRPr="00CD7BB4">
        <w:rPr>
          <w:rFonts w:ascii="Cambria" w:eastAsia="Times New Roman" w:hAnsi="Cambria" w:cs="Times New Roman"/>
          <w:color w:val="000000"/>
          <w:sz w:val="20"/>
          <w:szCs w:val="20"/>
          <w:bdr w:val="none" w:sz="0" w:space="0" w:color="auto" w:frame="1"/>
          <w:lang w:eastAsia="en-GB"/>
        </w:rPr>
        <w:t>Interestingly, 75 per cent of women (6 out of 8) who were assessed were found eligible and suitable and the drug treatment order was made. This can be contrasted with a 56 per cent success rate for men (18 out of 32).</w:t>
      </w:r>
      <w:r>
        <w:rPr>
          <w:rFonts w:ascii="Cambria" w:eastAsia="Times New Roman" w:hAnsi="Cambria" w:cs="Times New Roman"/>
          <w:color w:val="000000"/>
          <w:bdr w:val="none" w:sz="0" w:space="0" w:color="auto" w:frame="1"/>
          <w:lang w:eastAsia="en-GB"/>
        </w:rPr>
        <w:t xml:space="preserve">  </w:t>
      </w:r>
      <w:r w:rsidRPr="00993771">
        <w:rPr>
          <w:rFonts w:ascii="Cambria" w:eastAsia="Times New Roman" w:hAnsi="Cambria" w:cs="Times New Roman"/>
          <w:color w:val="000000"/>
          <w:bdr w:val="none" w:sz="0" w:space="0" w:color="auto" w:frame="1"/>
          <w:lang w:eastAsia="en-GB"/>
        </w:rPr>
        <w:t xml:space="preserve">  </w:t>
      </w:r>
    </w:p>
  </w:footnote>
  <w:footnote w:id="4">
    <w:p w14:paraId="574ACFA9" w14:textId="77777777" w:rsidR="00B472E4" w:rsidRPr="00993771" w:rsidRDefault="00B472E4" w:rsidP="00B472E4">
      <w:pPr>
        <w:pStyle w:val="FootnoteText"/>
        <w:rPr>
          <w:rFonts w:ascii="Cambria" w:hAnsi="Cambria"/>
        </w:rPr>
      </w:pPr>
      <w:r w:rsidRPr="00993771">
        <w:rPr>
          <w:rStyle w:val="FootnoteReference"/>
          <w:rFonts w:ascii="Cambria" w:hAnsi="Cambria"/>
        </w:rPr>
        <w:footnoteRef/>
      </w:r>
      <w:r w:rsidRPr="00993771">
        <w:rPr>
          <w:rFonts w:ascii="Cambria" w:hAnsi="Cambria"/>
        </w:rPr>
        <w:t xml:space="preserve"> </w:t>
      </w:r>
      <w:r w:rsidRPr="00B472E4">
        <w:rPr>
          <w:rFonts w:ascii="Cambria" w:eastAsia="Times New Roman" w:hAnsi="Cambria" w:cs="Times New Roman"/>
          <w:color w:val="000000"/>
          <w:sz w:val="20"/>
          <w:szCs w:val="20"/>
          <w:bdr w:val="none" w:sz="0" w:space="0" w:color="auto" w:frame="1"/>
          <w:shd w:val="clear" w:color="auto" w:fill="FFFFFF"/>
          <w:lang w:eastAsia="en-GB"/>
        </w:rPr>
        <w:t>Section 27B(3)(a) of the </w:t>
      </w:r>
      <w:r w:rsidRPr="00B472E4">
        <w:rPr>
          <w:rFonts w:ascii="Cambria" w:eastAsia="Times New Roman" w:hAnsi="Cambria" w:cs="Times New Roman"/>
          <w:i/>
          <w:iCs/>
          <w:color w:val="000000"/>
          <w:sz w:val="20"/>
          <w:szCs w:val="20"/>
          <w:bdr w:val="none" w:sz="0" w:space="0" w:color="auto" w:frame="1"/>
          <w:shd w:val="clear" w:color="auto" w:fill="FFFFFF"/>
          <w:lang w:eastAsia="en-GB"/>
        </w:rPr>
        <w:t>Sentencing Act 1997</w:t>
      </w:r>
      <w:r w:rsidRPr="00B472E4">
        <w:rPr>
          <w:rFonts w:ascii="Cambria" w:eastAsia="Times New Roman" w:hAnsi="Cambria" w:cs="Times New Roman"/>
          <w:color w:val="000000"/>
          <w:sz w:val="20"/>
          <w:szCs w:val="20"/>
          <w:bdr w:val="none" w:sz="0" w:space="0" w:color="auto" w:frame="1"/>
          <w:shd w:val="clear" w:color="auto" w:fill="FFFFFF"/>
          <w:lang w:eastAsia="en-GB"/>
        </w:rPr>
        <w:t> (Tas).</w:t>
      </w:r>
    </w:p>
  </w:footnote>
  <w:footnote w:id="5">
    <w:p w14:paraId="6C0D5F7B" w14:textId="77777777" w:rsidR="00B472E4" w:rsidRPr="00993771" w:rsidRDefault="00B472E4" w:rsidP="00B472E4">
      <w:pPr>
        <w:pStyle w:val="FootnoteText"/>
        <w:rPr>
          <w:rFonts w:ascii="Cambria" w:hAnsi="Cambria"/>
        </w:rPr>
      </w:pPr>
      <w:r w:rsidRPr="00993771">
        <w:rPr>
          <w:rStyle w:val="FootnoteReference"/>
          <w:rFonts w:ascii="Cambria" w:hAnsi="Cambria"/>
        </w:rPr>
        <w:footnoteRef/>
      </w:r>
      <w:r w:rsidRPr="00993771">
        <w:rPr>
          <w:rFonts w:ascii="Cambria" w:hAnsi="Cambria"/>
        </w:rPr>
        <w:t xml:space="preserve"> </w:t>
      </w:r>
      <w:r w:rsidRPr="00B472E4">
        <w:rPr>
          <w:rFonts w:ascii="Cambria" w:eastAsia="Times New Roman" w:hAnsi="Cambria" w:cs="Times New Roman"/>
          <w:color w:val="000000"/>
          <w:sz w:val="20"/>
          <w:szCs w:val="20"/>
          <w:bdr w:val="none" w:sz="0" w:space="0" w:color="auto" w:frame="1"/>
          <w:shd w:val="clear" w:color="auto" w:fill="FFFFFF"/>
          <w:lang w:eastAsia="en-GB"/>
        </w:rPr>
        <w:t>[2017] TASSC 23.</w:t>
      </w:r>
      <w:r w:rsidRPr="00993771">
        <w:rPr>
          <w:rFonts w:ascii="Cambria" w:eastAsia="Times New Roman" w:hAnsi="Cambria" w:cs="Times New Roman"/>
          <w:color w:val="000000"/>
          <w:bdr w:val="none" w:sz="0" w:space="0" w:color="auto" w:frame="1"/>
          <w:shd w:val="clear" w:color="auto" w:fill="FFFFFF"/>
          <w:lang w:eastAsia="en-GB"/>
        </w:rPr>
        <w:t xml:space="preserve"> </w:t>
      </w:r>
    </w:p>
  </w:footnote>
  <w:footnote w:id="6">
    <w:p w14:paraId="5814F0C3" w14:textId="77777777" w:rsidR="00B472E4" w:rsidRPr="00993771" w:rsidRDefault="00B472E4" w:rsidP="00B472E4">
      <w:pPr>
        <w:pStyle w:val="FootnoteText"/>
        <w:rPr>
          <w:rFonts w:ascii="Cambria" w:hAnsi="Cambria"/>
        </w:rPr>
      </w:pPr>
      <w:r w:rsidRPr="00993771">
        <w:rPr>
          <w:rStyle w:val="FootnoteReference"/>
          <w:rFonts w:ascii="Cambria" w:hAnsi="Cambria"/>
        </w:rPr>
        <w:footnoteRef/>
      </w:r>
      <w:r w:rsidRPr="00993771">
        <w:rPr>
          <w:rFonts w:ascii="Cambria" w:hAnsi="Cambria"/>
        </w:rPr>
        <w:t xml:space="preserve"> </w:t>
      </w:r>
      <w:r w:rsidRPr="00B472E4">
        <w:rPr>
          <w:rFonts w:ascii="Cambria" w:hAnsi="Cambria"/>
          <w:i/>
          <w:iCs/>
          <w:sz w:val="20"/>
          <w:szCs w:val="20"/>
        </w:rPr>
        <w:t>State of Tasmania v Benjamin Joseph</w:t>
      </w:r>
      <w:r w:rsidRPr="00B472E4">
        <w:rPr>
          <w:rFonts w:ascii="Cambria" w:hAnsi="Cambria"/>
          <w:sz w:val="20"/>
          <w:szCs w:val="20"/>
        </w:rPr>
        <w:t xml:space="preserve"> (comments on passing judgment) 27 April 2017 per Brett J.</w:t>
      </w:r>
      <w:r w:rsidRPr="00993771">
        <w:rPr>
          <w:rFonts w:ascii="Cambria" w:hAnsi="Cambria"/>
        </w:rPr>
        <w:t xml:space="preserve"> </w:t>
      </w:r>
    </w:p>
  </w:footnote>
  <w:footnote w:id="7">
    <w:p w14:paraId="3C2F99FE" w14:textId="77777777" w:rsidR="00B472E4" w:rsidRPr="00993771" w:rsidRDefault="00B472E4" w:rsidP="00B472E4">
      <w:pPr>
        <w:pStyle w:val="FootnoteText"/>
        <w:rPr>
          <w:rFonts w:ascii="Cambria" w:hAnsi="Cambria"/>
          <w:color w:val="000000" w:themeColor="text1"/>
        </w:rPr>
      </w:pPr>
      <w:r w:rsidRPr="00993771">
        <w:rPr>
          <w:rStyle w:val="FootnoteReference"/>
          <w:rFonts w:ascii="Cambria" w:hAnsi="Cambria"/>
          <w:color w:val="000000" w:themeColor="text1"/>
        </w:rPr>
        <w:footnoteRef/>
      </w:r>
      <w:r w:rsidRPr="00993771">
        <w:rPr>
          <w:rFonts w:ascii="Cambria" w:hAnsi="Cambria"/>
          <w:color w:val="000000" w:themeColor="text1"/>
        </w:rPr>
        <w:t xml:space="preserve"> </w:t>
      </w:r>
      <w:r w:rsidRPr="00971DD2">
        <w:rPr>
          <w:rFonts w:ascii="Cambria" w:eastAsia="Times New Roman" w:hAnsi="Cambria" w:cs="Times New Roman"/>
          <w:color w:val="000000" w:themeColor="text1"/>
          <w:sz w:val="20"/>
          <w:szCs w:val="20"/>
          <w:bdr w:val="none" w:sz="0" w:space="0" w:color="auto" w:frame="1"/>
          <w:shd w:val="clear" w:color="auto" w:fill="FFFFFF"/>
          <w:lang w:eastAsia="en-GB"/>
        </w:rPr>
        <w:t xml:space="preserve">[2017] TASSC 23 at </w:t>
      </w:r>
      <w:r w:rsidRPr="00971DD2">
        <w:rPr>
          <w:rFonts w:ascii="Cambria" w:eastAsia="Times New Roman" w:hAnsi="Cambria" w:cs="Times New Roman"/>
          <w:color w:val="000000" w:themeColor="text1"/>
          <w:sz w:val="20"/>
          <w:szCs w:val="20"/>
          <w:bdr w:val="none" w:sz="0" w:space="0" w:color="auto" w:frame="1"/>
          <w:lang w:eastAsia="en-GB"/>
        </w:rPr>
        <w:t xml:space="preserve">para. 34. </w:t>
      </w:r>
    </w:p>
  </w:footnote>
  <w:footnote w:id="8">
    <w:p w14:paraId="09337F7E" w14:textId="77777777" w:rsidR="00B472E4" w:rsidRPr="00993771" w:rsidRDefault="00B472E4" w:rsidP="00B472E4">
      <w:pPr>
        <w:pStyle w:val="FootnoteText"/>
        <w:rPr>
          <w:rFonts w:ascii="Cambria" w:hAnsi="Cambria"/>
          <w:color w:val="000000" w:themeColor="text1"/>
        </w:rPr>
      </w:pPr>
      <w:r w:rsidRPr="00993771">
        <w:rPr>
          <w:rStyle w:val="FootnoteReference"/>
          <w:rFonts w:ascii="Cambria" w:hAnsi="Cambria"/>
          <w:color w:val="000000" w:themeColor="text1"/>
        </w:rPr>
        <w:footnoteRef/>
      </w:r>
      <w:r w:rsidRPr="00993771">
        <w:rPr>
          <w:rFonts w:ascii="Cambria" w:hAnsi="Cambria"/>
          <w:color w:val="000000" w:themeColor="text1"/>
        </w:rPr>
        <w:t xml:space="preserve"> </w:t>
      </w:r>
      <w:r w:rsidRPr="00971DD2">
        <w:rPr>
          <w:rFonts w:ascii="Cambria" w:eastAsia="Times New Roman" w:hAnsi="Cambria" w:cs="Times New Roman"/>
          <w:color w:val="000000" w:themeColor="text1"/>
          <w:sz w:val="20"/>
          <w:szCs w:val="20"/>
          <w:bdr w:val="none" w:sz="0" w:space="0" w:color="auto" w:frame="1"/>
          <w:shd w:val="clear" w:color="auto" w:fill="FFFFFF"/>
          <w:lang w:eastAsia="en-GB"/>
        </w:rPr>
        <w:t xml:space="preserve">[2017] TASSC 23 at </w:t>
      </w:r>
      <w:r w:rsidRPr="00971DD2">
        <w:rPr>
          <w:rFonts w:ascii="Cambria" w:eastAsia="Times New Roman" w:hAnsi="Cambria" w:cs="Times New Roman"/>
          <w:color w:val="000000" w:themeColor="text1"/>
          <w:sz w:val="20"/>
          <w:szCs w:val="20"/>
          <w:bdr w:val="none" w:sz="0" w:space="0" w:color="auto" w:frame="1"/>
          <w:lang w:eastAsia="en-GB"/>
        </w:rPr>
        <w:t>para. 35.</w:t>
      </w:r>
    </w:p>
  </w:footnote>
  <w:footnote w:id="9">
    <w:p w14:paraId="5F95240B" w14:textId="77777777" w:rsidR="00971DD2" w:rsidRPr="00993771" w:rsidRDefault="00971DD2" w:rsidP="00971DD2">
      <w:pPr>
        <w:pStyle w:val="FootnoteText"/>
        <w:rPr>
          <w:rFonts w:ascii="Cambria" w:hAnsi="Cambria"/>
          <w:color w:val="000000" w:themeColor="text1"/>
        </w:rPr>
      </w:pPr>
      <w:r w:rsidRPr="00993771">
        <w:rPr>
          <w:rStyle w:val="FootnoteReference"/>
          <w:rFonts w:ascii="Cambria" w:hAnsi="Cambria"/>
          <w:color w:val="000000" w:themeColor="text1"/>
        </w:rPr>
        <w:footnoteRef/>
      </w:r>
      <w:r w:rsidRPr="00993771">
        <w:rPr>
          <w:rFonts w:ascii="Cambria" w:hAnsi="Cambria"/>
          <w:color w:val="000000" w:themeColor="text1"/>
        </w:rPr>
        <w:t xml:space="preserve"> </w:t>
      </w:r>
      <w:r w:rsidRPr="00242551">
        <w:rPr>
          <w:rFonts w:ascii="Cambria" w:eastAsia="Times New Roman" w:hAnsi="Cambria" w:cs="Times New Roman"/>
          <w:color w:val="000000" w:themeColor="text1"/>
          <w:sz w:val="20"/>
          <w:szCs w:val="20"/>
          <w:bdr w:val="none" w:sz="0" w:space="0" w:color="auto" w:frame="1"/>
          <w:lang w:eastAsia="en-GB"/>
        </w:rPr>
        <w:t xml:space="preserve">[2021] TASCCA 3 at para 32 per Martin AJ; Marshall AJ and Porter AJ in agreement. See also </w:t>
      </w:r>
      <w:r w:rsidRPr="00242551">
        <w:rPr>
          <w:rFonts w:ascii="Cambria" w:eastAsia="Times New Roman" w:hAnsi="Cambria" w:cs="Times New Roman"/>
          <w:i/>
          <w:iCs/>
          <w:color w:val="000000" w:themeColor="text1"/>
          <w:sz w:val="20"/>
          <w:szCs w:val="20"/>
          <w:bdr w:val="none" w:sz="0" w:space="0" w:color="auto" w:frame="1"/>
          <w:lang w:eastAsia="en-GB"/>
        </w:rPr>
        <w:t>State of Tasmania v Cameron Clark </w:t>
      </w:r>
      <w:r w:rsidRPr="00242551">
        <w:rPr>
          <w:rFonts w:ascii="Cambria" w:eastAsia="Times New Roman" w:hAnsi="Cambria" w:cs="Times New Roman"/>
          <w:color w:val="000000" w:themeColor="text1"/>
          <w:sz w:val="20"/>
          <w:szCs w:val="20"/>
          <w:bdr w:val="none" w:sz="0" w:space="0" w:color="auto" w:frame="1"/>
          <w:lang w:eastAsia="en-GB"/>
        </w:rPr>
        <w:t>(comments on passing sentence) 6</w:t>
      </w:r>
      <w:r w:rsidRPr="00242551">
        <w:rPr>
          <w:rFonts w:ascii="Cambria" w:eastAsia="Times New Roman" w:hAnsi="Cambria" w:cs="Times New Roman"/>
          <w:color w:val="000000" w:themeColor="text1"/>
          <w:sz w:val="20"/>
          <w:szCs w:val="20"/>
          <w:bdr w:val="none" w:sz="0" w:space="0" w:color="auto" w:frame="1"/>
          <w:vertAlign w:val="superscript"/>
          <w:lang w:eastAsia="en-GB"/>
        </w:rPr>
        <w:t xml:space="preserve"> </w:t>
      </w:r>
      <w:r w:rsidRPr="00242551">
        <w:rPr>
          <w:rFonts w:ascii="Cambria" w:eastAsia="Times New Roman" w:hAnsi="Cambria" w:cs="Times New Roman"/>
          <w:color w:val="000000" w:themeColor="text1"/>
          <w:sz w:val="20"/>
          <w:szCs w:val="20"/>
          <w:bdr w:val="none" w:sz="0" w:space="0" w:color="auto" w:frame="1"/>
          <w:lang w:eastAsia="en-GB"/>
        </w:rPr>
        <w:t>November 2018 per Estcourt J.</w:t>
      </w:r>
      <w:r w:rsidRPr="00993771">
        <w:rPr>
          <w:rFonts w:ascii="Cambria" w:eastAsia="Times New Roman" w:hAnsi="Cambria" w:cs="Times New Roman"/>
          <w:color w:val="000000" w:themeColor="text1"/>
          <w:bdr w:val="none" w:sz="0" w:space="0" w:color="auto" w:frame="1"/>
          <w:lang w:eastAsia="en-GB"/>
        </w:rPr>
        <w:t xml:space="preserve"> </w:t>
      </w:r>
      <w:r w:rsidRPr="00993771">
        <w:rPr>
          <w:rFonts w:ascii="Cambria" w:hAnsi="Cambria"/>
          <w:color w:val="000000" w:themeColor="text1"/>
        </w:rPr>
        <w:t xml:space="preserve">   </w:t>
      </w:r>
    </w:p>
  </w:footnote>
  <w:footnote w:id="10">
    <w:p w14:paraId="2955ED61" w14:textId="7AB62488" w:rsidR="00A418C4" w:rsidRPr="00A213A1" w:rsidRDefault="00A418C4" w:rsidP="00A213A1">
      <w:pPr>
        <w:rPr>
          <w:lang w:val="en-AU" w:eastAsia="en-GB"/>
        </w:rPr>
      </w:pPr>
      <w:r w:rsidRPr="00993771">
        <w:rPr>
          <w:rStyle w:val="FootnoteReference"/>
          <w:rFonts w:ascii="Cambria" w:hAnsi="Cambria"/>
        </w:rPr>
        <w:footnoteRef/>
      </w:r>
      <w:r w:rsidRPr="00993771">
        <w:rPr>
          <w:rFonts w:ascii="Cambria" w:hAnsi="Cambria"/>
        </w:rPr>
        <w:t xml:space="preserve"> </w:t>
      </w:r>
      <w:r w:rsidR="002D58BC" w:rsidRPr="002D58BC">
        <w:rPr>
          <w:rFonts w:ascii="Cambria" w:hAnsi="Cambria"/>
          <w:i/>
          <w:iCs/>
          <w:color w:val="000000"/>
          <w:sz w:val="20"/>
          <w:szCs w:val="20"/>
          <w:lang w:val="en-AU" w:eastAsia="en-GB"/>
        </w:rPr>
        <w:t>State of Tasmania v Adam Halbwirth</w:t>
      </w:r>
      <w:r w:rsidR="002D58BC" w:rsidRPr="002D58BC">
        <w:rPr>
          <w:rFonts w:ascii="Cambria" w:hAnsi="Cambria"/>
          <w:color w:val="000000"/>
          <w:sz w:val="20"/>
          <w:szCs w:val="20"/>
          <w:lang w:val="en-AU" w:eastAsia="en-GB"/>
        </w:rPr>
        <w:t xml:space="preserve"> (comments on passing sentence) 6 December 2018; </w:t>
      </w:r>
      <w:r w:rsidRPr="002D58BC">
        <w:rPr>
          <w:rFonts w:ascii="Cambria" w:hAnsi="Cambria"/>
          <w:i/>
          <w:iCs/>
          <w:color w:val="000000" w:themeColor="text1"/>
          <w:sz w:val="20"/>
          <w:szCs w:val="20"/>
        </w:rPr>
        <w:t>State of</w:t>
      </w:r>
      <w:r w:rsidR="00BF5F2A">
        <w:rPr>
          <w:rFonts w:ascii="Cambria" w:hAnsi="Cambria"/>
          <w:i/>
          <w:iCs/>
          <w:color w:val="000000" w:themeColor="text1"/>
          <w:sz w:val="20"/>
          <w:szCs w:val="20"/>
        </w:rPr>
        <w:t xml:space="preserve"> </w:t>
      </w:r>
      <w:r w:rsidRPr="002D58BC">
        <w:rPr>
          <w:rFonts w:ascii="Cambria" w:hAnsi="Cambria"/>
          <w:i/>
          <w:iCs/>
          <w:color w:val="000000" w:themeColor="text1"/>
          <w:sz w:val="20"/>
          <w:szCs w:val="20"/>
        </w:rPr>
        <w:t>Tasmania v Brook Targett</w:t>
      </w:r>
      <w:r w:rsidRPr="002D58BC">
        <w:rPr>
          <w:rFonts w:ascii="Cambria" w:hAnsi="Cambria"/>
          <w:color w:val="000000" w:themeColor="text1"/>
          <w:sz w:val="20"/>
          <w:szCs w:val="20"/>
        </w:rPr>
        <w:t xml:space="preserve"> </w:t>
      </w:r>
      <w:r w:rsidRPr="002D58BC">
        <w:rPr>
          <w:rFonts w:ascii="Cambria" w:hAnsi="Cambria"/>
          <w:color w:val="000000" w:themeColor="text1"/>
          <w:sz w:val="20"/>
          <w:szCs w:val="20"/>
          <w:bdr w:val="none" w:sz="0" w:space="0" w:color="auto" w:frame="1"/>
          <w:shd w:val="clear" w:color="auto" w:fill="FFFFFF"/>
        </w:rPr>
        <w:t>(comments on passing sentence) 12 February 2019 per Brett J</w:t>
      </w:r>
      <w:r w:rsidR="002D58BC" w:rsidRPr="002D58BC">
        <w:rPr>
          <w:rFonts w:ascii="Cambria" w:hAnsi="Cambria"/>
          <w:color w:val="000000" w:themeColor="text1"/>
          <w:sz w:val="20"/>
          <w:szCs w:val="20"/>
          <w:bdr w:val="none" w:sz="0" w:space="0" w:color="auto" w:frame="1"/>
          <w:shd w:val="clear" w:color="auto" w:fill="FFFFFF"/>
        </w:rPr>
        <w:t>.</w:t>
      </w:r>
    </w:p>
  </w:footnote>
  <w:footnote w:id="11">
    <w:p w14:paraId="0EA8DC96" w14:textId="77777777" w:rsidR="00242551" w:rsidRPr="00993771" w:rsidRDefault="00242551" w:rsidP="00242551">
      <w:pPr>
        <w:pStyle w:val="FootnoteText"/>
        <w:rPr>
          <w:rFonts w:ascii="Cambria" w:hAnsi="Cambria"/>
        </w:rPr>
      </w:pPr>
      <w:r w:rsidRPr="00993771">
        <w:rPr>
          <w:rStyle w:val="FootnoteReference"/>
          <w:rFonts w:ascii="Cambria" w:hAnsi="Cambria"/>
        </w:rPr>
        <w:footnoteRef/>
      </w:r>
      <w:r w:rsidRPr="00993771">
        <w:rPr>
          <w:rFonts w:ascii="Cambria" w:hAnsi="Cambria"/>
        </w:rPr>
        <w:t xml:space="preserve"> </w:t>
      </w:r>
      <w:r w:rsidRPr="00242551">
        <w:rPr>
          <w:rFonts w:ascii="Cambria" w:hAnsi="Cambria"/>
          <w:color w:val="000000"/>
          <w:sz w:val="20"/>
          <w:szCs w:val="20"/>
          <w:bdr w:val="none" w:sz="0" w:space="0" w:color="auto" w:frame="1"/>
          <w:shd w:val="clear" w:color="auto" w:fill="FFFFFF"/>
        </w:rPr>
        <w:t xml:space="preserve">See </w:t>
      </w:r>
      <w:r w:rsidRPr="00242551">
        <w:rPr>
          <w:rFonts w:ascii="Cambria" w:eastAsia="Times New Roman" w:hAnsi="Cambria" w:cs="Times New Roman"/>
          <w:color w:val="0A1633"/>
          <w:sz w:val="20"/>
          <w:szCs w:val="20"/>
          <w:shd w:val="clear" w:color="auto" w:fill="FFFFFF"/>
          <w:lang w:eastAsia="en-GB"/>
        </w:rPr>
        <w:t xml:space="preserve">section 12A(1)(b) of the </w:t>
      </w:r>
      <w:r w:rsidRPr="00242551">
        <w:rPr>
          <w:rFonts w:ascii="Cambria" w:eastAsia="Times New Roman" w:hAnsi="Cambria" w:cs="Times New Roman"/>
          <w:i/>
          <w:iCs/>
          <w:color w:val="0A1633"/>
          <w:sz w:val="20"/>
          <w:szCs w:val="20"/>
          <w:shd w:val="clear" w:color="auto" w:fill="FFFFFF"/>
          <w:lang w:eastAsia="en-GB"/>
        </w:rPr>
        <w:t>Crimes (Sentencing) Act 2005</w:t>
      </w:r>
      <w:r w:rsidRPr="00242551">
        <w:rPr>
          <w:rFonts w:ascii="Cambria" w:eastAsia="Times New Roman" w:hAnsi="Cambria" w:cs="Times New Roman"/>
          <w:color w:val="0A1633"/>
          <w:sz w:val="20"/>
          <w:szCs w:val="20"/>
          <w:shd w:val="clear" w:color="auto" w:fill="FFFFFF"/>
          <w:lang w:eastAsia="en-GB"/>
        </w:rPr>
        <w:t xml:space="preserve"> (ACT); section 18Z(1)(d)(ii) of the </w:t>
      </w:r>
      <w:r w:rsidRPr="00242551">
        <w:rPr>
          <w:rFonts w:ascii="Cambria" w:eastAsia="Times New Roman" w:hAnsi="Cambria" w:cs="Times New Roman"/>
          <w:i/>
          <w:iCs/>
          <w:color w:val="0A1633"/>
          <w:sz w:val="20"/>
          <w:szCs w:val="20"/>
          <w:shd w:val="clear" w:color="auto" w:fill="FFFFFF"/>
          <w:lang w:eastAsia="en-GB"/>
        </w:rPr>
        <w:t>Sentencing Act 1991</w:t>
      </w:r>
      <w:r w:rsidRPr="00242551">
        <w:rPr>
          <w:rFonts w:ascii="Cambria" w:eastAsia="Times New Roman" w:hAnsi="Cambria" w:cs="Times New Roman"/>
          <w:color w:val="0A1633"/>
          <w:sz w:val="20"/>
          <w:szCs w:val="20"/>
          <w:shd w:val="clear" w:color="auto" w:fill="FFFFFF"/>
          <w:lang w:eastAsia="en-GB"/>
        </w:rPr>
        <w:t xml:space="preserve"> (Vic).</w:t>
      </w:r>
      <w:r w:rsidRPr="00993771">
        <w:rPr>
          <w:rFonts w:ascii="Cambria" w:eastAsia="Times New Roman" w:hAnsi="Cambria" w:cs="Times New Roman"/>
          <w:color w:val="0A1633"/>
          <w:shd w:val="clear" w:color="auto" w:fill="FFFFFF"/>
          <w:lang w:eastAsia="en-GB"/>
        </w:rPr>
        <w:t xml:space="preserve">    </w:t>
      </w:r>
    </w:p>
  </w:footnote>
  <w:footnote w:id="12">
    <w:p w14:paraId="5D7A70B5" w14:textId="77777777" w:rsidR="00242551" w:rsidRPr="00993771" w:rsidRDefault="00242551" w:rsidP="00242551">
      <w:pPr>
        <w:pStyle w:val="FootnoteText"/>
        <w:rPr>
          <w:rFonts w:ascii="Cambria" w:hAnsi="Cambria"/>
        </w:rPr>
      </w:pPr>
      <w:r w:rsidRPr="00993771">
        <w:rPr>
          <w:rStyle w:val="FootnoteReference"/>
          <w:rFonts w:ascii="Cambria" w:hAnsi="Cambria"/>
        </w:rPr>
        <w:footnoteRef/>
      </w:r>
      <w:r w:rsidRPr="00993771">
        <w:rPr>
          <w:rFonts w:ascii="Cambria" w:hAnsi="Cambria"/>
        </w:rPr>
        <w:t xml:space="preserve"> </w:t>
      </w:r>
      <w:r w:rsidRPr="00242551">
        <w:rPr>
          <w:rFonts w:ascii="Cambria" w:hAnsi="Cambria"/>
          <w:color w:val="000000"/>
          <w:sz w:val="20"/>
          <w:szCs w:val="20"/>
          <w:bdr w:val="none" w:sz="0" w:space="0" w:color="auto" w:frame="1"/>
          <w:shd w:val="clear" w:color="auto" w:fill="FFFFFF"/>
        </w:rPr>
        <w:t>See sub</w:t>
      </w:r>
      <w:r w:rsidRPr="00242551">
        <w:rPr>
          <w:rFonts w:ascii="Cambria" w:eastAsia="Times New Roman" w:hAnsi="Cambria" w:cs="Times New Roman"/>
          <w:color w:val="0A1633"/>
          <w:sz w:val="20"/>
          <w:szCs w:val="20"/>
          <w:shd w:val="clear" w:color="auto" w:fill="FFFFFF"/>
          <w:lang w:eastAsia="en-GB"/>
        </w:rPr>
        <w:t xml:space="preserve">sections 12A(1)(a) and 12A(1)(9) of the </w:t>
      </w:r>
      <w:r w:rsidRPr="00242551">
        <w:rPr>
          <w:rFonts w:ascii="Cambria" w:eastAsia="Times New Roman" w:hAnsi="Cambria" w:cs="Times New Roman"/>
          <w:i/>
          <w:iCs/>
          <w:color w:val="0A1633"/>
          <w:sz w:val="20"/>
          <w:szCs w:val="20"/>
          <w:shd w:val="clear" w:color="auto" w:fill="FFFFFF"/>
          <w:lang w:eastAsia="en-GB"/>
        </w:rPr>
        <w:t>Crimes (Sentencing) Act 2005</w:t>
      </w:r>
      <w:r w:rsidRPr="00242551">
        <w:rPr>
          <w:rFonts w:ascii="Cambria" w:eastAsia="Times New Roman" w:hAnsi="Cambria" w:cs="Times New Roman"/>
          <w:color w:val="0A1633"/>
          <w:sz w:val="20"/>
          <w:szCs w:val="20"/>
          <w:shd w:val="clear" w:color="auto" w:fill="FFFFFF"/>
          <w:lang w:eastAsia="en-GB"/>
        </w:rPr>
        <w:t xml:space="preserve"> (ACT).</w:t>
      </w:r>
    </w:p>
  </w:footnote>
  <w:footnote w:id="13">
    <w:p w14:paraId="3D42BB94" w14:textId="77777777" w:rsidR="00242551" w:rsidRPr="00993771" w:rsidRDefault="00242551" w:rsidP="00242551">
      <w:pPr>
        <w:pStyle w:val="FootnoteText"/>
        <w:rPr>
          <w:rFonts w:ascii="Cambria" w:hAnsi="Cambria"/>
        </w:rPr>
      </w:pPr>
      <w:r w:rsidRPr="00993771">
        <w:rPr>
          <w:rStyle w:val="FootnoteReference"/>
          <w:rFonts w:ascii="Cambria" w:hAnsi="Cambria"/>
        </w:rPr>
        <w:footnoteRef/>
      </w:r>
      <w:r w:rsidRPr="00993771">
        <w:rPr>
          <w:rFonts w:ascii="Cambria" w:hAnsi="Cambria"/>
        </w:rPr>
        <w:t xml:space="preserve"> </w:t>
      </w:r>
      <w:r w:rsidRPr="00242551">
        <w:rPr>
          <w:rFonts w:ascii="Cambria" w:hAnsi="Cambria"/>
          <w:color w:val="000000"/>
          <w:sz w:val="20"/>
          <w:szCs w:val="20"/>
          <w:bdr w:val="none" w:sz="0" w:space="0" w:color="auto" w:frame="1"/>
          <w:shd w:val="clear" w:color="auto" w:fill="FFFFFF"/>
        </w:rPr>
        <w:t>S</w:t>
      </w:r>
      <w:r w:rsidRPr="00242551">
        <w:rPr>
          <w:rFonts w:ascii="Cambria" w:eastAsia="Times New Roman" w:hAnsi="Cambria" w:cs="Times New Roman"/>
          <w:color w:val="0A1633"/>
          <w:sz w:val="20"/>
          <w:szCs w:val="20"/>
          <w:shd w:val="clear" w:color="auto" w:fill="FFFFFF"/>
          <w:lang w:eastAsia="en-GB"/>
        </w:rPr>
        <w:t xml:space="preserve">ection 80ZA of the </w:t>
      </w:r>
      <w:r w:rsidRPr="00242551">
        <w:rPr>
          <w:rFonts w:ascii="Cambria" w:eastAsia="Times New Roman" w:hAnsi="Cambria" w:cs="Times New Roman"/>
          <w:i/>
          <w:iCs/>
          <w:color w:val="0A1633"/>
          <w:sz w:val="20"/>
          <w:szCs w:val="20"/>
          <w:shd w:val="clear" w:color="auto" w:fill="FFFFFF"/>
          <w:lang w:eastAsia="en-GB"/>
        </w:rPr>
        <w:t>Crimes (Sentencing) Act 2005</w:t>
      </w:r>
      <w:r w:rsidRPr="00242551">
        <w:rPr>
          <w:rFonts w:ascii="Cambria" w:eastAsia="Times New Roman" w:hAnsi="Cambria" w:cs="Times New Roman"/>
          <w:color w:val="0A1633"/>
          <w:sz w:val="20"/>
          <w:szCs w:val="20"/>
          <w:shd w:val="clear" w:color="auto" w:fill="FFFFFF"/>
          <w:lang w:eastAsia="en-GB"/>
        </w:rPr>
        <w:t xml:space="preserve"> (ACT).</w:t>
      </w:r>
    </w:p>
  </w:footnote>
  <w:footnote w:id="14">
    <w:p w14:paraId="4422DEDA" w14:textId="77777777" w:rsidR="00242551" w:rsidRPr="0074583F" w:rsidRDefault="00242551" w:rsidP="00242551">
      <w:pPr>
        <w:rPr>
          <w:rFonts w:ascii="Cambria" w:hAnsi="Cambria"/>
          <w:color w:val="0A1633"/>
          <w:sz w:val="20"/>
          <w:szCs w:val="20"/>
          <w:shd w:val="clear" w:color="auto" w:fill="FFFFFF"/>
          <w:lang w:eastAsia="en-GB"/>
        </w:rPr>
      </w:pPr>
      <w:r w:rsidRPr="00E56296">
        <w:rPr>
          <w:rStyle w:val="FootnoteReference"/>
          <w:rFonts w:ascii="Cambria" w:hAnsi="Cambria"/>
        </w:rPr>
        <w:footnoteRef/>
      </w:r>
      <w:r w:rsidRPr="00E56296">
        <w:rPr>
          <w:rFonts w:ascii="Cambria" w:hAnsi="Cambria"/>
        </w:rPr>
        <w:t xml:space="preserve"> </w:t>
      </w:r>
      <w:r w:rsidRPr="00242551">
        <w:rPr>
          <w:rFonts w:ascii="Cambria" w:hAnsi="Cambria"/>
          <w:color w:val="0A1633"/>
          <w:sz w:val="20"/>
          <w:szCs w:val="20"/>
          <w:shd w:val="clear" w:color="auto" w:fill="FFFFFF"/>
          <w:lang w:val="en-AU" w:eastAsia="en-GB"/>
        </w:rPr>
        <w:t xml:space="preserve">For example, </w:t>
      </w:r>
      <w:r w:rsidRPr="00242551">
        <w:rPr>
          <w:rFonts w:ascii="Cambria" w:hAnsi="Cambria"/>
          <w:i/>
          <w:iCs/>
          <w:color w:val="0A1633"/>
          <w:sz w:val="20"/>
          <w:szCs w:val="20"/>
          <w:shd w:val="clear" w:color="auto" w:fill="FFFFFF"/>
          <w:lang w:val="en-AU" w:eastAsia="en-GB"/>
        </w:rPr>
        <w:t>R v Jake Blackburn</w:t>
      </w:r>
      <w:r w:rsidRPr="00242551">
        <w:rPr>
          <w:rFonts w:ascii="Cambria" w:hAnsi="Cambria"/>
          <w:color w:val="0A1633"/>
          <w:sz w:val="20"/>
          <w:szCs w:val="20"/>
          <w:shd w:val="clear" w:color="auto" w:fill="FFFFFF"/>
          <w:lang w:val="en-AU" w:eastAsia="en-GB"/>
        </w:rPr>
        <w:t xml:space="preserve"> [2020] ACTSC in which the offender was sentenced to three years and six months imprisonment for a range of offences including aggravated burglary, theft, assault and </w:t>
      </w:r>
      <w:r w:rsidRPr="0074583F">
        <w:rPr>
          <w:rFonts w:ascii="Cambria" w:hAnsi="Cambria"/>
          <w:color w:val="0A1633"/>
          <w:sz w:val="20"/>
          <w:szCs w:val="20"/>
          <w:shd w:val="clear" w:color="auto" w:fill="FFFFFF"/>
          <w:lang w:val="en-AU" w:eastAsia="en-GB"/>
        </w:rPr>
        <w:t xml:space="preserve">aggravated dangerous driving; </w:t>
      </w:r>
      <w:r w:rsidRPr="0074583F">
        <w:rPr>
          <w:rFonts w:ascii="Cambria" w:hAnsi="Cambria"/>
          <w:i/>
          <w:iCs/>
          <w:color w:val="0A1633"/>
          <w:sz w:val="20"/>
          <w:szCs w:val="20"/>
          <w:shd w:val="clear" w:color="auto" w:fill="FFFFFF"/>
          <w:lang w:val="en-AU" w:eastAsia="en-GB"/>
        </w:rPr>
        <w:t>R v Patrik Pelecky</w:t>
      </w:r>
      <w:r w:rsidRPr="0074583F">
        <w:rPr>
          <w:rFonts w:ascii="Cambria" w:hAnsi="Cambria"/>
          <w:color w:val="0A1633"/>
          <w:sz w:val="20"/>
          <w:szCs w:val="20"/>
          <w:shd w:val="clear" w:color="auto" w:fill="FFFFFF"/>
          <w:lang w:val="en-AU" w:eastAsia="en-GB"/>
        </w:rPr>
        <w:t xml:space="preserve"> (No 2) [2020] ACTSC 370 in which the offender was sentenced to four years imprisonment for 27 offences including aggravated dangerous driving and burglary; </w:t>
      </w:r>
      <w:r w:rsidRPr="0074583F">
        <w:rPr>
          <w:rFonts w:ascii="Cambria" w:hAnsi="Cambria"/>
          <w:i/>
          <w:iCs/>
          <w:color w:val="0A1633"/>
          <w:sz w:val="20"/>
          <w:szCs w:val="20"/>
          <w:shd w:val="clear" w:color="auto" w:fill="FFFFFF"/>
          <w:lang w:val="en-AU" w:eastAsia="en-GB"/>
        </w:rPr>
        <w:t>R v Crystal Parker</w:t>
      </w:r>
      <w:r w:rsidRPr="0074583F">
        <w:rPr>
          <w:rFonts w:ascii="Cambria" w:hAnsi="Cambria"/>
          <w:color w:val="0A1633"/>
          <w:sz w:val="20"/>
          <w:szCs w:val="20"/>
          <w:shd w:val="clear" w:color="auto" w:fill="FFFFFF"/>
          <w:lang w:val="en-AU" w:eastAsia="en-GB"/>
        </w:rPr>
        <w:t xml:space="preserve"> [2020] ACTSC 38 in which the offender was sentenced to three years imprisonment for aggravated robbery; </w:t>
      </w:r>
      <w:r w:rsidRPr="0074583F">
        <w:rPr>
          <w:rFonts w:ascii="Cambria" w:hAnsi="Cambria"/>
          <w:i/>
          <w:iCs/>
          <w:color w:val="0A1633"/>
          <w:sz w:val="20"/>
          <w:szCs w:val="20"/>
          <w:shd w:val="clear" w:color="auto" w:fill="FFFFFF"/>
          <w:lang w:val="en-AU" w:eastAsia="en-GB"/>
        </w:rPr>
        <w:t>R v Charles</w:t>
      </w:r>
      <w:r w:rsidRPr="0074583F">
        <w:rPr>
          <w:rFonts w:ascii="Cambria" w:hAnsi="Cambria"/>
          <w:color w:val="0A1633"/>
          <w:sz w:val="20"/>
          <w:szCs w:val="20"/>
          <w:shd w:val="clear" w:color="auto" w:fill="FFFFFF"/>
          <w:lang w:val="en-AU" w:eastAsia="en-GB"/>
        </w:rPr>
        <w:t xml:space="preserve"> [2020] ACTSC 39 in which the offender was sentenced to two year and one month imprisonment for offences including aggravated burglary with intent to cause harm.        </w:t>
      </w:r>
    </w:p>
  </w:footnote>
  <w:footnote w:id="15">
    <w:p w14:paraId="08CC32FB" w14:textId="77777777" w:rsidR="00242551" w:rsidRPr="0074583F" w:rsidRDefault="00242551" w:rsidP="00242551">
      <w:pPr>
        <w:pStyle w:val="NoSpacing"/>
        <w:rPr>
          <w:rFonts w:ascii="Cambria" w:hAnsi="Cambria"/>
          <w:color w:val="333333"/>
          <w:sz w:val="20"/>
          <w:szCs w:val="20"/>
        </w:rPr>
      </w:pPr>
      <w:r w:rsidRPr="0074583F">
        <w:rPr>
          <w:rStyle w:val="FootnoteReference"/>
          <w:rFonts w:ascii="Cambria" w:hAnsi="Cambria"/>
          <w:sz w:val="20"/>
          <w:szCs w:val="20"/>
        </w:rPr>
        <w:footnoteRef/>
      </w:r>
      <w:r w:rsidRPr="0074583F">
        <w:rPr>
          <w:rFonts w:ascii="Cambria" w:hAnsi="Cambria"/>
          <w:sz w:val="20"/>
          <w:szCs w:val="20"/>
        </w:rPr>
        <w:t xml:space="preserve"> Section 18Z(2B) of the </w:t>
      </w:r>
      <w:r w:rsidRPr="0074583F">
        <w:rPr>
          <w:rFonts w:ascii="Cambria" w:hAnsi="Cambria"/>
          <w:i/>
          <w:iCs/>
          <w:sz w:val="20"/>
          <w:szCs w:val="20"/>
        </w:rPr>
        <w:t>Sentencing Act 1991</w:t>
      </w:r>
      <w:r w:rsidRPr="0074583F">
        <w:rPr>
          <w:rFonts w:ascii="Cambria" w:hAnsi="Cambria"/>
          <w:sz w:val="20"/>
          <w:szCs w:val="20"/>
        </w:rPr>
        <w:t xml:space="preserve"> (Vic). These offences include </w:t>
      </w:r>
      <w:r w:rsidRPr="0074583F">
        <w:rPr>
          <w:rFonts w:ascii="Cambria" w:hAnsi="Cambria"/>
          <w:color w:val="333333"/>
          <w:sz w:val="20"/>
          <w:szCs w:val="20"/>
        </w:rPr>
        <w:t>aggravated home invasion</w:t>
      </w:r>
      <w:bookmarkStart w:id="0" w:name="s10ad"/>
      <w:bookmarkEnd w:id="0"/>
      <w:r w:rsidRPr="0074583F">
        <w:rPr>
          <w:rFonts w:ascii="Cambria" w:hAnsi="Cambria"/>
          <w:color w:val="333333"/>
          <w:sz w:val="20"/>
          <w:szCs w:val="20"/>
        </w:rPr>
        <w:t xml:space="preserve"> and aggravated carjacking</w:t>
      </w:r>
      <w:r w:rsidRPr="0074583F">
        <w:rPr>
          <w:rFonts w:ascii="Cambria" w:hAnsi="Cambria"/>
          <w:sz w:val="20"/>
          <w:szCs w:val="20"/>
        </w:rPr>
        <w:t xml:space="preserve"> as well as certain offences against emergency workers, custodial officers and youth justice custodial workers on duty</w:t>
      </w:r>
      <w:r w:rsidRPr="0074583F">
        <w:rPr>
          <w:rFonts w:ascii="Cambria" w:hAnsi="Cambria"/>
          <w:color w:val="333333"/>
          <w:sz w:val="20"/>
          <w:szCs w:val="20"/>
        </w:rPr>
        <w:t>.</w:t>
      </w:r>
    </w:p>
  </w:footnote>
  <w:footnote w:id="16">
    <w:p w14:paraId="763590F8" w14:textId="1A894182" w:rsidR="009C0215" w:rsidRPr="0074583F" w:rsidRDefault="009C0215">
      <w:pPr>
        <w:pStyle w:val="FootnoteText"/>
        <w:rPr>
          <w:rFonts w:ascii="Cambria" w:hAnsi="Cambria"/>
          <w:lang w:val="en-AU"/>
        </w:rPr>
      </w:pPr>
      <w:r w:rsidRPr="0074583F">
        <w:rPr>
          <w:rStyle w:val="FootnoteReference"/>
          <w:rFonts w:ascii="Cambria" w:hAnsi="Cambria"/>
        </w:rPr>
        <w:footnoteRef/>
      </w:r>
      <w:r w:rsidRPr="0074583F">
        <w:rPr>
          <w:rFonts w:ascii="Cambria" w:hAnsi="Cambria"/>
        </w:rPr>
        <w:t xml:space="preserve"> </w:t>
      </w:r>
      <w:r w:rsidRPr="0074583F">
        <w:rPr>
          <w:rFonts w:ascii="Cambria" w:hAnsi="Cambria"/>
          <w:sz w:val="20"/>
          <w:szCs w:val="20"/>
          <w:lang w:val="en-AU"/>
        </w:rPr>
        <w:t xml:space="preserve">Section 15E of the </w:t>
      </w:r>
      <w:r w:rsidRPr="0074583F">
        <w:rPr>
          <w:rFonts w:ascii="Cambria" w:hAnsi="Cambria"/>
          <w:i/>
          <w:iCs/>
          <w:sz w:val="20"/>
          <w:szCs w:val="20"/>
          <w:lang w:val="en-AU"/>
        </w:rPr>
        <w:t>Penalties and Sentences Act 1992</w:t>
      </w:r>
      <w:r w:rsidRPr="0074583F">
        <w:rPr>
          <w:rFonts w:ascii="Cambria" w:hAnsi="Cambria"/>
          <w:sz w:val="20"/>
          <w:szCs w:val="20"/>
          <w:lang w:val="en-AU"/>
        </w:rPr>
        <w:t xml:space="preserve"> (Qld).</w:t>
      </w:r>
      <w:r w:rsidRPr="0074583F">
        <w:rPr>
          <w:rFonts w:ascii="Cambria" w:hAnsi="Cambria"/>
          <w:lang w:val="en-AU"/>
        </w:rPr>
        <w:t xml:space="preserve"> </w:t>
      </w:r>
    </w:p>
  </w:footnote>
  <w:footnote w:id="17">
    <w:p w14:paraId="03C4C1A2" w14:textId="77777777" w:rsidR="00702164" w:rsidRPr="0074583F" w:rsidRDefault="00702164" w:rsidP="00702164">
      <w:pPr>
        <w:pStyle w:val="FootnoteText"/>
        <w:rPr>
          <w:rFonts w:ascii="Cambria" w:hAnsi="Cambria"/>
          <w:lang w:val="en-AU"/>
        </w:rPr>
      </w:pPr>
      <w:r w:rsidRPr="0074583F">
        <w:rPr>
          <w:rStyle w:val="FootnoteReference"/>
          <w:rFonts w:ascii="Cambria" w:hAnsi="Cambria"/>
        </w:rPr>
        <w:footnoteRef/>
      </w:r>
      <w:r w:rsidRPr="0074583F">
        <w:rPr>
          <w:rFonts w:ascii="Cambria" w:hAnsi="Cambria"/>
        </w:rPr>
        <w:t xml:space="preserve"> </w:t>
      </w:r>
      <w:r w:rsidRPr="0074583F">
        <w:rPr>
          <w:rFonts w:ascii="Cambria" w:hAnsi="Cambria"/>
          <w:color w:val="000000"/>
          <w:sz w:val="20"/>
          <w:szCs w:val="20"/>
          <w:bdr w:val="none" w:sz="0" w:space="0" w:color="auto" w:frame="1"/>
          <w:shd w:val="clear" w:color="auto" w:fill="FFFFFF"/>
        </w:rPr>
        <w:t>S</w:t>
      </w:r>
      <w:r w:rsidRPr="0074583F">
        <w:rPr>
          <w:rFonts w:ascii="Cambria" w:eastAsia="Times New Roman" w:hAnsi="Cambria" w:cs="Times New Roman"/>
          <w:color w:val="0A1633"/>
          <w:sz w:val="20"/>
          <w:szCs w:val="20"/>
          <w:shd w:val="clear" w:color="auto" w:fill="FFFFFF"/>
          <w:lang w:eastAsia="en-GB"/>
        </w:rPr>
        <w:t xml:space="preserve">ection 12A of the </w:t>
      </w:r>
      <w:r w:rsidRPr="0074583F">
        <w:rPr>
          <w:rFonts w:ascii="Cambria" w:eastAsia="Times New Roman" w:hAnsi="Cambria" w:cs="Times New Roman"/>
          <w:i/>
          <w:iCs/>
          <w:color w:val="0A1633"/>
          <w:sz w:val="20"/>
          <w:szCs w:val="20"/>
          <w:shd w:val="clear" w:color="auto" w:fill="FFFFFF"/>
          <w:lang w:eastAsia="en-GB"/>
        </w:rPr>
        <w:t>Crimes (Sentencing) Act 2005</w:t>
      </w:r>
      <w:r w:rsidRPr="0074583F">
        <w:rPr>
          <w:rFonts w:ascii="Cambria" w:eastAsia="Times New Roman" w:hAnsi="Cambria" w:cs="Times New Roman"/>
          <w:color w:val="0A1633"/>
          <w:sz w:val="20"/>
          <w:szCs w:val="20"/>
          <w:shd w:val="clear" w:color="auto" w:fill="FFFFFF"/>
          <w:lang w:eastAsia="en-GB"/>
        </w:rPr>
        <w:t xml:space="preserve"> (ACT); </w:t>
      </w:r>
      <w:r w:rsidRPr="0074583F">
        <w:rPr>
          <w:rFonts w:ascii="Cambria" w:hAnsi="Cambria"/>
          <w:sz w:val="20"/>
          <w:szCs w:val="20"/>
          <w:lang w:val="en-AU"/>
        </w:rPr>
        <w:t xml:space="preserve">Part 8A of the </w:t>
      </w:r>
      <w:r w:rsidRPr="0074583F">
        <w:rPr>
          <w:rFonts w:ascii="Cambria" w:hAnsi="Cambria"/>
          <w:i/>
          <w:iCs/>
          <w:sz w:val="20"/>
          <w:szCs w:val="20"/>
          <w:lang w:val="en-AU"/>
        </w:rPr>
        <w:t>Penalties and Sentences Act 1992</w:t>
      </w:r>
      <w:r w:rsidRPr="0074583F">
        <w:rPr>
          <w:rFonts w:ascii="Cambria" w:hAnsi="Cambria"/>
          <w:sz w:val="20"/>
          <w:szCs w:val="20"/>
          <w:lang w:val="en-AU"/>
        </w:rPr>
        <w:t xml:space="preserve"> (Qld); Division 2, Subdivision (1C) of the </w:t>
      </w:r>
      <w:r w:rsidRPr="0074583F">
        <w:rPr>
          <w:rFonts w:ascii="Cambria" w:hAnsi="Cambria"/>
          <w:i/>
          <w:iCs/>
          <w:sz w:val="20"/>
          <w:szCs w:val="20"/>
          <w:lang w:val="en-AU"/>
        </w:rPr>
        <w:t>Sentencing Act 1991</w:t>
      </w:r>
      <w:r w:rsidRPr="0074583F">
        <w:rPr>
          <w:rFonts w:ascii="Cambria" w:hAnsi="Cambria"/>
          <w:sz w:val="20"/>
          <w:szCs w:val="20"/>
          <w:lang w:val="en-AU"/>
        </w:rPr>
        <w:t xml:space="preserve"> (Vic).</w:t>
      </w:r>
      <w:r w:rsidRPr="0074583F">
        <w:rPr>
          <w:rFonts w:ascii="Cambria" w:hAnsi="Cambria"/>
          <w:lang w:val="en-AU"/>
        </w:rPr>
        <w:t xml:space="preserve">   </w:t>
      </w:r>
    </w:p>
  </w:footnote>
  <w:footnote w:id="18">
    <w:p w14:paraId="2E515872" w14:textId="3F64AAA5" w:rsidR="0074583F" w:rsidRPr="0074583F" w:rsidRDefault="0074583F">
      <w:pPr>
        <w:pStyle w:val="FootnoteText"/>
        <w:rPr>
          <w:rFonts w:ascii="Cambria" w:hAnsi="Cambria"/>
          <w:lang w:val="en-AU"/>
        </w:rPr>
      </w:pPr>
      <w:r w:rsidRPr="0074583F">
        <w:rPr>
          <w:rStyle w:val="FootnoteReference"/>
          <w:rFonts w:ascii="Cambria" w:hAnsi="Cambria"/>
        </w:rPr>
        <w:footnoteRef/>
      </w:r>
      <w:r w:rsidRPr="0074583F">
        <w:rPr>
          <w:rFonts w:ascii="Cambria" w:hAnsi="Cambria"/>
        </w:rPr>
        <w:t xml:space="preserve"> </w:t>
      </w:r>
      <w:r w:rsidRPr="0074583F">
        <w:rPr>
          <w:rFonts w:ascii="Cambria" w:hAnsi="Cambria"/>
          <w:sz w:val="20"/>
          <w:szCs w:val="20"/>
        </w:rPr>
        <w:t xml:space="preserve">Australian Crime Intelligence Commission, </w:t>
      </w:r>
      <w:r w:rsidRPr="0074583F">
        <w:rPr>
          <w:rFonts w:ascii="Cambria" w:hAnsi="Cambria"/>
          <w:i/>
          <w:iCs/>
          <w:sz w:val="20"/>
          <w:szCs w:val="20"/>
        </w:rPr>
        <w:t>National Wastewater Drug Monitoring Program</w:t>
      </w:r>
      <w:r w:rsidRPr="0074583F">
        <w:rPr>
          <w:rFonts w:ascii="Cambria" w:hAnsi="Cambria"/>
          <w:sz w:val="20"/>
          <w:szCs w:val="20"/>
        </w:rPr>
        <w:t xml:space="preserve"> (Report No. 13: 2021) at 14.</w:t>
      </w:r>
      <w:r w:rsidRPr="0074583F">
        <w:rPr>
          <w:rFonts w:ascii="Cambria" w:hAnsi="Cambria"/>
        </w:rPr>
        <w:t xml:space="preserve">   </w:t>
      </w:r>
    </w:p>
  </w:footnote>
  <w:footnote w:id="19">
    <w:p w14:paraId="716E7355" w14:textId="6DC2AE45" w:rsidR="00691B61" w:rsidRPr="00691B61" w:rsidRDefault="00691B61">
      <w:pPr>
        <w:pStyle w:val="FootnoteText"/>
        <w:rPr>
          <w:rFonts w:ascii="Cambria" w:hAnsi="Cambria"/>
          <w:lang w:val="en-AU"/>
        </w:rPr>
      </w:pPr>
      <w:r w:rsidRPr="00691B61">
        <w:rPr>
          <w:rStyle w:val="FootnoteReference"/>
          <w:rFonts w:ascii="Cambria" w:hAnsi="Cambria"/>
        </w:rPr>
        <w:footnoteRef/>
      </w:r>
      <w:r w:rsidRPr="00691B61">
        <w:rPr>
          <w:rFonts w:ascii="Cambria" w:hAnsi="Cambria"/>
        </w:rPr>
        <w:t xml:space="preserve"> </w:t>
      </w:r>
      <w:r w:rsidRPr="00691B61">
        <w:rPr>
          <w:rFonts w:ascii="Cambria" w:hAnsi="Cambria"/>
          <w:sz w:val="20"/>
          <w:szCs w:val="20"/>
        </w:rPr>
        <w:t xml:space="preserve">Australian Government, </w:t>
      </w:r>
      <w:r w:rsidRPr="00691B61">
        <w:rPr>
          <w:rFonts w:ascii="Cambria" w:hAnsi="Cambria"/>
          <w:i/>
          <w:iCs/>
          <w:sz w:val="20"/>
          <w:szCs w:val="20"/>
          <w:lang w:val="en-AU"/>
        </w:rPr>
        <w:t>National Agreement on Closing the Gap</w:t>
      </w:r>
      <w:r w:rsidRPr="00691B61">
        <w:rPr>
          <w:rFonts w:ascii="Cambria" w:hAnsi="Cambria"/>
          <w:sz w:val="20"/>
          <w:szCs w:val="20"/>
          <w:lang w:val="en-AU"/>
        </w:rPr>
        <w:t xml:space="preserve"> (July 2020). As found at </w:t>
      </w:r>
      <w:hyperlink r:id="rId1" w:history="1">
        <w:r w:rsidRPr="00691B61">
          <w:rPr>
            <w:rStyle w:val="Hyperlink"/>
            <w:rFonts w:ascii="Cambria" w:hAnsi="Cambria"/>
            <w:sz w:val="20"/>
            <w:szCs w:val="20"/>
            <w:lang w:val="en-AU"/>
          </w:rPr>
          <w:t>https://www.closingthegap.gov.au/national-agreement/national-agreement-closing-the-gap</w:t>
        </w:r>
      </w:hyperlink>
      <w:r w:rsidRPr="00691B61">
        <w:rPr>
          <w:rFonts w:ascii="Cambria" w:hAnsi="Cambria"/>
          <w:sz w:val="20"/>
          <w:szCs w:val="20"/>
          <w:lang w:val="en-AU"/>
        </w:rPr>
        <w:t xml:space="preserve"> (Accessed 16 September 2021).</w:t>
      </w:r>
      <w:r w:rsidRPr="00691B61">
        <w:rPr>
          <w:rFonts w:ascii="Cambria" w:hAnsi="Cambria"/>
          <w:lang w:val="en-AU"/>
        </w:rPr>
        <w:t xml:space="preserve"> </w:t>
      </w:r>
    </w:p>
  </w:footnote>
  <w:footnote w:id="20">
    <w:p w14:paraId="155BC8F1" w14:textId="77777777" w:rsidR="00691B61" w:rsidRPr="00810085" w:rsidRDefault="00691B61" w:rsidP="00691B61">
      <w:pPr>
        <w:pStyle w:val="FootnoteText"/>
        <w:rPr>
          <w:rFonts w:ascii="Cambria" w:hAnsi="Cambria"/>
          <w:lang w:val="en-AU"/>
        </w:rPr>
      </w:pPr>
      <w:r w:rsidRPr="00810085">
        <w:rPr>
          <w:rStyle w:val="FootnoteReference"/>
          <w:rFonts w:ascii="Cambria" w:hAnsi="Cambria"/>
        </w:rPr>
        <w:footnoteRef/>
      </w:r>
      <w:r w:rsidRPr="00810085">
        <w:rPr>
          <w:rFonts w:ascii="Cambria" w:hAnsi="Cambria"/>
        </w:rPr>
        <w:t xml:space="preserve"> </w:t>
      </w:r>
      <w:r w:rsidRPr="00C95179">
        <w:rPr>
          <w:rFonts w:ascii="Cambria" w:hAnsi="Cambria"/>
          <w:color w:val="000000"/>
          <w:sz w:val="20"/>
          <w:szCs w:val="20"/>
          <w:bdr w:val="none" w:sz="0" w:space="0" w:color="auto" w:frame="1"/>
        </w:rPr>
        <w:t xml:space="preserve">In Tasmania, Aboriginal and Torres Strait Islander persons comprise 5 per cent of the adult population but 16 per cent of the adult prison population: Australian Law Reform Commission, Pathways to Justice – Inquiry into the Incarceration Rate of Aboriginal and Torres Strait Islander Peoples (ALRC Report 133). Figure 3.1. As found at </w:t>
      </w:r>
      <w:hyperlink r:id="rId2" w:history="1">
        <w:r w:rsidRPr="00C95179">
          <w:rPr>
            <w:rStyle w:val="Hyperlink"/>
            <w:rFonts w:ascii="Cambria" w:hAnsi="Cambria"/>
            <w:sz w:val="20"/>
            <w:szCs w:val="20"/>
            <w:bdr w:val="none" w:sz="0" w:space="0" w:color="auto" w:frame="1"/>
          </w:rPr>
          <w:t>https://www.alrc.gov.au/publication/pathways-to-justice-inquiry-into-the-incarceration-rate-of-aboriginal-and-torres-strait-islander-peoples-alrc-report-133/3-incidence/over-representation/</w:t>
        </w:r>
      </w:hyperlink>
      <w:r w:rsidRPr="00C95179">
        <w:rPr>
          <w:rFonts w:ascii="Cambria" w:hAnsi="Cambria"/>
          <w:color w:val="000000"/>
          <w:sz w:val="20"/>
          <w:szCs w:val="20"/>
          <w:bdr w:val="none" w:sz="0" w:space="0" w:color="auto" w:frame="1"/>
        </w:rPr>
        <w:t xml:space="preserve"> (Accessed 16 September 2021).</w:t>
      </w:r>
      <w:r w:rsidRPr="00810085">
        <w:rPr>
          <w:rFonts w:ascii="Cambria" w:hAnsi="Cambria"/>
          <w:color w:val="000000"/>
          <w:bdr w:val="none" w:sz="0" w:space="0" w:color="auto" w:frame="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80F37"/>
    <w:multiLevelType w:val="hybridMultilevel"/>
    <w:tmpl w:val="E590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67F32"/>
    <w:multiLevelType w:val="multilevel"/>
    <w:tmpl w:val="E6366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D2287"/>
    <w:multiLevelType w:val="hybridMultilevel"/>
    <w:tmpl w:val="2DCC7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E269D"/>
    <w:multiLevelType w:val="multilevel"/>
    <w:tmpl w:val="1D084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8A06A3"/>
    <w:multiLevelType w:val="multilevel"/>
    <w:tmpl w:val="A2DA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977EA"/>
    <w:multiLevelType w:val="hybridMultilevel"/>
    <w:tmpl w:val="C21AECA2"/>
    <w:lvl w:ilvl="0" w:tplc="BF140B96">
      <w:start w:val="2020"/>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D7033"/>
    <w:multiLevelType w:val="multilevel"/>
    <w:tmpl w:val="3F6C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8A597B"/>
    <w:multiLevelType w:val="multilevel"/>
    <w:tmpl w:val="13A8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195DF0"/>
    <w:multiLevelType w:val="multilevel"/>
    <w:tmpl w:val="2B887F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A526CF"/>
    <w:multiLevelType w:val="hybridMultilevel"/>
    <w:tmpl w:val="0636C9CA"/>
    <w:lvl w:ilvl="0" w:tplc="344CA6FE">
      <w:start w:val="2020"/>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0"/>
  </w:num>
  <w:num w:numId="5">
    <w:abstractNumId w:val="4"/>
  </w:num>
  <w:num w:numId="6">
    <w:abstractNumId w:val="3"/>
  </w:num>
  <w:num w:numId="7">
    <w:abstractNumId w:val="8"/>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DA"/>
    <w:rsid w:val="00024572"/>
    <w:rsid w:val="00051D24"/>
    <w:rsid w:val="00095661"/>
    <w:rsid w:val="000B709E"/>
    <w:rsid w:val="000D1520"/>
    <w:rsid w:val="001A35B5"/>
    <w:rsid w:val="001C1E96"/>
    <w:rsid w:val="002104E1"/>
    <w:rsid w:val="00215FCE"/>
    <w:rsid w:val="00242551"/>
    <w:rsid w:val="002D58BC"/>
    <w:rsid w:val="003074B6"/>
    <w:rsid w:val="003222EC"/>
    <w:rsid w:val="00326F4D"/>
    <w:rsid w:val="00333554"/>
    <w:rsid w:val="00397E40"/>
    <w:rsid w:val="00461E23"/>
    <w:rsid w:val="00480061"/>
    <w:rsid w:val="00481652"/>
    <w:rsid w:val="00481AF0"/>
    <w:rsid w:val="00487518"/>
    <w:rsid w:val="004B1C3C"/>
    <w:rsid w:val="004D706F"/>
    <w:rsid w:val="005366FF"/>
    <w:rsid w:val="00554EDF"/>
    <w:rsid w:val="005B5F39"/>
    <w:rsid w:val="00630911"/>
    <w:rsid w:val="00633E14"/>
    <w:rsid w:val="006421A1"/>
    <w:rsid w:val="0067280B"/>
    <w:rsid w:val="0068567C"/>
    <w:rsid w:val="00686237"/>
    <w:rsid w:val="00691B61"/>
    <w:rsid w:val="006A13DA"/>
    <w:rsid w:val="006B048D"/>
    <w:rsid w:val="006B7C42"/>
    <w:rsid w:val="006E1111"/>
    <w:rsid w:val="006F0EAF"/>
    <w:rsid w:val="00702164"/>
    <w:rsid w:val="0074583F"/>
    <w:rsid w:val="00774BD4"/>
    <w:rsid w:val="00780BEE"/>
    <w:rsid w:val="00791CBB"/>
    <w:rsid w:val="007A782E"/>
    <w:rsid w:val="00804F44"/>
    <w:rsid w:val="00871ED9"/>
    <w:rsid w:val="008A2898"/>
    <w:rsid w:val="008D15B8"/>
    <w:rsid w:val="00971DD2"/>
    <w:rsid w:val="009918FC"/>
    <w:rsid w:val="009A526D"/>
    <w:rsid w:val="009B5A0C"/>
    <w:rsid w:val="009C0215"/>
    <w:rsid w:val="009C7785"/>
    <w:rsid w:val="00A213A1"/>
    <w:rsid w:val="00A418C4"/>
    <w:rsid w:val="00A91AA0"/>
    <w:rsid w:val="00AC4159"/>
    <w:rsid w:val="00AF7EB5"/>
    <w:rsid w:val="00B00A6C"/>
    <w:rsid w:val="00B023DD"/>
    <w:rsid w:val="00B472E4"/>
    <w:rsid w:val="00BC4661"/>
    <w:rsid w:val="00BF5F2A"/>
    <w:rsid w:val="00C66729"/>
    <w:rsid w:val="00C728FC"/>
    <w:rsid w:val="00C73AD9"/>
    <w:rsid w:val="00CD7BB4"/>
    <w:rsid w:val="00D22E98"/>
    <w:rsid w:val="00D41D07"/>
    <w:rsid w:val="00DD16A9"/>
    <w:rsid w:val="00DF5F65"/>
    <w:rsid w:val="00E42D4C"/>
    <w:rsid w:val="00E56296"/>
    <w:rsid w:val="00E5792B"/>
    <w:rsid w:val="00E61133"/>
    <w:rsid w:val="00E82B3C"/>
    <w:rsid w:val="00EB28D9"/>
    <w:rsid w:val="00EB4F3C"/>
    <w:rsid w:val="00ED0ED7"/>
    <w:rsid w:val="00F55F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A9CDBA9"/>
  <w15:chartTrackingRefBased/>
  <w15:docId w15:val="{264B63EE-3A97-7347-903C-14282C50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3DA"/>
    <w:rPr>
      <w:rFonts w:ascii="Times New Roman" w:eastAsia="Times New Roman" w:hAnsi="Times New Roman"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3DA"/>
    <w:rPr>
      <w:color w:val="0563C1" w:themeColor="hyperlink"/>
      <w:u w:val="single"/>
    </w:rPr>
  </w:style>
  <w:style w:type="table" w:styleId="TableGrid">
    <w:name w:val="Table Grid"/>
    <w:basedOn w:val="TableNormal"/>
    <w:uiPriority w:val="39"/>
    <w:rsid w:val="006A1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3DA"/>
    <w:pPr>
      <w:ind w:left="720"/>
      <w:contextualSpacing/>
    </w:pPr>
    <w:rPr>
      <w:lang w:val="en-AU" w:eastAsia="en-GB"/>
    </w:rPr>
  </w:style>
  <w:style w:type="paragraph" w:styleId="FootnoteText">
    <w:name w:val="footnote text"/>
    <w:aliases w:val="Footnote,Text"/>
    <w:basedOn w:val="Normal"/>
    <w:link w:val="FootnoteTextChar"/>
    <w:uiPriority w:val="99"/>
    <w:unhideWhenUsed/>
    <w:rsid w:val="006A13DA"/>
    <w:rPr>
      <w:rFonts w:asciiTheme="minorHAnsi" w:eastAsiaTheme="minorEastAsia" w:hAnsiTheme="minorHAnsi" w:cstheme="minorBidi"/>
      <w:lang w:val="en-US"/>
    </w:rPr>
  </w:style>
  <w:style w:type="character" w:customStyle="1" w:styleId="FootnoteTextChar">
    <w:name w:val="Footnote Text Char"/>
    <w:aliases w:val="Footnote Char,Text Char"/>
    <w:basedOn w:val="DefaultParagraphFont"/>
    <w:link w:val="FootnoteText"/>
    <w:uiPriority w:val="99"/>
    <w:rsid w:val="006A13DA"/>
    <w:rPr>
      <w:rFonts w:eastAsiaTheme="minorEastAsia"/>
      <w:lang w:val="en-US"/>
    </w:rPr>
  </w:style>
  <w:style w:type="character" w:styleId="FootnoteReference">
    <w:name w:val="footnote reference"/>
    <w:aliases w:val="Ref,de nota al pie"/>
    <w:basedOn w:val="DefaultParagraphFont"/>
    <w:unhideWhenUsed/>
    <w:qFormat/>
    <w:rsid w:val="006A13DA"/>
    <w:rPr>
      <w:vertAlign w:val="superscript"/>
    </w:rPr>
  </w:style>
  <w:style w:type="paragraph" w:styleId="NoSpacing">
    <w:name w:val="No Spacing"/>
    <w:uiPriority w:val="1"/>
    <w:qFormat/>
    <w:rsid w:val="006A13DA"/>
    <w:rPr>
      <w:rFonts w:ascii="Times New Roman" w:eastAsia="Times New Roman" w:hAnsi="Times New Roman" w:cs="Times New Roman"/>
      <w:lang w:eastAsia="en-GB"/>
    </w:rPr>
  </w:style>
  <w:style w:type="character" w:customStyle="1" w:styleId="nlmarticle-title">
    <w:name w:val="nlm_article-title"/>
    <w:basedOn w:val="DefaultParagraphFont"/>
    <w:rsid w:val="006A13DA"/>
  </w:style>
  <w:style w:type="paragraph" w:styleId="Footer">
    <w:name w:val="footer"/>
    <w:basedOn w:val="Normal"/>
    <w:link w:val="FooterChar"/>
    <w:uiPriority w:val="99"/>
    <w:unhideWhenUsed/>
    <w:rsid w:val="006A13DA"/>
    <w:pPr>
      <w:tabs>
        <w:tab w:val="center" w:pos="4513"/>
        <w:tab w:val="right" w:pos="9026"/>
      </w:tabs>
    </w:pPr>
    <w:rPr>
      <w:lang w:val="en-AU" w:eastAsia="en-GB"/>
    </w:rPr>
  </w:style>
  <w:style w:type="character" w:customStyle="1" w:styleId="FooterChar">
    <w:name w:val="Footer Char"/>
    <w:basedOn w:val="DefaultParagraphFont"/>
    <w:link w:val="Footer"/>
    <w:uiPriority w:val="99"/>
    <w:rsid w:val="006A13DA"/>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6A13DA"/>
  </w:style>
  <w:style w:type="paragraph" w:styleId="NormalWeb">
    <w:name w:val="Normal (Web)"/>
    <w:basedOn w:val="Normal"/>
    <w:uiPriority w:val="99"/>
    <w:unhideWhenUsed/>
    <w:rsid w:val="00791CBB"/>
    <w:pPr>
      <w:spacing w:before="100" w:beforeAutospacing="1" w:after="100" w:afterAutospacing="1"/>
    </w:pPr>
    <w:rPr>
      <w:lang w:val="en-AU" w:eastAsia="en-GB"/>
    </w:rPr>
  </w:style>
  <w:style w:type="character" w:styleId="UnresolvedMention">
    <w:name w:val="Unresolved Mention"/>
    <w:basedOn w:val="DefaultParagraphFont"/>
    <w:uiPriority w:val="99"/>
    <w:semiHidden/>
    <w:unhideWhenUsed/>
    <w:rsid w:val="00971DD2"/>
    <w:rPr>
      <w:color w:val="605E5C"/>
      <w:shd w:val="clear" w:color="auto" w:fill="E1DFDD"/>
    </w:rPr>
  </w:style>
  <w:style w:type="paragraph" w:customStyle="1" w:styleId="xmsonormal">
    <w:name w:val="x_msonormal"/>
    <w:basedOn w:val="Normal"/>
    <w:rsid w:val="00A418C4"/>
    <w:pPr>
      <w:spacing w:before="100" w:beforeAutospacing="1" w:after="100" w:afterAutospacing="1"/>
    </w:pPr>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00332">
      <w:bodyDiv w:val="1"/>
      <w:marLeft w:val="0"/>
      <w:marRight w:val="0"/>
      <w:marTop w:val="0"/>
      <w:marBottom w:val="0"/>
      <w:divBdr>
        <w:top w:val="none" w:sz="0" w:space="0" w:color="auto"/>
        <w:left w:val="none" w:sz="0" w:space="0" w:color="auto"/>
        <w:bottom w:val="none" w:sz="0" w:space="0" w:color="auto"/>
        <w:right w:val="none" w:sz="0" w:space="0" w:color="auto"/>
      </w:divBdr>
    </w:div>
    <w:div w:id="73205363">
      <w:bodyDiv w:val="1"/>
      <w:marLeft w:val="0"/>
      <w:marRight w:val="0"/>
      <w:marTop w:val="0"/>
      <w:marBottom w:val="0"/>
      <w:divBdr>
        <w:top w:val="none" w:sz="0" w:space="0" w:color="auto"/>
        <w:left w:val="none" w:sz="0" w:space="0" w:color="auto"/>
        <w:bottom w:val="none" w:sz="0" w:space="0" w:color="auto"/>
        <w:right w:val="none" w:sz="0" w:space="0" w:color="auto"/>
      </w:divBdr>
      <w:divsChild>
        <w:div w:id="1233202703">
          <w:marLeft w:val="0"/>
          <w:marRight w:val="0"/>
          <w:marTop w:val="0"/>
          <w:marBottom w:val="0"/>
          <w:divBdr>
            <w:top w:val="none" w:sz="0" w:space="0" w:color="auto"/>
            <w:left w:val="none" w:sz="0" w:space="0" w:color="auto"/>
            <w:bottom w:val="none" w:sz="0" w:space="0" w:color="auto"/>
            <w:right w:val="none" w:sz="0" w:space="0" w:color="auto"/>
          </w:divBdr>
          <w:divsChild>
            <w:div w:id="255334881">
              <w:marLeft w:val="0"/>
              <w:marRight w:val="0"/>
              <w:marTop w:val="0"/>
              <w:marBottom w:val="0"/>
              <w:divBdr>
                <w:top w:val="none" w:sz="0" w:space="0" w:color="auto"/>
                <w:left w:val="none" w:sz="0" w:space="0" w:color="auto"/>
                <w:bottom w:val="none" w:sz="0" w:space="0" w:color="auto"/>
                <w:right w:val="none" w:sz="0" w:space="0" w:color="auto"/>
              </w:divBdr>
              <w:divsChild>
                <w:div w:id="4819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901">
      <w:bodyDiv w:val="1"/>
      <w:marLeft w:val="0"/>
      <w:marRight w:val="0"/>
      <w:marTop w:val="0"/>
      <w:marBottom w:val="0"/>
      <w:divBdr>
        <w:top w:val="none" w:sz="0" w:space="0" w:color="auto"/>
        <w:left w:val="none" w:sz="0" w:space="0" w:color="auto"/>
        <w:bottom w:val="none" w:sz="0" w:space="0" w:color="auto"/>
        <w:right w:val="none" w:sz="0" w:space="0" w:color="auto"/>
      </w:divBdr>
      <w:divsChild>
        <w:div w:id="54931863">
          <w:marLeft w:val="0"/>
          <w:marRight w:val="0"/>
          <w:marTop w:val="0"/>
          <w:marBottom w:val="0"/>
          <w:divBdr>
            <w:top w:val="none" w:sz="0" w:space="0" w:color="auto"/>
            <w:left w:val="none" w:sz="0" w:space="0" w:color="auto"/>
            <w:bottom w:val="none" w:sz="0" w:space="0" w:color="auto"/>
            <w:right w:val="none" w:sz="0" w:space="0" w:color="auto"/>
          </w:divBdr>
          <w:divsChild>
            <w:div w:id="272637837">
              <w:marLeft w:val="0"/>
              <w:marRight w:val="0"/>
              <w:marTop w:val="0"/>
              <w:marBottom w:val="0"/>
              <w:divBdr>
                <w:top w:val="none" w:sz="0" w:space="0" w:color="auto"/>
                <w:left w:val="none" w:sz="0" w:space="0" w:color="auto"/>
                <w:bottom w:val="none" w:sz="0" w:space="0" w:color="auto"/>
                <w:right w:val="none" w:sz="0" w:space="0" w:color="auto"/>
              </w:divBdr>
              <w:divsChild>
                <w:div w:id="19004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18857">
      <w:bodyDiv w:val="1"/>
      <w:marLeft w:val="0"/>
      <w:marRight w:val="0"/>
      <w:marTop w:val="0"/>
      <w:marBottom w:val="0"/>
      <w:divBdr>
        <w:top w:val="none" w:sz="0" w:space="0" w:color="auto"/>
        <w:left w:val="none" w:sz="0" w:space="0" w:color="auto"/>
        <w:bottom w:val="none" w:sz="0" w:space="0" w:color="auto"/>
        <w:right w:val="none" w:sz="0" w:space="0" w:color="auto"/>
      </w:divBdr>
      <w:divsChild>
        <w:div w:id="1054819073">
          <w:marLeft w:val="0"/>
          <w:marRight w:val="0"/>
          <w:marTop w:val="0"/>
          <w:marBottom w:val="0"/>
          <w:divBdr>
            <w:top w:val="none" w:sz="0" w:space="0" w:color="auto"/>
            <w:left w:val="none" w:sz="0" w:space="0" w:color="auto"/>
            <w:bottom w:val="none" w:sz="0" w:space="0" w:color="auto"/>
            <w:right w:val="none" w:sz="0" w:space="0" w:color="auto"/>
          </w:divBdr>
          <w:divsChild>
            <w:div w:id="915359190">
              <w:marLeft w:val="0"/>
              <w:marRight w:val="0"/>
              <w:marTop w:val="0"/>
              <w:marBottom w:val="0"/>
              <w:divBdr>
                <w:top w:val="none" w:sz="0" w:space="0" w:color="auto"/>
                <w:left w:val="none" w:sz="0" w:space="0" w:color="auto"/>
                <w:bottom w:val="none" w:sz="0" w:space="0" w:color="auto"/>
                <w:right w:val="none" w:sz="0" w:space="0" w:color="auto"/>
              </w:divBdr>
              <w:divsChild>
                <w:div w:id="42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836141">
      <w:bodyDiv w:val="1"/>
      <w:marLeft w:val="0"/>
      <w:marRight w:val="0"/>
      <w:marTop w:val="0"/>
      <w:marBottom w:val="0"/>
      <w:divBdr>
        <w:top w:val="none" w:sz="0" w:space="0" w:color="auto"/>
        <w:left w:val="none" w:sz="0" w:space="0" w:color="auto"/>
        <w:bottom w:val="none" w:sz="0" w:space="0" w:color="auto"/>
        <w:right w:val="none" w:sz="0" w:space="0" w:color="auto"/>
      </w:divBdr>
      <w:divsChild>
        <w:div w:id="96681929">
          <w:marLeft w:val="0"/>
          <w:marRight w:val="0"/>
          <w:marTop w:val="0"/>
          <w:marBottom w:val="0"/>
          <w:divBdr>
            <w:top w:val="none" w:sz="0" w:space="0" w:color="auto"/>
            <w:left w:val="none" w:sz="0" w:space="0" w:color="auto"/>
            <w:bottom w:val="none" w:sz="0" w:space="0" w:color="auto"/>
            <w:right w:val="none" w:sz="0" w:space="0" w:color="auto"/>
          </w:divBdr>
          <w:divsChild>
            <w:div w:id="1250582905">
              <w:marLeft w:val="0"/>
              <w:marRight w:val="0"/>
              <w:marTop w:val="0"/>
              <w:marBottom w:val="0"/>
              <w:divBdr>
                <w:top w:val="none" w:sz="0" w:space="0" w:color="auto"/>
                <w:left w:val="none" w:sz="0" w:space="0" w:color="auto"/>
                <w:bottom w:val="none" w:sz="0" w:space="0" w:color="auto"/>
                <w:right w:val="none" w:sz="0" w:space="0" w:color="auto"/>
              </w:divBdr>
              <w:divsChild>
                <w:div w:id="12309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430008">
      <w:bodyDiv w:val="1"/>
      <w:marLeft w:val="0"/>
      <w:marRight w:val="0"/>
      <w:marTop w:val="0"/>
      <w:marBottom w:val="0"/>
      <w:divBdr>
        <w:top w:val="none" w:sz="0" w:space="0" w:color="auto"/>
        <w:left w:val="none" w:sz="0" w:space="0" w:color="auto"/>
        <w:bottom w:val="none" w:sz="0" w:space="0" w:color="auto"/>
        <w:right w:val="none" w:sz="0" w:space="0" w:color="auto"/>
      </w:divBdr>
      <w:divsChild>
        <w:div w:id="84424498">
          <w:marLeft w:val="0"/>
          <w:marRight w:val="0"/>
          <w:marTop w:val="0"/>
          <w:marBottom w:val="0"/>
          <w:divBdr>
            <w:top w:val="none" w:sz="0" w:space="0" w:color="auto"/>
            <w:left w:val="none" w:sz="0" w:space="0" w:color="auto"/>
            <w:bottom w:val="none" w:sz="0" w:space="0" w:color="auto"/>
            <w:right w:val="none" w:sz="0" w:space="0" w:color="auto"/>
          </w:divBdr>
          <w:divsChild>
            <w:div w:id="277639122">
              <w:marLeft w:val="0"/>
              <w:marRight w:val="0"/>
              <w:marTop w:val="0"/>
              <w:marBottom w:val="0"/>
              <w:divBdr>
                <w:top w:val="none" w:sz="0" w:space="0" w:color="auto"/>
                <w:left w:val="none" w:sz="0" w:space="0" w:color="auto"/>
                <w:bottom w:val="none" w:sz="0" w:space="0" w:color="auto"/>
                <w:right w:val="none" w:sz="0" w:space="0" w:color="auto"/>
              </w:divBdr>
              <w:divsChild>
                <w:div w:id="8851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07955">
      <w:bodyDiv w:val="1"/>
      <w:marLeft w:val="0"/>
      <w:marRight w:val="0"/>
      <w:marTop w:val="0"/>
      <w:marBottom w:val="0"/>
      <w:divBdr>
        <w:top w:val="none" w:sz="0" w:space="0" w:color="auto"/>
        <w:left w:val="none" w:sz="0" w:space="0" w:color="auto"/>
        <w:bottom w:val="none" w:sz="0" w:space="0" w:color="auto"/>
        <w:right w:val="none" w:sz="0" w:space="0" w:color="auto"/>
      </w:divBdr>
      <w:divsChild>
        <w:div w:id="296959131">
          <w:marLeft w:val="0"/>
          <w:marRight w:val="0"/>
          <w:marTop w:val="0"/>
          <w:marBottom w:val="0"/>
          <w:divBdr>
            <w:top w:val="none" w:sz="0" w:space="0" w:color="auto"/>
            <w:left w:val="none" w:sz="0" w:space="0" w:color="auto"/>
            <w:bottom w:val="none" w:sz="0" w:space="0" w:color="auto"/>
            <w:right w:val="none" w:sz="0" w:space="0" w:color="auto"/>
          </w:divBdr>
          <w:divsChild>
            <w:div w:id="908804464">
              <w:marLeft w:val="0"/>
              <w:marRight w:val="0"/>
              <w:marTop w:val="0"/>
              <w:marBottom w:val="0"/>
              <w:divBdr>
                <w:top w:val="none" w:sz="0" w:space="0" w:color="auto"/>
                <w:left w:val="none" w:sz="0" w:space="0" w:color="auto"/>
                <w:bottom w:val="none" w:sz="0" w:space="0" w:color="auto"/>
                <w:right w:val="none" w:sz="0" w:space="0" w:color="auto"/>
              </w:divBdr>
              <w:divsChild>
                <w:div w:id="13752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47371">
      <w:bodyDiv w:val="1"/>
      <w:marLeft w:val="0"/>
      <w:marRight w:val="0"/>
      <w:marTop w:val="0"/>
      <w:marBottom w:val="0"/>
      <w:divBdr>
        <w:top w:val="none" w:sz="0" w:space="0" w:color="auto"/>
        <w:left w:val="none" w:sz="0" w:space="0" w:color="auto"/>
        <w:bottom w:val="none" w:sz="0" w:space="0" w:color="auto"/>
        <w:right w:val="none" w:sz="0" w:space="0" w:color="auto"/>
      </w:divBdr>
      <w:divsChild>
        <w:div w:id="408040276">
          <w:marLeft w:val="0"/>
          <w:marRight w:val="0"/>
          <w:marTop w:val="0"/>
          <w:marBottom w:val="0"/>
          <w:divBdr>
            <w:top w:val="none" w:sz="0" w:space="0" w:color="auto"/>
            <w:left w:val="none" w:sz="0" w:space="0" w:color="auto"/>
            <w:bottom w:val="none" w:sz="0" w:space="0" w:color="auto"/>
            <w:right w:val="none" w:sz="0" w:space="0" w:color="auto"/>
          </w:divBdr>
          <w:divsChild>
            <w:div w:id="607085852">
              <w:marLeft w:val="0"/>
              <w:marRight w:val="0"/>
              <w:marTop w:val="0"/>
              <w:marBottom w:val="0"/>
              <w:divBdr>
                <w:top w:val="none" w:sz="0" w:space="0" w:color="auto"/>
                <w:left w:val="none" w:sz="0" w:space="0" w:color="auto"/>
                <w:bottom w:val="none" w:sz="0" w:space="0" w:color="auto"/>
                <w:right w:val="none" w:sz="0" w:space="0" w:color="auto"/>
              </w:divBdr>
              <w:divsChild>
                <w:div w:id="10393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17958">
      <w:bodyDiv w:val="1"/>
      <w:marLeft w:val="0"/>
      <w:marRight w:val="0"/>
      <w:marTop w:val="0"/>
      <w:marBottom w:val="0"/>
      <w:divBdr>
        <w:top w:val="none" w:sz="0" w:space="0" w:color="auto"/>
        <w:left w:val="none" w:sz="0" w:space="0" w:color="auto"/>
        <w:bottom w:val="none" w:sz="0" w:space="0" w:color="auto"/>
        <w:right w:val="none" w:sz="0" w:space="0" w:color="auto"/>
      </w:divBdr>
      <w:divsChild>
        <w:div w:id="1220899653">
          <w:marLeft w:val="0"/>
          <w:marRight w:val="0"/>
          <w:marTop w:val="0"/>
          <w:marBottom w:val="0"/>
          <w:divBdr>
            <w:top w:val="none" w:sz="0" w:space="0" w:color="auto"/>
            <w:left w:val="none" w:sz="0" w:space="0" w:color="auto"/>
            <w:bottom w:val="none" w:sz="0" w:space="0" w:color="auto"/>
            <w:right w:val="none" w:sz="0" w:space="0" w:color="auto"/>
          </w:divBdr>
          <w:divsChild>
            <w:div w:id="1258782180">
              <w:marLeft w:val="0"/>
              <w:marRight w:val="0"/>
              <w:marTop w:val="0"/>
              <w:marBottom w:val="0"/>
              <w:divBdr>
                <w:top w:val="none" w:sz="0" w:space="0" w:color="auto"/>
                <w:left w:val="none" w:sz="0" w:space="0" w:color="auto"/>
                <w:bottom w:val="none" w:sz="0" w:space="0" w:color="auto"/>
                <w:right w:val="none" w:sz="0" w:space="0" w:color="auto"/>
              </w:divBdr>
              <w:divsChild>
                <w:div w:id="44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87434">
      <w:bodyDiv w:val="1"/>
      <w:marLeft w:val="0"/>
      <w:marRight w:val="0"/>
      <w:marTop w:val="0"/>
      <w:marBottom w:val="0"/>
      <w:divBdr>
        <w:top w:val="none" w:sz="0" w:space="0" w:color="auto"/>
        <w:left w:val="none" w:sz="0" w:space="0" w:color="auto"/>
        <w:bottom w:val="none" w:sz="0" w:space="0" w:color="auto"/>
        <w:right w:val="none" w:sz="0" w:space="0" w:color="auto"/>
      </w:divBdr>
      <w:divsChild>
        <w:div w:id="99184102">
          <w:marLeft w:val="0"/>
          <w:marRight w:val="0"/>
          <w:marTop w:val="0"/>
          <w:marBottom w:val="0"/>
          <w:divBdr>
            <w:top w:val="none" w:sz="0" w:space="0" w:color="auto"/>
            <w:left w:val="none" w:sz="0" w:space="0" w:color="auto"/>
            <w:bottom w:val="none" w:sz="0" w:space="0" w:color="auto"/>
            <w:right w:val="none" w:sz="0" w:space="0" w:color="auto"/>
          </w:divBdr>
          <w:divsChild>
            <w:div w:id="744766935">
              <w:marLeft w:val="0"/>
              <w:marRight w:val="0"/>
              <w:marTop w:val="0"/>
              <w:marBottom w:val="0"/>
              <w:divBdr>
                <w:top w:val="none" w:sz="0" w:space="0" w:color="auto"/>
                <w:left w:val="none" w:sz="0" w:space="0" w:color="auto"/>
                <w:bottom w:val="none" w:sz="0" w:space="0" w:color="auto"/>
                <w:right w:val="none" w:sz="0" w:space="0" w:color="auto"/>
              </w:divBdr>
              <w:divsChild>
                <w:div w:id="13328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3381">
      <w:bodyDiv w:val="1"/>
      <w:marLeft w:val="0"/>
      <w:marRight w:val="0"/>
      <w:marTop w:val="0"/>
      <w:marBottom w:val="0"/>
      <w:divBdr>
        <w:top w:val="none" w:sz="0" w:space="0" w:color="auto"/>
        <w:left w:val="none" w:sz="0" w:space="0" w:color="auto"/>
        <w:bottom w:val="none" w:sz="0" w:space="0" w:color="auto"/>
        <w:right w:val="none" w:sz="0" w:space="0" w:color="auto"/>
      </w:divBdr>
      <w:divsChild>
        <w:div w:id="1229921814">
          <w:marLeft w:val="0"/>
          <w:marRight w:val="0"/>
          <w:marTop w:val="0"/>
          <w:marBottom w:val="0"/>
          <w:divBdr>
            <w:top w:val="none" w:sz="0" w:space="0" w:color="auto"/>
            <w:left w:val="none" w:sz="0" w:space="0" w:color="auto"/>
            <w:bottom w:val="none" w:sz="0" w:space="0" w:color="auto"/>
            <w:right w:val="none" w:sz="0" w:space="0" w:color="auto"/>
          </w:divBdr>
          <w:divsChild>
            <w:div w:id="458185139">
              <w:marLeft w:val="0"/>
              <w:marRight w:val="0"/>
              <w:marTop w:val="0"/>
              <w:marBottom w:val="0"/>
              <w:divBdr>
                <w:top w:val="none" w:sz="0" w:space="0" w:color="auto"/>
                <w:left w:val="none" w:sz="0" w:space="0" w:color="auto"/>
                <w:bottom w:val="none" w:sz="0" w:space="0" w:color="auto"/>
                <w:right w:val="none" w:sz="0" w:space="0" w:color="auto"/>
              </w:divBdr>
              <w:divsChild>
                <w:div w:id="17924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8572">
      <w:bodyDiv w:val="1"/>
      <w:marLeft w:val="0"/>
      <w:marRight w:val="0"/>
      <w:marTop w:val="0"/>
      <w:marBottom w:val="0"/>
      <w:divBdr>
        <w:top w:val="none" w:sz="0" w:space="0" w:color="auto"/>
        <w:left w:val="none" w:sz="0" w:space="0" w:color="auto"/>
        <w:bottom w:val="none" w:sz="0" w:space="0" w:color="auto"/>
        <w:right w:val="none" w:sz="0" w:space="0" w:color="auto"/>
      </w:divBdr>
      <w:divsChild>
        <w:div w:id="357052261">
          <w:marLeft w:val="0"/>
          <w:marRight w:val="0"/>
          <w:marTop w:val="0"/>
          <w:marBottom w:val="0"/>
          <w:divBdr>
            <w:top w:val="none" w:sz="0" w:space="0" w:color="auto"/>
            <w:left w:val="none" w:sz="0" w:space="0" w:color="auto"/>
            <w:bottom w:val="none" w:sz="0" w:space="0" w:color="auto"/>
            <w:right w:val="none" w:sz="0" w:space="0" w:color="auto"/>
          </w:divBdr>
          <w:divsChild>
            <w:div w:id="342820792">
              <w:marLeft w:val="0"/>
              <w:marRight w:val="0"/>
              <w:marTop w:val="0"/>
              <w:marBottom w:val="0"/>
              <w:divBdr>
                <w:top w:val="none" w:sz="0" w:space="0" w:color="auto"/>
                <w:left w:val="none" w:sz="0" w:space="0" w:color="auto"/>
                <w:bottom w:val="none" w:sz="0" w:space="0" w:color="auto"/>
                <w:right w:val="none" w:sz="0" w:space="0" w:color="auto"/>
              </w:divBdr>
              <w:divsChild>
                <w:div w:id="6716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05793">
      <w:bodyDiv w:val="1"/>
      <w:marLeft w:val="0"/>
      <w:marRight w:val="0"/>
      <w:marTop w:val="0"/>
      <w:marBottom w:val="0"/>
      <w:divBdr>
        <w:top w:val="none" w:sz="0" w:space="0" w:color="auto"/>
        <w:left w:val="none" w:sz="0" w:space="0" w:color="auto"/>
        <w:bottom w:val="none" w:sz="0" w:space="0" w:color="auto"/>
        <w:right w:val="none" w:sz="0" w:space="0" w:color="auto"/>
      </w:divBdr>
    </w:div>
    <w:div w:id="1255935098">
      <w:bodyDiv w:val="1"/>
      <w:marLeft w:val="0"/>
      <w:marRight w:val="0"/>
      <w:marTop w:val="0"/>
      <w:marBottom w:val="0"/>
      <w:divBdr>
        <w:top w:val="none" w:sz="0" w:space="0" w:color="auto"/>
        <w:left w:val="none" w:sz="0" w:space="0" w:color="auto"/>
        <w:bottom w:val="none" w:sz="0" w:space="0" w:color="auto"/>
        <w:right w:val="none" w:sz="0" w:space="0" w:color="auto"/>
      </w:divBdr>
      <w:divsChild>
        <w:div w:id="1420443484">
          <w:marLeft w:val="0"/>
          <w:marRight w:val="0"/>
          <w:marTop w:val="0"/>
          <w:marBottom w:val="0"/>
          <w:divBdr>
            <w:top w:val="none" w:sz="0" w:space="0" w:color="auto"/>
            <w:left w:val="none" w:sz="0" w:space="0" w:color="auto"/>
            <w:bottom w:val="none" w:sz="0" w:space="0" w:color="auto"/>
            <w:right w:val="none" w:sz="0" w:space="0" w:color="auto"/>
          </w:divBdr>
          <w:divsChild>
            <w:div w:id="354044445">
              <w:marLeft w:val="0"/>
              <w:marRight w:val="0"/>
              <w:marTop w:val="0"/>
              <w:marBottom w:val="0"/>
              <w:divBdr>
                <w:top w:val="none" w:sz="0" w:space="0" w:color="auto"/>
                <w:left w:val="none" w:sz="0" w:space="0" w:color="auto"/>
                <w:bottom w:val="none" w:sz="0" w:space="0" w:color="auto"/>
                <w:right w:val="none" w:sz="0" w:space="0" w:color="auto"/>
              </w:divBdr>
              <w:divsChild>
                <w:div w:id="11831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29133">
      <w:bodyDiv w:val="1"/>
      <w:marLeft w:val="0"/>
      <w:marRight w:val="0"/>
      <w:marTop w:val="0"/>
      <w:marBottom w:val="0"/>
      <w:divBdr>
        <w:top w:val="none" w:sz="0" w:space="0" w:color="auto"/>
        <w:left w:val="none" w:sz="0" w:space="0" w:color="auto"/>
        <w:bottom w:val="none" w:sz="0" w:space="0" w:color="auto"/>
        <w:right w:val="none" w:sz="0" w:space="0" w:color="auto"/>
      </w:divBdr>
      <w:divsChild>
        <w:div w:id="1564946521">
          <w:marLeft w:val="0"/>
          <w:marRight w:val="0"/>
          <w:marTop w:val="0"/>
          <w:marBottom w:val="0"/>
          <w:divBdr>
            <w:top w:val="none" w:sz="0" w:space="0" w:color="auto"/>
            <w:left w:val="none" w:sz="0" w:space="0" w:color="auto"/>
            <w:bottom w:val="none" w:sz="0" w:space="0" w:color="auto"/>
            <w:right w:val="none" w:sz="0" w:space="0" w:color="auto"/>
          </w:divBdr>
          <w:divsChild>
            <w:div w:id="1072002882">
              <w:marLeft w:val="0"/>
              <w:marRight w:val="0"/>
              <w:marTop w:val="0"/>
              <w:marBottom w:val="0"/>
              <w:divBdr>
                <w:top w:val="none" w:sz="0" w:space="0" w:color="auto"/>
                <w:left w:val="none" w:sz="0" w:space="0" w:color="auto"/>
                <w:bottom w:val="none" w:sz="0" w:space="0" w:color="auto"/>
                <w:right w:val="none" w:sz="0" w:space="0" w:color="auto"/>
              </w:divBdr>
              <w:divsChild>
                <w:div w:id="20763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84163">
      <w:bodyDiv w:val="1"/>
      <w:marLeft w:val="0"/>
      <w:marRight w:val="0"/>
      <w:marTop w:val="0"/>
      <w:marBottom w:val="0"/>
      <w:divBdr>
        <w:top w:val="none" w:sz="0" w:space="0" w:color="auto"/>
        <w:left w:val="none" w:sz="0" w:space="0" w:color="auto"/>
        <w:bottom w:val="none" w:sz="0" w:space="0" w:color="auto"/>
        <w:right w:val="none" w:sz="0" w:space="0" w:color="auto"/>
      </w:divBdr>
      <w:divsChild>
        <w:div w:id="381833150">
          <w:marLeft w:val="0"/>
          <w:marRight w:val="0"/>
          <w:marTop w:val="0"/>
          <w:marBottom w:val="0"/>
          <w:divBdr>
            <w:top w:val="none" w:sz="0" w:space="0" w:color="auto"/>
            <w:left w:val="none" w:sz="0" w:space="0" w:color="auto"/>
            <w:bottom w:val="none" w:sz="0" w:space="0" w:color="auto"/>
            <w:right w:val="none" w:sz="0" w:space="0" w:color="auto"/>
          </w:divBdr>
          <w:divsChild>
            <w:div w:id="308946076">
              <w:marLeft w:val="0"/>
              <w:marRight w:val="0"/>
              <w:marTop w:val="0"/>
              <w:marBottom w:val="0"/>
              <w:divBdr>
                <w:top w:val="none" w:sz="0" w:space="0" w:color="auto"/>
                <w:left w:val="none" w:sz="0" w:space="0" w:color="auto"/>
                <w:bottom w:val="none" w:sz="0" w:space="0" w:color="auto"/>
                <w:right w:val="none" w:sz="0" w:space="0" w:color="auto"/>
              </w:divBdr>
              <w:divsChild>
                <w:div w:id="12578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82513">
      <w:bodyDiv w:val="1"/>
      <w:marLeft w:val="0"/>
      <w:marRight w:val="0"/>
      <w:marTop w:val="0"/>
      <w:marBottom w:val="0"/>
      <w:divBdr>
        <w:top w:val="none" w:sz="0" w:space="0" w:color="auto"/>
        <w:left w:val="none" w:sz="0" w:space="0" w:color="auto"/>
        <w:bottom w:val="none" w:sz="0" w:space="0" w:color="auto"/>
        <w:right w:val="none" w:sz="0" w:space="0" w:color="auto"/>
      </w:divBdr>
      <w:divsChild>
        <w:div w:id="1693650310">
          <w:marLeft w:val="0"/>
          <w:marRight w:val="0"/>
          <w:marTop w:val="0"/>
          <w:marBottom w:val="0"/>
          <w:divBdr>
            <w:top w:val="none" w:sz="0" w:space="0" w:color="auto"/>
            <w:left w:val="none" w:sz="0" w:space="0" w:color="auto"/>
            <w:bottom w:val="none" w:sz="0" w:space="0" w:color="auto"/>
            <w:right w:val="none" w:sz="0" w:space="0" w:color="auto"/>
          </w:divBdr>
          <w:divsChild>
            <w:div w:id="702556402">
              <w:marLeft w:val="0"/>
              <w:marRight w:val="0"/>
              <w:marTop w:val="0"/>
              <w:marBottom w:val="0"/>
              <w:divBdr>
                <w:top w:val="none" w:sz="0" w:space="0" w:color="auto"/>
                <w:left w:val="none" w:sz="0" w:space="0" w:color="auto"/>
                <w:bottom w:val="none" w:sz="0" w:space="0" w:color="auto"/>
                <w:right w:val="none" w:sz="0" w:space="0" w:color="auto"/>
              </w:divBdr>
              <w:divsChild>
                <w:div w:id="6803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6044">
      <w:bodyDiv w:val="1"/>
      <w:marLeft w:val="0"/>
      <w:marRight w:val="0"/>
      <w:marTop w:val="0"/>
      <w:marBottom w:val="0"/>
      <w:divBdr>
        <w:top w:val="none" w:sz="0" w:space="0" w:color="auto"/>
        <w:left w:val="none" w:sz="0" w:space="0" w:color="auto"/>
        <w:bottom w:val="none" w:sz="0" w:space="0" w:color="auto"/>
        <w:right w:val="none" w:sz="0" w:space="0" w:color="auto"/>
      </w:divBdr>
      <w:divsChild>
        <w:div w:id="517744572">
          <w:marLeft w:val="0"/>
          <w:marRight w:val="0"/>
          <w:marTop w:val="0"/>
          <w:marBottom w:val="0"/>
          <w:divBdr>
            <w:top w:val="none" w:sz="0" w:space="0" w:color="auto"/>
            <w:left w:val="none" w:sz="0" w:space="0" w:color="auto"/>
            <w:bottom w:val="none" w:sz="0" w:space="0" w:color="auto"/>
            <w:right w:val="none" w:sz="0" w:space="0" w:color="auto"/>
          </w:divBdr>
          <w:divsChild>
            <w:div w:id="358512439">
              <w:marLeft w:val="0"/>
              <w:marRight w:val="0"/>
              <w:marTop w:val="0"/>
              <w:marBottom w:val="0"/>
              <w:divBdr>
                <w:top w:val="none" w:sz="0" w:space="0" w:color="auto"/>
                <w:left w:val="none" w:sz="0" w:space="0" w:color="auto"/>
                <w:bottom w:val="none" w:sz="0" w:space="0" w:color="auto"/>
                <w:right w:val="none" w:sz="0" w:space="0" w:color="auto"/>
              </w:divBdr>
              <w:divsChild>
                <w:div w:id="9586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6280">
      <w:bodyDiv w:val="1"/>
      <w:marLeft w:val="0"/>
      <w:marRight w:val="0"/>
      <w:marTop w:val="0"/>
      <w:marBottom w:val="0"/>
      <w:divBdr>
        <w:top w:val="none" w:sz="0" w:space="0" w:color="auto"/>
        <w:left w:val="none" w:sz="0" w:space="0" w:color="auto"/>
        <w:bottom w:val="none" w:sz="0" w:space="0" w:color="auto"/>
        <w:right w:val="none" w:sz="0" w:space="0" w:color="auto"/>
      </w:divBdr>
      <w:divsChild>
        <w:div w:id="1697586084">
          <w:marLeft w:val="0"/>
          <w:marRight w:val="0"/>
          <w:marTop w:val="0"/>
          <w:marBottom w:val="0"/>
          <w:divBdr>
            <w:top w:val="none" w:sz="0" w:space="0" w:color="auto"/>
            <w:left w:val="none" w:sz="0" w:space="0" w:color="auto"/>
            <w:bottom w:val="none" w:sz="0" w:space="0" w:color="auto"/>
            <w:right w:val="none" w:sz="0" w:space="0" w:color="auto"/>
          </w:divBdr>
          <w:divsChild>
            <w:div w:id="2027518694">
              <w:marLeft w:val="0"/>
              <w:marRight w:val="0"/>
              <w:marTop w:val="0"/>
              <w:marBottom w:val="0"/>
              <w:divBdr>
                <w:top w:val="none" w:sz="0" w:space="0" w:color="auto"/>
                <w:left w:val="none" w:sz="0" w:space="0" w:color="auto"/>
                <w:bottom w:val="none" w:sz="0" w:space="0" w:color="auto"/>
                <w:right w:val="none" w:sz="0" w:space="0" w:color="auto"/>
              </w:divBdr>
              <w:divsChild>
                <w:div w:id="35731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75876">
      <w:bodyDiv w:val="1"/>
      <w:marLeft w:val="0"/>
      <w:marRight w:val="0"/>
      <w:marTop w:val="0"/>
      <w:marBottom w:val="0"/>
      <w:divBdr>
        <w:top w:val="none" w:sz="0" w:space="0" w:color="auto"/>
        <w:left w:val="none" w:sz="0" w:space="0" w:color="auto"/>
        <w:bottom w:val="none" w:sz="0" w:space="0" w:color="auto"/>
        <w:right w:val="none" w:sz="0" w:space="0" w:color="auto"/>
      </w:divBdr>
      <w:divsChild>
        <w:div w:id="784154204">
          <w:marLeft w:val="0"/>
          <w:marRight w:val="0"/>
          <w:marTop w:val="0"/>
          <w:marBottom w:val="0"/>
          <w:divBdr>
            <w:top w:val="none" w:sz="0" w:space="0" w:color="auto"/>
            <w:left w:val="none" w:sz="0" w:space="0" w:color="auto"/>
            <w:bottom w:val="none" w:sz="0" w:space="0" w:color="auto"/>
            <w:right w:val="none" w:sz="0" w:space="0" w:color="auto"/>
          </w:divBdr>
          <w:divsChild>
            <w:div w:id="311838653">
              <w:marLeft w:val="0"/>
              <w:marRight w:val="0"/>
              <w:marTop w:val="0"/>
              <w:marBottom w:val="0"/>
              <w:divBdr>
                <w:top w:val="none" w:sz="0" w:space="0" w:color="auto"/>
                <w:left w:val="none" w:sz="0" w:space="0" w:color="auto"/>
                <w:bottom w:val="none" w:sz="0" w:space="0" w:color="auto"/>
                <w:right w:val="none" w:sz="0" w:space="0" w:color="auto"/>
              </w:divBdr>
              <w:divsChild>
                <w:div w:id="21423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89098">
      <w:bodyDiv w:val="1"/>
      <w:marLeft w:val="0"/>
      <w:marRight w:val="0"/>
      <w:marTop w:val="0"/>
      <w:marBottom w:val="0"/>
      <w:divBdr>
        <w:top w:val="none" w:sz="0" w:space="0" w:color="auto"/>
        <w:left w:val="none" w:sz="0" w:space="0" w:color="auto"/>
        <w:bottom w:val="none" w:sz="0" w:space="0" w:color="auto"/>
        <w:right w:val="none" w:sz="0" w:space="0" w:color="auto"/>
      </w:divBdr>
      <w:divsChild>
        <w:div w:id="586964261">
          <w:marLeft w:val="0"/>
          <w:marRight w:val="0"/>
          <w:marTop w:val="0"/>
          <w:marBottom w:val="0"/>
          <w:divBdr>
            <w:top w:val="none" w:sz="0" w:space="0" w:color="auto"/>
            <w:left w:val="none" w:sz="0" w:space="0" w:color="auto"/>
            <w:bottom w:val="none" w:sz="0" w:space="0" w:color="auto"/>
            <w:right w:val="none" w:sz="0" w:space="0" w:color="auto"/>
          </w:divBdr>
          <w:divsChild>
            <w:div w:id="1882396094">
              <w:marLeft w:val="0"/>
              <w:marRight w:val="0"/>
              <w:marTop w:val="0"/>
              <w:marBottom w:val="0"/>
              <w:divBdr>
                <w:top w:val="none" w:sz="0" w:space="0" w:color="auto"/>
                <w:left w:val="none" w:sz="0" w:space="0" w:color="auto"/>
                <w:bottom w:val="none" w:sz="0" w:space="0" w:color="auto"/>
                <w:right w:val="none" w:sz="0" w:space="0" w:color="auto"/>
              </w:divBdr>
              <w:divsChild>
                <w:div w:id="2334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9610">
      <w:bodyDiv w:val="1"/>
      <w:marLeft w:val="0"/>
      <w:marRight w:val="0"/>
      <w:marTop w:val="0"/>
      <w:marBottom w:val="0"/>
      <w:divBdr>
        <w:top w:val="none" w:sz="0" w:space="0" w:color="auto"/>
        <w:left w:val="none" w:sz="0" w:space="0" w:color="auto"/>
        <w:bottom w:val="none" w:sz="0" w:space="0" w:color="auto"/>
        <w:right w:val="none" w:sz="0" w:space="0" w:color="auto"/>
      </w:divBdr>
      <w:divsChild>
        <w:div w:id="1781029360">
          <w:marLeft w:val="0"/>
          <w:marRight w:val="0"/>
          <w:marTop w:val="0"/>
          <w:marBottom w:val="0"/>
          <w:divBdr>
            <w:top w:val="none" w:sz="0" w:space="0" w:color="auto"/>
            <w:left w:val="none" w:sz="0" w:space="0" w:color="auto"/>
            <w:bottom w:val="none" w:sz="0" w:space="0" w:color="auto"/>
            <w:right w:val="none" w:sz="0" w:space="0" w:color="auto"/>
          </w:divBdr>
          <w:divsChild>
            <w:div w:id="180319079">
              <w:marLeft w:val="0"/>
              <w:marRight w:val="0"/>
              <w:marTop w:val="0"/>
              <w:marBottom w:val="0"/>
              <w:divBdr>
                <w:top w:val="none" w:sz="0" w:space="0" w:color="auto"/>
                <w:left w:val="none" w:sz="0" w:space="0" w:color="auto"/>
                <w:bottom w:val="none" w:sz="0" w:space="0" w:color="auto"/>
                <w:right w:val="none" w:sz="0" w:space="0" w:color="auto"/>
              </w:divBdr>
              <w:divsChild>
                <w:div w:id="5397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4627">
      <w:bodyDiv w:val="1"/>
      <w:marLeft w:val="0"/>
      <w:marRight w:val="0"/>
      <w:marTop w:val="0"/>
      <w:marBottom w:val="0"/>
      <w:divBdr>
        <w:top w:val="none" w:sz="0" w:space="0" w:color="auto"/>
        <w:left w:val="none" w:sz="0" w:space="0" w:color="auto"/>
        <w:bottom w:val="none" w:sz="0" w:space="0" w:color="auto"/>
        <w:right w:val="none" w:sz="0" w:space="0" w:color="auto"/>
      </w:divBdr>
    </w:div>
    <w:div w:id="2067222974">
      <w:bodyDiv w:val="1"/>
      <w:marLeft w:val="0"/>
      <w:marRight w:val="0"/>
      <w:marTop w:val="0"/>
      <w:marBottom w:val="0"/>
      <w:divBdr>
        <w:top w:val="none" w:sz="0" w:space="0" w:color="auto"/>
        <w:left w:val="none" w:sz="0" w:space="0" w:color="auto"/>
        <w:bottom w:val="none" w:sz="0" w:space="0" w:color="auto"/>
        <w:right w:val="none" w:sz="0" w:space="0" w:color="auto"/>
      </w:divBdr>
      <w:divsChild>
        <w:div w:id="817500318">
          <w:marLeft w:val="0"/>
          <w:marRight w:val="0"/>
          <w:marTop w:val="0"/>
          <w:marBottom w:val="0"/>
          <w:divBdr>
            <w:top w:val="none" w:sz="0" w:space="0" w:color="auto"/>
            <w:left w:val="none" w:sz="0" w:space="0" w:color="auto"/>
            <w:bottom w:val="none" w:sz="0" w:space="0" w:color="auto"/>
            <w:right w:val="none" w:sz="0" w:space="0" w:color="auto"/>
          </w:divBdr>
          <w:divsChild>
            <w:div w:id="611328757">
              <w:marLeft w:val="0"/>
              <w:marRight w:val="0"/>
              <w:marTop w:val="0"/>
              <w:marBottom w:val="0"/>
              <w:divBdr>
                <w:top w:val="none" w:sz="0" w:space="0" w:color="auto"/>
                <w:left w:val="none" w:sz="0" w:space="0" w:color="auto"/>
                <w:bottom w:val="none" w:sz="0" w:space="0" w:color="auto"/>
                <w:right w:val="none" w:sz="0" w:space="0" w:color="auto"/>
              </w:divBdr>
              <w:divsChild>
                <w:div w:id="11562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20458">
      <w:bodyDiv w:val="1"/>
      <w:marLeft w:val="0"/>
      <w:marRight w:val="0"/>
      <w:marTop w:val="0"/>
      <w:marBottom w:val="0"/>
      <w:divBdr>
        <w:top w:val="none" w:sz="0" w:space="0" w:color="auto"/>
        <w:left w:val="none" w:sz="0" w:space="0" w:color="auto"/>
        <w:bottom w:val="none" w:sz="0" w:space="0" w:color="auto"/>
        <w:right w:val="none" w:sz="0" w:space="0" w:color="auto"/>
      </w:divBdr>
      <w:divsChild>
        <w:div w:id="776218586">
          <w:marLeft w:val="0"/>
          <w:marRight w:val="0"/>
          <w:marTop w:val="0"/>
          <w:marBottom w:val="0"/>
          <w:divBdr>
            <w:top w:val="none" w:sz="0" w:space="0" w:color="auto"/>
            <w:left w:val="none" w:sz="0" w:space="0" w:color="auto"/>
            <w:bottom w:val="none" w:sz="0" w:space="0" w:color="auto"/>
            <w:right w:val="none" w:sz="0" w:space="0" w:color="auto"/>
          </w:divBdr>
          <w:divsChild>
            <w:div w:id="256057611">
              <w:marLeft w:val="0"/>
              <w:marRight w:val="0"/>
              <w:marTop w:val="0"/>
              <w:marBottom w:val="0"/>
              <w:divBdr>
                <w:top w:val="none" w:sz="0" w:space="0" w:color="auto"/>
                <w:left w:val="none" w:sz="0" w:space="0" w:color="auto"/>
                <w:bottom w:val="none" w:sz="0" w:space="0" w:color="auto"/>
                <w:right w:val="none" w:sz="0" w:space="0" w:color="auto"/>
              </w:divBdr>
              <w:divsChild>
                <w:div w:id="9108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3841">
      <w:bodyDiv w:val="1"/>
      <w:marLeft w:val="0"/>
      <w:marRight w:val="0"/>
      <w:marTop w:val="0"/>
      <w:marBottom w:val="0"/>
      <w:divBdr>
        <w:top w:val="none" w:sz="0" w:space="0" w:color="auto"/>
        <w:left w:val="none" w:sz="0" w:space="0" w:color="auto"/>
        <w:bottom w:val="none" w:sz="0" w:space="0" w:color="auto"/>
        <w:right w:val="none" w:sz="0" w:space="0" w:color="auto"/>
      </w:divBdr>
      <w:divsChild>
        <w:div w:id="153910190">
          <w:marLeft w:val="0"/>
          <w:marRight w:val="0"/>
          <w:marTop w:val="0"/>
          <w:marBottom w:val="0"/>
          <w:divBdr>
            <w:top w:val="none" w:sz="0" w:space="0" w:color="auto"/>
            <w:left w:val="none" w:sz="0" w:space="0" w:color="auto"/>
            <w:bottom w:val="none" w:sz="0" w:space="0" w:color="auto"/>
            <w:right w:val="none" w:sz="0" w:space="0" w:color="auto"/>
          </w:divBdr>
          <w:divsChild>
            <w:div w:id="137311539">
              <w:marLeft w:val="0"/>
              <w:marRight w:val="0"/>
              <w:marTop w:val="0"/>
              <w:marBottom w:val="0"/>
              <w:divBdr>
                <w:top w:val="none" w:sz="0" w:space="0" w:color="auto"/>
                <w:left w:val="none" w:sz="0" w:space="0" w:color="auto"/>
                <w:bottom w:val="none" w:sz="0" w:space="0" w:color="auto"/>
                <w:right w:val="none" w:sz="0" w:space="0" w:color="auto"/>
              </w:divBdr>
              <w:divsChild>
                <w:div w:id="8851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tencingadvisory.council@justice.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lrc.gov.au/publication/pathways-to-justice-inquiry-into-the-incarceration-rate-of-aboriginal-and-torres-strait-islander-peoples-alrc-report-133/3-incidence/over-representation/" TargetMode="External"/><Relationship Id="rId1" Type="http://schemas.openxmlformats.org/officeDocument/2006/relationships/hyperlink" Target="https://www.closingthegap.gov.au/national-agreement/national-agreement-closing-the-g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2021-09-17T03:00:00Z</cp:lastPrinted>
  <dcterms:created xsi:type="dcterms:W3CDTF">2021-09-14T23:07:00Z</dcterms:created>
  <dcterms:modified xsi:type="dcterms:W3CDTF">2021-09-17T03:01:00Z</dcterms:modified>
</cp:coreProperties>
</file>