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D81FA" w14:textId="77777777" w:rsidR="00634A9E" w:rsidRDefault="00634A9E" w:rsidP="00634A9E">
      <w:pPr>
        <w:ind w:right="-347"/>
        <w:jc w:val="center"/>
      </w:pPr>
      <w:r>
        <w:rPr>
          <w:noProof/>
          <w:sz w:val="20"/>
          <w:szCs w:val="20"/>
        </w:rPr>
        <w:drawing>
          <wp:inline distT="0" distB="0" distL="0" distR="0" wp14:anchorId="5542A565" wp14:editId="78CFFF0F">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6FB0366C" w14:textId="77777777" w:rsidR="00634A9E" w:rsidRPr="00634A9E" w:rsidRDefault="00634A9E" w:rsidP="00634A9E">
      <w:pPr>
        <w:ind w:right="-347"/>
        <w:rPr>
          <w:rFonts w:ascii="Cambria" w:hAnsi="Cambria"/>
          <w:color w:val="000000" w:themeColor="text1"/>
        </w:rPr>
      </w:pPr>
    </w:p>
    <w:p w14:paraId="5624CEEF" w14:textId="77777777" w:rsidR="00634A9E" w:rsidRPr="006351EA" w:rsidRDefault="00634A9E" w:rsidP="00634A9E">
      <w:pPr>
        <w:ind w:right="-347"/>
        <w:rPr>
          <w:rFonts w:ascii="Cambria" w:hAnsi="Cambria"/>
          <w:color w:val="000000" w:themeColor="text1"/>
        </w:rPr>
      </w:pPr>
    </w:p>
    <w:p w14:paraId="5D2390D9" w14:textId="77777777" w:rsidR="00634A9E" w:rsidRPr="006351EA" w:rsidRDefault="00634A9E" w:rsidP="00634A9E">
      <w:pPr>
        <w:ind w:right="-205"/>
        <w:rPr>
          <w:rFonts w:ascii="Cambria" w:hAnsi="Cambria"/>
          <w:color w:val="000000" w:themeColor="text1"/>
        </w:rPr>
      </w:pPr>
    </w:p>
    <w:p w14:paraId="3878AF7F" w14:textId="77777777" w:rsidR="00634A9E" w:rsidRPr="006351EA" w:rsidRDefault="00634A9E" w:rsidP="00634A9E">
      <w:pPr>
        <w:ind w:right="-205"/>
        <w:rPr>
          <w:rFonts w:ascii="Cambria" w:hAnsi="Cambria"/>
          <w:color w:val="000000" w:themeColor="text1"/>
        </w:rPr>
      </w:pPr>
    </w:p>
    <w:p w14:paraId="08F16CBD" w14:textId="4C89AE73" w:rsidR="00634A9E" w:rsidRPr="006351EA" w:rsidRDefault="00634A9E" w:rsidP="00634A9E">
      <w:pPr>
        <w:ind w:right="-205"/>
        <w:rPr>
          <w:rFonts w:ascii="Cambria" w:hAnsi="Cambria"/>
          <w:color w:val="000000" w:themeColor="text1"/>
        </w:rPr>
      </w:pPr>
      <w:r w:rsidRPr="006351EA">
        <w:rPr>
          <w:rFonts w:ascii="Cambria" w:hAnsi="Cambria"/>
          <w:color w:val="000000" w:themeColor="text1"/>
        </w:rPr>
        <w:t>27 August 2021</w:t>
      </w:r>
    </w:p>
    <w:p w14:paraId="30E53AB8" w14:textId="77777777" w:rsidR="00634A9E" w:rsidRPr="006351EA" w:rsidRDefault="00634A9E" w:rsidP="00634A9E">
      <w:pPr>
        <w:ind w:right="-205"/>
        <w:rPr>
          <w:rFonts w:ascii="Cambria" w:hAnsi="Cambria"/>
          <w:color w:val="000000" w:themeColor="text1"/>
        </w:rPr>
      </w:pPr>
    </w:p>
    <w:p w14:paraId="22DF4623" w14:textId="5360BE1F" w:rsidR="00634A9E" w:rsidRPr="006351EA" w:rsidRDefault="00634A9E" w:rsidP="00634A9E">
      <w:pPr>
        <w:rPr>
          <w:rFonts w:ascii="Cambria" w:hAnsi="Cambria"/>
          <w:color w:val="000000" w:themeColor="text1"/>
          <w:shd w:val="clear" w:color="auto" w:fill="FFFFFF"/>
        </w:rPr>
      </w:pPr>
      <w:r w:rsidRPr="006351EA">
        <w:rPr>
          <w:rFonts w:ascii="Cambria" w:hAnsi="Cambria"/>
          <w:color w:val="000000" w:themeColor="text1"/>
          <w:shd w:val="clear" w:color="auto" w:fill="FFFFFF"/>
        </w:rPr>
        <w:t>Public Trustee Review</w:t>
      </w:r>
    </w:p>
    <w:p w14:paraId="650A7730" w14:textId="5F8A4DB0" w:rsidR="00634A9E" w:rsidRPr="006351EA" w:rsidRDefault="00634A9E" w:rsidP="00634A9E">
      <w:pPr>
        <w:rPr>
          <w:rFonts w:ascii="Cambria" w:hAnsi="Cambria"/>
          <w:color w:val="000000" w:themeColor="text1"/>
          <w:shd w:val="clear" w:color="auto" w:fill="FFFFFF"/>
        </w:rPr>
      </w:pPr>
      <w:r w:rsidRPr="006351EA">
        <w:rPr>
          <w:rFonts w:ascii="Cambria" w:hAnsi="Cambria"/>
          <w:color w:val="000000" w:themeColor="text1"/>
          <w:shd w:val="clear" w:color="auto" w:fill="FFFFFF"/>
        </w:rPr>
        <w:t>Department of Justice </w:t>
      </w:r>
      <w:r w:rsidRPr="006351EA">
        <w:rPr>
          <w:rFonts w:ascii="Cambria" w:hAnsi="Cambria"/>
          <w:color w:val="000000" w:themeColor="text1"/>
        </w:rPr>
        <w:br/>
      </w:r>
      <w:r w:rsidRPr="006351EA">
        <w:rPr>
          <w:rFonts w:ascii="Cambria" w:hAnsi="Cambria"/>
          <w:color w:val="000000" w:themeColor="text1"/>
          <w:shd w:val="clear" w:color="auto" w:fill="FFFFFF"/>
        </w:rPr>
        <w:t>Office of the Secretary </w:t>
      </w:r>
      <w:r w:rsidRPr="006351EA">
        <w:rPr>
          <w:rFonts w:ascii="Cambria" w:hAnsi="Cambria"/>
          <w:color w:val="000000" w:themeColor="text1"/>
        </w:rPr>
        <w:br/>
      </w:r>
      <w:r w:rsidRPr="006351EA">
        <w:rPr>
          <w:rFonts w:ascii="Cambria" w:hAnsi="Cambria"/>
          <w:color w:val="000000" w:themeColor="text1"/>
          <w:shd w:val="clear" w:color="auto" w:fill="FFFFFF"/>
        </w:rPr>
        <w:t xml:space="preserve">GPO Box 825 </w:t>
      </w:r>
    </w:p>
    <w:p w14:paraId="5D8B5E2D" w14:textId="77777777" w:rsidR="00634A9E" w:rsidRPr="006351EA" w:rsidRDefault="00634A9E" w:rsidP="00634A9E">
      <w:pPr>
        <w:rPr>
          <w:rFonts w:ascii="Cambria" w:hAnsi="Cambria"/>
          <w:color w:val="000000" w:themeColor="text1"/>
        </w:rPr>
      </w:pPr>
      <w:r w:rsidRPr="006351EA">
        <w:rPr>
          <w:rFonts w:ascii="Cambria" w:hAnsi="Cambria"/>
          <w:color w:val="000000" w:themeColor="text1"/>
          <w:shd w:val="clear" w:color="auto" w:fill="FFFFFF"/>
        </w:rPr>
        <w:t>Hobart TAS 7001</w:t>
      </w:r>
    </w:p>
    <w:p w14:paraId="46A8DA36" w14:textId="2FFFA97C" w:rsidR="00634A9E" w:rsidRPr="006351EA" w:rsidRDefault="00634A9E" w:rsidP="00634A9E">
      <w:pPr>
        <w:ind w:left="2160" w:firstLine="720"/>
        <w:rPr>
          <w:rFonts w:ascii="Cambria" w:hAnsi="Cambria"/>
          <w:i/>
          <w:color w:val="000000" w:themeColor="text1"/>
        </w:rPr>
      </w:pPr>
      <w:r w:rsidRPr="006351EA">
        <w:rPr>
          <w:rFonts w:ascii="Cambria" w:hAnsi="Cambria"/>
          <w:b/>
          <w:i/>
          <w:color w:val="000000" w:themeColor="text1"/>
        </w:rPr>
        <w:t xml:space="preserve">via email: </w:t>
      </w:r>
      <w:hyperlink r:id="rId8" w:history="1">
        <w:r w:rsidRPr="006351EA">
          <w:rPr>
            <w:rStyle w:val="Hyperlink"/>
            <w:rFonts w:ascii="Cambria" w:hAnsi="Cambria"/>
            <w:bCs/>
            <w:i/>
          </w:rPr>
          <w:t>PublicTrusteeReview@justice.tas.gov.au</w:t>
        </w:r>
      </w:hyperlink>
      <w:r w:rsidRPr="006351EA">
        <w:rPr>
          <w:rFonts w:ascii="Cambria" w:hAnsi="Cambria"/>
          <w:bCs/>
          <w:i/>
          <w:color w:val="000000" w:themeColor="text1"/>
        </w:rPr>
        <w:t xml:space="preserve"> </w:t>
      </w:r>
    </w:p>
    <w:p w14:paraId="56C818BE" w14:textId="77777777" w:rsidR="00634A9E" w:rsidRPr="006351EA" w:rsidRDefault="00634A9E" w:rsidP="00634A9E">
      <w:pPr>
        <w:ind w:right="-205"/>
        <w:rPr>
          <w:rFonts w:ascii="Cambria" w:hAnsi="Cambria"/>
          <w:b/>
          <w:i/>
          <w:color w:val="000000" w:themeColor="text1"/>
        </w:rPr>
      </w:pPr>
    </w:p>
    <w:p w14:paraId="556A03AB" w14:textId="77777777" w:rsidR="00634A9E" w:rsidRPr="006351EA" w:rsidRDefault="00634A9E" w:rsidP="00634A9E">
      <w:pPr>
        <w:ind w:right="-64"/>
        <w:rPr>
          <w:rFonts w:ascii="Cambria" w:hAnsi="Cambria"/>
          <w:color w:val="000000" w:themeColor="text1"/>
        </w:rPr>
      </w:pPr>
      <w:r w:rsidRPr="006351EA">
        <w:rPr>
          <w:rFonts w:ascii="Cambria" w:hAnsi="Cambria"/>
          <w:color w:val="000000" w:themeColor="text1"/>
        </w:rPr>
        <w:t>To the Department of Justice,</w:t>
      </w:r>
    </w:p>
    <w:p w14:paraId="5F1B9E5F" w14:textId="22A730EE" w:rsidR="00634A9E" w:rsidRPr="006351EA" w:rsidRDefault="00634A9E" w:rsidP="00634A9E">
      <w:pPr>
        <w:pBdr>
          <w:bottom w:val="single" w:sz="6" w:space="1" w:color="auto"/>
        </w:pBdr>
        <w:rPr>
          <w:rFonts w:ascii="Cambria" w:hAnsi="Cambria"/>
          <w:b/>
          <w:color w:val="000000" w:themeColor="text1"/>
        </w:rPr>
      </w:pPr>
      <w:r w:rsidRPr="006351EA">
        <w:rPr>
          <w:rFonts w:ascii="Cambria" w:hAnsi="Cambria"/>
          <w:b/>
          <w:color w:val="000000" w:themeColor="text1"/>
        </w:rPr>
        <w:t xml:space="preserve">Re: </w:t>
      </w:r>
      <w:r w:rsidR="00E80A80" w:rsidRPr="006351EA">
        <w:rPr>
          <w:rFonts w:ascii="Cambria" w:hAnsi="Cambria"/>
          <w:b/>
          <w:color w:val="000000" w:themeColor="text1"/>
        </w:rPr>
        <w:t>Review of the Public Trustee</w:t>
      </w:r>
    </w:p>
    <w:p w14:paraId="419787E4" w14:textId="77777777" w:rsidR="00634A9E" w:rsidRPr="006351EA" w:rsidRDefault="00634A9E" w:rsidP="00634A9E">
      <w:pPr>
        <w:ind w:right="-64"/>
        <w:rPr>
          <w:rFonts w:ascii="Cambria" w:hAnsi="Cambria"/>
          <w:color w:val="000000" w:themeColor="text1"/>
        </w:rPr>
      </w:pPr>
      <w:r w:rsidRPr="006351EA">
        <w:rPr>
          <w:rFonts w:ascii="Cambria" w:hAnsi="Cambria"/>
          <w:color w:val="000000" w:themeColor="text1"/>
        </w:rPr>
        <w:t xml:space="preserve"> </w:t>
      </w:r>
    </w:p>
    <w:p w14:paraId="39C4570B" w14:textId="3DB54D64" w:rsidR="00B307FE" w:rsidRPr="006351EA" w:rsidRDefault="00634A9E" w:rsidP="00B307FE">
      <w:pPr>
        <w:ind w:right="-347"/>
        <w:jc w:val="both"/>
        <w:rPr>
          <w:rFonts w:ascii="Cambria" w:hAnsi="Cambria"/>
          <w:color w:val="000000" w:themeColor="text1"/>
        </w:rPr>
      </w:pPr>
      <w:r w:rsidRPr="006351EA">
        <w:rPr>
          <w:rFonts w:ascii="Cambria" w:hAnsi="Cambria" w:cs="Calibri"/>
          <w:color w:val="000000" w:themeColor="text1"/>
        </w:rPr>
        <w:t>Community Legal Centres Tasmania (CLC Tas)</w:t>
      </w:r>
      <w:r w:rsidRPr="006351EA">
        <w:rPr>
          <w:rFonts w:ascii="Cambria" w:hAnsi="Cambria"/>
          <w:color w:val="000000" w:themeColor="text1"/>
        </w:rPr>
        <w:t xml:space="preserve"> welcomes the opportunity to </w:t>
      </w:r>
      <w:r w:rsidR="00B36C81" w:rsidRPr="006351EA">
        <w:rPr>
          <w:rFonts w:ascii="Cambria" w:hAnsi="Cambria"/>
          <w:color w:val="000000" w:themeColor="text1"/>
        </w:rPr>
        <w:t>respon</w:t>
      </w:r>
      <w:r w:rsidR="008E23D6" w:rsidRPr="006351EA">
        <w:rPr>
          <w:rFonts w:ascii="Cambria" w:hAnsi="Cambria"/>
          <w:color w:val="000000" w:themeColor="text1"/>
        </w:rPr>
        <w:t>d</w:t>
      </w:r>
      <w:r w:rsidR="00B36C81" w:rsidRPr="006351EA">
        <w:rPr>
          <w:rFonts w:ascii="Cambria" w:hAnsi="Cambria"/>
          <w:color w:val="000000" w:themeColor="text1"/>
        </w:rPr>
        <w:t xml:space="preserve"> to the independent review of the administrative and operational practices of the Public Trustee</w:t>
      </w:r>
      <w:r w:rsidRPr="006351EA">
        <w:rPr>
          <w:rFonts w:ascii="Cambria" w:hAnsi="Cambria"/>
          <w:color w:val="000000" w:themeColor="text1"/>
        </w:rPr>
        <w:t>.</w:t>
      </w:r>
      <w:r w:rsidR="002F4964" w:rsidRPr="006351EA">
        <w:rPr>
          <w:rStyle w:val="FootnoteReference"/>
          <w:rFonts w:ascii="Cambria" w:hAnsi="Cambria"/>
          <w:color w:val="000000" w:themeColor="text1"/>
        </w:rPr>
        <w:footnoteReference w:id="1"/>
      </w:r>
      <w:r w:rsidR="00B307FE" w:rsidRPr="006351EA">
        <w:rPr>
          <w:rFonts w:ascii="Cambria" w:hAnsi="Cambria"/>
          <w:color w:val="000000" w:themeColor="text1"/>
        </w:rPr>
        <w:t xml:space="preserve"> Our response is focused broadly on the following three terms of reference:</w:t>
      </w:r>
    </w:p>
    <w:p w14:paraId="0EBB35DA" w14:textId="77777777" w:rsidR="00B307FE" w:rsidRPr="006351EA" w:rsidRDefault="00B307FE" w:rsidP="00B307FE">
      <w:pPr>
        <w:ind w:right="-347"/>
        <w:jc w:val="both"/>
        <w:rPr>
          <w:rFonts w:ascii="Cambria" w:hAnsi="Cambria"/>
          <w:color w:val="000000" w:themeColor="text1"/>
        </w:rPr>
      </w:pPr>
    </w:p>
    <w:p w14:paraId="51D11514" w14:textId="585B0741" w:rsidR="00B307FE" w:rsidRPr="006351EA" w:rsidRDefault="00B307FE" w:rsidP="008E23D6">
      <w:pPr>
        <w:pStyle w:val="NoSpacing"/>
        <w:numPr>
          <w:ilvl w:val="0"/>
          <w:numId w:val="15"/>
        </w:numPr>
        <w:jc w:val="both"/>
        <w:rPr>
          <w:rFonts w:ascii="Cambria" w:hAnsi="Cambria"/>
          <w:color w:val="000000" w:themeColor="text1"/>
          <w:lang w:eastAsia="en-GB"/>
        </w:rPr>
      </w:pPr>
      <w:r w:rsidRPr="006351EA">
        <w:rPr>
          <w:rFonts w:ascii="Cambria" w:hAnsi="Cambria"/>
          <w:color w:val="000000" w:themeColor="text1"/>
          <w:lang w:eastAsia="en-GB"/>
        </w:rPr>
        <w:t>the extent to which the Public Trustee is effectively performing its main undertakings and community service obligations with reference to relevant matters including legislative responsibilities, the current legislative framework and stakeholder feedback; and</w:t>
      </w:r>
    </w:p>
    <w:p w14:paraId="1BC9229D" w14:textId="1900E154" w:rsidR="00B307FE" w:rsidRPr="006351EA" w:rsidRDefault="00B307FE" w:rsidP="008E23D6">
      <w:pPr>
        <w:pStyle w:val="NoSpacing"/>
        <w:numPr>
          <w:ilvl w:val="0"/>
          <w:numId w:val="15"/>
        </w:numPr>
        <w:jc w:val="both"/>
        <w:rPr>
          <w:rFonts w:ascii="Cambria" w:hAnsi="Cambria"/>
          <w:color w:val="000000" w:themeColor="text1"/>
        </w:rPr>
      </w:pPr>
      <w:r w:rsidRPr="006351EA">
        <w:rPr>
          <w:rFonts w:ascii="Cambria" w:hAnsi="Cambria"/>
          <w:color w:val="000000" w:themeColor="text1"/>
          <w:lang w:eastAsia="en-GB"/>
        </w:rPr>
        <w:t>the appropriateness of the current Community Service Obligation Agreement between the Crown and the Public Trustee; and</w:t>
      </w:r>
    </w:p>
    <w:p w14:paraId="59AF549D" w14:textId="43F3DD0A" w:rsidR="00B307FE" w:rsidRPr="006351EA" w:rsidRDefault="00B307FE" w:rsidP="008E23D6">
      <w:pPr>
        <w:pStyle w:val="NoSpacing"/>
        <w:numPr>
          <w:ilvl w:val="0"/>
          <w:numId w:val="15"/>
        </w:numPr>
        <w:jc w:val="both"/>
        <w:rPr>
          <w:rFonts w:ascii="Cambria" w:hAnsi="Cambria"/>
          <w:color w:val="000000" w:themeColor="text1"/>
        </w:rPr>
      </w:pPr>
      <w:r w:rsidRPr="006351EA">
        <w:rPr>
          <w:rFonts w:ascii="Cambria" w:hAnsi="Cambria"/>
          <w:color w:val="000000" w:themeColor="text1"/>
          <w:lang w:eastAsia="en-GB"/>
        </w:rPr>
        <w:t xml:space="preserve">the appropriateness of current fees and charges applied by the Public Trustee for its services, given its costs and objectives. </w:t>
      </w:r>
    </w:p>
    <w:p w14:paraId="6ECE25CB" w14:textId="77777777" w:rsidR="00B36C81" w:rsidRPr="006351EA" w:rsidRDefault="00B36C81" w:rsidP="00634A9E">
      <w:pPr>
        <w:ind w:right="-347"/>
        <w:jc w:val="both"/>
        <w:rPr>
          <w:rFonts w:ascii="Cambria" w:hAnsi="Cambria"/>
          <w:color w:val="000000" w:themeColor="text1"/>
        </w:rPr>
      </w:pPr>
    </w:p>
    <w:p w14:paraId="295F38A9" w14:textId="35007D28" w:rsidR="00634A9E" w:rsidRPr="006351EA" w:rsidRDefault="00634A9E" w:rsidP="00634A9E">
      <w:pPr>
        <w:ind w:right="-347"/>
        <w:jc w:val="both"/>
        <w:rPr>
          <w:rFonts w:ascii="Cambria" w:hAnsi="Cambria"/>
          <w:color w:val="000000" w:themeColor="text1"/>
        </w:rPr>
      </w:pPr>
      <w:r w:rsidRPr="006351EA">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02FA2856" w14:textId="77777777" w:rsidR="004D1C4F" w:rsidRPr="006351EA" w:rsidRDefault="004D1C4F" w:rsidP="00626C72">
      <w:pPr>
        <w:ind w:right="-347"/>
        <w:jc w:val="both"/>
        <w:rPr>
          <w:rFonts w:ascii="Cambria" w:hAnsi="Cambria"/>
          <w:color w:val="000000" w:themeColor="text1"/>
        </w:rPr>
      </w:pPr>
    </w:p>
    <w:p w14:paraId="2F4164E4" w14:textId="1EF82C65" w:rsidR="00626C72" w:rsidRPr="000E0C47" w:rsidRDefault="00634A9E" w:rsidP="00626C72">
      <w:pPr>
        <w:ind w:right="-347"/>
        <w:jc w:val="both"/>
        <w:rPr>
          <w:rFonts w:ascii="Cambria" w:hAnsi="Cambria"/>
          <w:b/>
          <w:bCs/>
          <w:color w:val="000000" w:themeColor="text1"/>
          <w:lang w:val="en-US"/>
        </w:rPr>
      </w:pPr>
      <w:r w:rsidRPr="006351EA">
        <w:rPr>
          <w:rFonts w:ascii="Cambria" w:hAnsi="Cambria"/>
          <w:color w:val="000000" w:themeColor="text1"/>
        </w:rPr>
        <w:t xml:space="preserve">We </w:t>
      </w:r>
      <w:r w:rsidR="00B36C81" w:rsidRPr="006351EA">
        <w:rPr>
          <w:rFonts w:ascii="Cambria" w:hAnsi="Cambria"/>
          <w:color w:val="000000" w:themeColor="text1"/>
        </w:rPr>
        <w:t>strongly support the role of the Public Trustee in providing</w:t>
      </w:r>
      <w:r w:rsidR="008E23D6" w:rsidRPr="006351EA">
        <w:rPr>
          <w:rFonts w:ascii="Cambria" w:hAnsi="Cambria"/>
          <w:color w:val="000000" w:themeColor="text1"/>
        </w:rPr>
        <w:t xml:space="preserve"> financial </w:t>
      </w:r>
      <w:r w:rsidR="00B36C81" w:rsidRPr="006351EA">
        <w:rPr>
          <w:rFonts w:ascii="Cambria" w:hAnsi="Cambria"/>
          <w:color w:val="000000" w:themeColor="text1"/>
        </w:rPr>
        <w:t>administration to represented persons</w:t>
      </w:r>
      <w:r w:rsidR="00626C72" w:rsidRPr="006351EA">
        <w:rPr>
          <w:rFonts w:ascii="Cambria" w:hAnsi="Cambria"/>
          <w:color w:val="000000" w:themeColor="text1"/>
        </w:rPr>
        <w:t xml:space="preserve"> where a suitable person or organisation is unable to assist.</w:t>
      </w:r>
      <w:r w:rsidR="004D1C4F" w:rsidRPr="006351EA">
        <w:rPr>
          <w:rFonts w:ascii="Cambria" w:hAnsi="Cambria"/>
          <w:color w:val="000000" w:themeColor="text1"/>
        </w:rPr>
        <w:t xml:space="preserve"> However, the power that the Public Trustee</w:t>
      </w:r>
      <w:r w:rsidR="001B451E" w:rsidRPr="006351EA">
        <w:rPr>
          <w:rFonts w:ascii="Cambria" w:hAnsi="Cambria"/>
          <w:color w:val="000000" w:themeColor="text1"/>
        </w:rPr>
        <w:t xml:space="preserve"> </w:t>
      </w:r>
      <w:r w:rsidR="004D1C4F" w:rsidRPr="006351EA">
        <w:rPr>
          <w:rFonts w:ascii="Cambria" w:hAnsi="Cambria"/>
          <w:color w:val="000000" w:themeColor="text1"/>
        </w:rPr>
        <w:t>wiel</w:t>
      </w:r>
      <w:r w:rsidR="001B451E" w:rsidRPr="006351EA">
        <w:rPr>
          <w:rFonts w:ascii="Cambria" w:hAnsi="Cambria"/>
          <w:color w:val="000000" w:themeColor="text1"/>
        </w:rPr>
        <w:t>ds</w:t>
      </w:r>
      <w:r w:rsidR="004D1C4F" w:rsidRPr="006351EA">
        <w:rPr>
          <w:rFonts w:ascii="Cambria" w:hAnsi="Cambria"/>
          <w:color w:val="000000" w:themeColor="text1"/>
        </w:rPr>
        <w:t xml:space="preserve"> over persons subject to administration orders is immense</w:t>
      </w:r>
      <w:r w:rsidR="000E0C47">
        <w:rPr>
          <w:rFonts w:ascii="Cambria" w:hAnsi="Cambria"/>
          <w:color w:val="000000" w:themeColor="text1"/>
        </w:rPr>
        <w:t xml:space="preserve">. </w:t>
      </w:r>
      <w:r w:rsidR="000E0C47" w:rsidRPr="006351EA">
        <w:rPr>
          <w:rFonts w:ascii="Cambria" w:hAnsi="Cambria"/>
          <w:color w:val="000000" w:themeColor="text1"/>
        </w:rPr>
        <w:t xml:space="preserve">It is therefore imperative that the wishes </w:t>
      </w:r>
      <w:r w:rsidR="000E0C47" w:rsidRPr="006351EA">
        <w:rPr>
          <w:rFonts w:ascii="Cambria" w:hAnsi="Cambria"/>
          <w:color w:val="000000" w:themeColor="text1"/>
        </w:rPr>
        <w:lastRenderedPageBreak/>
        <w:t>and best interests of the represented person remain central to the Public Trustee’s mission.</w:t>
      </w:r>
      <w:r w:rsidR="000E0C47">
        <w:rPr>
          <w:rFonts w:ascii="Cambria" w:hAnsi="Cambria"/>
          <w:b/>
          <w:bCs/>
          <w:color w:val="000000" w:themeColor="text1"/>
          <w:lang w:val="en-US"/>
        </w:rPr>
        <w:t xml:space="preserve"> </w:t>
      </w:r>
      <w:r w:rsidR="004D1C4F" w:rsidRPr="006351EA">
        <w:rPr>
          <w:rFonts w:ascii="Cambria" w:hAnsi="Cambria"/>
          <w:color w:val="000000" w:themeColor="text1"/>
        </w:rPr>
        <w:t>As the Victorian Ombudsman has previously noted:</w:t>
      </w:r>
      <w:r w:rsidR="004D1C4F" w:rsidRPr="006351EA">
        <w:rPr>
          <w:rStyle w:val="FootnoteReference"/>
          <w:rFonts w:ascii="Cambria" w:hAnsi="Cambria"/>
          <w:color w:val="000000" w:themeColor="text1"/>
        </w:rPr>
        <w:footnoteReference w:id="2"/>
      </w:r>
      <w:r w:rsidR="004D1C4F" w:rsidRPr="006351EA">
        <w:rPr>
          <w:rFonts w:ascii="Cambria" w:hAnsi="Cambria"/>
          <w:color w:val="000000" w:themeColor="text1"/>
        </w:rPr>
        <w:t xml:space="preserve">  </w:t>
      </w:r>
    </w:p>
    <w:p w14:paraId="7C373B15" w14:textId="77777777" w:rsidR="004D1C4F" w:rsidRPr="006351EA" w:rsidRDefault="004D1C4F" w:rsidP="004D1C4F">
      <w:pPr>
        <w:rPr>
          <w:rFonts w:ascii="Cambria" w:hAnsi="Cambria"/>
        </w:rPr>
      </w:pPr>
    </w:p>
    <w:p w14:paraId="64C2AA89" w14:textId="77777777" w:rsidR="004D1C4F" w:rsidRPr="006351EA" w:rsidRDefault="004D1C4F" w:rsidP="004D1C4F">
      <w:pPr>
        <w:ind w:left="720"/>
        <w:jc w:val="both"/>
        <w:rPr>
          <w:rFonts w:ascii="Cambria" w:hAnsi="Cambria"/>
          <w:i/>
          <w:iCs/>
        </w:rPr>
      </w:pPr>
      <w:r w:rsidRPr="006351EA">
        <w:rPr>
          <w:rFonts w:ascii="Cambria" w:hAnsi="Cambria"/>
          <w:i/>
          <w:iCs/>
        </w:rPr>
        <w:t>There can be few more potent examples of the imbalance of power between the individual and the state than when the state assumes control over someone’s financial affairs. Whatever money or property a person has is no longer theirs to deal with, homes can be sold and personal property dispersed. The impact of this is obvious, the responsibility it places on those entrusted with their affairs equally so.</w:t>
      </w:r>
    </w:p>
    <w:p w14:paraId="14D93E4F" w14:textId="77777777" w:rsidR="000E0C47" w:rsidRDefault="000E0C47" w:rsidP="00634A9E">
      <w:pPr>
        <w:ind w:right="-347"/>
        <w:jc w:val="both"/>
        <w:rPr>
          <w:rFonts w:ascii="Cambria" w:hAnsi="Cambria"/>
          <w:b/>
          <w:bCs/>
          <w:color w:val="000000" w:themeColor="text1"/>
          <w:lang w:val="en-US"/>
        </w:rPr>
      </w:pPr>
    </w:p>
    <w:p w14:paraId="4DD9B7D1" w14:textId="758F4865" w:rsidR="00B36C81" w:rsidRPr="006351EA" w:rsidRDefault="00B36C81" w:rsidP="00634A9E">
      <w:pPr>
        <w:ind w:right="-347"/>
        <w:jc w:val="both"/>
        <w:rPr>
          <w:rFonts w:ascii="Cambria" w:hAnsi="Cambria"/>
          <w:b/>
          <w:bCs/>
          <w:color w:val="000000" w:themeColor="text1"/>
          <w:lang w:val="en-US"/>
        </w:rPr>
      </w:pPr>
      <w:r w:rsidRPr="006351EA">
        <w:rPr>
          <w:rFonts w:ascii="Cambria" w:hAnsi="Cambria"/>
          <w:b/>
          <w:bCs/>
          <w:color w:val="000000" w:themeColor="text1"/>
          <w:lang w:val="en-US"/>
        </w:rPr>
        <w:t>The Guardianship and Administration Board and the Public Trustee</w:t>
      </w:r>
    </w:p>
    <w:p w14:paraId="4870FCB1" w14:textId="7FE6BF6D" w:rsidR="00E274E1" w:rsidRPr="006351EA" w:rsidRDefault="00A42F88" w:rsidP="00E274E1">
      <w:pPr>
        <w:ind w:right="-347"/>
        <w:jc w:val="both"/>
        <w:rPr>
          <w:rFonts w:ascii="Cambria" w:hAnsi="Cambria"/>
          <w:color w:val="000000" w:themeColor="text1"/>
          <w:lang w:val="en-US"/>
        </w:rPr>
      </w:pPr>
      <w:r w:rsidRPr="006351EA">
        <w:rPr>
          <w:rFonts w:ascii="Cambria" w:hAnsi="Cambria"/>
          <w:color w:val="000000" w:themeColor="text1"/>
          <w:lang w:val="en-US"/>
        </w:rPr>
        <w:t>An</w:t>
      </w:r>
      <w:r w:rsidR="00117D3A" w:rsidRPr="006351EA">
        <w:rPr>
          <w:rFonts w:ascii="Cambria" w:hAnsi="Cambria"/>
          <w:color w:val="000000" w:themeColor="text1"/>
          <w:lang w:val="en-US"/>
        </w:rPr>
        <w:t>y person may make an</w:t>
      </w:r>
      <w:r w:rsidRPr="006351EA">
        <w:rPr>
          <w:rFonts w:ascii="Cambria" w:hAnsi="Cambria"/>
          <w:color w:val="000000" w:themeColor="text1"/>
          <w:lang w:val="en-US"/>
        </w:rPr>
        <w:t xml:space="preserve"> application to the Guardianship and Administration Board for an administration order</w:t>
      </w:r>
      <w:r w:rsidRPr="006351EA">
        <w:rPr>
          <w:rStyle w:val="FootnoteReference"/>
          <w:rFonts w:ascii="Cambria" w:hAnsi="Cambria"/>
          <w:color w:val="000000" w:themeColor="text1"/>
          <w:lang w:val="en-US"/>
        </w:rPr>
        <w:footnoteReference w:id="3"/>
      </w:r>
      <w:r w:rsidRPr="006351EA">
        <w:rPr>
          <w:rFonts w:ascii="Cambria" w:hAnsi="Cambria"/>
          <w:color w:val="000000" w:themeColor="text1"/>
          <w:lang w:val="en-US"/>
        </w:rPr>
        <w:t xml:space="preserve"> </w:t>
      </w:r>
      <w:r w:rsidR="00117D3A" w:rsidRPr="006351EA">
        <w:rPr>
          <w:rFonts w:ascii="Cambria" w:hAnsi="Cambria"/>
          <w:color w:val="000000" w:themeColor="text1"/>
          <w:lang w:val="en-US"/>
        </w:rPr>
        <w:t xml:space="preserve">although they are usually sought </w:t>
      </w:r>
      <w:r w:rsidRPr="006351EA">
        <w:rPr>
          <w:rFonts w:ascii="Cambria" w:hAnsi="Cambria"/>
          <w:color w:val="000000" w:themeColor="text1"/>
          <w:lang w:val="en-US"/>
        </w:rPr>
        <w:t>by a health worker or a family member concerned that a person is struggling to manage their money or is vulnerable to exploitation.</w:t>
      </w:r>
      <w:r w:rsidR="00117D3A" w:rsidRPr="006351EA">
        <w:rPr>
          <w:rFonts w:ascii="Cambria" w:hAnsi="Cambria"/>
          <w:color w:val="000000" w:themeColor="text1"/>
          <w:lang w:val="en-US"/>
        </w:rPr>
        <w:t xml:space="preserve"> </w:t>
      </w:r>
      <w:r w:rsidR="00E274E1" w:rsidRPr="006351EA">
        <w:rPr>
          <w:rFonts w:ascii="Cambria" w:hAnsi="Cambria"/>
          <w:color w:val="000000" w:themeColor="text1"/>
        </w:rPr>
        <w:t xml:space="preserve">As the Full Court of the Supreme Court of Western Australia in </w:t>
      </w:r>
      <w:r w:rsidR="00E274E1" w:rsidRPr="006351EA">
        <w:rPr>
          <w:rFonts w:ascii="Cambria" w:hAnsi="Cambria"/>
          <w:i/>
          <w:iCs/>
          <w:color w:val="000000" w:themeColor="text1"/>
        </w:rPr>
        <w:t>Re Guardianship and Administration Board</w:t>
      </w:r>
      <w:r w:rsidR="00E274E1" w:rsidRPr="006351EA">
        <w:rPr>
          <w:rFonts w:ascii="Cambria" w:hAnsi="Cambria"/>
          <w:color w:val="000000" w:themeColor="text1"/>
        </w:rPr>
        <w:t xml:space="preserve"> </w:t>
      </w:r>
      <w:r w:rsidR="00117D3A" w:rsidRPr="006351EA">
        <w:rPr>
          <w:rFonts w:ascii="Cambria" w:hAnsi="Cambria"/>
          <w:color w:val="000000" w:themeColor="text1"/>
        </w:rPr>
        <w:t xml:space="preserve">noted about analogous legislation, </w:t>
      </w:r>
      <w:r w:rsidR="00E274E1" w:rsidRPr="006351EA">
        <w:rPr>
          <w:rFonts w:ascii="Cambria" w:hAnsi="Cambria"/>
          <w:color w:val="000000" w:themeColor="text1"/>
        </w:rPr>
        <w:t xml:space="preserve">the purpose of </w:t>
      </w:r>
      <w:r w:rsidR="00117D3A" w:rsidRPr="006351EA">
        <w:rPr>
          <w:rFonts w:ascii="Cambria" w:hAnsi="Cambria"/>
          <w:color w:val="000000" w:themeColor="text1"/>
        </w:rPr>
        <w:t>an administration order</w:t>
      </w:r>
      <w:r w:rsidR="00E274E1" w:rsidRPr="006351EA">
        <w:rPr>
          <w:rFonts w:ascii="Cambria" w:hAnsi="Cambria"/>
          <w:color w:val="000000" w:themeColor="text1"/>
        </w:rPr>
        <w:t xml:space="preserve"> is:</w:t>
      </w:r>
      <w:r w:rsidR="00E274E1" w:rsidRPr="006351EA">
        <w:rPr>
          <w:rStyle w:val="FootnoteReference"/>
          <w:rFonts w:ascii="Cambria" w:hAnsi="Cambria"/>
          <w:color w:val="000000" w:themeColor="text1"/>
        </w:rPr>
        <w:footnoteReference w:id="4"/>
      </w:r>
    </w:p>
    <w:p w14:paraId="16A64D66" w14:textId="77777777" w:rsidR="00117D3A" w:rsidRPr="006351EA" w:rsidRDefault="00117D3A" w:rsidP="00117D3A">
      <w:pPr>
        <w:ind w:left="720"/>
        <w:jc w:val="both"/>
        <w:rPr>
          <w:rFonts w:ascii="Cambria" w:hAnsi="Cambria"/>
          <w:i/>
          <w:iCs/>
          <w:color w:val="000000" w:themeColor="text1"/>
          <w:sz w:val="22"/>
          <w:szCs w:val="22"/>
        </w:rPr>
      </w:pPr>
    </w:p>
    <w:p w14:paraId="319AF907" w14:textId="524AB248" w:rsidR="00E274E1" w:rsidRPr="006351EA" w:rsidRDefault="00E274E1" w:rsidP="00117D3A">
      <w:pPr>
        <w:ind w:left="720"/>
        <w:jc w:val="both"/>
        <w:rPr>
          <w:rFonts w:ascii="Cambria" w:hAnsi="Cambria"/>
          <w:color w:val="000000" w:themeColor="text1"/>
          <w:shd w:val="clear" w:color="auto" w:fill="FFFFFF"/>
        </w:rPr>
      </w:pPr>
      <w:r w:rsidRPr="006351EA">
        <w:rPr>
          <w:rFonts w:ascii="Cambria" w:hAnsi="Cambria"/>
          <w:i/>
          <w:iCs/>
          <w:color w:val="000000" w:themeColor="text1"/>
        </w:rPr>
        <w:t>to ensure that [the person’s] financial affairs and other welfare is not jeopardised by improvident, or ill-considered personal decisions or action, or by unscrupulous or ill-advised influence of relatives, friends and others who may deliberately or inadvertently exploit the vulnerability of the person in need of assistance and protection</w:t>
      </w:r>
      <w:r w:rsidR="00117D3A" w:rsidRPr="006351EA">
        <w:rPr>
          <w:rFonts w:ascii="Cambria" w:hAnsi="Cambria"/>
          <w:color w:val="000000" w:themeColor="text1"/>
        </w:rPr>
        <w:t>.</w:t>
      </w:r>
    </w:p>
    <w:p w14:paraId="7587489A" w14:textId="77777777" w:rsidR="00E274E1" w:rsidRPr="006351EA" w:rsidRDefault="00E274E1" w:rsidP="00062A0A">
      <w:pPr>
        <w:ind w:right="-347"/>
        <w:jc w:val="both"/>
        <w:rPr>
          <w:rFonts w:ascii="Cambria" w:hAnsi="Cambria"/>
          <w:color w:val="000000" w:themeColor="text1"/>
          <w:lang w:val="en-US"/>
        </w:rPr>
      </w:pPr>
    </w:p>
    <w:p w14:paraId="79EA637B" w14:textId="62A9AE2E" w:rsidR="00062A0A" w:rsidRPr="006351EA" w:rsidRDefault="00A42F88" w:rsidP="00062A0A">
      <w:pPr>
        <w:ind w:right="-347"/>
        <w:jc w:val="both"/>
        <w:rPr>
          <w:rFonts w:ascii="Cambria" w:hAnsi="Cambria"/>
          <w:color w:val="000000" w:themeColor="text1"/>
          <w:lang w:val="en-US"/>
        </w:rPr>
      </w:pPr>
      <w:r w:rsidRPr="006351EA">
        <w:rPr>
          <w:rFonts w:ascii="Cambria" w:hAnsi="Cambria"/>
          <w:color w:val="000000" w:themeColor="text1"/>
          <w:lang w:val="en-US"/>
        </w:rPr>
        <w:t xml:space="preserve">Following a hearing, </w:t>
      </w:r>
      <w:r w:rsidR="007E4809" w:rsidRPr="006351EA">
        <w:rPr>
          <w:rFonts w:ascii="Cambria" w:hAnsi="Cambria"/>
          <w:color w:val="000000" w:themeColor="text1"/>
          <w:lang w:val="en-US"/>
        </w:rPr>
        <w:t>an</w:t>
      </w:r>
      <w:r w:rsidRPr="006351EA">
        <w:rPr>
          <w:rFonts w:ascii="Cambria" w:hAnsi="Cambria"/>
          <w:color w:val="000000" w:themeColor="text1"/>
          <w:lang w:val="en-US"/>
        </w:rPr>
        <w:t xml:space="preserve"> administration order will be made </w:t>
      </w:r>
      <w:r w:rsidR="00B36C81" w:rsidRPr="006351EA">
        <w:rPr>
          <w:rFonts w:ascii="Cambria" w:hAnsi="Cambria"/>
          <w:color w:val="000000" w:themeColor="text1"/>
          <w:lang w:val="en-US"/>
        </w:rPr>
        <w:t>where the Board is satisfied that by reason of a disability the person is unable to make reasonable judgements about their financ</w:t>
      </w:r>
      <w:r w:rsidR="00626C72" w:rsidRPr="006351EA">
        <w:rPr>
          <w:rFonts w:ascii="Cambria" w:hAnsi="Cambria"/>
          <w:color w:val="000000" w:themeColor="text1"/>
          <w:lang w:val="en-US"/>
        </w:rPr>
        <w:t>ial affairs</w:t>
      </w:r>
      <w:r w:rsidR="00B36C81" w:rsidRPr="006351EA">
        <w:rPr>
          <w:rFonts w:ascii="Cambria" w:hAnsi="Cambria"/>
          <w:color w:val="000000" w:themeColor="text1"/>
          <w:lang w:val="en-US"/>
        </w:rPr>
        <w:t xml:space="preserve"> and requires the assistance of a</w:t>
      </w:r>
      <w:r w:rsidR="00626C72" w:rsidRPr="006351EA">
        <w:rPr>
          <w:rFonts w:ascii="Cambria" w:hAnsi="Cambria"/>
          <w:color w:val="000000" w:themeColor="text1"/>
          <w:lang w:val="en-US"/>
        </w:rPr>
        <w:t xml:space="preserve"> financial</w:t>
      </w:r>
      <w:r w:rsidR="00266632" w:rsidRPr="006351EA">
        <w:rPr>
          <w:rFonts w:ascii="Cambria" w:hAnsi="Cambria"/>
          <w:color w:val="000000" w:themeColor="text1"/>
          <w:lang w:val="en-US"/>
        </w:rPr>
        <w:t xml:space="preserve"> </w:t>
      </w:r>
      <w:r w:rsidR="00B36C81" w:rsidRPr="006351EA">
        <w:rPr>
          <w:rFonts w:ascii="Cambria" w:hAnsi="Cambria"/>
          <w:color w:val="000000" w:themeColor="text1"/>
          <w:lang w:val="en-US"/>
        </w:rPr>
        <w:t>administrator.</w:t>
      </w:r>
      <w:r w:rsidR="00B36C81" w:rsidRPr="006351EA">
        <w:rPr>
          <w:rStyle w:val="FootnoteReference"/>
          <w:rFonts w:ascii="Cambria" w:hAnsi="Cambria"/>
          <w:color w:val="000000" w:themeColor="text1"/>
          <w:lang w:val="en-US"/>
        </w:rPr>
        <w:footnoteReference w:id="5"/>
      </w:r>
      <w:r w:rsidRPr="006351EA">
        <w:rPr>
          <w:rFonts w:ascii="Cambria" w:hAnsi="Cambria"/>
          <w:color w:val="000000" w:themeColor="text1"/>
          <w:lang w:val="en-US"/>
        </w:rPr>
        <w:t xml:space="preserve"> </w:t>
      </w:r>
    </w:p>
    <w:p w14:paraId="636ED187" w14:textId="77777777" w:rsidR="00117D3A" w:rsidRPr="006351EA" w:rsidRDefault="00117D3A" w:rsidP="00062A0A">
      <w:pPr>
        <w:ind w:right="-347"/>
        <w:jc w:val="both"/>
        <w:rPr>
          <w:rFonts w:ascii="Cambria" w:hAnsi="Cambria"/>
        </w:rPr>
      </w:pPr>
    </w:p>
    <w:p w14:paraId="05D41FBF" w14:textId="2C47DA58" w:rsidR="00062A0A" w:rsidRPr="006351EA" w:rsidRDefault="00062A0A" w:rsidP="00062A0A">
      <w:pPr>
        <w:ind w:right="-347"/>
        <w:jc w:val="both"/>
        <w:rPr>
          <w:rFonts w:ascii="Cambria" w:eastAsiaTheme="minorHAnsi" w:hAnsi="Cambria"/>
          <w:color w:val="000000" w:themeColor="text1"/>
          <w:lang w:val="en-US" w:eastAsia="en-AU"/>
        </w:rPr>
      </w:pPr>
      <w:r w:rsidRPr="006351EA">
        <w:rPr>
          <w:rFonts w:ascii="Cambria" w:hAnsi="Cambria"/>
        </w:rPr>
        <w:t>Family members, friends or trusted advisers ar</w:t>
      </w:r>
      <w:r w:rsidR="008E23D6" w:rsidRPr="006351EA">
        <w:rPr>
          <w:rFonts w:ascii="Cambria" w:hAnsi="Cambria"/>
        </w:rPr>
        <w:t>e</w:t>
      </w:r>
      <w:r w:rsidR="000B3DD8" w:rsidRPr="006351EA">
        <w:rPr>
          <w:rFonts w:ascii="Cambria" w:hAnsi="Cambria"/>
        </w:rPr>
        <w:t xml:space="preserve"> </w:t>
      </w:r>
      <w:r w:rsidRPr="006351EA">
        <w:rPr>
          <w:rFonts w:ascii="Cambria" w:hAnsi="Cambria"/>
        </w:rPr>
        <w:t xml:space="preserve">often appointed as administrators and private trustee companies may also be appointed, particularly where assets held by the person are significant. However, the Public Trustee is the only organisation funded by government and is </w:t>
      </w:r>
      <w:r w:rsidR="008E23D6" w:rsidRPr="006351EA">
        <w:rPr>
          <w:rFonts w:ascii="Cambria" w:hAnsi="Cambria"/>
        </w:rPr>
        <w:t>usually</w:t>
      </w:r>
      <w:r w:rsidRPr="006351EA">
        <w:rPr>
          <w:rFonts w:ascii="Cambria" w:hAnsi="Cambria"/>
        </w:rPr>
        <w:t xml:space="preserve"> appointed in circumstances where the person cannot afford to pay and no other </w:t>
      </w:r>
      <w:r w:rsidRPr="006351EA">
        <w:rPr>
          <w:rFonts w:ascii="Cambria" w:hAnsi="Cambria"/>
          <w:color w:val="000000" w:themeColor="text1"/>
          <w:lang w:val="en-US"/>
        </w:rPr>
        <w:t xml:space="preserve">suitable person or </w:t>
      </w:r>
      <w:proofErr w:type="spellStart"/>
      <w:r w:rsidRPr="006351EA">
        <w:rPr>
          <w:rFonts w:ascii="Cambria" w:hAnsi="Cambria"/>
          <w:color w:val="000000" w:themeColor="text1"/>
          <w:lang w:val="en-US"/>
        </w:rPr>
        <w:t>organisation</w:t>
      </w:r>
      <w:proofErr w:type="spellEnd"/>
      <w:r w:rsidRPr="006351EA">
        <w:rPr>
          <w:rFonts w:ascii="Cambria" w:hAnsi="Cambria"/>
          <w:color w:val="000000" w:themeColor="text1"/>
          <w:lang w:val="en-US"/>
        </w:rPr>
        <w:t xml:space="preserve"> can be found.</w:t>
      </w:r>
      <w:r w:rsidRPr="006351EA">
        <w:rPr>
          <w:rStyle w:val="FootnoteReference"/>
          <w:rFonts w:ascii="Cambria" w:hAnsi="Cambria"/>
          <w:color w:val="000000" w:themeColor="text1"/>
          <w:lang w:val="en-US"/>
        </w:rPr>
        <w:footnoteReference w:id="6"/>
      </w:r>
      <w:r w:rsidRPr="006351EA">
        <w:rPr>
          <w:rFonts w:ascii="Cambria" w:hAnsi="Cambria"/>
          <w:color w:val="000000" w:themeColor="text1"/>
          <w:lang w:val="en-US"/>
        </w:rPr>
        <w:t xml:space="preserve"> </w:t>
      </w:r>
    </w:p>
    <w:p w14:paraId="10455026" w14:textId="77777777" w:rsidR="00062A0A" w:rsidRPr="006351EA" w:rsidRDefault="00062A0A" w:rsidP="00062A0A">
      <w:pPr>
        <w:rPr>
          <w:rFonts w:ascii="Cambria" w:hAnsi="Cambria"/>
        </w:rPr>
      </w:pPr>
    </w:p>
    <w:p w14:paraId="0058E087" w14:textId="77777777" w:rsidR="00D27BC7" w:rsidRPr="006351EA" w:rsidRDefault="00626C72" w:rsidP="00634A9E">
      <w:pPr>
        <w:ind w:right="-347"/>
        <w:jc w:val="both"/>
        <w:rPr>
          <w:rFonts w:ascii="Cambria" w:hAnsi="Cambria"/>
          <w:color w:val="000000" w:themeColor="text1"/>
          <w:lang w:val="en-US"/>
        </w:rPr>
      </w:pPr>
      <w:r w:rsidRPr="006351EA">
        <w:rPr>
          <w:rFonts w:ascii="Cambria" w:hAnsi="Cambria"/>
          <w:color w:val="000000" w:themeColor="text1"/>
          <w:lang w:val="en-US"/>
        </w:rPr>
        <w:t>An administrator must “act at all times in the best interests of the represented person”.</w:t>
      </w:r>
      <w:r w:rsidRPr="006351EA">
        <w:rPr>
          <w:rStyle w:val="FootnoteReference"/>
          <w:rFonts w:ascii="Cambria" w:hAnsi="Cambria"/>
          <w:color w:val="000000" w:themeColor="text1"/>
          <w:lang w:val="en-US"/>
        </w:rPr>
        <w:footnoteReference w:id="7"/>
      </w:r>
      <w:r w:rsidRPr="006351EA">
        <w:rPr>
          <w:rFonts w:ascii="Cambria" w:hAnsi="Cambria"/>
          <w:color w:val="000000" w:themeColor="text1"/>
          <w:lang w:val="en-US"/>
        </w:rPr>
        <w:t xml:space="preserve"> </w:t>
      </w:r>
      <w:r w:rsidR="00BE2069" w:rsidRPr="006351EA">
        <w:rPr>
          <w:rFonts w:ascii="Cambria" w:hAnsi="Cambria"/>
          <w:color w:val="000000" w:themeColor="text1"/>
          <w:lang w:val="en-US"/>
        </w:rPr>
        <w:t xml:space="preserve">The </w:t>
      </w:r>
      <w:r w:rsidR="00BE2069" w:rsidRPr="006351EA">
        <w:rPr>
          <w:rFonts w:ascii="Cambria" w:hAnsi="Cambria"/>
          <w:i/>
          <w:iCs/>
          <w:color w:val="000000" w:themeColor="text1"/>
          <w:lang w:val="en-US"/>
        </w:rPr>
        <w:t>Guardianship and Administration Act 1995</w:t>
      </w:r>
      <w:r w:rsidR="00BE2069" w:rsidRPr="006351EA">
        <w:rPr>
          <w:rFonts w:ascii="Cambria" w:hAnsi="Cambria"/>
          <w:color w:val="000000" w:themeColor="text1"/>
          <w:lang w:val="en-US"/>
        </w:rPr>
        <w:t xml:space="preserve"> (Tas) </w:t>
      </w:r>
      <w:r w:rsidR="00767295" w:rsidRPr="006351EA">
        <w:rPr>
          <w:rFonts w:ascii="Cambria" w:hAnsi="Cambria"/>
          <w:color w:val="000000" w:themeColor="text1"/>
          <w:lang w:val="en-US"/>
        </w:rPr>
        <w:t>provides</w:t>
      </w:r>
      <w:r w:rsidR="00BE2069" w:rsidRPr="006351EA">
        <w:rPr>
          <w:rFonts w:ascii="Cambria" w:hAnsi="Cambria"/>
          <w:color w:val="000000" w:themeColor="text1"/>
          <w:lang w:val="en-US"/>
        </w:rPr>
        <w:t xml:space="preserve"> that this best interests principle is achieved by </w:t>
      </w:r>
      <w:r w:rsidR="00BE2069" w:rsidRPr="006351EA">
        <w:rPr>
          <w:rFonts w:ascii="Cambria" w:hAnsi="Cambria"/>
        </w:rPr>
        <w:t xml:space="preserve">an administrator who acts as far as possible in such a way as to encourage and assist the represented person to become capable of </w:t>
      </w:r>
      <w:r w:rsidR="00BE2069" w:rsidRPr="006351EA">
        <w:rPr>
          <w:rFonts w:ascii="Cambria" w:hAnsi="Cambria"/>
        </w:rPr>
        <w:lastRenderedPageBreak/>
        <w:t>managing his or her estate, and in consultation with the represented person, taking into account their wishes as far as possible.</w:t>
      </w:r>
      <w:r w:rsidR="00BE2069" w:rsidRPr="006351EA">
        <w:rPr>
          <w:rStyle w:val="FootnoteReference"/>
          <w:rFonts w:ascii="Cambria" w:hAnsi="Cambria"/>
        </w:rPr>
        <w:footnoteReference w:id="8"/>
      </w:r>
    </w:p>
    <w:p w14:paraId="5EA9BDEF" w14:textId="77777777" w:rsidR="00D27BC7" w:rsidRPr="006351EA" w:rsidRDefault="00D27BC7" w:rsidP="00634A9E">
      <w:pPr>
        <w:ind w:right="-347"/>
        <w:jc w:val="both"/>
        <w:rPr>
          <w:rFonts w:ascii="Cambria" w:hAnsi="Cambria"/>
          <w:color w:val="000000" w:themeColor="text1"/>
          <w:lang w:val="en-US"/>
        </w:rPr>
      </w:pPr>
    </w:p>
    <w:p w14:paraId="31BFA50F" w14:textId="5F2920FB" w:rsidR="001046D7" w:rsidRPr="006351EA" w:rsidRDefault="00767295" w:rsidP="00634A9E">
      <w:pPr>
        <w:ind w:right="-347"/>
        <w:jc w:val="both"/>
        <w:rPr>
          <w:rFonts w:ascii="Cambria" w:hAnsi="Cambria"/>
          <w:color w:val="000000" w:themeColor="text1"/>
          <w:lang w:val="en-US"/>
        </w:rPr>
      </w:pPr>
      <w:r w:rsidRPr="006351EA">
        <w:rPr>
          <w:rFonts w:ascii="Cambria" w:hAnsi="Cambria"/>
          <w:color w:val="000000" w:themeColor="text1"/>
          <w:lang w:val="en-US"/>
        </w:rPr>
        <w:t>To ensure that</w:t>
      </w:r>
      <w:r w:rsidR="000F276D" w:rsidRPr="006351EA">
        <w:rPr>
          <w:rFonts w:ascii="Cambria" w:hAnsi="Cambria"/>
          <w:color w:val="000000" w:themeColor="text1"/>
          <w:lang w:val="en-US"/>
        </w:rPr>
        <w:t xml:space="preserve"> the person’s own autonomy is promoted and participation in decision-making is assured, </w:t>
      </w:r>
      <w:r w:rsidRPr="006351EA">
        <w:rPr>
          <w:rFonts w:ascii="Cambria" w:hAnsi="Cambria"/>
          <w:color w:val="000000" w:themeColor="text1"/>
          <w:lang w:val="en-US"/>
        </w:rPr>
        <w:t xml:space="preserve">it is clear that significant one-on-one </w:t>
      </w:r>
      <w:r w:rsidR="00D27BC7" w:rsidRPr="006351EA">
        <w:rPr>
          <w:rFonts w:ascii="Cambria" w:hAnsi="Cambria"/>
          <w:color w:val="000000" w:themeColor="text1"/>
          <w:lang w:val="en-US"/>
        </w:rPr>
        <w:t>engagement</w:t>
      </w:r>
      <w:r w:rsidRPr="006351EA">
        <w:rPr>
          <w:rFonts w:ascii="Cambria" w:hAnsi="Cambria"/>
          <w:color w:val="000000" w:themeColor="text1"/>
          <w:lang w:val="en-US"/>
        </w:rPr>
        <w:t xml:space="preserve"> is required. </w:t>
      </w:r>
      <w:r w:rsidR="001046D7" w:rsidRPr="006351EA">
        <w:rPr>
          <w:rFonts w:ascii="Cambria" w:hAnsi="Cambria"/>
          <w:color w:val="000000" w:themeColor="text1"/>
          <w:lang w:val="en-US"/>
        </w:rPr>
        <w:t xml:space="preserve">According to the Public Trustee </w:t>
      </w:r>
      <w:r w:rsidR="0015424E" w:rsidRPr="006351EA">
        <w:rPr>
          <w:rFonts w:ascii="Cambria" w:hAnsi="Cambria"/>
          <w:color w:val="000000" w:themeColor="text1"/>
          <w:lang w:val="en-US"/>
        </w:rPr>
        <w:t xml:space="preserve">once they are appointed administrator </w:t>
      </w:r>
      <w:r w:rsidR="001046D7" w:rsidRPr="006351EA">
        <w:rPr>
          <w:rFonts w:ascii="Cambria" w:hAnsi="Cambria"/>
          <w:color w:val="000000" w:themeColor="text1"/>
          <w:lang w:val="en-US"/>
        </w:rPr>
        <w:t xml:space="preserve">they will </w:t>
      </w:r>
      <w:r w:rsidR="0015424E" w:rsidRPr="006351EA">
        <w:rPr>
          <w:rFonts w:ascii="Cambria" w:hAnsi="Cambria"/>
          <w:color w:val="000000" w:themeColor="text1"/>
          <w:lang w:val="en-US"/>
        </w:rPr>
        <w:t xml:space="preserve">arrange contact with the represented person and/or their support person and will seek to </w:t>
      </w:r>
      <w:r w:rsidR="001046D7" w:rsidRPr="006351EA">
        <w:rPr>
          <w:rFonts w:ascii="Cambria" w:hAnsi="Cambria"/>
          <w:color w:val="000000" w:themeColor="text1"/>
          <w:lang w:val="en-US"/>
        </w:rPr>
        <w:t>“achieve best possible outcomes” including meeting with the represented person and undertak</w:t>
      </w:r>
      <w:r w:rsidR="008E23D6" w:rsidRPr="006351EA">
        <w:rPr>
          <w:rFonts w:ascii="Cambria" w:hAnsi="Cambria"/>
          <w:color w:val="000000" w:themeColor="text1"/>
          <w:lang w:val="en-US"/>
        </w:rPr>
        <w:t>ing</w:t>
      </w:r>
      <w:r w:rsidR="001046D7" w:rsidRPr="006351EA">
        <w:rPr>
          <w:rFonts w:ascii="Cambria" w:hAnsi="Cambria"/>
          <w:color w:val="000000" w:themeColor="text1"/>
          <w:lang w:val="en-US"/>
        </w:rPr>
        <w:t xml:space="preserve"> the following:</w:t>
      </w:r>
      <w:r w:rsidR="001046D7" w:rsidRPr="006351EA">
        <w:rPr>
          <w:rStyle w:val="FootnoteReference"/>
          <w:rFonts w:ascii="Cambria" w:hAnsi="Cambria"/>
          <w:color w:val="000000" w:themeColor="text1"/>
          <w:lang w:val="en-US"/>
        </w:rPr>
        <w:footnoteReference w:id="9"/>
      </w:r>
    </w:p>
    <w:p w14:paraId="0B125EF6" w14:textId="5AD1C6BA" w:rsidR="001046D7" w:rsidRPr="006351EA" w:rsidRDefault="001046D7" w:rsidP="00634A9E">
      <w:pPr>
        <w:ind w:right="-347"/>
        <w:jc w:val="both"/>
        <w:rPr>
          <w:rFonts w:ascii="Cambria" w:hAnsi="Cambria"/>
          <w:color w:val="000000" w:themeColor="text1"/>
          <w:lang w:val="en-US"/>
        </w:rPr>
      </w:pPr>
    </w:p>
    <w:p w14:paraId="3CC1B2B9" w14:textId="14598593" w:rsidR="001046D7" w:rsidRPr="006351EA" w:rsidRDefault="001046D7" w:rsidP="001046D7">
      <w:pPr>
        <w:pStyle w:val="ListParagraph"/>
        <w:numPr>
          <w:ilvl w:val="0"/>
          <w:numId w:val="6"/>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Talk about our role and responsibilities; </w:t>
      </w:r>
    </w:p>
    <w:p w14:paraId="496622F5" w14:textId="21A3EB8D" w:rsidR="001046D7" w:rsidRPr="006351EA" w:rsidRDefault="001046D7" w:rsidP="001046D7">
      <w:pPr>
        <w:pStyle w:val="ListParagraph"/>
        <w:numPr>
          <w:ilvl w:val="0"/>
          <w:numId w:val="6"/>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Explain the administration process, including investment of funds and managing any potential legal issues that may arise; </w:t>
      </w:r>
    </w:p>
    <w:p w14:paraId="289056C4" w14:textId="6316E7C9" w:rsidR="001046D7" w:rsidRPr="006351EA" w:rsidRDefault="001046D7" w:rsidP="001046D7">
      <w:pPr>
        <w:pStyle w:val="ListParagraph"/>
        <w:numPr>
          <w:ilvl w:val="0"/>
          <w:numId w:val="6"/>
        </w:numPr>
        <w:ind w:right="-347"/>
        <w:jc w:val="both"/>
        <w:rPr>
          <w:rFonts w:ascii="Cambria" w:hAnsi="Cambria"/>
          <w:i/>
          <w:iCs/>
          <w:color w:val="000000" w:themeColor="text1"/>
          <w:lang w:val="en-US"/>
        </w:rPr>
      </w:pPr>
      <w:r w:rsidRPr="006351EA">
        <w:rPr>
          <w:rFonts w:ascii="Cambria" w:hAnsi="Cambria"/>
          <w:i/>
          <w:iCs/>
          <w:color w:val="000000" w:themeColor="text1"/>
          <w:lang w:val="en-US"/>
        </w:rPr>
        <w:t>discuss an affordable budget; and</w:t>
      </w:r>
    </w:p>
    <w:p w14:paraId="00C6FAF1" w14:textId="180E92F8" w:rsidR="001046D7" w:rsidRPr="006351EA" w:rsidRDefault="001046D7" w:rsidP="001046D7">
      <w:pPr>
        <w:pStyle w:val="ListParagraph"/>
        <w:numPr>
          <w:ilvl w:val="0"/>
          <w:numId w:val="6"/>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explain our fees and charges. </w:t>
      </w:r>
    </w:p>
    <w:p w14:paraId="6BA7B2A9" w14:textId="1B7DEE8A" w:rsidR="001046D7" w:rsidRPr="006351EA" w:rsidRDefault="001046D7" w:rsidP="00634A9E">
      <w:pPr>
        <w:ind w:right="-347"/>
        <w:jc w:val="both"/>
        <w:rPr>
          <w:rFonts w:ascii="Cambria" w:hAnsi="Cambria"/>
          <w:color w:val="000000" w:themeColor="text1"/>
          <w:lang w:val="en-US"/>
        </w:rPr>
      </w:pPr>
    </w:p>
    <w:p w14:paraId="4934E266" w14:textId="5907CBBD" w:rsidR="001046D7" w:rsidRPr="006351EA" w:rsidRDefault="0015424E" w:rsidP="00634A9E">
      <w:pPr>
        <w:ind w:right="-347"/>
        <w:jc w:val="both"/>
        <w:rPr>
          <w:rFonts w:ascii="Cambria" w:hAnsi="Cambria"/>
          <w:color w:val="000000" w:themeColor="text1"/>
          <w:lang w:val="en-US"/>
        </w:rPr>
      </w:pPr>
      <w:r w:rsidRPr="006351EA">
        <w:rPr>
          <w:rFonts w:ascii="Cambria" w:hAnsi="Cambria"/>
          <w:color w:val="000000" w:themeColor="text1"/>
          <w:lang w:val="en-US"/>
        </w:rPr>
        <w:t xml:space="preserve">Following this initial </w:t>
      </w:r>
      <w:r w:rsidR="00D27BC7" w:rsidRPr="006351EA">
        <w:rPr>
          <w:rFonts w:ascii="Cambria" w:hAnsi="Cambria"/>
          <w:color w:val="000000" w:themeColor="text1"/>
          <w:lang w:val="en-US"/>
        </w:rPr>
        <w:t>consultation</w:t>
      </w:r>
      <w:r w:rsidR="00036BC2" w:rsidRPr="006351EA">
        <w:rPr>
          <w:rFonts w:ascii="Cambria" w:hAnsi="Cambria"/>
          <w:color w:val="000000" w:themeColor="text1"/>
          <w:lang w:val="en-US"/>
        </w:rPr>
        <w:t xml:space="preserve"> and taking into account the represented persons wishes </w:t>
      </w:r>
      <w:r w:rsidRPr="006351EA">
        <w:rPr>
          <w:rFonts w:ascii="Cambria" w:hAnsi="Cambria"/>
          <w:color w:val="000000" w:themeColor="text1"/>
          <w:lang w:val="en-US"/>
        </w:rPr>
        <w:t xml:space="preserve">the Public Trustee </w:t>
      </w:r>
      <w:r w:rsidR="00036BC2" w:rsidRPr="006351EA">
        <w:rPr>
          <w:rFonts w:ascii="Cambria" w:hAnsi="Cambria"/>
          <w:color w:val="000000" w:themeColor="text1"/>
          <w:lang w:val="en-US"/>
        </w:rPr>
        <w:t>will then</w:t>
      </w:r>
      <w:r w:rsidRPr="006351EA">
        <w:rPr>
          <w:rFonts w:ascii="Cambria" w:hAnsi="Cambria"/>
          <w:color w:val="000000" w:themeColor="text1"/>
          <w:lang w:val="en-US"/>
        </w:rPr>
        <w:t>:</w:t>
      </w:r>
      <w:r w:rsidRPr="006351EA">
        <w:rPr>
          <w:rStyle w:val="FootnoteReference"/>
          <w:rFonts w:ascii="Cambria" w:hAnsi="Cambria"/>
          <w:color w:val="000000" w:themeColor="text1"/>
          <w:lang w:val="en-US"/>
        </w:rPr>
        <w:footnoteReference w:id="10"/>
      </w:r>
    </w:p>
    <w:p w14:paraId="55D12201" w14:textId="53127720" w:rsidR="0015424E" w:rsidRPr="006351EA" w:rsidRDefault="0015424E" w:rsidP="00634A9E">
      <w:pPr>
        <w:ind w:right="-347"/>
        <w:jc w:val="both"/>
        <w:rPr>
          <w:rFonts w:ascii="Cambria" w:hAnsi="Cambria"/>
          <w:color w:val="000000" w:themeColor="text1"/>
          <w:lang w:val="en-US"/>
        </w:rPr>
      </w:pPr>
    </w:p>
    <w:p w14:paraId="0670DCA6" w14:textId="0674F25E"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Develop a budget to help pay your bills; and </w:t>
      </w:r>
    </w:p>
    <w:p w14:paraId="402120E7" w14:textId="13885E22"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Transfer money to and from your bank account and use your money to pay your bills; and</w:t>
      </w:r>
    </w:p>
    <w:p w14:paraId="44C6D3CD" w14:textId="69D2132D"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Talk to Centrelink and </w:t>
      </w:r>
      <w:proofErr w:type="spellStart"/>
      <w:r w:rsidRPr="006351EA">
        <w:rPr>
          <w:rFonts w:ascii="Cambria" w:hAnsi="Cambria"/>
          <w:i/>
          <w:iCs/>
          <w:color w:val="000000" w:themeColor="text1"/>
          <w:lang w:val="en-US"/>
        </w:rPr>
        <w:t>organise</w:t>
      </w:r>
      <w:proofErr w:type="spellEnd"/>
      <w:r w:rsidRPr="006351EA">
        <w:rPr>
          <w:rFonts w:ascii="Cambria" w:hAnsi="Cambria"/>
          <w:i/>
          <w:iCs/>
          <w:color w:val="000000" w:themeColor="text1"/>
          <w:lang w:val="en-US"/>
        </w:rPr>
        <w:t xml:space="preserve"> </w:t>
      </w:r>
      <w:proofErr w:type="spellStart"/>
      <w:r w:rsidRPr="006351EA">
        <w:rPr>
          <w:rFonts w:ascii="Cambria" w:hAnsi="Cambria"/>
          <w:i/>
          <w:iCs/>
          <w:color w:val="000000" w:themeColor="text1"/>
          <w:lang w:val="en-US"/>
        </w:rPr>
        <w:t>Centapay</w:t>
      </w:r>
      <w:proofErr w:type="spellEnd"/>
      <w:r w:rsidRPr="006351EA">
        <w:rPr>
          <w:rFonts w:ascii="Cambria" w:hAnsi="Cambria"/>
          <w:i/>
          <w:iCs/>
          <w:color w:val="000000" w:themeColor="text1"/>
          <w:lang w:val="en-US"/>
        </w:rPr>
        <w:t xml:space="preserve"> deductions; and</w:t>
      </w:r>
    </w:p>
    <w:p w14:paraId="28220FAE" w14:textId="5F268979"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Redirect your income and have your pension paid directly to the Public Trustee; and</w:t>
      </w:r>
    </w:p>
    <w:p w14:paraId="74056A58" w14:textId="35D9686D"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Deal with your foreign pension if you are entitled to one; and</w:t>
      </w:r>
    </w:p>
    <w:p w14:paraId="66E13A7D" w14:textId="297A03D9"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Complete your income and assets assessment for your admission to aged care; and </w:t>
      </w:r>
    </w:p>
    <w:p w14:paraId="32D099DF" w14:textId="4234885E"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Identify whether anyone owes you money and request that it be paid; and </w:t>
      </w:r>
    </w:p>
    <w:p w14:paraId="549AF923" w14:textId="643652D1"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Deal with </w:t>
      </w:r>
      <w:r w:rsidR="000B3DD8" w:rsidRPr="006351EA">
        <w:rPr>
          <w:rFonts w:ascii="Cambria" w:hAnsi="Cambria"/>
          <w:i/>
          <w:iCs/>
          <w:color w:val="000000" w:themeColor="text1"/>
          <w:lang w:val="en-US"/>
        </w:rPr>
        <w:t>A</w:t>
      </w:r>
      <w:r w:rsidRPr="006351EA">
        <w:rPr>
          <w:rFonts w:ascii="Cambria" w:hAnsi="Cambria"/>
          <w:i/>
          <w:iCs/>
          <w:color w:val="000000" w:themeColor="text1"/>
          <w:lang w:val="en-US"/>
        </w:rPr>
        <w:t xml:space="preserve">urora, Telstra, </w:t>
      </w:r>
      <w:proofErr w:type="spellStart"/>
      <w:r w:rsidRPr="006351EA">
        <w:rPr>
          <w:rFonts w:ascii="Cambria" w:hAnsi="Cambria"/>
          <w:i/>
          <w:iCs/>
          <w:color w:val="000000" w:themeColor="text1"/>
          <w:lang w:val="en-US"/>
        </w:rPr>
        <w:t>TasWater</w:t>
      </w:r>
      <w:proofErr w:type="spellEnd"/>
      <w:r w:rsidRPr="006351EA">
        <w:rPr>
          <w:rFonts w:ascii="Cambria" w:hAnsi="Cambria"/>
          <w:i/>
          <w:iCs/>
          <w:color w:val="000000" w:themeColor="text1"/>
          <w:lang w:val="en-US"/>
        </w:rPr>
        <w:t xml:space="preserve"> and other companies for you; and </w:t>
      </w:r>
    </w:p>
    <w:p w14:paraId="3D20861F" w14:textId="7BD29C3F" w:rsidR="0015424E" w:rsidRPr="006351EA" w:rsidRDefault="0015424E" w:rsidP="0015424E">
      <w:pPr>
        <w:pStyle w:val="ListParagraph"/>
        <w:numPr>
          <w:ilvl w:val="0"/>
          <w:numId w:val="7"/>
        </w:numPr>
        <w:ind w:right="-347"/>
        <w:jc w:val="both"/>
        <w:rPr>
          <w:rFonts w:ascii="Cambria" w:hAnsi="Cambria"/>
          <w:i/>
          <w:iCs/>
          <w:color w:val="000000" w:themeColor="text1"/>
          <w:lang w:val="en-US"/>
        </w:rPr>
      </w:pPr>
      <w:proofErr w:type="spellStart"/>
      <w:r w:rsidRPr="006351EA">
        <w:rPr>
          <w:rFonts w:ascii="Cambria" w:hAnsi="Cambria"/>
          <w:i/>
          <w:iCs/>
          <w:color w:val="000000" w:themeColor="text1"/>
          <w:lang w:val="en-US"/>
        </w:rPr>
        <w:t>Organise</w:t>
      </w:r>
      <w:proofErr w:type="spellEnd"/>
      <w:r w:rsidRPr="006351EA">
        <w:rPr>
          <w:rFonts w:ascii="Cambria" w:hAnsi="Cambria"/>
          <w:i/>
          <w:iCs/>
          <w:color w:val="000000" w:themeColor="text1"/>
          <w:lang w:val="en-US"/>
        </w:rPr>
        <w:t xml:space="preserve"> the insurance and sale or rental of any real estate you may own; and </w:t>
      </w:r>
    </w:p>
    <w:p w14:paraId="01FD4B1C" w14:textId="26AD3230"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Contact anyone you owe money to and work out a plan for repayment; and </w:t>
      </w:r>
    </w:p>
    <w:p w14:paraId="63B389E0" w14:textId="36E4D3B1"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Provide you with a financial statement setting out all of your income, assets and expenses at least once a year; and </w:t>
      </w:r>
    </w:p>
    <w:p w14:paraId="15CEE2B4" w14:textId="14D81462"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Complete your income tax return and deal with any other investment needs, including shares or other investments; and</w:t>
      </w:r>
    </w:p>
    <w:p w14:paraId="345704BE" w14:textId="6D25C1F5"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With your permission, talk with your support person/s and staff about your financial matters; and </w:t>
      </w:r>
    </w:p>
    <w:p w14:paraId="3E4CEF3C" w14:textId="510A4367" w:rsidR="0015424E" w:rsidRPr="006351EA" w:rsidRDefault="0015424E" w:rsidP="0015424E">
      <w:pPr>
        <w:pStyle w:val="ListParagraph"/>
        <w:numPr>
          <w:ilvl w:val="0"/>
          <w:numId w:val="7"/>
        </w:numPr>
        <w:ind w:right="-347"/>
        <w:jc w:val="both"/>
        <w:rPr>
          <w:rFonts w:ascii="Cambria" w:hAnsi="Cambria"/>
          <w:i/>
          <w:iCs/>
          <w:color w:val="000000" w:themeColor="text1"/>
          <w:lang w:val="en-US"/>
        </w:rPr>
      </w:pPr>
      <w:r w:rsidRPr="006351EA">
        <w:rPr>
          <w:rFonts w:ascii="Cambria" w:hAnsi="Cambria"/>
          <w:i/>
          <w:iCs/>
          <w:color w:val="000000" w:themeColor="text1"/>
          <w:lang w:val="en-US"/>
        </w:rPr>
        <w:t xml:space="preserve">Investigate any legal issues to do with your finances. </w:t>
      </w:r>
    </w:p>
    <w:p w14:paraId="55206437" w14:textId="77777777" w:rsidR="001046D7" w:rsidRPr="006351EA" w:rsidRDefault="001046D7" w:rsidP="00634A9E">
      <w:pPr>
        <w:ind w:right="-347"/>
        <w:jc w:val="both"/>
        <w:rPr>
          <w:rFonts w:ascii="Cambria" w:hAnsi="Cambria"/>
          <w:color w:val="000000" w:themeColor="text1"/>
          <w:lang w:val="en-US"/>
        </w:rPr>
      </w:pPr>
    </w:p>
    <w:p w14:paraId="1A5596F1" w14:textId="2AA6CE52" w:rsidR="00FF1977" w:rsidRPr="006351EA" w:rsidRDefault="00036BC2" w:rsidP="00634A9E">
      <w:pPr>
        <w:ind w:right="-347"/>
        <w:jc w:val="both"/>
        <w:rPr>
          <w:rFonts w:ascii="Cambria" w:hAnsi="Cambria"/>
          <w:color w:val="000000" w:themeColor="text1"/>
          <w:lang w:val="en-US"/>
        </w:rPr>
      </w:pPr>
      <w:r w:rsidRPr="006351EA">
        <w:rPr>
          <w:rFonts w:ascii="Cambria" w:hAnsi="Cambria"/>
          <w:color w:val="000000" w:themeColor="text1"/>
          <w:lang w:val="en-US"/>
        </w:rPr>
        <w:lastRenderedPageBreak/>
        <w:t xml:space="preserve">As well as administering the </w:t>
      </w:r>
      <w:r w:rsidR="00276AF2">
        <w:rPr>
          <w:rFonts w:ascii="Cambria" w:hAnsi="Cambria"/>
          <w:color w:val="000000" w:themeColor="text1"/>
          <w:lang w:val="en-US"/>
        </w:rPr>
        <w:t>represented</w:t>
      </w:r>
      <w:r w:rsidRPr="006351EA">
        <w:rPr>
          <w:rFonts w:ascii="Cambria" w:hAnsi="Cambria"/>
          <w:color w:val="000000" w:themeColor="text1"/>
          <w:lang w:val="en-US"/>
        </w:rPr>
        <w:t xml:space="preserve"> persons financial affairs, the Public Trustee </w:t>
      </w:r>
      <w:r w:rsidR="00D27BC7" w:rsidRPr="006351EA">
        <w:rPr>
          <w:rFonts w:ascii="Cambria" w:hAnsi="Cambria"/>
          <w:color w:val="000000" w:themeColor="text1"/>
          <w:lang w:val="en-US"/>
        </w:rPr>
        <w:t>also has a statutory duty to</w:t>
      </w:r>
      <w:r w:rsidRPr="006351EA">
        <w:rPr>
          <w:rFonts w:ascii="Cambria" w:hAnsi="Cambria"/>
          <w:color w:val="000000" w:themeColor="text1"/>
          <w:lang w:val="en-US"/>
        </w:rPr>
        <w:t xml:space="preserve"> encourag</w:t>
      </w:r>
      <w:r w:rsidR="00D27BC7" w:rsidRPr="006351EA">
        <w:rPr>
          <w:rFonts w:ascii="Cambria" w:hAnsi="Cambria"/>
          <w:color w:val="000000" w:themeColor="text1"/>
          <w:lang w:val="en-US"/>
        </w:rPr>
        <w:t>e</w:t>
      </w:r>
      <w:r w:rsidRPr="006351EA">
        <w:rPr>
          <w:rFonts w:ascii="Cambria" w:hAnsi="Cambria"/>
          <w:color w:val="000000" w:themeColor="text1"/>
          <w:lang w:val="en-US"/>
        </w:rPr>
        <w:t xml:space="preserve"> and assist the represented person to become capable of managing their own financial affairs.</w:t>
      </w:r>
      <w:r w:rsidR="00FF1977" w:rsidRPr="006351EA">
        <w:rPr>
          <w:rFonts w:ascii="Cambria" w:hAnsi="Cambria"/>
          <w:color w:val="000000" w:themeColor="text1"/>
          <w:lang w:val="en-US"/>
        </w:rPr>
        <w:t xml:space="preserve"> </w:t>
      </w:r>
    </w:p>
    <w:p w14:paraId="00E33B2D" w14:textId="77777777" w:rsidR="00FF1977" w:rsidRPr="006351EA" w:rsidRDefault="00FF1977" w:rsidP="00634A9E">
      <w:pPr>
        <w:ind w:right="-347"/>
        <w:jc w:val="both"/>
        <w:rPr>
          <w:rFonts w:ascii="Cambria" w:hAnsi="Cambria"/>
          <w:color w:val="000000" w:themeColor="text1"/>
          <w:lang w:val="en-US"/>
        </w:rPr>
      </w:pPr>
    </w:p>
    <w:p w14:paraId="48D63BA1" w14:textId="225CEC7A" w:rsidR="00036BC2" w:rsidRPr="006351EA" w:rsidRDefault="00036BC2" w:rsidP="00634A9E">
      <w:pPr>
        <w:ind w:right="-347"/>
        <w:jc w:val="both"/>
        <w:rPr>
          <w:rFonts w:ascii="Cambria" w:hAnsi="Cambria"/>
          <w:color w:val="000000" w:themeColor="text1"/>
          <w:lang w:val="en-US"/>
        </w:rPr>
      </w:pPr>
      <w:r w:rsidRPr="006351EA">
        <w:rPr>
          <w:rFonts w:ascii="Cambria" w:hAnsi="Cambria"/>
          <w:color w:val="000000" w:themeColor="text1"/>
          <w:lang w:val="en-US"/>
        </w:rPr>
        <w:t>Compliance with its statutory duties would mean</w:t>
      </w:r>
      <w:r w:rsidR="00767295" w:rsidRPr="006351EA">
        <w:rPr>
          <w:rFonts w:ascii="Cambria" w:hAnsi="Cambria"/>
          <w:color w:val="000000" w:themeColor="text1"/>
          <w:lang w:val="en-US"/>
        </w:rPr>
        <w:t xml:space="preserve"> </w:t>
      </w:r>
      <w:r w:rsidRPr="006351EA">
        <w:rPr>
          <w:rFonts w:ascii="Cambria" w:hAnsi="Cambria"/>
          <w:color w:val="000000" w:themeColor="text1"/>
          <w:lang w:val="en-US"/>
        </w:rPr>
        <w:t xml:space="preserve">that the Public Trustee </w:t>
      </w:r>
      <w:r w:rsidR="004173D8" w:rsidRPr="006351EA">
        <w:rPr>
          <w:rFonts w:ascii="Cambria" w:hAnsi="Cambria"/>
          <w:color w:val="000000" w:themeColor="text1"/>
          <w:lang w:val="en-US"/>
        </w:rPr>
        <w:t xml:space="preserve">organises </w:t>
      </w:r>
      <w:r w:rsidR="00767295" w:rsidRPr="006351EA">
        <w:rPr>
          <w:rFonts w:ascii="Cambria" w:hAnsi="Cambria"/>
          <w:color w:val="000000" w:themeColor="text1"/>
          <w:lang w:val="en-US"/>
        </w:rPr>
        <w:t>regular meeting</w:t>
      </w:r>
      <w:r w:rsidRPr="006351EA">
        <w:rPr>
          <w:rFonts w:ascii="Cambria" w:hAnsi="Cambria"/>
          <w:color w:val="000000" w:themeColor="text1"/>
          <w:lang w:val="en-US"/>
        </w:rPr>
        <w:t>s</w:t>
      </w:r>
      <w:r w:rsidR="00767295" w:rsidRPr="006351EA">
        <w:rPr>
          <w:rFonts w:ascii="Cambria" w:hAnsi="Cambria"/>
          <w:color w:val="000000" w:themeColor="text1"/>
          <w:lang w:val="en-US"/>
        </w:rPr>
        <w:t xml:space="preserve"> to consult and get instructions, ensur</w:t>
      </w:r>
      <w:r w:rsidRPr="006351EA">
        <w:rPr>
          <w:rFonts w:ascii="Cambria" w:hAnsi="Cambria"/>
          <w:color w:val="000000" w:themeColor="text1"/>
          <w:lang w:val="en-US"/>
        </w:rPr>
        <w:t>e</w:t>
      </w:r>
      <w:r w:rsidR="00767295" w:rsidRPr="006351EA">
        <w:rPr>
          <w:rFonts w:ascii="Cambria" w:hAnsi="Cambria"/>
          <w:color w:val="000000" w:themeColor="text1"/>
          <w:lang w:val="en-US"/>
        </w:rPr>
        <w:t xml:space="preserve"> that bills are paid and put</w:t>
      </w:r>
      <w:r w:rsidR="004173D8" w:rsidRPr="006351EA">
        <w:rPr>
          <w:rFonts w:ascii="Cambria" w:hAnsi="Cambria"/>
          <w:color w:val="000000" w:themeColor="text1"/>
          <w:lang w:val="en-US"/>
        </w:rPr>
        <w:t xml:space="preserve"> </w:t>
      </w:r>
      <w:r w:rsidR="000E0C47">
        <w:rPr>
          <w:rFonts w:ascii="Cambria" w:hAnsi="Cambria"/>
          <w:color w:val="000000" w:themeColor="text1"/>
          <w:lang w:val="en-US"/>
        </w:rPr>
        <w:t xml:space="preserve">steps </w:t>
      </w:r>
      <w:r w:rsidR="00767295" w:rsidRPr="006351EA">
        <w:rPr>
          <w:rFonts w:ascii="Cambria" w:hAnsi="Cambria"/>
          <w:color w:val="000000" w:themeColor="text1"/>
          <w:lang w:val="en-US"/>
        </w:rPr>
        <w:t>in place so that the represented person becomes capable of managing their own estate</w:t>
      </w:r>
      <w:r w:rsidRPr="006351EA">
        <w:rPr>
          <w:rFonts w:ascii="Cambria" w:hAnsi="Cambria"/>
          <w:color w:val="000000" w:themeColor="text1"/>
          <w:lang w:val="en-US"/>
        </w:rPr>
        <w:t>. I</w:t>
      </w:r>
      <w:r w:rsidR="00FF1977" w:rsidRPr="006351EA">
        <w:rPr>
          <w:rFonts w:ascii="Cambria" w:hAnsi="Cambria"/>
          <w:color w:val="000000" w:themeColor="text1"/>
          <w:lang w:val="en-US"/>
        </w:rPr>
        <w:t xml:space="preserve">t </w:t>
      </w:r>
      <w:r w:rsidRPr="006351EA">
        <w:rPr>
          <w:rFonts w:ascii="Cambria" w:hAnsi="Cambria"/>
          <w:color w:val="000000" w:themeColor="text1"/>
          <w:lang w:val="en-US"/>
        </w:rPr>
        <w:t xml:space="preserve">is clear that the role of administrator is both time consuming and time intensive.  </w:t>
      </w:r>
    </w:p>
    <w:p w14:paraId="35F3CD73" w14:textId="77777777" w:rsidR="00DC75C9" w:rsidRPr="006351EA" w:rsidRDefault="00DC75C9" w:rsidP="00634A9E">
      <w:pPr>
        <w:ind w:right="-347"/>
        <w:jc w:val="both"/>
        <w:rPr>
          <w:rFonts w:ascii="Cambria" w:hAnsi="Cambria"/>
          <w:b/>
          <w:bCs/>
          <w:color w:val="000000" w:themeColor="text1"/>
          <w:lang w:val="en-US"/>
        </w:rPr>
      </w:pPr>
    </w:p>
    <w:p w14:paraId="1E560E28" w14:textId="07FB9962" w:rsidR="00036BC2" w:rsidRPr="006351EA" w:rsidRDefault="00B83FC5" w:rsidP="00634A9E">
      <w:pPr>
        <w:ind w:right="-347"/>
        <w:jc w:val="both"/>
        <w:rPr>
          <w:rFonts w:ascii="Cambria" w:hAnsi="Cambria"/>
          <w:b/>
          <w:bCs/>
          <w:color w:val="000000" w:themeColor="text1"/>
          <w:lang w:val="en-US"/>
        </w:rPr>
      </w:pPr>
      <w:r w:rsidRPr="006351EA">
        <w:rPr>
          <w:rFonts w:ascii="Cambria" w:hAnsi="Cambria"/>
          <w:b/>
          <w:bCs/>
          <w:color w:val="000000" w:themeColor="text1"/>
          <w:lang w:val="en-US"/>
        </w:rPr>
        <w:t xml:space="preserve">Is funding of the </w:t>
      </w:r>
      <w:r w:rsidR="00036BC2" w:rsidRPr="006351EA">
        <w:rPr>
          <w:rFonts w:ascii="Cambria" w:hAnsi="Cambria"/>
          <w:b/>
          <w:bCs/>
          <w:color w:val="000000" w:themeColor="text1"/>
          <w:lang w:val="en-US"/>
        </w:rPr>
        <w:t>Public Trustee</w:t>
      </w:r>
      <w:r w:rsidRPr="006351EA">
        <w:rPr>
          <w:rFonts w:ascii="Cambria" w:hAnsi="Cambria"/>
          <w:b/>
          <w:bCs/>
          <w:color w:val="000000" w:themeColor="text1"/>
          <w:lang w:val="en-US"/>
        </w:rPr>
        <w:t xml:space="preserve"> keeping pace with its increased workload?</w:t>
      </w:r>
    </w:p>
    <w:p w14:paraId="634A953E" w14:textId="42026FA9" w:rsidR="00691BBC" w:rsidRPr="006351EA" w:rsidRDefault="00E80A80" w:rsidP="00634A9E">
      <w:pPr>
        <w:ind w:right="-347"/>
        <w:jc w:val="both"/>
        <w:rPr>
          <w:rFonts w:ascii="Cambria" w:hAnsi="Cambria"/>
          <w:color w:val="000000" w:themeColor="text1"/>
          <w:lang w:val="en-US"/>
        </w:rPr>
      </w:pPr>
      <w:r w:rsidRPr="006351EA">
        <w:rPr>
          <w:rFonts w:ascii="Cambria" w:hAnsi="Cambria"/>
          <w:color w:val="000000" w:themeColor="text1"/>
          <w:lang w:val="en-US"/>
        </w:rPr>
        <w:t>According to publicly available data, the number of</w:t>
      </w:r>
      <w:r w:rsidR="008E23D6" w:rsidRPr="006351EA">
        <w:rPr>
          <w:rFonts w:ascii="Cambria" w:hAnsi="Cambria"/>
          <w:color w:val="000000" w:themeColor="text1"/>
          <w:lang w:val="en-US"/>
        </w:rPr>
        <w:t xml:space="preserve"> </w:t>
      </w:r>
      <w:r w:rsidRPr="006351EA">
        <w:rPr>
          <w:rFonts w:ascii="Cambria" w:hAnsi="Cambria"/>
          <w:color w:val="000000" w:themeColor="text1"/>
          <w:lang w:val="en-US"/>
        </w:rPr>
        <w:t>represented persons</w:t>
      </w:r>
      <w:r w:rsidR="00B83FC5" w:rsidRPr="006351EA">
        <w:rPr>
          <w:rFonts w:ascii="Cambria" w:hAnsi="Cambria"/>
          <w:color w:val="000000" w:themeColor="text1"/>
          <w:lang w:val="en-US"/>
        </w:rPr>
        <w:t xml:space="preserve"> </w:t>
      </w:r>
      <w:r w:rsidR="008E23D6" w:rsidRPr="006351EA">
        <w:rPr>
          <w:rFonts w:ascii="Cambria" w:hAnsi="Cambria"/>
          <w:color w:val="000000" w:themeColor="text1"/>
          <w:lang w:val="en-US"/>
        </w:rPr>
        <w:t xml:space="preserve">whose financial affairs are managed by the Public Trustee </w:t>
      </w:r>
      <w:r w:rsidRPr="006351EA">
        <w:rPr>
          <w:rFonts w:ascii="Cambria" w:hAnsi="Cambria"/>
          <w:color w:val="000000" w:themeColor="text1"/>
          <w:lang w:val="en-US"/>
        </w:rPr>
        <w:t xml:space="preserve">has increased </w:t>
      </w:r>
      <w:r w:rsidR="00266632" w:rsidRPr="006351EA">
        <w:rPr>
          <w:rFonts w:ascii="Cambria" w:hAnsi="Cambria"/>
          <w:color w:val="000000" w:themeColor="text1"/>
          <w:lang w:val="en-US"/>
        </w:rPr>
        <w:t xml:space="preserve">by </w:t>
      </w:r>
      <w:r w:rsidRPr="006351EA">
        <w:rPr>
          <w:rFonts w:ascii="Cambria" w:hAnsi="Cambria"/>
          <w:color w:val="000000" w:themeColor="text1"/>
          <w:lang w:val="en-US"/>
        </w:rPr>
        <w:t xml:space="preserve">59 per cent </w:t>
      </w:r>
      <w:r w:rsidR="00266632" w:rsidRPr="006351EA">
        <w:rPr>
          <w:rFonts w:ascii="Cambria" w:hAnsi="Cambria"/>
          <w:color w:val="000000" w:themeColor="text1"/>
          <w:lang w:val="en-US"/>
        </w:rPr>
        <w:t xml:space="preserve">over the last </w:t>
      </w:r>
      <w:r w:rsidR="00080E51" w:rsidRPr="006351EA">
        <w:rPr>
          <w:rFonts w:ascii="Cambria" w:hAnsi="Cambria"/>
          <w:color w:val="000000" w:themeColor="text1"/>
          <w:lang w:val="en-US"/>
        </w:rPr>
        <w:t>six</w:t>
      </w:r>
      <w:r w:rsidR="00266632" w:rsidRPr="006351EA">
        <w:rPr>
          <w:rFonts w:ascii="Cambria" w:hAnsi="Cambria"/>
          <w:color w:val="000000" w:themeColor="text1"/>
          <w:lang w:val="en-US"/>
        </w:rPr>
        <w:t xml:space="preserve"> years</w:t>
      </w:r>
      <w:r w:rsidR="00691BBC" w:rsidRPr="006351EA">
        <w:rPr>
          <w:rFonts w:ascii="Cambria" w:hAnsi="Cambria"/>
          <w:color w:val="000000" w:themeColor="text1"/>
          <w:lang w:val="en-US"/>
        </w:rPr>
        <w:t xml:space="preserve"> from 559 in 2014/15 to 889 in 2019/20. Over the same timeframe, the number of full-time equivalent staff has dropped </w:t>
      </w:r>
      <w:r w:rsidR="00080E51" w:rsidRPr="006351EA">
        <w:rPr>
          <w:rFonts w:ascii="Cambria" w:hAnsi="Cambria"/>
          <w:color w:val="000000" w:themeColor="text1"/>
          <w:lang w:val="en-US"/>
        </w:rPr>
        <w:t xml:space="preserve">slightly </w:t>
      </w:r>
      <w:r w:rsidR="00691BBC" w:rsidRPr="006351EA">
        <w:rPr>
          <w:rFonts w:ascii="Cambria" w:hAnsi="Cambria"/>
          <w:color w:val="000000" w:themeColor="text1"/>
          <w:lang w:val="en-US"/>
        </w:rPr>
        <w:t>from 53.9 to 52.96 FTE staff.</w:t>
      </w:r>
      <w:r w:rsidR="00691BBC" w:rsidRPr="006351EA">
        <w:rPr>
          <w:rStyle w:val="FootnoteReference"/>
          <w:rFonts w:ascii="Cambria" w:hAnsi="Cambria"/>
          <w:color w:val="000000" w:themeColor="text1"/>
          <w:lang w:val="en-US"/>
        </w:rPr>
        <w:footnoteReference w:id="11"/>
      </w:r>
      <w:r w:rsidR="00691BBC" w:rsidRPr="006351EA">
        <w:rPr>
          <w:rFonts w:ascii="Cambria" w:hAnsi="Cambria"/>
          <w:color w:val="000000" w:themeColor="text1"/>
          <w:lang w:val="en-US"/>
        </w:rPr>
        <w:t xml:space="preserve"> </w:t>
      </w:r>
    </w:p>
    <w:p w14:paraId="4CC567E9" w14:textId="77777777" w:rsidR="00691BBC" w:rsidRPr="004D1C4F" w:rsidRDefault="00691BBC" w:rsidP="00634A9E">
      <w:pPr>
        <w:ind w:right="-347"/>
        <w:jc w:val="both"/>
        <w:rPr>
          <w:rFonts w:ascii="Cambria" w:hAnsi="Cambria"/>
          <w:color w:val="000000" w:themeColor="text1"/>
          <w:lang w:val="en-US"/>
        </w:rPr>
      </w:pPr>
    </w:p>
    <w:p w14:paraId="1ECE932D" w14:textId="41B1603A" w:rsidR="00266632" w:rsidRPr="004D1C4F" w:rsidRDefault="00691BBC" w:rsidP="00634A9E">
      <w:pPr>
        <w:ind w:right="-347"/>
        <w:jc w:val="both"/>
        <w:rPr>
          <w:rFonts w:ascii="Cambria" w:hAnsi="Cambria"/>
          <w:color w:val="000000" w:themeColor="text1"/>
          <w:lang w:val="en-US"/>
        </w:rPr>
      </w:pPr>
      <w:r w:rsidRPr="004D1C4F">
        <w:rPr>
          <w:rFonts w:ascii="Cambria" w:hAnsi="Cambria"/>
          <w:noProof/>
          <w:color w:val="000000" w:themeColor="text1"/>
          <w:lang w:val="en-US"/>
        </w:rPr>
        <w:drawing>
          <wp:inline distT="0" distB="0" distL="0" distR="0" wp14:anchorId="2C2F7328" wp14:editId="054EFE50">
            <wp:extent cx="5270500" cy="3074670"/>
            <wp:effectExtent l="0" t="0" r="1270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66632" w:rsidRPr="004D1C4F">
        <w:rPr>
          <w:rFonts w:ascii="Cambria" w:hAnsi="Cambria"/>
          <w:color w:val="000000" w:themeColor="text1"/>
          <w:lang w:val="en-US"/>
        </w:rPr>
        <w:t xml:space="preserve"> </w:t>
      </w:r>
    </w:p>
    <w:p w14:paraId="33592CB9" w14:textId="77777777" w:rsidR="00266632" w:rsidRPr="006351EA" w:rsidRDefault="00266632" w:rsidP="00634A9E">
      <w:pPr>
        <w:ind w:right="-347"/>
        <w:jc w:val="both"/>
        <w:rPr>
          <w:rFonts w:ascii="Cambria" w:hAnsi="Cambria"/>
          <w:color w:val="000000" w:themeColor="text1"/>
          <w:lang w:val="en-US"/>
        </w:rPr>
      </w:pPr>
    </w:p>
    <w:p w14:paraId="538050AD" w14:textId="0BA4AF84" w:rsidR="004173D8" w:rsidRPr="006351EA" w:rsidRDefault="00B83FC5" w:rsidP="00634A9E">
      <w:pPr>
        <w:ind w:right="-347"/>
        <w:jc w:val="both"/>
        <w:rPr>
          <w:rFonts w:ascii="Cambria" w:hAnsi="Cambria"/>
          <w:color w:val="000000" w:themeColor="text1"/>
          <w:lang w:val="en-US"/>
        </w:rPr>
      </w:pPr>
      <w:r w:rsidRPr="006351EA">
        <w:rPr>
          <w:rFonts w:ascii="Cambria" w:hAnsi="Cambria"/>
          <w:color w:val="000000" w:themeColor="text1"/>
          <w:lang w:val="en-US"/>
        </w:rPr>
        <w:t xml:space="preserve">It is our understanding that </w:t>
      </w:r>
      <w:r w:rsidR="00B307FE" w:rsidRPr="006351EA">
        <w:rPr>
          <w:rFonts w:ascii="Cambria" w:hAnsi="Cambria"/>
          <w:color w:val="000000" w:themeColor="text1"/>
          <w:lang w:val="en-US"/>
        </w:rPr>
        <w:t xml:space="preserve">the Public Trustee employs </w:t>
      </w:r>
      <w:r w:rsidRPr="006351EA">
        <w:rPr>
          <w:rFonts w:ascii="Cambria" w:hAnsi="Cambria"/>
          <w:color w:val="000000" w:themeColor="text1"/>
          <w:lang w:val="en-US"/>
        </w:rPr>
        <w:t xml:space="preserve">Customer Account Managers (CAMs) </w:t>
      </w:r>
      <w:r w:rsidR="00B307FE" w:rsidRPr="006351EA">
        <w:rPr>
          <w:rFonts w:ascii="Cambria" w:hAnsi="Cambria"/>
          <w:color w:val="000000" w:themeColor="text1"/>
          <w:lang w:val="en-US"/>
        </w:rPr>
        <w:t xml:space="preserve">to </w:t>
      </w:r>
      <w:r w:rsidR="008E23D6" w:rsidRPr="006351EA">
        <w:rPr>
          <w:rFonts w:ascii="Cambria" w:hAnsi="Cambria"/>
          <w:color w:val="000000" w:themeColor="text1"/>
          <w:lang w:val="en-US"/>
        </w:rPr>
        <w:t>manage the financial affairs of</w:t>
      </w:r>
      <w:r w:rsidRPr="006351EA">
        <w:rPr>
          <w:rFonts w:ascii="Cambria" w:hAnsi="Cambria"/>
          <w:color w:val="000000" w:themeColor="text1"/>
          <w:lang w:val="en-US"/>
        </w:rPr>
        <w:t xml:space="preserve"> represented persons.</w:t>
      </w:r>
      <w:r w:rsidR="008E23D6" w:rsidRPr="006351EA">
        <w:rPr>
          <w:rFonts w:ascii="Cambria" w:hAnsi="Cambria"/>
          <w:color w:val="000000" w:themeColor="text1"/>
          <w:lang w:val="en-US"/>
        </w:rPr>
        <w:t xml:space="preserve"> We were unable to locate any </w:t>
      </w:r>
      <w:r w:rsidR="00E80A80" w:rsidRPr="006351EA">
        <w:rPr>
          <w:rFonts w:ascii="Cambria" w:hAnsi="Cambria"/>
          <w:color w:val="000000" w:themeColor="text1"/>
          <w:lang w:val="en-US"/>
        </w:rPr>
        <w:t>publicly available data demonstrating how many</w:t>
      </w:r>
      <w:r w:rsidR="00DC75C9" w:rsidRPr="006351EA">
        <w:rPr>
          <w:rFonts w:ascii="Cambria" w:hAnsi="Cambria"/>
          <w:color w:val="000000" w:themeColor="text1"/>
          <w:lang w:val="en-US"/>
        </w:rPr>
        <w:t xml:space="preserve"> Public Trustee</w:t>
      </w:r>
      <w:r w:rsidR="00E80A80" w:rsidRPr="006351EA">
        <w:rPr>
          <w:rFonts w:ascii="Cambria" w:hAnsi="Cambria"/>
          <w:color w:val="000000" w:themeColor="text1"/>
          <w:lang w:val="en-US"/>
        </w:rPr>
        <w:t xml:space="preserve"> staff were employed as</w:t>
      </w:r>
      <w:r w:rsidR="00B307FE" w:rsidRPr="006351EA">
        <w:rPr>
          <w:rFonts w:ascii="Cambria" w:hAnsi="Cambria"/>
          <w:color w:val="000000" w:themeColor="text1"/>
          <w:lang w:val="en-US"/>
        </w:rPr>
        <w:t xml:space="preserve"> </w:t>
      </w:r>
      <w:r w:rsidR="00DC75C9" w:rsidRPr="006351EA">
        <w:rPr>
          <w:rFonts w:ascii="Cambria" w:hAnsi="Cambria"/>
          <w:color w:val="000000" w:themeColor="text1"/>
          <w:lang w:val="en-US"/>
        </w:rPr>
        <w:t xml:space="preserve">CAMs </w:t>
      </w:r>
      <w:r w:rsidR="00080E51" w:rsidRPr="006351EA">
        <w:rPr>
          <w:rFonts w:ascii="Cambria" w:hAnsi="Cambria"/>
          <w:color w:val="000000" w:themeColor="text1"/>
          <w:lang w:val="en-US"/>
        </w:rPr>
        <w:t>in 2014/15 or whether there had been a proportionate increase in CAMs in line with the increase in</w:t>
      </w:r>
      <w:r w:rsidR="006A4C23" w:rsidRPr="006351EA">
        <w:rPr>
          <w:rFonts w:ascii="Cambria" w:hAnsi="Cambria"/>
          <w:color w:val="000000" w:themeColor="text1"/>
          <w:lang w:val="en-US"/>
        </w:rPr>
        <w:t xml:space="preserve"> GAB orders</w:t>
      </w:r>
      <w:r w:rsidR="00EB721E" w:rsidRPr="006351EA">
        <w:rPr>
          <w:rFonts w:ascii="Cambria" w:hAnsi="Cambria"/>
          <w:color w:val="000000" w:themeColor="text1"/>
          <w:lang w:val="en-US"/>
        </w:rPr>
        <w:t xml:space="preserve"> in the years </w:t>
      </w:r>
      <w:r w:rsidR="00667C57" w:rsidRPr="006351EA">
        <w:rPr>
          <w:rFonts w:ascii="Cambria" w:hAnsi="Cambria"/>
          <w:color w:val="000000" w:themeColor="text1"/>
          <w:lang w:val="en-US"/>
        </w:rPr>
        <w:t>thereafter</w:t>
      </w:r>
      <w:r w:rsidR="00080E51" w:rsidRPr="006351EA">
        <w:rPr>
          <w:rFonts w:ascii="Cambria" w:hAnsi="Cambria"/>
          <w:color w:val="000000" w:themeColor="text1"/>
          <w:lang w:val="en-US"/>
        </w:rPr>
        <w:t xml:space="preserve">. However, anecdotally </w:t>
      </w:r>
      <w:r w:rsidR="00B307FE" w:rsidRPr="006351EA">
        <w:rPr>
          <w:rFonts w:ascii="Cambria" w:hAnsi="Cambria"/>
          <w:color w:val="000000" w:themeColor="text1"/>
          <w:lang w:val="en-US"/>
        </w:rPr>
        <w:t>we are aware of a</w:t>
      </w:r>
      <w:r w:rsidR="00080E51" w:rsidRPr="006351EA">
        <w:rPr>
          <w:rFonts w:ascii="Cambria" w:hAnsi="Cambria"/>
          <w:color w:val="000000" w:themeColor="text1"/>
          <w:lang w:val="en-US"/>
        </w:rPr>
        <w:t xml:space="preserve"> number of represented persons who have been dissatisfied with the level of service provided by the Public Trustee</w:t>
      </w:r>
      <w:r w:rsidR="006A4C23" w:rsidRPr="006351EA">
        <w:rPr>
          <w:rFonts w:ascii="Cambria" w:hAnsi="Cambria"/>
          <w:color w:val="000000" w:themeColor="text1"/>
          <w:lang w:val="en-US"/>
        </w:rPr>
        <w:t xml:space="preserve"> which may suggest </w:t>
      </w:r>
      <w:r w:rsidR="00B307FE" w:rsidRPr="006351EA">
        <w:rPr>
          <w:rFonts w:ascii="Cambria" w:hAnsi="Cambria"/>
          <w:color w:val="000000" w:themeColor="text1"/>
          <w:lang w:val="en-US"/>
        </w:rPr>
        <w:t xml:space="preserve">high workloads and </w:t>
      </w:r>
      <w:r w:rsidR="006A4C23" w:rsidRPr="006351EA">
        <w:rPr>
          <w:rFonts w:ascii="Cambria" w:hAnsi="Cambria"/>
          <w:color w:val="000000" w:themeColor="text1"/>
          <w:lang w:val="en-US"/>
        </w:rPr>
        <w:t>an overstretched workforce.</w:t>
      </w:r>
      <w:r w:rsidR="00B307FE" w:rsidRPr="006351EA">
        <w:rPr>
          <w:rFonts w:ascii="Cambria" w:hAnsi="Cambria"/>
          <w:color w:val="000000" w:themeColor="text1"/>
          <w:lang w:val="en-US"/>
        </w:rPr>
        <w:t xml:space="preserve"> In particular, we are aware of a number of represented persons who </w:t>
      </w:r>
      <w:r w:rsidR="00722C08" w:rsidRPr="006351EA">
        <w:rPr>
          <w:rFonts w:ascii="Cambria" w:hAnsi="Cambria"/>
          <w:color w:val="000000" w:themeColor="text1"/>
          <w:lang w:val="en-US"/>
        </w:rPr>
        <w:t xml:space="preserve">maintain </w:t>
      </w:r>
      <w:r w:rsidR="00B307FE" w:rsidRPr="006351EA">
        <w:rPr>
          <w:rFonts w:ascii="Cambria" w:hAnsi="Cambria"/>
          <w:color w:val="000000" w:themeColor="text1"/>
          <w:lang w:val="en-US"/>
        </w:rPr>
        <w:t>that the Public Trustee has not acted in a consultative way, fail</w:t>
      </w:r>
      <w:r w:rsidR="004173D8" w:rsidRPr="006351EA">
        <w:rPr>
          <w:rFonts w:ascii="Cambria" w:hAnsi="Cambria"/>
          <w:color w:val="000000" w:themeColor="text1"/>
          <w:lang w:val="en-US"/>
        </w:rPr>
        <w:t>ed</w:t>
      </w:r>
      <w:r w:rsidR="00B307FE" w:rsidRPr="006351EA">
        <w:rPr>
          <w:rFonts w:ascii="Cambria" w:hAnsi="Cambria"/>
          <w:color w:val="000000" w:themeColor="text1"/>
          <w:lang w:val="en-US"/>
        </w:rPr>
        <w:t xml:space="preserve"> to meet with them or take their wishes into account. </w:t>
      </w:r>
      <w:r w:rsidR="00B307FE" w:rsidRPr="006351EA">
        <w:rPr>
          <w:rFonts w:ascii="Cambria" w:hAnsi="Cambria"/>
          <w:color w:val="000000" w:themeColor="text1"/>
          <w:lang w:val="en-US"/>
        </w:rPr>
        <w:lastRenderedPageBreak/>
        <w:t xml:space="preserve">The same represented persons maintain that the Public Trustee has also failed to assist them to become capable of managing their own financial affairs.   </w:t>
      </w:r>
      <w:bookmarkStart w:id="0" w:name="GS57@Gs2@EN"/>
      <w:bookmarkEnd w:id="0"/>
    </w:p>
    <w:p w14:paraId="06038466" w14:textId="408BF559" w:rsidR="00F0186F" w:rsidRPr="006351EA" w:rsidRDefault="00F0186F" w:rsidP="00634A9E">
      <w:pPr>
        <w:ind w:right="-347"/>
        <w:jc w:val="both"/>
        <w:rPr>
          <w:rFonts w:ascii="Cambria" w:hAnsi="Cambria"/>
          <w:color w:val="000000" w:themeColor="text1"/>
          <w:lang w:val="en-US"/>
        </w:rPr>
      </w:pPr>
    </w:p>
    <w:tbl>
      <w:tblPr>
        <w:tblStyle w:val="TableGrid"/>
        <w:tblW w:w="8642" w:type="dxa"/>
        <w:tblLook w:val="04A0" w:firstRow="1" w:lastRow="0" w:firstColumn="1" w:lastColumn="0" w:noHBand="0" w:noVBand="1"/>
      </w:tblPr>
      <w:tblGrid>
        <w:gridCol w:w="8642"/>
      </w:tblGrid>
      <w:tr w:rsidR="00F0186F" w:rsidRPr="006351EA" w14:paraId="43FA5ECB" w14:textId="77777777" w:rsidTr="003622E5">
        <w:tc>
          <w:tcPr>
            <w:tcW w:w="8642" w:type="dxa"/>
          </w:tcPr>
          <w:p w14:paraId="3B0CA68E" w14:textId="77777777" w:rsidR="003622E5" w:rsidRPr="006351EA" w:rsidRDefault="00F0186F" w:rsidP="003622E5">
            <w:pPr>
              <w:ind w:right="-347"/>
              <w:rPr>
                <w:rFonts w:ascii="Cambria" w:hAnsi="Cambria"/>
                <w:color w:val="000000" w:themeColor="text1"/>
                <w:lang w:val="en-US"/>
              </w:rPr>
            </w:pPr>
            <w:r w:rsidRPr="006351EA">
              <w:rPr>
                <w:rFonts w:ascii="Cambria" w:hAnsi="Cambria"/>
                <w:b/>
                <w:bCs/>
                <w:color w:val="000000" w:themeColor="text1"/>
                <w:lang w:val="en-US"/>
              </w:rPr>
              <w:t xml:space="preserve">Recommendation 1: </w:t>
            </w:r>
            <w:r w:rsidRPr="006351EA">
              <w:rPr>
                <w:rFonts w:ascii="Cambria" w:hAnsi="Cambria"/>
                <w:color w:val="000000" w:themeColor="text1"/>
                <w:lang w:val="en-US"/>
              </w:rPr>
              <w:t>That the Public Trustee is appropriately funded to</w:t>
            </w:r>
            <w:r w:rsidR="00EF31EA" w:rsidRPr="006351EA">
              <w:rPr>
                <w:rFonts w:ascii="Cambria" w:hAnsi="Cambria"/>
                <w:color w:val="000000" w:themeColor="text1"/>
                <w:lang w:val="en-US"/>
              </w:rPr>
              <w:t xml:space="preserve"> comply</w:t>
            </w:r>
            <w:r w:rsidRPr="006351EA">
              <w:rPr>
                <w:rFonts w:ascii="Cambria" w:hAnsi="Cambria"/>
                <w:color w:val="000000" w:themeColor="text1"/>
                <w:lang w:val="en-US"/>
              </w:rPr>
              <w:t xml:space="preserve"> </w:t>
            </w:r>
          </w:p>
          <w:p w14:paraId="68634927" w14:textId="62358A6F" w:rsidR="00F0186F" w:rsidRPr="006351EA" w:rsidRDefault="00EF31EA" w:rsidP="003622E5">
            <w:pPr>
              <w:ind w:right="-347"/>
              <w:rPr>
                <w:rFonts w:ascii="Cambria" w:hAnsi="Cambria"/>
                <w:color w:val="000000" w:themeColor="text1"/>
                <w:lang w:val="en-US"/>
              </w:rPr>
            </w:pPr>
            <w:r w:rsidRPr="006351EA">
              <w:rPr>
                <w:rFonts w:ascii="Cambria" w:hAnsi="Cambria"/>
                <w:color w:val="000000" w:themeColor="text1"/>
                <w:lang w:val="en-US"/>
              </w:rPr>
              <w:t xml:space="preserve">with </w:t>
            </w:r>
            <w:r w:rsidR="00F0186F" w:rsidRPr="006351EA">
              <w:rPr>
                <w:rFonts w:ascii="Cambria" w:hAnsi="Cambria"/>
                <w:color w:val="000000" w:themeColor="text1"/>
                <w:lang w:val="en-US"/>
              </w:rPr>
              <w:t>its statutory duties including acting at all times in the best interests of</w:t>
            </w:r>
            <w:r w:rsidR="003622E5" w:rsidRPr="006351EA">
              <w:rPr>
                <w:rFonts w:ascii="Cambria" w:hAnsi="Cambria"/>
                <w:color w:val="000000" w:themeColor="text1"/>
                <w:lang w:val="en-US"/>
              </w:rPr>
              <w:t xml:space="preserve"> </w:t>
            </w:r>
            <w:r w:rsidR="00F0186F" w:rsidRPr="006351EA">
              <w:rPr>
                <w:rFonts w:ascii="Cambria" w:hAnsi="Cambria"/>
                <w:color w:val="000000" w:themeColor="text1"/>
                <w:lang w:val="en-US"/>
              </w:rPr>
              <w:t xml:space="preserve">the represented person.  </w:t>
            </w:r>
          </w:p>
        </w:tc>
      </w:tr>
    </w:tbl>
    <w:p w14:paraId="36755855" w14:textId="77777777" w:rsidR="004173D8" w:rsidRPr="006351EA" w:rsidRDefault="004173D8" w:rsidP="00634A9E">
      <w:pPr>
        <w:ind w:right="-347"/>
        <w:jc w:val="both"/>
        <w:rPr>
          <w:rFonts w:ascii="Cambria" w:hAnsi="Cambria"/>
          <w:b/>
          <w:color w:val="000000" w:themeColor="text1"/>
        </w:rPr>
      </w:pPr>
    </w:p>
    <w:p w14:paraId="0FBAD631" w14:textId="0D12C2E9" w:rsidR="008E3EEF" w:rsidRPr="006351EA" w:rsidRDefault="0077328A" w:rsidP="00634A9E">
      <w:pPr>
        <w:ind w:right="-347"/>
        <w:jc w:val="both"/>
        <w:rPr>
          <w:rFonts w:ascii="Cambria" w:hAnsi="Cambria"/>
          <w:b/>
          <w:color w:val="000000" w:themeColor="text1"/>
        </w:rPr>
      </w:pPr>
      <w:r w:rsidRPr="006351EA">
        <w:rPr>
          <w:rFonts w:ascii="Cambria" w:hAnsi="Cambria"/>
          <w:b/>
          <w:color w:val="000000" w:themeColor="text1"/>
        </w:rPr>
        <w:t>Public Trustee f</w:t>
      </w:r>
      <w:r w:rsidR="008E3EEF" w:rsidRPr="006351EA">
        <w:rPr>
          <w:rFonts w:ascii="Cambria" w:hAnsi="Cambria"/>
          <w:b/>
          <w:color w:val="000000" w:themeColor="text1"/>
        </w:rPr>
        <w:t>ees and charges</w:t>
      </w:r>
    </w:p>
    <w:p w14:paraId="5C2BA331" w14:textId="1B93E34D" w:rsidR="004173D8" w:rsidRPr="006351EA" w:rsidRDefault="008E3EEF" w:rsidP="004173D8">
      <w:pPr>
        <w:ind w:right="-347"/>
        <w:jc w:val="both"/>
        <w:rPr>
          <w:rFonts w:ascii="Cambria" w:hAnsi="Cambria"/>
          <w:color w:val="000000" w:themeColor="text1"/>
        </w:rPr>
      </w:pPr>
      <w:r w:rsidRPr="006351EA">
        <w:rPr>
          <w:rFonts w:ascii="Cambria" w:hAnsi="Cambria"/>
          <w:bCs/>
          <w:color w:val="000000" w:themeColor="text1"/>
        </w:rPr>
        <w:t xml:space="preserve">In October 2014 </w:t>
      </w:r>
      <w:r w:rsidRPr="006351EA">
        <w:rPr>
          <w:rFonts w:ascii="Cambria" w:hAnsi="Cambria"/>
          <w:color w:val="000000" w:themeColor="text1"/>
        </w:rPr>
        <w:t>Advocacy Tasmania Inc and Community Legal Centres Tasmania released a report entitled </w:t>
      </w:r>
      <w:r w:rsidRPr="006351EA">
        <w:rPr>
          <w:rFonts w:ascii="Cambria" w:hAnsi="Cambria"/>
          <w:i/>
          <w:iCs/>
          <w:color w:val="000000" w:themeColor="text1"/>
        </w:rPr>
        <w:t>The Public Trustee and a Fair and Proportionate Fee Structure for Represented Persons</w:t>
      </w:r>
      <w:r w:rsidRPr="006351EA">
        <w:rPr>
          <w:rFonts w:ascii="Cambria" w:hAnsi="Cambria"/>
          <w:color w:val="000000" w:themeColor="text1"/>
        </w:rPr>
        <w:t>. The report</w:t>
      </w:r>
      <w:r w:rsidR="009D7913" w:rsidRPr="006351EA">
        <w:rPr>
          <w:rFonts w:ascii="Cambria" w:hAnsi="Cambria"/>
          <w:color w:val="000000" w:themeColor="text1"/>
        </w:rPr>
        <w:t xml:space="preserve"> </w:t>
      </w:r>
      <w:r w:rsidRPr="006351EA">
        <w:rPr>
          <w:rFonts w:ascii="Cambria" w:hAnsi="Cambria"/>
          <w:color w:val="000000" w:themeColor="text1"/>
        </w:rPr>
        <w:t xml:space="preserve">found that </w:t>
      </w:r>
      <w:r w:rsidR="001B451E" w:rsidRPr="006351EA">
        <w:rPr>
          <w:rFonts w:ascii="Cambria" w:hAnsi="Cambria"/>
          <w:color w:val="000000" w:themeColor="text1"/>
        </w:rPr>
        <w:t xml:space="preserve">in Tasmania, </w:t>
      </w:r>
      <w:r w:rsidRPr="006351EA">
        <w:rPr>
          <w:rFonts w:ascii="Cambria" w:hAnsi="Cambria"/>
          <w:color w:val="000000" w:themeColor="text1"/>
        </w:rPr>
        <w:t>represented persons in receipt of Government assistance were being charged 7.4 per cent or approximately $1500.00p.a. of their pension in Public Trustee fees and charges. The report</w:t>
      </w:r>
      <w:r w:rsidR="009D7913" w:rsidRPr="006351EA">
        <w:rPr>
          <w:rFonts w:ascii="Cambria" w:hAnsi="Cambria"/>
          <w:color w:val="000000" w:themeColor="text1"/>
        </w:rPr>
        <w:t xml:space="preserve">, which is included as an attachment at the end of this submission, </w:t>
      </w:r>
      <w:r w:rsidRPr="006351EA">
        <w:rPr>
          <w:rFonts w:ascii="Cambria" w:hAnsi="Cambria"/>
          <w:color w:val="000000" w:themeColor="text1"/>
        </w:rPr>
        <w:t>called for reform of the Public Trustee’s fee structur</w:t>
      </w:r>
      <w:r w:rsidR="004173D8" w:rsidRPr="006351EA">
        <w:rPr>
          <w:rFonts w:ascii="Cambria" w:hAnsi="Cambria"/>
          <w:color w:val="000000" w:themeColor="text1"/>
        </w:rPr>
        <w:t xml:space="preserve">e. </w:t>
      </w:r>
    </w:p>
    <w:p w14:paraId="2765FEB2" w14:textId="77777777" w:rsidR="004173D8" w:rsidRPr="006351EA" w:rsidRDefault="004173D8" w:rsidP="004173D8">
      <w:pPr>
        <w:ind w:right="-347"/>
        <w:jc w:val="both"/>
        <w:rPr>
          <w:rFonts w:ascii="Cambria" w:hAnsi="Cambria"/>
          <w:color w:val="000000" w:themeColor="text1"/>
        </w:rPr>
      </w:pPr>
    </w:p>
    <w:p w14:paraId="4BF4D686" w14:textId="77777777" w:rsidR="004D1C4F" w:rsidRPr="006351EA" w:rsidRDefault="0077328A" w:rsidP="004D1C4F">
      <w:pPr>
        <w:ind w:right="-347"/>
        <w:jc w:val="both"/>
        <w:rPr>
          <w:rFonts w:ascii="Cambria" w:hAnsi="Cambria"/>
          <w:color w:val="000000" w:themeColor="text1"/>
        </w:rPr>
      </w:pPr>
      <w:r w:rsidRPr="006351EA">
        <w:rPr>
          <w:rFonts w:ascii="Cambria" w:hAnsi="Cambria"/>
          <w:color w:val="000000" w:themeColor="text1"/>
        </w:rPr>
        <w:t>A year later,</w:t>
      </w:r>
      <w:r w:rsidR="007B2274" w:rsidRPr="006351EA">
        <w:rPr>
          <w:rFonts w:ascii="Cambria" w:hAnsi="Cambria"/>
          <w:color w:val="000000" w:themeColor="text1"/>
        </w:rPr>
        <w:t xml:space="preserve"> </w:t>
      </w:r>
      <w:r w:rsidR="008E3EEF" w:rsidRPr="006351EA">
        <w:rPr>
          <w:rFonts w:ascii="Cambria" w:hAnsi="Cambria"/>
          <w:color w:val="000000" w:themeColor="text1"/>
        </w:rPr>
        <w:t xml:space="preserve">the </w:t>
      </w:r>
      <w:r w:rsidR="004173D8" w:rsidRPr="006351EA">
        <w:rPr>
          <w:rFonts w:ascii="Cambria" w:hAnsi="Cambria"/>
          <w:color w:val="000000" w:themeColor="text1"/>
        </w:rPr>
        <w:t xml:space="preserve">Government </w:t>
      </w:r>
      <w:r w:rsidRPr="006351EA">
        <w:rPr>
          <w:rFonts w:ascii="Cambria" w:hAnsi="Cambria"/>
          <w:color w:val="000000" w:themeColor="text1"/>
        </w:rPr>
        <w:t xml:space="preserve">acknowledged </w:t>
      </w:r>
      <w:r w:rsidR="004173D8" w:rsidRPr="006351EA">
        <w:rPr>
          <w:rFonts w:ascii="Cambria" w:hAnsi="Cambria"/>
          <w:color w:val="000000" w:themeColor="text1"/>
          <w:lang w:val="en-US"/>
        </w:rPr>
        <w:t>that “[t]</w:t>
      </w:r>
      <w:r w:rsidR="004173D8" w:rsidRPr="006351EA">
        <w:rPr>
          <w:rFonts w:ascii="Cambria" w:hAnsi="Cambria"/>
          <w:color w:val="000000" w:themeColor="text1"/>
          <w:shd w:val="clear" w:color="auto" w:fill="FFFFFF"/>
        </w:rPr>
        <w:t>he Public Trustee has traditionally had one of the highest fee structures for Community Service Obligation (CSO) Represented Persons – people with assets less than $100,000 –</w:t>
      </w:r>
      <w:r w:rsidR="004173D8" w:rsidRPr="006351EA">
        <w:rPr>
          <w:rFonts w:ascii="Cambria" w:hAnsi="Cambria"/>
          <w:color w:val="000000" w:themeColor="text1"/>
        </w:rPr>
        <w:t xml:space="preserve"> </w:t>
      </w:r>
      <w:r w:rsidR="004173D8" w:rsidRPr="006351EA">
        <w:rPr>
          <w:rFonts w:ascii="Cambria" w:hAnsi="Cambria"/>
          <w:color w:val="000000" w:themeColor="text1"/>
          <w:shd w:val="clear" w:color="auto" w:fill="FFFFFF"/>
        </w:rPr>
        <w:t>compared to government operated public trustee organisations in other jurisdictions”.</w:t>
      </w:r>
      <w:r w:rsidR="004173D8" w:rsidRPr="006351EA">
        <w:rPr>
          <w:rStyle w:val="FootnoteReference"/>
          <w:rFonts w:ascii="Cambria" w:hAnsi="Cambria"/>
          <w:color w:val="000000" w:themeColor="text1"/>
          <w:shd w:val="clear" w:color="auto" w:fill="FFFFFF"/>
        </w:rPr>
        <w:footnoteReference w:id="12"/>
      </w:r>
      <w:r w:rsidR="004173D8" w:rsidRPr="006351EA">
        <w:rPr>
          <w:rFonts w:ascii="Cambria" w:hAnsi="Cambria"/>
          <w:color w:val="000000" w:themeColor="text1"/>
          <w:shd w:val="clear" w:color="auto" w:fill="FFFFFF"/>
        </w:rPr>
        <w:t xml:space="preserve"> The </w:t>
      </w:r>
      <w:r w:rsidR="004173D8" w:rsidRPr="006351EA">
        <w:rPr>
          <w:rFonts w:ascii="Cambria" w:hAnsi="Cambria"/>
          <w:color w:val="000000" w:themeColor="text1"/>
        </w:rPr>
        <w:t>then Attorney-General Vanessa Goodwin</w:t>
      </w:r>
      <w:r w:rsidRPr="006351EA">
        <w:rPr>
          <w:rFonts w:ascii="Cambria" w:hAnsi="Cambria"/>
          <w:color w:val="000000" w:themeColor="text1"/>
        </w:rPr>
        <w:t xml:space="preserve"> </w:t>
      </w:r>
      <w:r w:rsidR="008E3EEF" w:rsidRPr="006351EA">
        <w:rPr>
          <w:rFonts w:ascii="Cambria" w:hAnsi="Cambria"/>
          <w:color w:val="000000" w:themeColor="text1"/>
        </w:rPr>
        <w:t>announced a “substantial reduction of fees charged by the Public Trustee for all Represented Persons with assets of less than $100,000”.</w:t>
      </w:r>
      <w:r w:rsidR="008E3EEF" w:rsidRPr="006351EA">
        <w:rPr>
          <w:rStyle w:val="FootnoteReference"/>
          <w:rFonts w:ascii="Cambria" w:hAnsi="Cambria"/>
          <w:color w:val="000000" w:themeColor="text1"/>
        </w:rPr>
        <w:footnoteReference w:id="13"/>
      </w:r>
      <w:r w:rsidRPr="006351EA">
        <w:rPr>
          <w:rFonts w:ascii="Cambria" w:hAnsi="Cambria"/>
          <w:color w:val="000000" w:themeColor="text1"/>
        </w:rPr>
        <w:t xml:space="preserve"> As a result of the changes the Attorney-General noted that capital commissions, monthly account fees and income commissions on interest, dividends and pensions would be </w:t>
      </w:r>
      <w:r w:rsidR="007B2274" w:rsidRPr="006351EA">
        <w:rPr>
          <w:rFonts w:ascii="Cambria" w:hAnsi="Cambria"/>
          <w:color w:val="000000" w:themeColor="text1"/>
        </w:rPr>
        <w:t>waived</w:t>
      </w:r>
      <w:r w:rsidRPr="006351EA">
        <w:rPr>
          <w:rFonts w:ascii="Cambria" w:hAnsi="Cambria"/>
          <w:color w:val="000000" w:themeColor="text1"/>
        </w:rPr>
        <w:t xml:space="preserve"> for represented persons with assets of less than $10,000 and </w:t>
      </w:r>
      <w:r w:rsidR="004173D8" w:rsidRPr="006351EA">
        <w:rPr>
          <w:rFonts w:ascii="Cambria" w:hAnsi="Cambria"/>
          <w:color w:val="000000" w:themeColor="text1"/>
        </w:rPr>
        <w:t xml:space="preserve">reduced to </w:t>
      </w:r>
      <w:r w:rsidRPr="006351EA">
        <w:rPr>
          <w:rFonts w:ascii="Cambria" w:hAnsi="Cambria"/>
          <w:color w:val="000000" w:themeColor="text1"/>
        </w:rPr>
        <w:t xml:space="preserve">2.75 per cent for represented persons with assets between $10,000 - $100,000.   </w:t>
      </w:r>
    </w:p>
    <w:p w14:paraId="68D339EB" w14:textId="77777777" w:rsidR="004D1C4F" w:rsidRPr="006351EA" w:rsidRDefault="004D1C4F" w:rsidP="004D1C4F">
      <w:pPr>
        <w:ind w:right="-347"/>
        <w:jc w:val="both"/>
        <w:rPr>
          <w:rFonts w:ascii="Cambria" w:hAnsi="Cambria"/>
          <w:color w:val="000000" w:themeColor="text1"/>
        </w:rPr>
      </w:pPr>
    </w:p>
    <w:p w14:paraId="60B64E65" w14:textId="647D49FD" w:rsidR="004D1C4F" w:rsidRPr="006351EA" w:rsidRDefault="0077328A" w:rsidP="004D1C4F">
      <w:pPr>
        <w:ind w:right="-347"/>
        <w:jc w:val="both"/>
        <w:rPr>
          <w:rFonts w:ascii="Cambria" w:hAnsi="Cambria"/>
          <w:color w:val="000000" w:themeColor="text1"/>
        </w:rPr>
      </w:pPr>
      <w:r w:rsidRPr="006351EA">
        <w:rPr>
          <w:rFonts w:ascii="Cambria" w:hAnsi="Cambria"/>
          <w:color w:val="000000" w:themeColor="text1"/>
        </w:rPr>
        <w:t xml:space="preserve">It has now been </w:t>
      </w:r>
      <w:r w:rsidR="004D1C4F" w:rsidRPr="006351EA">
        <w:rPr>
          <w:rFonts w:ascii="Cambria" w:hAnsi="Cambria"/>
          <w:color w:val="000000" w:themeColor="text1"/>
        </w:rPr>
        <w:t xml:space="preserve">almost </w:t>
      </w:r>
      <w:r w:rsidRPr="006351EA">
        <w:rPr>
          <w:rFonts w:ascii="Cambria" w:hAnsi="Cambria"/>
          <w:color w:val="000000" w:themeColor="text1"/>
        </w:rPr>
        <w:t>six years since the Attorney-Genera</w:t>
      </w:r>
      <w:r w:rsidR="004D1C4F" w:rsidRPr="006351EA">
        <w:rPr>
          <w:rFonts w:ascii="Cambria" w:hAnsi="Cambria"/>
          <w:color w:val="000000" w:themeColor="text1"/>
        </w:rPr>
        <w:t>l</w:t>
      </w:r>
      <w:r w:rsidRPr="006351EA">
        <w:rPr>
          <w:rFonts w:ascii="Cambria" w:hAnsi="Cambria"/>
          <w:color w:val="000000" w:themeColor="text1"/>
        </w:rPr>
        <w:t xml:space="preserve"> announced the changes</w:t>
      </w:r>
      <w:r w:rsidR="004D1C4F" w:rsidRPr="006351EA">
        <w:rPr>
          <w:rFonts w:ascii="Cambria" w:hAnsi="Cambria"/>
          <w:color w:val="000000" w:themeColor="text1"/>
        </w:rPr>
        <w:t xml:space="preserve">. As a result, we have sought to provide some </w:t>
      </w:r>
      <w:r w:rsidR="004D1C4F" w:rsidRPr="006351EA">
        <w:rPr>
          <w:rFonts w:ascii="Cambria" w:hAnsi="Cambria"/>
        </w:rPr>
        <w:t xml:space="preserve">comparative analysis of the fees and charges regimes of Public and State Trustees in other Australian jurisdictions. Our focus was represented persons in receipt of a Disability Support Pension </w:t>
      </w:r>
      <w:r w:rsidR="003D17CA">
        <w:rPr>
          <w:rFonts w:ascii="Cambria" w:hAnsi="Cambria"/>
        </w:rPr>
        <w:t xml:space="preserve">or Age Pension </w:t>
      </w:r>
      <w:r w:rsidR="004D1C4F" w:rsidRPr="006351EA">
        <w:rPr>
          <w:rFonts w:ascii="Cambria" w:hAnsi="Cambria"/>
        </w:rPr>
        <w:t xml:space="preserve">and with few if any assets. </w:t>
      </w:r>
    </w:p>
    <w:p w14:paraId="09F1A5ED" w14:textId="1D7BFAF5" w:rsidR="0077328A" w:rsidRPr="006351EA" w:rsidRDefault="0077328A" w:rsidP="0077328A">
      <w:pPr>
        <w:ind w:right="-347"/>
        <w:jc w:val="both"/>
        <w:rPr>
          <w:rFonts w:ascii="Cambria" w:hAnsi="Cambria"/>
          <w:color w:val="000000" w:themeColor="text1"/>
        </w:rPr>
      </w:pPr>
    </w:p>
    <w:p w14:paraId="0A9588B5" w14:textId="77777777" w:rsidR="004D1C4F" w:rsidRPr="006351EA" w:rsidRDefault="004D1C4F" w:rsidP="004D1C4F">
      <w:pPr>
        <w:jc w:val="center"/>
        <w:rPr>
          <w:rFonts w:ascii="Cambria" w:hAnsi="Cambria"/>
          <w:b/>
          <w:bCs/>
        </w:rPr>
      </w:pPr>
    </w:p>
    <w:p w14:paraId="0E0E1F5A" w14:textId="77777777" w:rsidR="004D1C4F" w:rsidRPr="006351EA" w:rsidRDefault="004D1C4F" w:rsidP="004D1C4F">
      <w:pPr>
        <w:jc w:val="center"/>
        <w:rPr>
          <w:rFonts w:ascii="Cambria" w:hAnsi="Cambria"/>
          <w:b/>
          <w:bCs/>
        </w:rPr>
      </w:pPr>
    </w:p>
    <w:p w14:paraId="6DB5F065" w14:textId="77777777" w:rsidR="004D1C4F" w:rsidRPr="006351EA" w:rsidRDefault="004D1C4F" w:rsidP="004D1C4F">
      <w:pPr>
        <w:jc w:val="center"/>
        <w:rPr>
          <w:rFonts w:ascii="Cambria" w:hAnsi="Cambria"/>
          <w:b/>
          <w:bCs/>
        </w:rPr>
      </w:pPr>
    </w:p>
    <w:p w14:paraId="262F7BF1" w14:textId="77777777" w:rsidR="004D1C4F" w:rsidRPr="006351EA" w:rsidRDefault="004D1C4F" w:rsidP="004D1C4F">
      <w:pPr>
        <w:jc w:val="center"/>
        <w:rPr>
          <w:rFonts w:ascii="Cambria" w:hAnsi="Cambria"/>
          <w:b/>
          <w:bCs/>
        </w:rPr>
      </w:pPr>
    </w:p>
    <w:p w14:paraId="0C89B451" w14:textId="77777777" w:rsidR="004D1C4F" w:rsidRPr="006351EA" w:rsidRDefault="004D1C4F" w:rsidP="004D1C4F">
      <w:pPr>
        <w:jc w:val="center"/>
        <w:rPr>
          <w:rFonts w:ascii="Cambria" w:hAnsi="Cambria"/>
          <w:b/>
          <w:bCs/>
        </w:rPr>
      </w:pPr>
    </w:p>
    <w:p w14:paraId="7209B56E" w14:textId="77777777" w:rsidR="004D1C4F" w:rsidRPr="006351EA" w:rsidRDefault="004D1C4F" w:rsidP="004D1C4F">
      <w:pPr>
        <w:jc w:val="center"/>
        <w:rPr>
          <w:rFonts w:ascii="Cambria" w:hAnsi="Cambria"/>
          <w:b/>
          <w:bCs/>
        </w:rPr>
      </w:pPr>
    </w:p>
    <w:p w14:paraId="13D04D40" w14:textId="77777777" w:rsidR="004D1C4F" w:rsidRPr="006351EA" w:rsidRDefault="004D1C4F" w:rsidP="004D1C4F">
      <w:pPr>
        <w:jc w:val="center"/>
        <w:rPr>
          <w:rFonts w:ascii="Cambria" w:hAnsi="Cambria"/>
          <w:b/>
          <w:bCs/>
        </w:rPr>
      </w:pPr>
    </w:p>
    <w:p w14:paraId="0CB6FBD5" w14:textId="77777777" w:rsidR="004D1C4F" w:rsidRPr="006351EA" w:rsidRDefault="004D1C4F" w:rsidP="004D1C4F">
      <w:pPr>
        <w:jc w:val="center"/>
        <w:rPr>
          <w:rFonts w:ascii="Cambria" w:hAnsi="Cambria"/>
          <w:b/>
          <w:bCs/>
        </w:rPr>
      </w:pPr>
    </w:p>
    <w:p w14:paraId="25662BEE" w14:textId="7C93A364" w:rsidR="004D1C4F" w:rsidRPr="006351EA" w:rsidRDefault="004D1C4F" w:rsidP="00BB0EC6">
      <w:pPr>
        <w:jc w:val="center"/>
        <w:rPr>
          <w:rFonts w:ascii="Cambria" w:hAnsi="Cambria"/>
          <w:b/>
          <w:bCs/>
          <w:sz w:val="22"/>
          <w:szCs w:val="22"/>
        </w:rPr>
      </w:pPr>
      <w:r w:rsidRPr="006351EA">
        <w:rPr>
          <w:rFonts w:ascii="Cambria" w:hAnsi="Cambria"/>
          <w:b/>
          <w:bCs/>
          <w:sz w:val="22"/>
          <w:szCs w:val="22"/>
        </w:rPr>
        <w:t xml:space="preserve">Comparison of Public or State Trustee fees for persons under financial administration, in receipt of a Disability Support </w:t>
      </w:r>
      <w:r w:rsidR="00BB0EC6" w:rsidRPr="006351EA">
        <w:rPr>
          <w:rFonts w:ascii="Cambria" w:hAnsi="Cambria"/>
          <w:b/>
          <w:bCs/>
          <w:sz w:val="22"/>
          <w:szCs w:val="22"/>
        </w:rPr>
        <w:t xml:space="preserve">Pension/Age </w:t>
      </w:r>
      <w:r w:rsidRPr="006351EA">
        <w:rPr>
          <w:rFonts w:ascii="Cambria" w:hAnsi="Cambria"/>
          <w:b/>
          <w:bCs/>
          <w:sz w:val="22"/>
          <w:szCs w:val="22"/>
        </w:rPr>
        <w:t>Pension and with limited assets</w:t>
      </w:r>
    </w:p>
    <w:tbl>
      <w:tblPr>
        <w:tblStyle w:val="TableGrid"/>
        <w:tblW w:w="10490" w:type="dxa"/>
        <w:tblInd w:w="-1281" w:type="dxa"/>
        <w:tblLook w:val="04A0" w:firstRow="1" w:lastRow="0" w:firstColumn="1" w:lastColumn="0" w:noHBand="0" w:noVBand="1"/>
      </w:tblPr>
      <w:tblGrid>
        <w:gridCol w:w="1919"/>
        <w:gridCol w:w="1576"/>
        <w:gridCol w:w="1467"/>
        <w:gridCol w:w="5528"/>
      </w:tblGrid>
      <w:tr w:rsidR="0077328A" w:rsidRPr="006351EA" w14:paraId="7D2D1186" w14:textId="77777777" w:rsidTr="00E70507">
        <w:tc>
          <w:tcPr>
            <w:tcW w:w="1919" w:type="dxa"/>
          </w:tcPr>
          <w:p w14:paraId="7EAF2E09" w14:textId="77777777" w:rsidR="0077328A" w:rsidRPr="006351EA" w:rsidRDefault="0077328A" w:rsidP="0077328A">
            <w:pPr>
              <w:ind w:right="-347"/>
              <w:jc w:val="both"/>
              <w:rPr>
                <w:rFonts w:ascii="Cambria" w:hAnsi="Cambria"/>
                <w:color w:val="000000" w:themeColor="text1"/>
                <w:sz w:val="22"/>
                <w:szCs w:val="22"/>
              </w:rPr>
            </w:pPr>
          </w:p>
        </w:tc>
        <w:tc>
          <w:tcPr>
            <w:tcW w:w="1576" w:type="dxa"/>
          </w:tcPr>
          <w:p w14:paraId="516725CB" w14:textId="77777777" w:rsidR="0077328A" w:rsidRPr="006351EA" w:rsidRDefault="0077328A" w:rsidP="0077328A">
            <w:pPr>
              <w:ind w:right="-347"/>
              <w:jc w:val="both"/>
              <w:rPr>
                <w:rFonts w:ascii="Cambria" w:hAnsi="Cambria"/>
                <w:b/>
                <w:bCs/>
                <w:color w:val="000000" w:themeColor="text1"/>
                <w:sz w:val="22"/>
                <w:szCs w:val="22"/>
              </w:rPr>
            </w:pPr>
            <w:r w:rsidRPr="006351EA">
              <w:rPr>
                <w:rFonts w:ascii="Cambria" w:hAnsi="Cambria"/>
                <w:b/>
                <w:bCs/>
                <w:color w:val="000000" w:themeColor="text1"/>
                <w:sz w:val="22"/>
                <w:szCs w:val="22"/>
              </w:rPr>
              <w:t xml:space="preserve">Cost of fees </w:t>
            </w:r>
          </w:p>
          <w:p w14:paraId="08DB4A31" w14:textId="77777777" w:rsidR="0077328A" w:rsidRPr="006351EA" w:rsidRDefault="0077328A" w:rsidP="0077328A">
            <w:pPr>
              <w:ind w:right="-347"/>
              <w:jc w:val="both"/>
              <w:rPr>
                <w:rFonts w:ascii="Cambria" w:hAnsi="Cambria"/>
                <w:b/>
                <w:bCs/>
                <w:color w:val="000000" w:themeColor="text1"/>
                <w:sz w:val="22"/>
                <w:szCs w:val="22"/>
              </w:rPr>
            </w:pPr>
            <w:r w:rsidRPr="006351EA">
              <w:rPr>
                <w:rFonts w:ascii="Cambria" w:hAnsi="Cambria"/>
                <w:b/>
                <w:bCs/>
                <w:color w:val="000000" w:themeColor="text1"/>
                <w:sz w:val="22"/>
                <w:szCs w:val="22"/>
              </w:rPr>
              <w:t>as a percentage</w:t>
            </w:r>
          </w:p>
          <w:p w14:paraId="21860C07" w14:textId="5FB9E316" w:rsidR="0077328A" w:rsidRPr="006351EA" w:rsidRDefault="0077328A" w:rsidP="0077328A">
            <w:pPr>
              <w:ind w:right="-347"/>
              <w:jc w:val="both"/>
              <w:rPr>
                <w:rFonts w:ascii="Cambria" w:hAnsi="Cambria"/>
                <w:b/>
                <w:bCs/>
                <w:color w:val="000000" w:themeColor="text1"/>
                <w:sz w:val="22"/>
                <w:szCs w:val="22"/>
              </w:rPr>
            </w:pPr>
            <w:r w:rsidRPr="006351EA">
              <w:rPr>
                <w:rFonts w:ascii="Cambria" w:hAnsi="Cambria"/>
                <w:b/>
                <w:bCs/>
                <w:color w:val="000000" w:themeColor="text1"/>
                <w:sz w:val="22"/>
                <w:szCs w:val="22"/>
              </w:rPr>
              <w:t>of income</w:t>
            </w:r>
          </w:p>
        </w:tc>
        <w:tc>
          <w:tcPr>
            <w:tcW w:w="1467" w:type="dxa"/>
          </w:tcPr>
          <w:p w14:paraId="4A21C286" w14:textId="40A9769A" w:rsidR="0077328A" w:rsidRPr="006351EA" w:rsidRDefault="0077328A" w:rsidP="0077328A">
            <w:pPr>
              <w:ind w:right="-347"/>
              <w:rPr>
                <w:rFonts w:ascii="Cambria" w:hAnsi="Cambria"/>
                <w:b/>
                <w:bCs/>
                <w:color w:val="000000" w:themeColor="text1"/>
                <w:sz w:val="22"/>
                <w:szCs w:val="22"/>
              </w:rPr>
            </w:pPr>
            <w:r w:rsidRPr="006351EA">
              <w:rPr>
                <w:rFonts w:ascii="Cambria" w:hAnsi="Cambria"/>
                <w:b/>
                <w:bCs/>
                <w:color w:val="000000" w:themeColor="text1"/>
                <w:sz w:val="22"/>
                <w:szCs w:val="22"/>
              </w:rPr>
              <w:t xml:space="preserve">Annual cost </w:t>
            </w:r>
          </w:p>
          <w:p w14:paraId="2E882CA7" w14:textId="33186685" w:rsidR="0077328A" w:rsidRPr="006351EA" w:rsidRDefault="0077328A" w:rsidP="0077328A">
            <w:pPr>
              <w:ind w:right="-347"/>
              <w:rPr>
                <w:rFonts w:ascii="Cambria" w:hAnsi="Cambria"/>
                <w:b/>
                <w:bCs/>
                <w:color w:val="000000" w:themeColor="text1"/>
                <w:sz w:val="22"/>
                <w:szCs w:val="22"/>
              </w:rPr>
            </w:pPr>
            <w:r w:rsidRPr="006351EA">
              <w:rPr>
                <w:rFonts w:ascii="Cambria" w:hAnsi="Cambria"/>
                <w:b/>
                <w:bCs/>
                <w:color w:val="000000" w:themeColor="text1"/>
                <w:sz w:val="22"/>
                <w:szCs w:val="22"/>
              </w:rPr>
              <w:t>to a single pensioner</w:t>
            </w:r>
          </w:p>
        </w:tc>
        <w:tc>
          <w:tcPr>
            <w:tcW w:w="5528" w:type="dxa"/>
          </w:tcPr>
          <w:p w14:paraId="3925E0C7" w14:textId="065CD9B3" w:rsidR="0077328A" w:rsidRPr="006351EA" w:rsidRDefault="0077328A" w:rsidP="0077328A">
            <w:pPr>
              <w:ind w:right="-347"/>
              <w:jc w:val="both"/>
              <w:rPr>
                <w:rFonts w:ascii="Cambria" w:hAnsi="Cambria"/>
                <w:b/>
                <w:bCs/>
                <w:color w:val="000000" w:themeColor="text1"/>
                <w:sz w:val="22"/>
                <w:szCs w:val="22"/>
              </w:rPr>
            </w:pPr>
            <w:r w:rsidRPr="006351EA">
              <w:rPr>
                <w:rFonts w:ascii="Cambria" w:hAnsi="Cambria"/>
                <w:b/>
                <w:bCs/>
                <w:color w:val="000000" w:themeColor="text1"/>
                <w:sz w:val="22"/>
                <w:szCs w:val="22"/>
              </w:rPr>
              <w:t>Fees and charges</w:t>
            </w:r>
          </w:p>
        </w:tc>
      </w:tr>
      <w:tr w:rsidR="00330D2E" w:rsidRPr="006351EA" w14:paraId="6ABFC586" w14:textId="77777777" w:rsidTr="00E70507">
        <w:tc>
          <w:tcPr>
            <w:tcW w:w="1919" w:type="dxa"/>
          </w:tcPr>
          <w:p w14:paraId="0A5810EA" w14:textId="77777777" w:rsidR="00330D2E" w:rsidRPr="006351EA" w:rsidRDefault="00330D2E" w:rsidP="00330D2E">
            <w:pPr>
              <w:ind w:right="-347"/>
              <w:jc w:val="both"/>
              <w:rPr>
                <w:rFonts w:ascii="Cambria" w:hAnsi="Cambria"/>
                <w:color w:val="000000" w:themeColor="text1"/>
                <w:sz w:val="22"/>
                <w:szCs w:val="22"/>
              </w:rPr>
            </w:pPr>
            <w:r w:rsidRPr="006351EA">
              <w:rPr>
                <w:rFonts w:ascii="Cambria" w:hAnsi="Cambria"/>
                <w:color w:val="000000" w:themeColor="text1"/>
                <w:sz w:val="22"/>
                <w:szCs w:val="22"/>
              </w:rPr>
              <w:t xml:space="preserve">NSW Trustee </w:t>
            </w:r>
          </w:p>
          <w:p w14:paraId="185763D7" w14:textId="6F8D9C59" w:rsidR="00330D2E" w:rsidRPr="006351EA" w:rsidRDefault="00330D2E" w:rsidP="00330D2E">
            <w:pPr>
              <w:ind w:right="-347"/>
              <w:rPr>
                <w:rFonts w:ascii="Cambria" w:hAnsi="Cambria"/>
                <w:color w:val="000000" w:themeColor="text1"/>
                <w:sz w:val="22"/>
                <w:szCs w:val="22"/>
              </w:rPr>
            </w:pPr>
            <w:r w:rsidRPr="006351EA">
              <w:rPr>
                <w:rFonts w:ascii="Cambria" w:hAnsi="Cambria"/>
                <w:color w:val="000000" w:themeColor="text1"/>
                <w:sz w:val="22"/>
                <w:szCs w:val="22"/>
              </w:rPr>
              <w:t>and Guardian</w:t>
            </w:r>
            <w:r w:rsidRPr="006351EA">
              <w:rPr>
                <w:rStyle w:val="FootnoteReference"/>
                <w:rFonts w:ascii="Cambria" w:hAnsi="Cambria"/>
                <w:color w:val="000000" w:themeColor="text1"/>
                <w:sz w:val="22"/>
                <w:szCs w:val="22"/>
              </w:rPr>
              <w:footnoteReference w:id="14"/>
            </w:r>
          </w:p>
        </w:tc>
        <w:tc>
          <w:tcPr>
            <w:tcW w:w="1576" w:type="dxa"/>
          </w:tcPr>
          <w:p w14:paraId="6B9DFC21" w14:textId="0A1ACC5C" w:rsidR="00330D2E" w:rsidRPr="006351EA" w:rsidRDefault="00EF12FC" w:rsidP="00330D2E">
            <w:pPr>
              <w:ind w:right="-347"/>
              <w:jc w:val="both"/>
              <w:rPr>
                <w:rFonts w:ascii="Cambria" w:hAnsi="Cambria"/>
                <w:color w:val="000000" w:themeColor="text1"/>
                <w:sz w:val="22"/>
                <w:szCs w:val="22"/>
              </w:rPr>
            </w:pPr>
            <w:r w:rsidRPr="006351EA">
              <w:rPr>
                <w:rFonts w:ascii="Cambria" w:hAnsi="Cambria"/>
                <w:color w:val="000000" w:themeColor="text1"/>
                <w:sz w:val="22"/>
                <w:szCs w:val="22"/>
              </w:rPr>
              <w:t>0%</w:t>
            </w:r>
          </w:p>
        </w:tc>
        <w:tc>
          <w:tcPr>
            <w:tcW w:w="1467" w:type="dxa"/>
          </w:tcPr>
          <w:p w14:paraId="26DE73B4" w14:textId="4A191A45" w:rsidR="00330D2E" w:rsidRPr="006351EA" w:rsidRDefault="00E55AF3" w:rsidP="00330D2E">
            <w:pPr>
              <w:ind w:right="-347"/>
              <w:jc w:val="both"/>
              <w:rPr>
                <w:rFonts w:ascii="Cambria" w:hAnsi="Cambria"/>
                <w:color w:val="000000" w:themeColor="text1"/>
                <w:sz w:val="22"/>
                <w:szCs w:val="22"/>
              </w:rPr>
            </w:pPr>
            <w:r w:rsidRPr="006351EA">
              <w:rPr>
                <w:rFonts w:ascii="Cambria" w:hAnsi="Cambria"/>
                <w:color w:val="000000" w:themeColor="text1"/>
                <w:sz w:val="22"/>
                <w:szCs w:val="22"/>
              </w:rPr>
              <w:t>$0</w:t>
            </w:r>
          </w:p>
        </w:tc>
        <w:tc>
          <w:tcPr>
            <w:tcW w:w="5528" w:type="dxa"/>
          </w:tcPr>
          <w:p w14:paraId="3F0981A7" w14:textId="61E8D34B" w:rsidR="00330D2E" w:rsidRPr="006351EA" w:rsidRDefault="00330D2E" w:rsidP="006351EA">
            <w:pPr>
              <w:ind w:right="-347"/>
              <w:rPr>
                <w:rFonts w:ascii="Cambria" w:hAnsi="Cambria"/>
                <w:color w:val="000000" w:themeColor="text1"/>
                <w:sz w:val="22"/>
                <w:szCs w:val="22"/>
              </w:rPr>
            </w:pPr>
            <w:r w:rsidRPr="006351EA">
              <w:rPr>
                <w:rFonts w:ascii="Cambria" w:hAnsi="Cambria"/>
                <w:color w:val="000000" w:themeColor="text1"/>
                <w:sz w:val="22"/>
                <w:szCs w:val="22"/>
              </w:rPr>
              <w:t>No fees for clients with assets of</w:t>
            </w:r>
            <w:r w:rsidR="00E70507" w:rsidRPr="006351EA">
              <w:rPr>
                <w:rFonts w:ascii="Cambria" w:hAnsi="Cambria"/>
                <w:color w:val="000000" w:themeColor="text1"/>
                <w:sz w:val="22"/>
                <w:szCs w:val="22"/>
              </w:rPr>
              <w:t xml:space="preserve"> </w:t>
            </w:r>
            <w:r w:rsidRPr="006351EA">
              <w:rPr>
                <w:rFonts w:ascii="Cambria" w:hAnsi="Cambria"/>
                <w:color w:val="000000" w:themeColor="text1"/>
                <w:sz w:val="22"/>
                <w:szCs w:val="22"/>
              </w:rPr>
              <w:t>less than $25,000</w:t>
            </w:r>
            <w:r w:rsidR="000E0C47">
              <w:rPr>
                <w:rFonts w:ascii="Cambria" w:hAnsi="Cambria"/>
                <w:color w:val="000000" w:themeColor="text1"/>
                <w:sz w:val="22"/>
                <w:szCs w:val="22"/>
              </w:rPr>
              <w:t>.</w:t>
            </w:r>
          </w:p>
        </w:tc>
      </w:tr>
      <w:tr w:rsidR="00330D2E" w:rsidRPr="006351EA" w14:paraId="7F037917" w14:textId="77777777" w:rsidTr="00E70507">
        <w:tc>
          <w:tcPr>
            <w:tcW w:w="1919" w:type="dxa"/>
          </w:tcPr>
          <w:p w14:paraId="46A7FB69" w14:textId="63F89A76" w:rsidR="00330D2E" w:rsidRPr="006351EA" w:rsidRDefault="00330D2E" w:rsidP="00330D2E">
            <w:pPr>
              <w:ind w:right="-347"/>
              <w:jc w:val="both"/>
              <w:rPr>
                <w:rFonts w:ascii="Cambria" w:hAnsi="Cambria"/>
                <w:color w:val="000000" w:themeColor="text1"/>
                <w:sz w:val="22"/>
                <w:szCs w:val="22"/>
              </w:rPr>
            </w:pPr>
            <w:r w:rsidRPr="006351EA">
              <w:rPr>
                <w:rFonts w:ascii="Cambria" w:hAnsi="Cambria"/>
                <w:color w:val="000000" w:themeColor="text1"/>
                <w:sz w:val="22"/>
                <w:szCs w:val="22"/>
              </w:rPr>
              <w:t>State Trustees</w:t>
            </w:r>
          </w:p>
          <w:p w14:paraId="0FD97160" w14:textId="26B74608" w:rsidR="00330D2E" w:rsidRPr="006351EA" w:rsidRDefault="00330D2E" w:rsidP="00330D2E">
            <w:pPr>
              <w:ind w:right="-347"/>
              <w:jc w:val="both"/>
              <w:rPr>
                <w:rFonts w:ascii="Cambria" w:hAnsi="Cambria"/>
                <w:color w:val="000000" w:themeColor="text1"/>
                <w:sz w:val="22"/>
                <w:szCs w:val="22"/>
              </w:rPr>
            </w:pPr>
            <w:r w:rsidRPr="006351EA">
              <w:rPr>
                <w:rFonts w:ascii="Cambria" w:hAnsi="Cambria"/>
                <w:color w:val="000000" w:themeColor="text1"/>
                <w:sz w:val="22"/>
                <w:szCs w:val="22"/>
              </w:rPr>
              <w:t>(Vic)</w:t>
            </w:r>
            <w:r w:rsidR="00EF12FC" w:rsidRPr="006351EA">
              <w:rPr>
                <w:rStyle w:val="FootnoteReference"/>
                <w:rFonts w:ascii="Cambria" w:hAnsi="Cambria"/>
                <w:color w:val="000000" w:themeColor="text1"/>
                <w:sz w:val="22"/>
                <w:szCs w:val="22"/>
              </w:rPr>
              <w:footnoteReference w:id="15"/>
            </w:r>
          </w:p>
        </w:tc>
        <w:tc>
          <w:tcPr>
            <w:tcW w:w="1576" w:type="dxa"/>
          </w:tcPr>
          <w:p w14:paraId="23DF1C3C" w14:textId="59569E9D" w:rsidR="00330D2E" w:rsidRPr="006351EA" w:rsidRDefault="00EF12FC" w:rsidP="00330D2E">
            <w:pPr>
              <w:ind w:right="-347"/>
              <w:jc w:val="both"/>
              <w:rPr>
                <w:rFonts w:ascii="Cambria" w:hAnsi="Cambria"/>
                <w:color w:val="000000" w:themeColor="text1"/>
                <w:sz w:val="22"/>
                <w:szCs w:val="22"/>
              </w:rPr>
            </w:pPr>
            <w:r w:rsidRPr="006351EA">
              <w:rPr>
                <w:rFonts w:ascii="Cambria" w:hAnsi="Cambria"/>
                <w:color w:val="000000" w:themeColor="text1"/>
                <w:sz w:val="22"/>
                <w:szCs w:val="22"/>
              </w:rPr>
              <w:t xml:space="preserve">0 - </w:t>
            </w:r>
            <w:r w:rsidR="00330D2E" w:rsidRPr="006351EA">
              <w:rPr>
                <w:rFonts w:ascii="Cambria" w:hAnsi="Cambria"/>
                <w:color w:val="000000" w:themeColor="text1"/>
                <w:sz w:val="22"/>
                <w:szCs w:val="22"/>
              </w:rPr>
              <w:t>3.3%</w:t>
            </w:r>
          </w:p>
        </w:tc>
        <w:tc>
          <w:tcPr>
            <w:tcW w:w="1467" w:type="dxa"/>
          </w:tcPr>
          <w:p w14:paraId="414AF1A7" w14:textId="5BBE2E99" w:rsidR="00330D2E" w:rsidRPr="006351EA" w:rsidRDefault="00330D2E" w:rsidP="00330D2E">
            <w:pPr>
              <w:ind w:right="-347"/>
              <w:jc w:val="both"/>
              <w:rPr>
                <w:rFonts w:ascii="Cambria" w:hAnsi="Cambria"/>
                <w:color w:val="000000" w:themeColor="text1"/>
                <w:sz w:val="22"/>
                <w:szCs w:val="22"/>
              </w:rPr>
            </w:pPr>
            <w:r w:rsidRPr="006351EA">
              <w:rPr>
                <w:rFonts w:ascii="Cambria" w:hAnsi="Cambria"/>
                <w:color w:val="000000" w:themeColor="text1"/>
                <w:sz w:val="22"/>
                <w:szCs w:val="22"/>
              </w:rPr>
              <w:t>$0</w:t>
            </w:r>
            <w:r w:rsidR="00EF12FC" w:rsidRPr="006351EA">
              <w:rPr>
                <w:rFonts w:ascii="Cambria" w:hAnsi="Cambria"/>
                <w:color w:val="000000" w:themeColor="text1"/>
                <w:sz w:val="22"/>
                <w:szCs w:val="22"/>
              </w:rPr>
              <w:t xml:space="preserve"> - $817</w:t>
            </w:r>
          </w:p>
        </w:tc>
        <w:tc>
          <w:tcPr>
            <w:tcW w:w="5528" w:type="dxa"/>
          </w:tcPr>
          <w:p w14:paraId="732574EC" w14:textId="10286DA8" w:rsidR="00330D2E" w:rsidRPr="006351EA" w:rsidRDefault="00EF12FC" w:rsidP="006351EA">
            <w:pPr>
              <w:ind w:right="-347"/>
              <w:rPr>
                <w:rFonts w:ascii="Cambria" w:hAnsi="Cambria"/>
                <w:color w:val="000000" w:themeColor="text1"/>
                <w:sz w:val="22"/>
                <w:szCs w:val="22"/>
              </w:rPr>
            </w:pPr>
            <w:r w:rsidRPr="006351EA">
              <w:rPr>
                <w:rFonts w:ascii="Cambria" w:hAnsi="Cambria"/>
                <w:color w:val="000000" w:themeColor="text1"/>
                <w:sz w:val="22"/>
                <w:szCs w:val="22"/>
              </w:rPr>
              <w:t>Fees waived where pensioner has</w:t>
            </w:r>
            <w:r w:rsidR="00E70507" w:rsidRPr="006351EA">
              <w:rPr>
                <w:rFonts w:ascii="Cambria" w:hAnsi="Cambria"/>
                <w:color w:val="000000" w:themeColor="text1"/>
                <w:sz w:val="22"/>
                <w:szCs w:val="22"/>
              </w:rPr>
              <w:t xml:space="preserve"> </w:t>
            </w:r>
            <w:r w:rsidRPr="006351EA">
              <w:rPr>
                <w:rFonts w:ascii="Cambria" w:hAnsi="Cambria"/>
                <w:color w:val="000000" w:themeColor="text1"/>
                <w:sz w:val="22"/>
                <w:szCs w:val="22"/>
              </w:rPr>
              <w:t xml:space="preserve">no assets and average daily account balance of less than $3000. If more than this, </w:t>
            </w:r>
            <w:r w:rsidR="00330D2E" w:rsidRPr="006351EA">
              <w:rPr>
                <w:rFonts w:ascii="Cambria" w:hAnsi="Cambria"/>
                <w:color w:val="000000" w:themeColor="text1"/>
                <w:sz w:val="22"/>
                <w:szCs w:val="22"/>
              </w:rPr>
              <w:t>3.3% of pension is charged as administration fee.</w:t>
            </w:r>
          </w:p>
        </w:tc>
      </w:tr>
      <w:tr w:rsidR="00EF12FC" w:rsidRPr="006351EA" w14:paraId="707DB59A" w14:textId="77777777" w:rsidTr="00E70507">
        <w:tc>
          <w:tcPr>
            <w:tcW w:w="1919" w:type="dxa"/>
          </w:tcPr>
          <w:p w14:paraId="1E10C9ED" w14:textId="4995BD38"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Public Trustee</w:t>
            </w:r>
            <w:r w:rsidR="00BB0EC6" w:rsidRPr="006351EA">
              <w:rPr>
                <w:rFonts w:ascii="Cambria" w:hAnsi="Cambria"/>
                <w:color w:val="000000" w:themeColor="text1"/>
                <w:sz w:val="22"/>
                <w:szCs w:val="22"/>
              </w:rPr>
              <w:t xml:space="preserve"> of </w:t>
            </w:r>
            <w:proofErr w:type="spellStart"/>
            <w:r w:rsidR="00BB0EC6" w:rsidRPr="006351EA">
              <w:rPr>
                <w:rFonts w:ascii="Cambria" w:hAnsi="Cambria"/>
                <w:color w:val="000000" w:themeColor="text1"/>
                <w:sz w:val="22"/>
                <w:szCs w:val="22"/>
              </w:rPr>
              <w:t>of</w:t>
            </w:r>
            <w:proofErr w:type="spellEnd"/>
            <w:r w:rsidR="00BB0EC6" w:rsidRPr="006351EA">
              <w:rPr>
                <w:rFonts w:ascii="Cambria" w:hAnsi="Cambria"/>
                <w:color w:val="000000" w:themeColor="text1"/>
                <w:sz w:val="22"/>
                <w:szCs w:val="22"/>
              </w:rPr>
              <w:t xml:space="preserve"> </w:t>
            </w:r>
            <w:r w:rsidRPr="006351EA">
              <w:rPr>
                <w:rFonts w:ascii="Cambria" w:hAnsi="Cambria"/>
                <w:color w:val="000000" w:themeColor="text1"/>
                <w:sz w:val="22"/>
                <w:szCs w:val="22"/>
              </w:rPr>
              <w:t>Q</w:t>
            </w:r>
            <w:r w:rsidR="00BB0EC6" w:rsidRPr="006351EA">
              <w:rPr>
                <w:rFonts w:ascii="Cambria" w:hAnsi="Cambria"/>
                <w:color w:val="000000" w:themeColor="text1"/>
                <w:sz w:val="22"/>
                <w:szCs w:val="22"/>
              </w:rPr>
              <w:t>ueensland</w:t>
            </w:r>
            <w:r w:rsidR="007E54DA">
              <w:rPr>
                <w:rStyle w:val="FootnoteReference"/>
                <w:rFonts w:ascii="Cambria" w:hAnsi="Cambria"/>
                <w:color w:val="000000" w:themeColor="text1"/>
                <w:sz w:val="22"/>
                <w:szCs w:val="22"/>
              </w:rPr>
              <w:footnoteReference w:id="16"/>
            </w:r>
          </w:p>
        </w:tc>
        <w:tc>
          <w:tcPr>
            <w:tcW w:w="1576" w:type="dxa"/>
          </w:tcPr>
          <w:p w14:paraId="051F5B4C" w14:textId="05E31D82"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0%</w:t>
            </w:r>
          </w:p>
        </w:tc>
        <w:tc>
          <w:tcPr>
            <w:tcW w:w="1467" w:type="dxa"/>
          </w:tcPr>
          <w:p w14:paraId="1EFE300E" w14:textId="3E6BD53D"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$100</w:t>
            </w:r>
          </w:p>
        </w:tc>
        <w:tc>
          <w:tcPr>
            <w:tcW w:w="5528" w:type="dxa"/>
          </w:tcPr>
          <w:p w14:paraId="3B50D011" w14:textId="77777777" w:rsidR="006351EA" w:rsidRPr="006351EA" w:rsidRDefault="00EF12FC" w:rsidP="006351EA">
            <w:pPr>
              <w:ind w:right="-347"/>
              <w:rPr>
                <w:rFonts w:ascii="Cambria" w:hAnsi="Cambria"/>
                <w:color w:val="000000" w:themeColor="text1"/>
                <w:sz w:val="22"/>
                <w:szCs w:val="22"/>
              </w:rPr>
            </w:pPr>
            <w:r w:rsidRPr="006351EA">
              <w:rPr>
                <w:rFonts w:ascii="Cambria" w:hAnsi="Cambria"/>
                <w:color w:val="000000" w:themeColor="text1"/>
                <w:sz w:val="22"/>
                <w:szCs w:val="22"/>
              </w:rPr>
              <w:t>Nominal fee charged regardless of</w:t>
            </w:r>
            <w:r w:rsidR="00E70507" w:rsidRPr="006351EA">
              <w:rPr>
                <w:rFonts w:ascii="Cambria" w:hAnsi="Cambria"/>
                <w:color w:val="000000" w:themeColor="text1"/>
                <w:sz w:val="22"/>
                <w:szCs w:val="22"/>
              </w:rPr>
              <w:t xml:space="preserve"> </w:t>
            </w:r>
            <w:r w:rsidRPr="006351EA">
              <w:rPr>
                <w:rFonts w:ascii="Cambria" w:hAnsi="Cambria"/>
                <w:color w:val="000000" w:themeColor="text1"/>
                <w:sz w:val="22"/>
                <w:szCs w:val="22"/>
              </w:rPr>
              <w:t xml:space="preserve">cost of </w:t>
            </w:r>
          </w:p>
          <w:p w14:paraId="18863A77" w14:textId="56DB2D00" w:rsidR="00EF12FC" w:rsidRPr="006351EA" w:rsidRDefault="000E0C47" w:rsidP="006351EA">
            <w:pPr>
              <w:ind w:right="-347"/>
              <w:rPr>
                <w:rFonts w:ascii="Cambria" w:hAnsi="Cambria"/>
                <w:color w:val="000000" w:themeColor="text1"/>
                <w:sz w:val="22"/>
                <w:szCs w:val="22"/>
              </w:rPr>
            </w:pPr>
            <w:r w:rsidRPr="006351EA">
              <w:rPr>
                <w:rFonts w:ascii="Cambria" w:hAnsi="Cambria"/>
                <w:color w:val="000000" w:themeColor="text1"/>
                <w:sz w:val="22"/>
                <w:szCs w:val="22"/>
              </w:rPr>
              <w:t>A</w:t>
            </w:r>
            <w:r w:rsidR="00EF12FC" w:rsidRPr="006351EA">
              <w:rPr>
                <w:rFonts w:ascii="Cambria" w:hAnsi="Cambria"/>
                <w:color w:val="000000" w:themeColor="text1"/>
                <w:sz w:val="22"/>
                <w:szCs w:val="22"/>
              </w:rPr>
              <w:t>dministration</w:t>
            </w:r>
            <w:r>
              <w:rPr>
                <w:rFonts w:ascii="Cambria" w:hAnsi="Cambria"/>
                <w:color w:val="000000" w:themeColor="text1"/>
                <w:sz w:val="22"/>
                <w:szCs w:val="22"/>
              </w:rPr>
              <w:t>.</w:t>
            </w:r>
          </w:p>
        </w:tc>
      </w:tr>
      <w:tr w:rsidR="00EF12FC" w:rsidRPr="006351EA" w14:paraId="72F1D0CD" w14:textId="77777777" w:rsidTr="00E70507">
        <w:tc>
          <w:tcPr>
            <w:tcW w:w="1919" w:type="dxa"/>
          </w:tcPr>
          <w:p w14:paraId="79EC527B" w14:textId="47A7850D" w:rsidR="00EF12FC" w:rsidRPr="006351EA" w:rsidRDefault="00BB0EC6"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 xml:space="preserve">Public </w:t>
            </w:r>
            <w:r w:rsidR="00EF12FC" w:rsidRPr="006351EA">
              <w:rPr>
                <w:rFonts w:ascii="Cambria" w:hAnsi="Cambria"/>
                <w:color w:val="000000" w:themeColor="text1"/>
                <w:sz w:val="22"/>
                <w:szCs w:val="22"/>
              </w:rPr>
              <w:t xml:space="preserve">Trustee </w:t>
            </w:r>
          </w:p>
          <w:p w14:paraId="43497532" w14:textId="0CFB47C2"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(WA)</w:t>
            </w:r>
            <w:r w:rsidRPr="006351EA">
              <w:rPr>
                <w:rStyle w:val="FootnoteReference"/>
                <w:rFonts w:ascii="Cambria" w:hAnsi="Cambria"/>
                <w:color w:val="000000" w:themeColor="text1"/>
                <w:sz w:val="22"/>
                <w:szCs w:val="22"/>
              </w:rPr>
              <w:footnoteReference w:id="17"/>
            </w:r>
          </w:p>
        </w:tc>
        <w:tc>
          <w:tcPr>
            <w:tcW w:w="1576" w:type="dxa"/>
          </w:tcPr>
          <w:p w14:paraId="7421D328" w14:textId="3F9C462A" w:rsidR="00EF12FC" w:rsidRPr="006351EA" w:rsidRDefault="00BB0EC6"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0% - 1.35%</w:t>
            </w:r>
          </w:p>
        </w:tc>
        <w:tc>
          <w:tcPr>
            <w:tcW w:w="1467" w:type="dxa"/>
          </w:tcPr>
          <w:p w14:paraId="50AE971F" w14:textId="1020CB00"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$0 - $336</w:t>
            </w:r>
          </w:p>
        </w:tc>
        <w:tc>
          <w:tcPr>
            <w:tcW w:w="5528" w:type="dxa"/>
          </w:tcPr>
          <w:p w14:paraId="54E86830" w14:textId="05FBF719" w:rsidR="00EF12FC" w:rsidRPr="006351EA" w:rsidRDefault="00EF12FC" w:rsidP="006351EA">
            <w:pPr>
              <w:ind w:right="-347"/>
              <w:rPr>
                <w:rFonts w:ascii="Cambria" w:hAnsi="Cambria"/>
                <w:color w:val="000000" w:themeColor="text1"/>
                <w:sz w:val="22"/>
                <w:szCs w:val="22"/>
              </w:rPr>
            </w:pPr>
            <w:r w:rsidRPr="006351EA">
              <w:rPr>
                <w:rFonts w:ascii="Cambria" w:hAnsi="Cambria"/>
                <w:color w:val="000000" w:themeColor="text1"/>
                <w:sz w:val="22"/>
                <w:szCs w:val="22"/>
              </w:rPr>
              <w:t>Fees are waived for clients</w:t>
            </w:r>
            <w:r w:rsidR="00E70507" w:rsidRPr="006351EA">
              <w:rPr>
                <w:rFonts w:ascii="Cambria" w:hAnsi="Cambria"/>
                <w:color w:val="000000" w:themeColor="text1"/>
                <w:sz w:val="22"/>
                <w:szCs w:val="22"/>
              </w:rPr>
              <w:t xml:space="preserve"> </w:t>
            </w:r>
            <w:r w:rsidRPr="006351EA">
              <w:rPr>
                <w:rFonts w:ascii="Cambria" w:hAnsi="Cambria"/>
                <w:color w:val="000000" w:themeColor="text1"/>
                <w:sz w:val="22"/>
                <w:szCs w:val="22"/>
              </w:rPr>
              <w:t>with assets of less than</w:t>
            </w:r>
            <w:r w:rsidR="006351EA">
              <w:rPr>
                <w:rFonts w:ascii="Cambria" w:hAnsi="Cambria"/>
                <w:color w:val="000000" w:themeColor="text1"/>
                <w:sz w:val="22"/>
                <w:szCs w:val="22"/>
              </w:rPr>
              <w:t xml:space="preserve"> </w:t>
            </w:r>
            <w:r w:rsidRPr="006351EA">
              <w:rPr>
                <w:rFonts w:ascii="Cambria" w:hAnsi="Cambria"/>
                <w:color w:val="000000" w:themeColor="text1"/>
                <w:sz w:val="22"/>
                <w:szCs w:val="22"/>
              </w:rPr>
              <w:t>$5,000.</w:t>
            </w:r>
            <w:r w:rsidR="006351EA" w:rsidRPr="006351EA">
              <w:rPr>
                <w:rFonts w:ascii="Cambria" w:hAnsi="Cambria"/>
                <w:color w:val="000000" w:themeColor="text1"/>
                <w:sz w:val="22"/>
                <w:szCs w:val="22"/>
              </w:rPr>
              <w:t xml:space="preserve"> </w:t>
            </w:r>
            <w:r w:rsidRPr="006351EA">
              <w:rPr>
                <w:rFonts w:ascii="Cambria" w:hAnsi="Cambria"/>
                <w:color w:val="000000" w:themeColor="text1"/>
                <w:sz w:val="22"/>
                <w:szCs w:val="22"/>
              </w:rPr>
              <w:t>There is a $213 annual fee for</w:t>
            </w:r>
            <w:r w:rsidR="00E70507" w:rsidRPr="006351EA">
              <w:rPr>
                <w:rFonts w:ascii="Cambria" w:hAnsi="Cambria"/>
                <w:color w:val="000000" w:themeColor="text1"/>
                <w:sz w:val="22"/>
                <w:szCs w:val="22"/>
              </w:rPr>
              <w:t xml:space="preserve"> </w:t>
            </w:r>
            <w:r w:rsidRPr="006351EA">
              <w:rPr>
                <w:rFonts w:ascii="Cambria" w:hAnsi="Cambria"/>
                <w:color w:val="000000" w:themeColor="text1"/>
                <w:sz w:val="22"/>
                <w:szCs w:val="22"/>
              </w:rPr>
              <w:t>clients with assets between</w:t>
            </w:r>
            <w:r w:rsidR="006351EA" w:rsidRPr="006351EA">
              <w:rPr>
                <w:rFonts w:ascii="Cambria" w:hAnsi="Cambria"/>
                <w:color w:val="000000" w:themeColor="text1"/>
                <w:sz w:val="22"/>
                <w:szCs w:val="22"/>
              </w:rPr>
              <w:t xml:space="preserve"> </w:t>
            </w:r>
            <w:r w:rsidRPr="006351EA">
              <w:rPr>
                <w:rFonts w:ascii="Cambria" w:hAnsi="Cambria"/>
                <w:color w:val="000000" w:themeColor="text1"/>
                <w:sz w:val="22"/>
                <w:szCs w:val="22"/>
              </w:rPr>
              <w:t>$5001 - $10,000 and a $336</w:t>
            </w:r>
            <w:r w:rsidR="00E70507" w:rsidRPr="006351EA">
              <w:rPr>
                <w:rFonts w:ascii="Cambria" w:hAnsi="Cambria"/>
                <w:color w:val="000000" w:themeColor="text1"/>
                <w:sz w:val="22"/>
                <w:szCs w:val="22"/>
              </w:rPr>
              <w:t xml:space="preserve"> </w:t>
            </w:r>
            <w:r w:rsidRPr="006351EA">
              <w:rPr>
                <w:rFonts w:ascii="Cambria" w:hAnsi="Cambria"/>
                <w:color w:val="000000" w:themeColor="text1"/>
                <w:sz w:val="22"/>
                <w:szCs w:val="22"/>
              </w:rPr>
              <w:t>annual fee for clients with</w:t>
            </w:r>
            <w:r w:rsidR="006351EA" w:rsidRPr="006351EA">
              <w:rPr>
                <w:rFonts w:ascii="Cambria" w:hAnsi="Cambria"/>
                <w:color w:val="000000" w:themeColor="text1"/>
                <w:sz w:val="22"/>
                <w:szCs w:val="22"/>
              </w:rPr>
              <w:t xml:space="preserve"> </w:t>
            </w:r>
            <w:r w:rsidRPr="006351EA">
              <w:rPr>
                <w:rFonts w:ascii="Cambria" w:hAnsi="Cambria"/>
                <w:color w:val="000000" w:themeColor="text1"/>
                <w:sz w:val="22"/>
                <w:szCs w:val="22"/>
              </w:rPr>
              <w:t>assets between $10,001 - $30,000.</w:t>
            </w:r>
          </w:p>
        </w:tc>
      </w:tr>
      <w:tr w:rsidR="00EF12FC" w:rsidRPr="006351EA" w14:paraId="4BF0442D" w14:textId="77777777" w:rsidTr="00E70507">
        <w:tc>
          <w:tcPr>
            <w:tcW w:w="1919" w:type="dxa"/>
          </w:tcPr>
          <w:p w14:paraId="0E286976" w14:textId="00A810AE"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 xml:space="preserve">Public Trustee </w:t>
            </w:r>
          </w:p>
          <w:p w14:paraId="3F628D30" w14:textId="7EBC58B8"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(SA)</w:t>
            </w:r>
            <w:r w:rsidR="00926A9A" w:rsidRPr="006351EA">
              <w:rPr>
                <w:rStyle w:val="FootnoteReference"/>
                <w:rFonts w:ascii="Cambria" w:hAnsi="Cambria"/>
                <w:color w:val="000000" w:themeColor="text1"/>
                <w:sz w:val="22"/>
                <w:szCs w:val="22"/>
              </w:rPr>
              <w:footnoteReference w:id="18"/>
            </w:r>
          </w:p>
        </w:tc>
        <w:tc>
          <w:tcPr>
            <w:tcW w:w="1576" w:type="dxa"/>
          </w:tcPr>
          <w:p w14:paraId="42CF428E" w14:textId="77777777"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0%</w:t>
            </w:r>
          </w:p>
        </w:tc>
        <w:tc>
          <w:tcPr>
            <w:tcW w:w="1467" w:type="dxa"/>
          </w:tcPr>
          <w:p w14:paraId="24390C71" w14:textId="77777777"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$0</w:t>
            </w:r>
          </w:p>
        </w:tc>
        <w:tc>
          <w:tcPr>
            <w:tcW w:w="5528" w:type="dxa"/>
          </w:tcPr>
          <w:p w14:paraId="603AD452" w14:textId="5AAD6B77" w:rsidR="00EF12FC" w:rsidRPr="006351EA" w:rsidRDefault="00EF12FC" w:rsidP="006351EA">
            <w:pPr>
              <w:ind w:right="-347"/>
              <w:rPr>
                <w:rFonts w:ascii="Cambria" w:hAnsi="Cambria"/>
                <w:color w:val="000000" w:themeColor="text1"/>
                <w:sz w:val="22"/>
                <w:szCs w:val="22"/>
              </w:rPr>
            </w:pPr>
            <w:r w:rsidRPr="006351EA">
              <w:rPr>
                <w:rFonts w:ascii="Cambria" w:hAnsi="Cambria"/>
                <w:color w:val="000000" w:themeColor="text1"/>
                <w:sz w:val="22"/>
                <w:szCs w:val="22"/>
              </w:rPr>
              <w:t>No fees are charged where</w:t>
            </w:r>
            <w:r w:rsidR="00E70507" w:rsidRPr="006351EA">
              <w:rPr>
                <w:rFonts w:ascii="Cambria" w:hAnsi="Cambria"/>
                <w:color w:val="000000" w:themeColor="text1"/>
                <w:sz w:val="22"/>
                <w:szCs w:val="22"/>
              </w:rPr>
              <w:t xml:space="preserve"> </w:t>
            </w:r>
            <w:r w:rsidRPr="006351EA">
              <w:rPr>
                <w:rFonts w:ascii="Cambria" w:hAnsi="Cambria"/>
                <w:color w:val="000000" w:themeColor="text1"/>
                <w:sz w:val="22"/>
                <w:szCs w:val="22"/>
              </w:rPr>
              <w:t>assets are less than $</w:t>
            </w:r>
            <w:r w:rsidR="00926A9A" w:rsidRPr="006351EA">
              <w:rPr>
                <w:rFonts w:ascii="Cambria" w:hAnsi="Cambria"/>
                <w:color w:val="000000" w:themeColor="text1"/>
                <w:sz w:val="22"/>
                <w:szCs w:val="22"/>
              </w:rPr>
              <w:t>5300.</w:t>
            </w:r>
          </w:p>
        </w:tc>
      </w:tr>
      <w:tr w:rsidR="00EF12FC" w:rsidRPr="006351EA" w14:paraId="1B5A0BA8" w14:textId="77777777" w:rsidTr="00E70507">
        <w:tc>
          <w:tcPr>
            <w:tcW w:w="1919" w:type="dxa"/>
          </w:tcPr>
          <w:p w14:paraId="34B35504" w14:textId="77777777" w:rsidR="00EF12FC" w:rsidRPr="006351EA" w:rsidRDefault="00EF12FC" w:rsidP="00EF12FC">
            <w:pPr>
              <w:ind w:right="-347"/>
              <w:rPr>
                <w:rFonts w:ascii="Cambria" w:hAnsi="Cambria"/>
                <w:color w:val="000000" w:themeColor="text1"/>
                <w:sz w:val="22"/>
                <w:szCs w:val="22"/>
              </w:rPr>
            </w:pPr>
            <w:r w:rsidRPr="006351EA">
              <w:rPr>
                <w:rFonts w:ascii="Cambria" w:hAnsi="Cambria"/>
                <w:color w:val="000000" w:themeColor="text1"/>
                <w:sz w:val="22"/>
                <w:szCs w:val="22"/>
              </w:rPr>
              <w:t xml:space="preserve">Public Trustee </w:t>
            </w:r>
          </w:p>
          <w:p w14:paraId="4A85C890" w14:textId="1D3841AC"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Tasmania</w:t>
            </w:r>
            <w:r w:rsidRPr="006351EA">
              <w:rPr>
                <w:rStyle w:val="FootnoteReference"/>
                <w:rFonts w:ascii="Cambria" w:hAnsi="Cambria"/>
                <w:color w:val="000000" w:themeColor="text1"/>
                <w:sz w:val="22"/>
                <w:szCs w:val="22"/>
              </w:rPr>
              <w:footnoteReference w:id="19"/>
            </w:r>
          </w:p>
        </w:tc>
        <w:tc>
          <w:tcPr>
            <w:tcW w:w="1576" w:type="dxa"/>
          </w:tcPr>
          <w:p w14:paraId="096C0DC3" w14:textId="1A730C91" w:rsidR="00EF12FC" w:rsidRPr="006351EA" w:rsidRDefault="00926A9A"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0 – 2.75%</w:t>
            </w:r>
          </w:p>
        </w:tc>
        <w:tc>
          <w:tcPr>
            <w:tcW w:w="1467" w:type="dxa"/>
          </w:tcPr>
          <w:p w14:paraId="1158B654" w14:textId="3D1B483B"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$0 - $681</w:t>
            </w:r>
          </w:p>
        </w:tc>
        <w:tc>
          <w:tcPr>
            <w:tcW w:w="5528" w:type="dxa"/>
          </w:tcPr>
          <w:p w14:paraId="5A6F72C2" w14:textId="5FC93DC2" w:rsidR="00EF12FC" w:rsidRPr="006351EA" w:rsidRDefault="00EF12FC" w:rsidP="006351EA">
            <w:pPr>
              <w:ind w:right="-347"/>
              <w:rPr>
                <w:rFonts w:ascii="Cambria" w:hAnsi="Cambria"/>
                <w:color w:val="000000" w:themeColor="text1"/>
                <w:sz w:val="22"/>
                <w:szCs w:val="22"/>
              </w:rPr>
            </w:pPr>
            <w:r w:rsidRPr="006351EA">
              <w:rPr>
                <w:rFonts w:ascii="Cambria" w:hAnsi="Cambria"/>
                <w:color w:val="000000" w:themeColor="text1"/>
                <w:sz w:val="22"/>
                <w:szCs w:val="22"/>
              </w:rPr>
              <w:t>Fees are waived for clients with</w:t>
            </w:r>
            <w:r w:rsidR="00E70507" w:rsidRPr="006351EA">
              <w:rPr>
                <w:rFonts w:ascii="Cambria" w:hAnsi="Cambria"/>
                <w:color w:val="000000" w:themeColor="text1"/>
                <w:sz w:val="22"/>
                <w:szCs w:val="22"/>
              </w:rPr>
              <w:t xml:space="preserve"> </w:t>
            </w:r>
            <w:r w:rsidRPr="006351EA">
              <w:rPr>
                <w:rFonts w:ascii="Cambria" w:hAnsi="Cambria"/>
                <w:color w:val="000000" w:themeColor="text1"/>
                <w:sz w:val="22"/>
                <w:szCs w:val="22"/>
              </w:rPr>
              <w:t xml:space="preserve">assets under $10,000. </w:t>
            </w:r>
          </w:p>
          <w:p w14:paraId="15C98F03" w14:textId="77777777" w:rsidR="00E70507" w:rsidRPr="006351EA" w:rsidRDefault="00EF12FC" w:rsidP="006351EA">
            <w:pPr>
              <w:ind w:right="-347"/>
              <w:rPr>
                <w:rFonts w:ascii="Cambria" w:hAnsi="Cambria"/>
                <w:color w:val="000000" w:themeColor="text1"/>
                <w:sz w:val="22"/>
                <w:szCs w:val="22"/>
              </w:rPr>
            </w:pPr>
            <w:r w:rsidRPr="006351EA">
              <w:rPr>
                <w:rFonts w:ascii="Cambria" w:hAnsi="Cambria"/>
                <w:color w:val="000000" w:themeColor="text1"/>
                <w:sz w:val="22"/>
                <w:szCs w:val="22"/>
              </w:rPr>
              <w:t>2.75 per cent is charged for</w:t>
            </w:r>
            <w:r w:rsidR="00E70507" w:rsidRPr="006351EA">
              <w:rPr>
                <w:rFonts w:ascii="Cambria" w:hAnsi="Cambria"/>
                <w:color w:val="000000" w:themeColor="text1"/>
                <w:sz w:val="22"/>
                <w:szCs w:val="22"/>
              </w:rPr>
              <w:t xml:space="preserve"> </w:t>
            </w:r>
            <w:r w:rsidRPr="006351EA">
              <w:rPr>
                <w:rFonts w:ascii="Cambria" w:hAnsi="Cambria"/>
                <w:color w:val="000000" w:themeColor="text1"/>
                <w:sz w:val="22"/>
                <w:szCs w:val="22"/>
              </w:rPr>
              <w:t xml:space="preserve">assets between </w:t>
            </w:r>
          </w:p>
          <w:p w14:paraId="135768BE" w14:textId="5B58FCBD" w:rsidR="00EF12FC" w:rsidRPr="006351EA" w:rsidRDefault="00EF12FC" w:rsidP="006351EA">
            <w:pPr>
              <w:ind w:right="-347"/>
              <w:rPr>
                <w:rFonts w:ascii="Cambria" w:hAnsi="Cambria"/>
                <w:color w:val="000000" w:themeColor="text1"/>
                <w:sz w:val="22"/>
                <w:szCs w:val="22"/>
              </w:rPr>
            </w:pPr>
            <w:r w:rsidRPr="006351EA">
              <w:rPr>
                <w:rFonts w:ascii="Cambria" w:hAnsi="Cambria"/>
                <w:color w:val="000000" w:themeColor="text1"/>
                <w:sz w:val="22"/>
                <w:szCs w:val="22"/>
              </w:rPr>
              <w:t>$10,001 - $</w:t>
            </w:r>
            <w:r w:rsidR="00276AF2">
              <w:rPr>
                <w:rFonts w:ascii="Cambria" w:hAnsi="Cambria"/>
                <w:color w:val="000000" w:themeColor="text1"/>
                <w:sz w:val="22"/>
                <w:szCs w:val="22"/>
              </w:rPr>
              <w:t>100,000</w:t>
            </w:r>
            <w:r w:rsidRPr="006351EA">
              <w:rPr>
                <w:rFonts w:ascii="Cambria" w:hAnsi="Cambria"/>
                <w:color w:val="000000" w:themeColor="text1"/>
                <w:sz w:val="22"/>
                <w:szCs w:val="22"/>
              </w:rPr>
              <w:t xml:space="preserve">. </w:t>
            </w:r>
          </w:p>
        </w:tc>
      </w:tr>
      <w:tr w:rsidR="00EF12FC" w:rsidRPr="006351EA" w14:paraId="4B45C48D" w14:textId="77777777" w:rsidTr="00E70507">
        <w:tc>
          <w:tcPr>
            <w:tcW w:w="1919" w:type="dxa"/>
          </w:tcPr>
          <w:p w14:paraId="61F16C73" w14:textId="7789F893" w:rsidR="00EF12FC" w:rsidRPr="006351EA" w:rsidRDefault="00EF12FC" w:rsidP="00BB0EC6">
            <w:pPr>
              <w:ind w:right="-347"/>
              <w:rPr>
                <w:rFonts w:ascii="Cambria" w:hAnsi="Cambria"/>
                <w:color w:val="000000" w:themeColor="text1"/>
                <w:sz w:val="22"/>
                <w:szCs w:val="22"/>
              </w:rPr>
            </w:pPr>
            <w:r w:rsidRPr="006351EA">
              <w:rPr>
                <w:rFonts w:ascii="Cambria" w:hAnsi="Cambria"/>
                <w:color w:val="000000" w:themeColor="text1"/>
                <w:sz w:val="22"/>
                <w:szCs w:val="22"/>
              </w:rPr>
              <w:t>Public Trustee</w:t>
            </w:r>
            <w:r w:rsidR="00BB0EC6" w:rsidRPr="006351EA">
              <w:rPr>
                <w:rFonts w:ascii="Cambria" w:hAnsi="Cambria"/>
                <w:color w:val="000000" w:themeColor="text1"/>
                <w:sz w:val="22"/>
                <w:szCs w:val="22"/>
              </w:rPr>
              <w:t xml:space="preserve"> and Guardian (</w:t>
            </w:r>
            <w:r w:rsidRPr="006351EA">
              <w:rPr>
                <w:rFonts w:ascii="Cambria" w:hAnsi="Cambria"/>
                <w:color w:val="000000" w:themeColor="text1"/>
                <w:sz w:val="22"/>
                <w:szCs w:val="22"/>
              </w:rPr>
              <w:t>ACT</w:t>
            </w:r>
            <w:r w:rsidR="00BB0EC6" w:rsidRPr="006351EA">
              <w:rPr>
                <w:rFonts w:ascii="Cambria" w:hAnsi="Cambria"/>
                <w:color w:val="000000" w:themeColor="text1"/>
                <w:sz w:val="22"/>
                <w:szCs w:val="22"/>
              </w:rPr>
              <w:t>)</w:t>
            </w:r>
            <w:r w:rsidR="00E70507" w:rsidRPr="006351EA">
              <w:rPr>
                <w:rStyle w:val="FootnoteReference"/>
                <w:rFonts w:ascii="Cambria" w:hAnsi="Cambria"/>
                <w:color w:val="000000" w:themeColor="text1"/>
                <w:sz w:val="22"/>
                <w:szCs w:val="22"/>
              </w:rPr>
              <w:footnoteReference w:id="20"/>
            </w:r>
          </w:p>
        </w:tc>
        <w:tc>
          <w:tcPr>
            <w:tcW w:w="1576" w:type="dxa"/>
          </w:tcPr>
          <w:p w14:paraId="05DA63AE" w14:textId="65994187" w:rsidR="00EF12FC" w:rsidRPr="006351EA" w:rsidRDefault="00E70507"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3</w:t>
            </w:r>
            <w:r w:rsidR="00EF12FC" w:rsidRPr="006351EA">
              <w:rPr>
                <w:rFonts w:ascii="Cambria" w:hAnsi="Cambria"/>
                <w:color w:val="000000" w:themeColor="text1"/>
                <w:sz w:val="22"/>
                <w:szCs w:val="22"/>
              </w:rPr>
              <w:t>.5%</w:t>
            </w:r>
          </w:p>
        </w:tc>
        <w:tc>
          <w:tcPr>
            <w:tcW w:w="1467" w:type="dxa"/>
          </w:tcPr>
          <w:p w14:paraId="262EACE8" w14:textId="56442586" w:rsidR="00EF12FC" w:rsidRPr="006351EA" w:rsidRDefault="00EF12FC"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$0 - $</w:t>
            </w:r>
            <w:r w:rsidR="00E70507" w:rsidRPr="006351EA">
              <w:rPr>
                <w:rFonts w:ascii="Cambria" w:hAnsi="Cambria"/>
                <w:color w:val="000000" w:themeColor="text1"/>
                <w:sz w:val="22"/>
                <w:szCs w:val="22"/>
              </w:rPr>
              <w:t>866</w:t>
            </w:r>
          </w:p>
        </w:tc>
        <w:tc>
          <w:tcPr>
            <w:tcW w:w="5528" w:type="dxa"/>
          </w:tcPr>
          <w:p w14:paraId="18553C80" w14:textId="77777777" w:rsidR="00E70507" w:rsidRPr="006351EA" w:rsidRDefault="00E70507" w:rsidP="006351EA">
            <w:pPr>
              <w:ind w:right="-347"/>
              <w:rPr>
                <w:rFonts w:ascii="Cambria" w:hAnsi="Cambria"/>
                <w:color w:val="000000" w:themeColor="text1"/>
                <w:sz w:val="22"/>
                <w:szCs w:val="22"/>
              </w:rPr>
            </w:pPr>
            <w:r w:rsidRPr="006351EA">
              <w:rPr>
                <w:rFonts w:ascii="Cambria" w:hAnsi="Cambria"/>
                <w:color w:val="000000" w:themeColor="text1"/>
                <w:sz w:val="22"/>
                <w:szCs w:val="22"/>
              </w:rPr>
              <w:t>3</w:t>
            </w:r>
            <w:r w:rsidR="00EF12FC" w:rsidRPr="006351EA">
              <w:rPr>
                <w:rFonts w:ascii="Cambria" w:hAnsi="Cambria"/>
                <w:color w:val="000000" w:themeColor="text1"/>
                <w:sz w:val="22"/>
                <w:szCs w:val="22"/>
              </w:rPr>
              <w:t>.5</w:t>
            </w:r>
            <w:r w:rsidR="00BB0EC6" w:rsidRPr="006351EA">
              <w:rPr>
                <w:rFonts w:ascii="Cambria" w:hAnsi="Cambria"/>
                <w:color w:val="000000" w:themeColor="text1"/>
                <w:sz w:val="22"/>
                <w:szCs w:val="22"/>
              </w:rPr>
              <w:t xml:space="preserve"> per cent</w:t>
            </w:r>
            <w:r w:rsidR="00EF12FC" w:rsidRPr="006351EA">
              <w:rPr>
                <w:rFonts w:ascii="Cambria" w:hAnsi="Cambria"/>
                <w:color w:val="000000" w:themeColor="text1"/>
                <w:sz w:val="22"/>
                <w:szCs w:val="22"/>
              </w:rPr>
              <w:t xml:space="preserve"> of pension charged</w:t>
            </w:r>
            <w:r w:rsidRPr="006351EA">
              <w:rPr>
                <w:rFonts w:ascii="Cambria" w:hAnsi="Cambria"/>
                <w:color w:val="000000" w:themeColor="text1"/>
                <w:sz w:val="22"/>
                <w:szCs w:val="22"/>
              </w:rPr>
              <w:t xml:space="preserve"> </w:t>
            </w:r>
            <w:r w:rsidR="00EF12FC" w:rsidRPr="006351EA">
              <w:rPr>
                <w:rFonts w:ascii="Cambria" w:hAnsi="Cambria"/>
                <w:color w:val="000000" w:themeColor="text1"/>
                <w:sz w:val="22"/>
                <w:szCs w:val="22"/>
              </w:rPr>
              <w:t xml:space="preserve">or administering </w:t>
            </w:r>
          </w:p>
          <w:p w14:paraId="67ABF794" w14:textId="7DF34BE0" w:rsidR="00EF12FC" w:rsidRPr="006351EA" w:rsidRDefault="00EF12FC" w:rsidP="006351EA">
            <w:pPr>
              <w:ind w:right="-347"/>
              <w:rPr>
                <w:rFonts w:ascii="Cambria" w:hAnsi="Cambria"/>
                <w:color w:val="000000" w:themeColor="text1"/>
                <w:sz w:val="22"/>
                <w:szCs w:val="22"/>
              </w:rPr>
            </w:pPr>
            <w:r w:rsidRPr="006351EA">
              <w:rPr>
                <w:rFonts w:ascii="Cambria" w:hAnsi="Cambria"/>
                <w:color w:val="000000" w:themeColor="text1"/>
                <w:sz w:val="22"/>
                <w:szCs w:val="22"/>
              </w:rPr>
              <w:t>pension.</w:t>
            </w:r>
            <w:r w:rsidR="00E70507" w:rsidRPr="006351EA">
              <w:rPr>
                <w:rFonts w:ascii="Cambria" w:hAnsi="Cambria"/>
                <w:color w:val="000000" w:themeColor="text1"/>
                <w:sz w:val="22"/>
                <w:szCs w:val="22"/>
              </w:rPr>
              <w:t xml:space="preserve"> Statutory d</w:t>
            </w:r>
            <w:r w:rsidRPr="006351EA">
              <w:rPr>
                <w:rFonts w:ascii="Cambria" w:hAnsi="Cambria"/>
                <w:color w:val="000000" w:themeColor="text1"/>
                <w:sz w:val="22"/>
                <w:szCs w:val="22"/>
              </w:rPr>
              <w:t>iscretion to waive where hardship</w:t>
            </w:r>
            <w:r w:rsidR="00E70507" w:rsidRPr="006351EA">
              <w:rPr>
                <w:rFonts w:ascii="Cambria" w:hAnsi="Cambria"/>
                <w:color w:val="000000" w:themeColor="text1"/>
                <w:sz w:val="22"/>
                <w:szCs w:val="22"/>
              </w:rPr>
              <w:t xml:space="preserve"> </w:t>
            </w:r>
            <w:r w:rsidRPr="006351EA">
              <w:rPr>
                <w:rFonts w:ascii="Cambria" w:hAnsi="Cambria"/>
                <w:color w:val="000000" w:themeColor="text1"/>
                <w:sz w:val="22"/>
                <w:szCs w:val="22"/>
              </w:rPr>
              <w:t>established</w:t>
            </w:r>
            <w:r w:rsidR="00926A9A" w:rsidRPr="006351EA">
              <w:rPr>
                <w:rFonts w:ascii="Cambria" w:hAnsi="Cambria"/>
                <w:color w:val="000000" w:themeColor="text1"/>
                <w:sz w:val="22"/>
                <w:szCs w:val="22"/>
              </w:rPr>
              <w:t>.</w:t>
            </w:r>
            <w:r w:rsidRPr="006351EA">
              <w:rPr>
                <w:rFonts w:ascii="Cambria" w:hAnsi="Cambria"/>
                <w:color w:val="000000" w:themeColor="text1"/>
                <w:sz w:val="22"/>
                <w:szCs w:val="22"/>
              </w:rPr>
              <w:t xml:space="preserve"> </w:t>
            </w:r>
          </w:p>
        </w:tc>
      </w:tr>
      <w:tr w:rsidR="00E70507" w:rsidRPr="006351EA" w14:paraId="5087B43C" w14:textId="77777777" w:rsidTr="00E70507">
        <w:tc>
          <w:tcPr>
            <w:tcW w:w="1919" w:type="dxa"/>
          </w:tcPr>
          <w:p w14:paraId="4C16B9BE" w14:textId="77777777" w:rsidR="00E70507" w:rsidRPr="006351EA" w:rsidRDefault="00E70507" w:rsidP="00BB0EC6">
            <w:pPr>
              <w:ind w:right="-347"/>
              <w:rPr>
                <w:rFonts w:ascii="Cambria" w:hAnsi="Cambria"/>
                <w:color w:val="000000" w:themeColor="text1"/>
                <w:sz w:val="22"/>
                <w:szCs w:val="22"/>
              </w:rPr>
            </w:pPr>
            <w:r w:rsidRPr="006351EA">
              <w:rPr>
                <w:rFonts w:ascii="Cambria" w:hAnsi="Cambria"/>
                <w:color w:val="000000" w:themeColor="text1"/>
                <w:sz w:val="22"/>
                <w:szCs w:val="22"/>
              </w:rPr>
              <w:t xml:space="preserve">Public Trustee </w:t>
            </w:r>
          </w:p>
          <w:p w14:paraId="16F306AC" w14:textId="0D9C98EF" w:rsidR="00E70507" w:rsidRPr="006351EA" w:rsidRDefault="00E70507" w:rsidP="00BB0EC6">
            <w:pPr>
              <w:ind w:right="-347"/>
              <w:rPr>
                <w:rFonts w:ascii="Cambria" w:hAnsi="Cambria"/>
                <w:color w:val="000000" w:themeColor="text1"/>
                <w:sz w:val="22"/>
                <w:szCs w:val="22"/>
              </w:rPr>
            </w:pPr>
            <w:r w:rsidRPr="006351EA">
              <w:rPr>
                <w:rFonts w:ascii="Cambria" w:hAnsi="Cambria"/>
                <w:color w:val="000000" w:themeColor="text1"/>
                <w:sz w:val="22"/>
                <w:szCs w:val="22"/>
              </w:rPr>
              <w:t>(NT)</w:t>
            </w:r>
            <w:r w:rsidR="003D17CA">
              <w:rPr>
                <w:rStyle w:val="FootnoteReference"/>
                <w:rFonts w:ascii="Cambria" w:hAnsi="Cambria"/>
                <w:color w:val="000000" w:themeColor="text1"/>
                <w:sz w:val="22"/>
                <w:szCs w:val="22"/>
              </w:rPr>
              <w:footnoteReference w:id="21"/>
            </w:r>
          </w:p>
        </w:tc>
        <w:tc>
          <w:tcPr>
            <w:tcW w:w="1576" w:type="dxa"/>
          </w:tcPr>
          <w:p w14:paraId="0453AE2F" w14:textId="29ABB9B9" w:rsidR="00E70507" w:rsidRPr="006351EA" w:rsidRDefault="00E70507"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0%</w:t>
            </w:r>
          </w:p>
        </w:tc>
        <w:tc>
          <w:tcPr>
            <w:tcW w:w="1467" w:type="dxa"/>
          </w:tcPr>
          <w:p w14:paraId="194DEF4F" w14:textId="01780F08" w:rsidR="00E70507" w:rsidRPr="006351EA" w:rsidRDefault="00E70507" w:rsidP="00EF12FC">
            <w:pPr>
              <w:ind w:right="-347"/>
              <w:jc w:val="both"/>
              <w:rPr>
                <w:rFonts w:ascii="Cambria" w:hAnsi="Cambria"/>
                <w:color w:val="000000" w:themeColor="text1"/>
                <w:sz w:val="22"/>
                <w:szCs w:val="22"/>
              </w:rPr>
            </w:pPr>
            <w:r w:rsidRPr="006351EA">
              <w:rPr>
                <w:rFonts w:ascii="Cambria" w:hAnsi="Cambria"/>
                <w:color w:val="000000" w:themeColor="text1"/>
                <w:sz w:val="22"/>
                <w:szCs w:val="22"/>
              </w:rPr>
              <w:t>0%</w:t>
            </w:r>
          </w:p>
        </w:tc>
        <w:tc>
          <w:tcPr>
            <w:tcW w:w="5528" w:type="dxa"/>
          </w:tcPr>
          <w:p w14:paraId="1DE5D6FE" w14:textId="77777777" w:rsidR="006351EA" w:rsidRPr="006351EA" w:rsidRDefault="00E70507" w:rsidP="006351EA">
            <w:pPr>
              <w:ind w:right="-347"/>
              <w:rPr>
                <w:rFonts w:ascii="Cambria" w:hAnsi="Cambria"/>
                <w:color w:val="000000" w:themeColor="text1"/>
                <w:sz w:val="22"/>
                <w:szCs w:val="22"/>
              </w:rPr>
            </w:pPr>
            <w:r w:rsidRPr="006351EA">
              <w:rPr>
                <w:rFonts w:ascii="Cambria" w:hAnsi="Cambria"/>
                <w:color w:val="000000" w:themeColor="text1"/>
                <w:sz w:val="22"/>
                <w:szCs w:val="22"/>
              </w:rPr>
              <w:t xml:space="preserve">Fees are waived where pensioner has assets of less </w:t>
            </w:r>
          </w:p>
          <w:p w14:paraId="5DE25FF2" w14:textId="315A30AB" w:rsidR="00E70507" w:rsidRPr="006351EA" w:rsidRDefault="00E70507" w:rsidP="006351EA">
            <w:pPr>
              <w:ind w:right="-347"/>
              <w:rPr>
                <w:rFonts w:ascii="Cambria" w:hAnsi="Cambria"/>
                <w:color w:val="000000" w:themeColor="text1"/>
                <w:sz w:val="22"/>
                <w:szCs w:val="22"/>
              </w:rPr>
            </w:pPr>
            <w:r w:rsidRPr="006351EA">
              <w:rPr>
                <w:rFonts w:ascii="Cambria" w:hAnsi="Cambria"/>
                <w:color w:val="000000" w:themeColor="text1"/>
                <w:sz w:val="22"/>
                <w:szCs w:val="22"/>
              </w:rPr>
              <w:t>than $20,000</w:t>
            </w:r>
            <w:r w:rsidR="000E0C47">
              <w:rPr>
                <w:rFonts w:ascii="Cambria" w:hAnsi="Cambria"/>
                <w:color w:val="000000" w:themeColor="text1"/>
                <w:sz w:val="22"/>
                <w:szCs w:val="22"/>
              </w:rPr>
              <w:t>.</w:t>
            </w:r>
          </w:p>
        </w:tc>
      </w:tr>
    </w:tbl>
    <w:p w14:paraId="27DE4DAD" w14:textId="77777777" w:rsidR="00E70507" w:rsidRPr="006351EA" w:rsidRDefault="00E70507" w:rsidP="00EF12FC">
      <w:pPr>
        <w:ind w:right="-347"/>
        <w:jc w:val="both"/>
        <w:rPr>
          <w:rFonts w:ascii="Cambria" w:hAnsi="Cambria"/>
        </w:rPr>
      </w:pPr>
    </w:p>
    <w:p w14:paraId="4E4D8574" w14:textId="3F06689E" w:rsidR="00EF12FC" w:rsidRPr="006351EA" w:rsidRDefault="00EF12FC" w:rsidP="00EF12FC">
      <w:pPr>
        <w:ind w:right="-347"/>
        <w:jc w:val="both"/>
        <w:rPr>
          <w:rFonts w:ascii="Cambria" w:hAnsi="Cambria"/>
          <w:color w:val="000000" w:themeColor="text1"/>
        </w:rPr>
      </w:pPr>
      <w:r w:rsidRPr="006351EA">
        <w:rPr>
          <w:rFonts w:ascii="Cambria" w:hAnsi="Cambria"/>
        </w:rPr>
        <w:t>Th</w:t>
      </w:r>
      <w:r w:rsidR="000E0C47">
        <w:rPr>
          <w:rFonts w:ascii="Cambria" w:hAnsi="Cambria"/>
        </w:rPr>
        <w:t>e</w:t>
      </w:r>
      <w:r w:rsidRPr="006351EA">
        <w:rPr>
          <w:rFonts w:ascii="Cambria" w:hAnsi="Cambria"/>
        </w:rPr>
        <w:t xml:space="preserve"> table </w:t>
      </w:r>
      <w:r w:rsidR="000E0C47">
        <w:rPr>
          <w:rFonts w:ascii="Cambria" w:hAnsi="Cambria"/>
        </w:rPr>
        <w:t xml:space="preserve">above </w:t>
      </w:r>
      <w:r w:rsidRPr="006351EA">
        <w:rPr>
          <w:rFonts w:ascii="Cambria" w:hAnsi="Cambria"/>
        </w:rPr>
        <w:t xml:space="preserve">is calculated on the </w:t>
      </w:r>
      <w:r w:rsidRPr="006351EA">
        <w:rPr>
          <w:rFonts w:ascii="Cambria" w:hAnsi="Cambria"/>
          <w:color w:val="000000" w:themeColor="text1"/>
        </w:rPr>
        <w:t>maximum rate of Disability Support Pension</w:t>
      </w:r>
      <w:r w:rsidR="001B451E" w:rsidRPr="006351EA">
        <w:rPr>
          <w:rFonts w:ascii="Cambria" w:hAnsi="Cambria"/>
          <w:color w:val="000000" w:themeColor="text1"/>
        </w:rPr>
        <w:t>/Age Pension</w:t>
      </w:r>
      <w:r w:rsidRPr="006351EA">
        <w:rPr>
          <w:rFonts w:ascii="Cambria" w:hAnsi="Cambria"/>
          <w:color w:val="000000" w:themeColor="text1"/>
        </w:rPr>
        <w:t xml:space="preserve"> for a single person in August 2021 ($24,770.20 per annum).</w:t>
      </w:r>
      <w:r w:rsidRPr="006351EA">
        <w:rPr>
          <w:rStyle w:val="FootnoteReference"/>
          <w:rFonts w:ascii="Cambria" w:hAnsi="Cambria"/>
          <w:color w:val="000000" w:themeColor="text1"/>
        </w:rPr>
        <w:footnoteReference w:id="22"/>
      </w:r>
    </w:p>
    <w:p w14:paraId="03B0AD1C" w14:textId="77777777" w:rsidR="00EF12FC" w:rsidRPr="006351EA" w:rsidRDefault="00EF12FC" w:rsidP="0077328A">
      <w:pPr>
        <w:ind w:right="-347"/>
        <w:jc w:val="both"/>
        <w:rPr>
          <w:rFonts w:ascii="Cambria" w:hAnsi="Cambria"/>
          <w:color w:val="000000" w:themeColor="text1"/>
        </w:rPr>
      </w:pPr>
    </w:p>
    <w:p w14:paraId="34C5B128" w14:textId="1CBAFD85" w:rsidR="004D1C4F" w:rsidRPr="006351EA" w:rsidRDefault="004173D8" w:rsidP="00BB0EC6">
      <w:pPr>
        <w:ind w:right="-347"/>
        <w:jc w:val="both"/>
        <w:rPr>
          <w:rFonts w:ascii="Cambria" w:hAnsi="Cambria"/>
          <w:color w:val="000000" w:themeColor="text1"/>
        </w:rPr>
      </w:pPr>
      <w:r w:rsidRPr="006351EA">
        <w:rPr>
          <w:rFonts w:ascii="Cambria" w:hAnsi="Cambria"/>
          <w:color w:val="000000" w:themeColor="text1"/>
        </w:rPr>
        <w:t>Our review demonstrates that th</w:t>
      </w:r>
      <w:r w:rsidR="00EF12FC" w:rsidRPr="006351EA">
        <w:rPr>
          <w:rFonts w:ascii="Cambria" w:hAnsi="Cambria"/>
          <w:color w:val="000000" w:themeColor="text1"/>
        </w:rPr>
        <w:t>e</w:t>
      </w:r>
      <w:r w:rsidR="00BB0EC6" w:rsidRPr="006351EA">
        <w:rPr>
          <w:rFonts w:ascii="Cambria" w:hAnsi="Cambria"/>
          <w:color w:val="000000" w:themeColor="text1"/>
        </w:rPr>
        <w:t xml:space="preserve"> Tasmanian </w:t>
      </w:r>
      <w:r w:rsidRPr="006351EA">
        <w:rPr>
          <w:rFonts w:ascii="Cambria" w:hAnsi="Cambria"/>
          <w:color w:val="000000" w:themeColor="text1"/>
        </w:rPr>
        <w:t>Public Trustee does have some of the lowest fees and charges in Australia</w:t>
      </w:r>
      <w:r w:rsidR="00BB0EC6" w:rsidRPr="006351EA">
        <w:rPr>
          <w:rFonts w:ascii="Cambria" w:hAnsi="Cambria"/>
          <w:color w:val="000000" w:themeColor="text1"/>
        </w:rPr>
        <w:t xml:space="preserve"> with no fees charged for represented persons with assets of less than $10,000. Only New South Wales and the Northern Territory have a higher fee waiver threshold. Nevertheless</w:t>
      </w:r>
      <w:r w:rsidRPr="006351EA">
        <w:rPr>
          <w:rFonts w:ascii="Cambria" w:hAnsi="Cambria"/>
          <w:color w:val="000000" w:themeColor="text1"/>
        </w:rPr>
        <w:t>,</w:t>
      </w:r>
      <w:r w:rsidR="00BB0EC6" w:rsidRPr="006351EA">
        <w:rPr>
          <w:rFonts w:ascii="Cambria" w:hAnsi="Cambria"/>
          <w:color w:val="000000" w:themeColor="text1"/>
        </w:rPr>
        <w:t xml:space="preserve"> we </w:t>
      </w:r>
      <w:r w:rsidR="00EF12FC" w:rsidRPr="006351EA">
        <w:rPr>
          <w:rFonts w:ascii="Cambria" w:hAnsi="Cambria"/>
          <w:color w:val="000000" w:themeColor="text1"/>
        </w:rPr>
        <w:t xml:space="preserve">believe that </w:t>
      </w:r>
      <w:r w:rsidR="00BB0EC6" w:rsidRPr="006351EA">
        <w:rPr>
          <w:rFonts w:ascii="Cambria" w:hAnsi="Cambria"/>
          <w:color w:val="000000" w:themeColor="text1"/>
        </w:rPr>
        <w:t>Tasmania</w:t>
      </w:r>
      <w:r w:rsidR="00EF12FC" w:rsidRPr="006351EA">
        <w:rPr>
          <w:rFonts w:ascii="Cambria" w:hAnsi="Cambria"/>
          <w:color w:val="000000" w:themeColor="text1"/>
        </w:rPr>
        <w:t xml:space="preserve"> should adopt the </w:t>
      </w:r>
      <w:r w:rsidR="00BB0EC6" w:rsidRPr="006351EA">
        <w:rPr>
          <w:rFonts w:ascii="Cambria" w:hAnsi="Cambria"/>
          <w:color w:val="000000" w:themeColor="text1"/>
        </w:rPr>
        <w:t xml:space="preserve">best practice </w:t>
      </w:r>
      <w:r w:rsidR="00EF12FC" w:rsidRPr="006351EA">
        <w:rPr>
          <w:rFonts w:ascii="Cambria" w:hAnsi="Cambria"/>
          <w:color w:val="000000" w:themeColor="text1"/>
        </w:rPr>
        <w:t xml:space="preserve">NSW model and waive all fees for represented persons with assets of less than $25,000. </w:t>
      </w:r>
    </w:p>
    <w:p w14:paraId="2CFCF54D" w14:textId="77777777" w:rsidR="004D1C4F" w:rsidRPr="006351EA" w:rsidRDefault="004D1C4F" w:rsidP="00EF12FC">
      <w:pPr>
        <w:ind w:right="-347"/>
        <w:jc w:val="both"/>
        <w:rPr>
          <w:rFonts w:ascii="Cambria" w:hAnsi="Cambria"/>
          <w:color w:val="000000" w:themeColor="text1"/>
        </w:rPr>
      </w:pPr>
    </w:p>
    <w:p w14:paraId="30A1C9A9" w14:textId="0B7DEB54" w:rsidR="00EF12FC" w:rsidRPr="006351EA" w:rsidRDefault="00EF12FC" w:rsidP="00EF12FC">
      <w:pPr>
        <w:ind w:right="-347"/>
        <w:jc w:val="both"/>
        <w:rPr>
          <w:rFonts w:ascii="Cambria" w:hAnsi="Cambria"/>
          <w:color w:val="000000" w:themeColor="text1"/>
        </w:rPr>
      </w:pPr>
      <w:r w:rsidRPr="006351EA">
        <w:rPr>
          <w:rFonts w:ascii="Cambria" w:hAnsi="Cambria"/>
          <w:color w:val="000000" w:themeColor="text1"/>
        </w:rPr>
        <w:t xml:space="preserve">We also believe that the Public Trustee should not </w:t>
      </w:r>
      <w:r w:rsidR="00C73055" w:rsidRPr="006351EA">
        <w:rPr>
          <w:rFonts w:ascii="Cambria" w:hAnsi="Cambria"/>
          <w:color w:val="000000" w:themeColor="text1"/>
        </w:rPr>
        <w:t>impose</w:t>
      </w:r>
      <w:r w:rsidR="004173D8" w:rsidRPr="006351EA">
        <w:rPr>
          <w:rFonts w:ascii="Cambria" w:hAnsi="Cambria"/>
          <w:color w:val="000000" w:themeColor="text1"/>
        </w:rPr>
        <w:t xml:space="preserve"> “standard charges” of $3.20 for making client cash allowances, paying bills and reimbursing any payments made on behalf of the client.</w:t>
      </w:r>
      <w:r w:rsidR="00C73055" w:rsidRPr="006351EA">
        <w:rPr>
          <w:rFonts w:ascii="Cambria" w:hAnsi="Cambria"/>
          <w:color w:val="000000" w:themeColor="text1"/>
        </w:rPr>
        <w:t xml:space="preserve"> It is our understanding that these standard charges have been in place since </w:t>
      </w:r>
      <w:r w:rsidR="004D1C4F" w:rsidRPr="006351EA">
        <w:rPr>
          <w:rFonts w:ascii="Cambria" w:hAnsi="Cambria"/>
          <w:color w:val="000000" w:themeColor="text1"/>
        </w:rPr>
        <w:t xml:space="preserve">at least </w:t>
      </w:r>
      <w:r w:rsidR="00C73055" w:rsidRPr="006351EA">
        <w:rPr>
          <w:rFonts w:ascii="Cambria" w:hAnsi="Cambria"/>
          <w:color w:val="000000" w:themeColor="text1"/>
        </w:rPr>
        <w:t>2016 and despite the improvement</w:t>
      </w:r>
      <w:r w:rsidR="004D1C4F" w:rsidRPr="006351EA">
        <w:rPr>
          <w:rFonts w:ascii="Cambria" w:hAnsi="Cambria"/>
          <w:color w:val="000000" w:themeColor="text1"/>
        </w:rPr>
        <w:t xml:space="preserve">s </w:t>
      </w:r>
      <w:r w:rsidR="00C73055" w:rsidRPr="006351EA">
        <w:rPr>
          <w:rFonts w:ascii="Cambria" w:hAnsi="Cambria"/>
          <w:color w:val="000000" w:themeColor="text1"/>
        </w:rPr>
        <w:t xml:space="preserve">in </w:t>
      </w:r>
      <w:r w:rsidR="004B11E1" w:rsidRPr="006351EA">
        <w:rPr>
          <w:rFonts w:ascii="Cambria" w:hAnsi="Cambria"/>
          <w:color w:val="000000" w:themeColor="text1"/>
        </w:rPr>
        <w:t>electronic fund transfers</w:t>
      </w:r>
      <w:r w:rsidR="00C73055" w:rsidRPr="006351EA">
        <w:rPr>
          <w:rFonts w:ascii="Cambria" w:hAnsi="Cambria"/>
          <w:color w:val="000000" w:themeColor="text1"/>
        </w:rPr>
        <w:t xml:space="preserve"> </w:t>
      </w:r>
      <w:r w:rsidR="004D1C4F" w:rsidRPr="006351EA">
        <w:rPr>
          <w:rFonts w:ascii="Cambria" w:hAnsi="Cambria"/>
          <w:color w:val="000000" w:themeColor="text1"/>
        </w:rPr>
        <w:t>remain</w:t>
      </w:r>
      <w:r w:rsidR="00C73055" w:rsidRPr="006351EA">
        <w:rPr>
          <w:rFonts w:ascii="Cambria" w:hAnsi="Cambria"/>
          <w:color w:val="000000" w:themeColor="text1"/>
        </w:rPr>
        <w:t xml:space="preserve"> relatively unchanged. As the CEO of the Public Trustee David Benbow noted in 2016, whilst many bills were formerly paid manually, </w:t>
      </w:r>
      <w:r w:rsidR="00BB0EC6" w:rsidRPr="006351EA">
        <w:rPr>
          <w:rFonts w:ascii="Cambria" w:hAnsi="Cambria"/>
          <w:color w:val="000000" w:themeColor="text1"/>
        </w:rPr>
        <w:t>technological improvements would probably result in improved productivity</w:t>
      </w:r>
      <w:r w:rsidR="00C73055" w:rsidRPr="006351EA">
        <w:rPr>
          <w:rFonts w:ascii="Cambria" w:hAnsi="Cambria"/>
          <w:color w:val="000000" w:themeColor="text1"/>
        </w:rPr>
        <w:t>:</w:t>
      </w:r>
      <w:r w:rsidR="00C73055" w:rsidRPr="006351EA">
        <w:rPr>
          <w:rStyle w:val="FootnoteReference"/>
          <w:rFonts w:ascii="Cambria" w:hAnsi="Cambria"/>
          <w:color w:val="000000" w:themeColor="text1"/>
        </w:rPr>
        <w:footnoteReference w:id="23"/>
      </w:r>
      <w:r w:rsidR="00C73055" w:rsidRPr="006351EA">
        <w:rPr>
          <w:rFonts w:ascii="Cambria" w:hAnsi="Cambria"/>
          <w:color w:val="000000" w:themeColor="text1"/>
        </w:rPr>
        <w:t xml:space="preserve"> </w:t>
      </w:r>
    </w:p>
    <w:p w14:paraId="0587A3DA" w14:textId="3FA58304" w:rsidR="00C73055" w:rsidRPr="006351EA" w:rsidRDefault="00C73055" w:rsidP="0077328A">
      <w:pPr>
        <w:ind w:right="-347"/>
        <w:jc w:val="both"/>
        <w:rPr>
          <w:rFonts w:ascii="Cambria" w:hAnsi="Cambria"/>
          <w:color w:val="000000" w:themeColor="text1"/>
        </w:rPr>
      </w:pPr>
    </w:p>
    <w:p w14:paraId="532E0E25" w14:textId="0C46E0D8" w:rsidR="00C73055" w:rsidRPr="006351EA" w:rsidRDefault="00C73055" w:rsidP="008B1BB0">
      <w:pPr>
        <w:pStyle w:val="Style1"/>
        <w:ind w:left="432"/>
        <w:rPr>
          <w:rFonts w:ascii="Cambria" w:hAnsi="Cambria"/>
          <w:i/>
          <w:iCs/>
          <w:color w:val="000000" w:themeColor="text1"/>
        </w:rPr>
      </w:pPr>
      <w:r w:rsidRPr="006351EA">
        <w:rPr>
          <w:rFonts w:ascii="Cambria" w:hAnsi="Cambria"/>
          <w:i/>
          <w:iCs/>
          <w:color w:val="000000" w:themeColor="text1"/>
        </w:rPr>
        <w:t xml:space="preserve">…we are looking for ways to improve productivity.  I think represented persons are a really good example.  What we do for those clients is pay their bills.  We receive their </w:t>
      </w:r>
      <w:proofErr w:type="gramStart"/>
      <w:r w:rsidRPr="006351EA">
        <w:rPr>
          <w:rFonts w:ascii="Cambria" w:hAnsi="Cambria"/>
          <w:i/>
          <w:iCs/>
          <w:color w:val="000000" w:themeColor="text1"/>
        </w:rPr>
        <w:t>pension,</w:t>
      </w:r>
      <w:proofErr w:type="gramEnd"/>
      <w:r w:rsidRPr="006351EA">
        <w:rPr>
          <w:rFonts w:ascii="Cambria" w:hAnsi="Cambria"/>
          <w:i/>
          <w:iCs/>
          <w:color w:val="000000" w:themeColor="text1"/>
        </w:rPr>
        <w:t xml:space="preserve"> we work with them to set up a budget and then pay their bills.  At the moment we pay their bills almost manually.  If we could turn around and get optical recognition for bill payment, the administrator would not have to do and you could almost bring that service back to a pure client service function.</w:t>
      </w:r>
    </w:p>
    <w:p w14:paraId="0AE40370" w14:textId="686483BA" w:rsidR="004173D8" w:rsidRPr="006351EA" w:rsidRDefault="004173D8" w:rsidP="0077328A">
      <w:pPr>
        <w:ind w:right="-347"/>
        <w:jc w:val="both"/>
        <w:rPr>
          <w:rFonts w:ascii="Cambria" w:hAnsi="Cambria"/>
          <w:color w:val="000000" w:themeColor="text1"/>
        </w:rPr>
      </w:pPr>
    </w:p>
    <w:p w14:paraId="2FAA98AC" w14:textId="3712C8E7" w:rsidR="008B1BB0" w:rsidRPr="006351EA" w:rsidRDefault="008B1BB0" w:rsidP="0077328A">
      <w:pPr>
        <w:ind w:right="-347"/>
        <w:jc w:val="both"/>
        <w:rPr>
          <w:rFonts w:ascii="Cambria" w:hAnsi="Cambria"/>
          <w:color w:val="000000" w:themeColor="text1"/>
        </w:rPr>
      </w:pPr>
      <w:r w:rsidRPr="006351EA">
        <w:rPr>
          <w:rFonts w:ascii="Cambria" w:hAnsi="Cambria"/>
          <w:color w:val="000000" w:themeColor="text1"/>
        </w:rPr>
        <w:t xml:space="preserve">Given that </w:t>
      </w:r>
      <w:r w:rsidR="00BB0EC6" w:rsidRPr="006351EA">
        <w:rPr>
          <w:rFonts w:ascii="Cambria" w:hAnsi="Cambria"/>
          <w:color w:val="000000" w:themeColor="text1"/>
        </w:rPr>
        <w:t xml:space="preserve">five years have elapsed since these comments were made, it is likely that </w:t>
      </w:r>
      <w:r w:rsidR="004B11E1" w:rsidRPr="006351EA">
        <w:rPr>
          <w:rFonts w:ascii="Cambria" w:hAnsi="Cambria"/>
          <w:color w:val="000000" w:themeColor="text1"/>
        </w:rPr>
        <w:t xml:space="preserve">today </w:t>
      </w:r>
      <w:r w:rsidRPr="006351EA">
        <w:rPr>
          <w:rFonts w:ascii="Cambria" w:hAnsi="Cambria"/>
          <w:color w:val="000000" w:themeColor="text1"/>
        </w:rPr>
        <w:t>m</w:t>
      </w:r>
      <w:r w:rsidR="00EF12FC" w:rsidRPr="006351EA">
        <w:rPr>
          <w:rFonts w:ascii="Cambria" w:hAnsi="Cambria"/>
          <w:color w:val="000000" w:themeColor="text1"/>
        </w:rPr>
        <w:t>ost</w:t>
      </w:r>
      <w:r w:rsidRPr="006351EA">
        <w:rPr>
          <w:rFonts w:ascii="Cambria" w:hAnsi="Cambria"/>
          <w:color w:val="000000" w:themeColor="text1"/>
        </w:rPr>
        <w:t xml:space="preserve"> invoices including rent, electricity</w:t>
      </w:r>
      <w:r w:rsidR="004D1C4F" w:rsidRPr="006351EA">
        <w:rPr>
          <w:rFonts w:ascii="Cambria" w:hAnsi="Cambria"/>
          <w:color w:val="000000" w:themeColor="text1"/>
        </w:rPr>
        <w:t xml:space="preserve">, telephone </w:t>
      </w:r>
      <w:r w:rsidRPr="006351EA">
        <w:rPr>
          <w:rFonts w:ascii="Cambria" w:hAnsi="Cambria"/>
          <w:color w:val="000000" w:themeColor="text1"/>
        </w:rPr>
        <w:t xml:space="preserve">and pharmaceutical costs </w:t>
      </w:r>
      <w:r w:rsidR="004B11E1" w:rsidRPr="006351EA">
        <w:rPr>
          <w:rFonts w:ascii="Cambria" w:hAnsi="Cambria"/>
          <w:color w:val="000000" w:themeColor="text1"/>
        </w:rPr>
        <w:t>are</w:t>
      </w:r>
      <w:r w:rsidRPr="006351EA">
        <w:rPr>
          <w:rFonts w:ascii="Cambria" w:hAnsi="Cambria"/>
          <w:color w:val="000000" w:themeColor="text1"/>
        </w:rPr>
        <w:t xml:space="preserve"> paid </w:t>
      </w:r>
      <w:r w:rsidR="004B11E1" w:rsidRPr="006351EA">
        <w:rPr>
          <w:rFonts w:ascii="Cambria" w:hAnsi="Cambria"/>
          <w:color w:val="000000" w:themeColor="text1"/>
        </w:rPr>
        <w:t>both automatically and electronically</w:t>
      </w:r>
      <w:r w:rsidR="00BB0EC6" w:rsidRPr="006351EA">
        <w:rPr>
          <w:rFonts w:ascii="Cambria" w:hAnsi="Cambria"/>
          <w:color w:val="000000" w:themeColor="text1"/>
        </w:rPr>
        <w:t>. I</w:t>
      </w:r>
      <w:r w:rsidRPr="006351EA">
        <w:rPr>
          <w:rFonts w:ascii="Cambria" w:hAnsi="Cambria"/>
          <w:color w:val="000000" w:themeColor="text1"/>
        </w:rPr>
        <w:t xml:space="preserve">t is </w:t>
      </w:r>
      <w:r w:rsidR="00BB0EC6" w:rsidRPr="006351EA">
        <w:rPr>
          <w:rFonts w:ascii="Cambria" w:hAnsi="Cambria"/>
          <w:color w:val="000000" w:themeColor="text1"/>
        </w:rPr>
        <w:t xml:space="preserve">therefore </w:t>
      </w:r>
      <w:r w:rsidRPr="006351EA">
        <w:rPr>
          <w:rFonts w:ascii="Cambria" w:hAnsi="Cambria"/>
          <w:color w:val="000000" w:themeColor="text1"/>
        </w:rPr>
        <w:t>difficult to understand how the Public Trustee can justify charging $3.20 per transaction.</w:t>
      </w:r>
      <w:r w:rsidR="00BB0EC6" w:rsidRPr="006351EA">
        <w:rPr>
          <w:rFonts w:ascii="Cambria" w:hAnsi="Cambria"/>
          <w:color w:val="000000" w:themeColor="text1"/>
        </w:rPr>
        <w:t xml:space="preserve"> Expressed in another way</w:t>
      </w:r>
      <w:r w:rsidR="004D1C4F" w:rsidRPr="006351EA">
        <w:rPr>
          <w:rFonts w:ascii="Cambria" w:hAnsi="Cambria"/>
          <w:color w:val="000000" w:themeColor="text1"/>
        </w:rPr>
        <w:t xml:space="preserve">, we do not believe that there is any justifiable correlation between the $3.20 charged per transaction and the cost of delivering the service. We also note that represented persons who are living more independently are likely to be charged more due to the higher number of transactions made. </w:t>
      </w:r>
      <w:r w:rsidR="004B11E1" w:rsidRPr="006351EA">
        <w:rPr>
          <w:rFonts w:ascii="Cambria" w:hAnsi="Cambria"/>
          <w:color w:val="000000" w:themeColor="text1"/>
        </w:rPr>
        <w:t xml:space="preserve">Finally, we note that it is only persons subject to administration orders who have to pay fees when they pay their rent, electricity, telephone or pharmaceutical costs. If the Government believes that a person’s liberty should be taken away from them, then it seems harsh and disproportionate to then make them pay. </w:t>
      </w:r>
      <w:r w:rsidR="004D1C4F" w:rsidRPr="006351EA">
        <w:rPr>
          <w:rFonts w:ascii="Cambria" w:hAnsi="Cambria"/>
          <w:color w:val="000000" w:themeColor="text1"/>
        </w:rPr>
        <w:t xml:space="preserve">For </w:t>
      </w:r>
      <w:r w:rsidR="004B11E1" w:rsidRPr="006351EA">
        <w:rPr>
          <w:rFonts w:ascii="Cambria" w:hAnsi="Cambria"/>
          <w:color w:val="000000" w:themeColor="text1"/>
        </w:rPr>
        <w:t xml:space="preserve">all of </w:t>
      </w:r>
      <w:r w:rsidR="004D1C4F" w:rsidRPr="006351EA">
        <w:rPr>
          <w:rFonts w:ascii="Cambria" w:hAnsi="Cambria"/>
          <w:color w:val="000000" w:themeColor="text1"/>
        </w:rPr>
        <w:t>these reasons, we believe that</w:t>
      </w:r>
      <w:r w:rsidR="00EF12FC" w:rsidRPr="006351EA">
        <w:rPr>
          <w:rFonts w:ascii="Cambria" w:hAnsi="Cambria"/>
          <w:color w:val="000000" w:themeColor="text1"/>
        </w:rPr>
        <w:t xml:space="preserve"> </w:t>
      </w:r>
      <w:r w:rsidR="004D1C4F" w:rsidRPr="006351EA">
        <w:rPr>
          <w:rFonts w:ascii="Cambria" w:hAnsi="Cambria"/>
          <w:color w:val="000000" w:themeColor="text1"/>
        </w:rPr>
        <w:t xml:space="preserve">standard charges should be waived for </w:t>
      </w:r>
      <w:r w:rsidR="004173D8" w:rsidRPr="006351EA">
        <w:rPr>
          <w:rFonts w:ascii="Cambria" w:hAnsi="Cambria"/>
          <w:color w:val="000000" w:themeColor="text1"/>
        </w:rPr>
        <w:t xml:space="preserve">represented clients </w:t>
      </w:r>
      <w:r w:rsidR="00EF12FC" w:rsidRPr="006351EA">
        <w:rPr>
          <w:rFonts w:ascii="Cambria" w:hAnsi="Cambria"/>
          <w:color w:val="000000" w:themeColor="text1"/>
        </w:rPr>
        <w:t xml:space="preserve">with assets of less than $25,000 </w:t>
      </w:r>
      <w:r w:rsidR="004D1C4F" w:rsidRPr="006351EA">
        <w:rPr>
          <w:rFonts w:ascii="Cambria" w:hAnsi="Cambria"/>
          <w:color w:val="000000" w:themeColor="text1"/>
        </w:rPr>
        <w:t xml:space="preserve">and reviewed for represented persons with higher asset levels. </w:t>
      </w:r>
    </w:p>
    <w:p w14:paraId="7E61C27A" w14:textId="076EC693" w:rsidR="004D1C4F" w:rsidRPr="006351EA" w:rsidRDefault="004D1C4F" w:rsidP="0077328A">
      <w:pPr>
        <w:ind w:right="-347"/>
        <w:jc w:val="both"/>
        <w:rPr>
          <w:rFonts w:ascii="Cambria" w:hAnsi="Cambria"/>
          <w:color w:val="000000" w:themeColor="text1"/>
        </w:rPr>
      </w:pPr>
    </w:p>
    <w:p w14:paraId="151EB77A" w14:textId="77777777" w:rsidR="00E728AA" w:rsidRPr="006351EA" w:rsidRDefault="00E728AA" w:rsidP="004173D8">
      <w:pPr>
        <w:jc w:val="both"/>
        <w:rPr>
          <w:rFonts w:ascii="Cambria" w:hAnsi="Cambria"/>
          <w:b/>
          <w:bCs/>
        </w:rPr>
      </w:pPr>
    </w:p>
    <w:tbl>
      <w:tblPr>
        <w:tblStyle w:val="TableGrid"/>
        <w:tblW w:w="8500" w:type="dxa"/>
        <w:tblLook w:val="04A0" w:firstRow="1" w:lastRow="0" w:firstColumn="1" w:lastColumn="0" w:noHBand="0" w:noVBand="1"/>
      </w:tblPr>
      <w:tblGrid>
        <w:gridCol w:w="8500"/>
      </w:tblGrid>
      <w:tr w:rsidR="00F0186F" w:rsidRPr="006351EA" w14:paraId="4D2B2285" w14:textId="77777777" w:rsidTr="003622E5">
        <w:tc>
          <w:tcPr>
            <w:tcW w:w="8500" w:type="dxa"/>
          </w:tcPr>
          <w:p w14:paraId="102CB1E8" w14:textId="77777777" w:rsidR="003622E5" w:rsidRPr="006351EA" w:rsidRDefault="00F0186F" w:rsidP="003622E5">
            <w:pPr>
              <w:ind w:right="-347"/>
              <w:rPr>
                <w:rFonts w:ascii="Cambria" w:hAnsi="Cambria"/>
                <w:color w:val="000000" w:themeColor="text1"/>
                <w:lang w:val="en-US"/>
              </w:rPr>
            </w:pPr>
            <w:r w:rsidRPr="006351EA">
              <w:rPr>
                <w:rFonts w:ascii="Cambria" w:hAnsi="Cambria"/>
                <w:b/>
                <w:bCs/>
                <w:color w:val="000000" w:themeColor="text1"/>
                <w:lang w:val="en-US"/>
              </w:rPr>
              <w:t xml:space="preserve">Recommendation 2: </w:t>
            </w:r>
            <w:r w:rsidRPr="006351EA">
              <w:rPr>
                <w:rFonts w:ascii="Cambria" w:hAnsi="Cambria"/>
                <w:color w:val="000000" w:themeColor="text1"/>
                <w:lang w:val="en-US"/>
              </w:rPr>
              <w:t>That all fees and charges are waived for represented</w:t>
            </w:r>
            <w:r w:rsidR="003622E5" w:rsidRPr="006351EA">
              <w:rPr>
                <w:rFonts w:ascii="Cambria" w:hAnsi="Cambria"/>
                <w:color w:val="000000" w:themeColor="text1"/>
                <w:lang w:val="en-US"/>
              </w:rPr>
              <w:t xml:space="preserve"> </w:t>
            </w:r>
          </w:p>
          <w:p w14:paraId="49238925" w14:textId="77777777" w:rsidR="003622E5" w:rsidRPr="006351EA" w:rsidRDefault="00F0186F" w:rsidP="003622E5">
            <w:pPr>
              <w:ind w:right="-347"/>
              <w:rPr>
                <w:rFonts w:ascii="Cambria" w:hAnsi="Cambria"/>
                <w:color w:val="000000" w:themeColor="text1"/>
                <w:lang w:val="en-US"/>
              </w:rPr>
            </w:pPr>
            <w:r w:rsidRPr="006351EA">
              <w:rPr>
                <w:rFonts w:ascii="Cambria" w:hAnsi="Cambria"/>
                <w:color w:val="000000" w:themeColor="text1"/>
                <w:lang w:val="en-US"/>
              </w:rPr>
              <w:t>persons with assets of less than $25,000 and reviewed for represented</w:t>
            </w:r>
            <w:r w:rsidR="003622E5" w:rsidRPr="006351EA">
              <w:rPr>
                <w:rFonts w:ascii="Cambria" w:hAnsi="Cambria"/>
                <w:color w:val="000000" w:themeColor="text1"/>
                <w:lang w:val="en-US"/>
              </w:rPr>
              <w:t xml:space="preserve"> </w:t>
            </w:r>
            <w:r w:rsidRPr="006351EA">
              <w:rPr>
                <w:rFonts w:ascii="Cambria" w:hAnsi="Cambria"/>
                <w:color w:val="000000" w:themeColor="text1"/>
                <w:lang w:val="en-US"/>
              </w:rPr>
              <w:t xml:space="preserve">persons </w:t>
            </w:r>
          </w:p>
          <w:p w14:paraId="52958564" w14:textId="1DB1CD73" w:rsidR="00F0186F" w:rsidRPr="006351EA" w:rsidRDefault="00F0186F" w:rsidP="003622E5">
            <w:pPr>
              <w:ind w:right="-347"/>
              <w:rPr>
                <w:rFonts w:ascii="Cambria" w:hAnsi="Cambria"/>
                <w:color w:val="000000" w:themeColor="text1"/>
                <w:lang w:val="en-US"/>
              </w:rPr>
            </w:pPr>
            <w:r w:rsidRPr="006351EA">
              <w:rPr>
                <w:rFonts w:ascii="Cambria" w:hAnsi="Cambria"/>
                <w:color w:val="000000" w:themeColor="text1"/>
                <w:lang w:val="en-US"/>
              </w:rPr>
              <w:t>with higher asset levels.</w:t>
            </w:r>
            <w:r w:rsidRPr="006351EA">
              <w:rPr>
                <w:rFonts w:ascii="Cambria" w:hAnsi="Cambria"/>
                <w:b/>
                <w:bCs/>
                <w:color w:val="000000" w:themeColor="text1"/>
                <w:lang w:val="en-US"/>
              </w:rPr>
              <w:t xml:space="preserve"> </w:t>
            </w:r>
          </w:p>
        </w:tc>
      </w:tr>
    </w:tbl>
    <w:p w14:paraId="389B4089" w14:textId="77777777" w:rsidR="00F0186F" w:rsidRPr="006351EA" w:rsidRDefault="00F0186F" w:rsidP="004173D8">
      <w:pPr>
        <w:jc w:val="both"/>
        <w:rPr>
          <w:rFonts w:ascii="Cambria" w:hAnsi="Cambria"/>
          <w:b/>
          <w:bCs/>
        </w:rPr>
      </w:pPr>
    </w:p>
    <w:p w14:paraId="0AB8ED68" w14:textId="5D7DA7CD" w:rsidR="004173D8" w:rsidRPr="006351EA" w:rsidRDefault="004173D8" w:rsidP="004173D8">
      <w:pPr>
        <w:jc w:val="both"/>
        <w:rPr>
          <w:rFonts w:ascii="Cambria" w:hAnsi="Cambria"/>
          <w:b/>
          <w:bCs/>
        </w:rPr>
      </w:pPr>
      <w:r w:rsidRPr="006351EA">
        <w:rPr>
          <w:rFonts w:ascii="Cambria" w:hAnsi="Cambria"/>
          <w:b/>
          <w:bCs/>
        </w:rPr>
        <w:t>The Public Trustee and Community Service Obligation Funding</w:t>
      </w:r>
    </w:p>
    <w:p w14:paraId="26AD9A0F" w14:textId="77777777" w:rsidR="003622E5" w:rsidRPr="006351EA" w:rsidRDefault="003622E5" w:rsidP="003622E5">
      <w:pPr>
        <w:ind w:right="-347"/>
        <w:jc w:val="both"/>
        <w:rPr>
          <w:rFonts w:ascii="Cambria" w:hAnsi="Cambria"/>
          <w:color w:val="000000" w:themeColor="text1"/>
          <w:shd w:val="clear" w:color="auto" w:fill="FFFFFF"/>
        </w:rPr>
      </w:pPr>
      <w:r w:rsidRPr="006351EA">
        <w:rPr>
          <w:rFonts w:ascii="Cambria" w:hAnsi="Cambria"/>
        </w:rPr>
        <w:t>In 2014 we provided the following explanation of a Community Service Obligation:</w:t>
      </w:r>
      <w:r w:rsidRPr="006351EA">
        <w:rPr>
          <w:rStyle w:val="FootnoteReference"/>
          <w:rFonts w:ascii="Cambria" w:hAnsi="Cambria"/>
        </w:rPr>
        <w:footnoteReference w:id="24"/>
      </w:r>
      <w:r w:rsidRPr="006351EA">
        <w:rPr>
          <w:rFonts w:ascii="Cambria" w:hAnsi="Cambria"/>
        </w:rPr>
        <w:t xml:space="preserve"> </w:t>
      </w:r>
    </w:p>
    <w:p w14:paraId="6B41BC73" w14:textId="77777777" w:rsidR="004173D8" w:rsidRPr="006351EA" w:rsidRDefault="004173D8" w:rsidP="004173D8">
      <w:pPr>
        <w:jc w:val="both"/>
        <w:rPr>
          <w:rFonts w:ascii="Cambria" w:hAnsi="Cambria"/>
        </w:rPr>
      </w:pPr>
    </w:p>
    <w:p w14:paraId="53E77998" w14:textId="77777777" w:rsidR="004173D8" w:rsidRPr="006351EA" w:rsidRDefault="004173D8" w:rsidP="004173D8">
      <w:pPr>
        <w:ind w:left="720"/>
        <w:jc w:val="both"/>
        <w:rPr>
          <w:rFonts w:ascii="Cambria" w:hAnsi="Cambria"/>
          <w:i/>
          <w:iCs/>
        </w:rPr>
      </w:pPr>
      <w:r w:rsidRPr="006351EA">
        <w:rPr>
          <w:rFonts w:ascii="Cambria" w:hAnsi="Cambria"/>
          <w:i/>
          <w:iCs/>
        </w:rPr>
        <w:t>A Community Service Obligation according to the Productivity Commission arises when the Government ‘specifically requires a public enterprise to carry out activities … which it would not elect to do on a commercial basis, and which the government does not require other businesses in the public or private sectors to generally undertake, or which it would only do commercially at higher prices’.</w:t>
      </w:r>
      <w:r w:rsidRPr="006351EA">
        <w:rPr>
          <w:rStyle w:val="FootnoteReference"/>
          <w:rFonts w:ascii="Cambria" w:hAnsi="Cambria"/>
          <w:i/>
          <w:iCs/>
        </w:rPr>
        <w:footnoteReference w:id="25"/>
      </w:r>
      <w:r w:rsidRPr="006351EA">
        <w:rPr>
          <w:rFonts w:ascii="Cambria" w:hAnsi="Cambria"/>
          <w:i/>
          <w:iCs/>
        </w:rPr>
        <w:t xml:space="preserve"> Community Service Obligations have traditionally been considered an essential service and as ‘critically important in ensuring those services are provided to lower income and/or socially disadvantaged groups…’.</w:t>
      </w:r>
      <w:r w:rsidRPr="006351EA">
        <w:rPr>
          <w:rStyle w:val="FootnoteReference"/>
          <w:rFonts w:ascii="Cambria" w:hAnsi="Cambria"/>
          <w:i/>
          <w:iCs/>
        </w:rPr>
        <w:footnoteReference w:id="26"/>
      </w:r>
      <w:r w:rsidRPr="006351EA">
        <w:rPr>
          <w:rFonts w:ascii="Cambria" w:hAnsi="Cambria"/>
          <w:i/>
          <w:iCs/>
        </w:rPr>
        <w:t xml:space="preserve"> </w:t>
      </w:r>
    </w:p>
    <w:p w14:paraId="6FE8CEE0" w14:textId="77777777" w:rsidR="003622E5" w:rsidRPr="006351EA" w:rsidRDefault="003622E5" w:rsidP="00C11ACC">
      <w:pPr>
        <w:ind w:right="-347"/>
        <w:jc w:val="both"/>
        <w:rPr>
          <w:rFonts w:ascii="Cambria" w:hAnsi="Cambria"/>
          <w:color w:val="000000" w:themeColor="text1"/>
          <w:shd w:val="clear" w:color="auto" w:fill="FFFFFF"/>
        </w:rPr>
      </w:pPr>
    </w:p>
    <w:p w14:paraId="73F0409C" w14:textId="77777777" w:rsidR="003622E5" w:rsidRPr="006351EA" w:rsidRDefault="004173D8" w:rsidP="003622E5">
      <w:pPr>
        <w:ind w:right="-347"/>
        <w:jc w:val="both"/>
        <w:rPr>
          <w:rFonts w:ascii="Cambria" w:hAnsi="Cambria"/>
          <w:color w:val="000000" w:themeColor="text1"/>
          <w:shd w:val="clear" w:color="auto" w:fill="FFFFFF"/>
        </w:rPr>
      </w:pPr>
      <w:r w:rsidRPr="006351EA">
        <w:rPr>
          <w:rFonts w:ascii="Cambria" w:hAnsi="Cambria"/>
          <w:color w:val="000000" w:themeColor="text1"/>
          <w:shd w:val="clear" w:color="auto" w:fill="FFFFFF"/>
        </w:rPr>
        <w:t>In 2015, following the Attorney-General’s announcement that there would be a “substantial reduction of fees” charged by the Public Trustee, the State Government agreed to offset the financial loss to the Public Trustee by increasing its CSO funding by an additional $250,000 from 2016-17.</w:t>
      </w:r>
      <w:r w:rsidRPr="006351EA">
        <w:rPr>
          <w:rStyle w:val="FootnoteReference"/>
          <w:rFonts w:ascii="Cambria" w:hAnsi="Cambria"/>
          <w:color w:val="000000" w:themeColor="text1"/>
          <w:shd w:val="clear" w:color="auto" w:fill="FFFFFF"/>
        </w:rPr>
        <w:footnoteReference w:id="27"/>
      </w:r>
      <w:r w:rsidRPr="006351EA">
        <w:rPr>
          <w:rFonts w:ascii="Cambria" w:hAnsi="Cambria"/>
          <w:color w:val="000000" w:themeColor="text1"/>
          <w:shd w:val="clear" w:color="auto" w:fill="FFFFFF"/>
        </w:rPr>
        <w:t xml:space="preserve"> However, the funding increase was still not sufficient to </w:t>
      </w:r>
      <w:r w:rsidR="00C11ACC" w:rsidRPr="006351EA">
        <w:rPr>
          <w:rFonts w:ascii="Cambria" w:hAnsi="Cambria"/>
          <w:color w:val="000000" w:themeColor="text1"/>
          <w:shd w:val="clear" w:color="auto" w:fill="FFFFFF"/>
        </w:rPr>
        <w:t>cover the cost of the fee reduction with the</w:t>
      </w:r>
      <w:r w:rsidR="00601E34" w:rsidRPr="006351EA">
        <w:rPr>
          <w:rFonts w:ascii="Cambria" w:hAnsi="Cambria"/>
          <w:color w:val="000000" w:themeColor="text1"/>
          <w:shd w:val="clear" w:color="auto" w:fill="FFFFFF"/>
        </w:rPr>
        <w:t xml:space="preserve"> </w:t>
      </w:r>
      <w:r w:rsidR="00C11ACC" w:rsidRPr="006351EA">
        <w:rPr>
          <w:rFonts w:ascii="Cambria" w:hAnsi="Cambria"/>
          <w:color w:val="000000" w:themeColor="text1"/>
          <w:shd w:val="clear" w:color="auto" w:fill="FFFFFF"/>
        </w:rPr>
        <w:t>Government acknowledging “[t]</w:t>
      </w:r>
      <w:r w:rsidRPr="006351EA">
        <w:rPr>
          <w:rFonts w:ascii="Cambria" w:hAnsi="Cambria"/>
          <w:color w:val="000000" w:themeColor="text1"/>
          <w:shd w:val="clear" w:color="auto" w:fill="FFFFFF"/>
        </w:rPr>
        <w:t>he balance of the cost of the fee reduction can be met from the Public Trustee’s operating budget</w:t>
      </w:r>
      <w:r w:rsidR="00C11ACC" w:rsidRPr="006351EA">
        <w:rPr>
          <w:rFonts w:ascii="Cambria" w:hAnsi="Cambria"/>
          <w:color w:val="000000" w:themeColor="text1"/>
          <w:shd w:val="clear" w:color="auto" w:fill="FFFFFF"/>
        </w:rPr>
        <w:t>”</w:t>
      </w:r>
      <w:r w:rsidRPr="006351EA">
        <w:rPr>
          <w:rFonts w:ascii="Cambria" w:hAnsi="Cambria"/>
          <w:color w:val="000000" w:themeColor="text1"/>
          <w:shd w:val="clear" w:color="auto" w:fill="FFFFFF"/>
        </w:rPr>
        <w:t>.</w:t>
      </w:r>
      <w:r w:rsidR="00C11ACC" w:rsidRPr="006351EA">
        <w:rPr>
          <w:rStyle w:val="FootnoteReference"/>
          <w:rFonts w:ascii="Cambria" w:hAnsi="Cambria"/>
          <w:color w:val="000000" w:themeColor="text1"/>
          <w:shd w:val="clear" w:color="auto" w:fill="FFFFFF"/>
        </w:rPr>
        <w:footnoteReference w:id="28"/>
      </w:r>
      <w:r w:rsidR="00BB0EC6" w:rsidRPr="006351EA">
        <w:rPr>
          <w:rFonts w:ascii="Cambria" w:hAnsi="Cambria"/>
          <w:color w:val="000000" w:themeColor="text1"/>
          <w:shd w:val="clear" w:color="auto" w:fill="FFFFFF"/>
        </w:rPr>
        <w:t xml:space="preserve"> </w:t>
      </w:r>
    </w:p>
    <w:p w14:paraId="709C18F7" w14:textId="2F76A7DA" w:rsidR="00C11ACC" w:rsidRPr="006351EA" w:rsidRDefault="00C11ACC" w:rsidP="00C11ACC">
      <w:pPr>
        <w:ind w:right="-347"/>
        <w:jc w:val="both"/>
        <w:rPr>
          <w:rFonts w:ascii="Cambria" w:hAnsi="Cambria"/>
          <w:color w:val="000000" w:themeColor="text1"/>
          <w:shd w:val="clear" w:color="auto" w:fill="FFFFFF"/>
        </w:rPr>
      </w:pPr>
    </w:p>
    <w:p w14:paraId="02A06D87" w14:textId="1A55634F" w:rsidR="00C11ACC" w:rsidRPr="006351EA" w:rsidRDefault="00C11ACC" w:rsidP="003470BC">
      <w:pPr>
        <w:ind w:right="-347"/>
        <w:jc w:val="both"/>
        <w:rPr>
          <w:rFonts w:ascii="Cambria" w:hAnsi="Cambria"/>
          <w:color w:val="000000" w:themeColor="text1"/>
          <w:shd w:val="clear" w:color="auto" w:fill="FFFFFF"/>
        </w:rPr>
      </w:pPr>
      <w:r w:rsidRPr="006351EA">
        <w:rPr>
          <w:rFonts w:ascii="Cambria" w:hAnsi="Cambria"/>
          <w:color w:val="000000" w:themeColor="text1"/>
          <w:shd w:val="clear" w:color="auto" w:fill="FFFFFF"/>
        </w:rPr>
        <w:t xml:space="preserve">The substantial reduction in fees charged by the Public Trustee from 1 December 2016 resulted in a significant increase in applications to the Guardianship and Administration Board to have the Public Trustee appointed as administrator. Between 2015/16 and 2017/18 there was a 37 per cent increase in the number of CSO represented persons </w:t>
      </w:r>
      <w:r w:rsidR="00C73055" w:rsidRPr="006351EA">
        <w:rPr>
          <w:rFonts w:ascii="Cambria" w:hAnsi="Cambria"/>
          <w:color w:val="000000" w:themeColor="text1"/>
          <w:shd w:val="clear" w:color="auto" w:fill="FFFFFF"/>
        </w:rPr>
        <w:t>(from 571 to 784)</w:t>
      </w:r>
      <w:r w:rsidRPr="006351EA">
        <w:rPr>
          <w:rFonts w:ascii="Cambria" w:hAnsi="Cambria"/>
          <w:color w:val="000000" w:themeColor="text1"/>
          <w:shd w:val="clear" w:color="auto" w:fill="FFFFFF"/>
        </w:rPr>
        <w:t xml:space="preserve">. </w:t>
      </w:r>
      <w:r w:rsidR="00E05C90" w:rsidRPr="006351EA">
        <w:rPr>
          <w:rFonts w:ascii="Cambria" w:hAnsi="Cambria"/>
          <w:color w:val="000000" w:themeColor="text1"/>
          <w:shd w:val="clear" w:color="auto" w:fill="FFFFFF"/>
        </w:rPr>
        <w:t xml:space="preserve">The reason for this was explained by the </w:t>
      </w:r>
      <w:r w:rsidR="00E05C90" w:rsidRPr="006351EA">
        <w:rPr>
          <w:rFonts w:ascii="Cambria" w:hAnsi="Cambria"/>
          <w:color w:val="000000" w:themeColor="text1"/>
          <w:shd w:val="clear" w:color="auto" w:fill="FFFFFF"/>
        </w:rPr>
        <w:lastRenderedPageBreak/>
        <w:t>CEO of the Public Trustee</w:t>
      </w:r>
      <w:r w:rsidR="003470BC" w:rsidRPr="006351EA">
        <w:rPr>
          <w:rFonts w:ascii="Cambria" w:hAnsi="Cambria"/>
          <w:color w:val="000000" w:themeColor="text1"/>
          <w:shd w:val="clear" w:color="auto" w:fill="FFFFFF"/>
        </w:rPr>
        <w:t xml:space="preserve"> David Benbow during a </w:t>
      </w:r>
      <w:r w:rsidRPr="006351EA">
        <w:rPr>
          <w:rFonts w:ascii="Cambria" w:hAnsi="Cambria"/>
          <w:color w:val="000000" w:themeColor="text1"/>
          <w:shd w:val="clear" w:color="auto" w:fill="FFFFFF"/>
        </w:rPr>
        <w:t>Government Business</w:t>
      </w:r>
      <w:r w:rsidR="003470BC" w:rsidRPr="006351EA">
        <w:rPr>
          <w:rFonts w:ascii="Cambria" w:hAnsi="Cambria"/>
          <w:color w:val="000000" w:themeColor="text1"/>
          <w:shd w:val="clear" w:color="auto" w:fill="FFFFFF"/>
        </w:rPr>
        <w:t>es</w:t>
      </w:r>
      <w:r w:rsidRPr="006351EA">
        <w:rPr>
          <w:rFonts w:ascii="Cambria" w:hAnsi="Cambria"/>
          <w:color w:val="000000" w:themeColor="text1"/>
          <w:shd w:val="clear" w:color="auto" w:fill="FFFFFF"/>
        </w:rPr>
        <w:t xml:space="preserve"> Scrutiny Committee</w:t>
      </w:r>
      <w:r w:rsidR="003470BC" w:rsidRPr="006351EA">
        <w:rPr>
          <w:rFonts w:ascii="Cambria" w:hAnsi="Cambria"/>
          <w:color w:val="000000" w:themeColor="text1"/>
          <w:shd w:val="clear" w:color="auto" w:fill="FFFFFF"/>
        </w:rPr>
        <w:t xml:space="preserve"> in December 2016:</w:t>
      </w:r>
      <w:r w:rsidR="003470BC" w:rsidRPr="006351EA">
        <w:rPr>
          <w:rStyle w:val="FootnoteReference"/>
          <w:rFonts w:ascii="Cambria" w:hAnsi="Cambria"/>
          <w:color w:val="000000" w:themeColor="text1"/>
          <w:shd w:val="clear" w:color="auto" w:fill="FFFFFF"/>
        </w:rPr>
        <w:footnoteReference w:id="29"/>
      </w:r>
      <w:r w:rsidRPr="006351EA">
        <w:rPr>
          <w:rFonts w:ascii="Cambria" w:hAnsi="Cambria"/>
          <w:color w:val="000000" w:themeColor="text1"/>
          <w:shd w:val="clear" w:color="auto" w:fill="FFFFFF"/>
        </w:rPr>
        <w:t xml:space="preserve">   </w:t>
      </w:r>
    </w:p>
    <w:p w14:paraId="5F9693F5" w14:textId="77777777" w:rsidR="00C11ACC" w:rsidRPr="006351EA" w:rsidRDefault="00C11ACC" w:rsidP="00C11ACC">
      <w:pPr>
        <w:pStyle w:val="Style1"/>
        <w:ind w:firstLine="0"/>
        <w:rPr>
          <w:rFonts w:ascii="Cambria" w:hAnsi="Cambria"/>
          <w:color w:val="000000"/>
        </w:rPr>
      </w:pPr>
    </w:p>
    <w:p w14:paraId="2EB6F586" w14:textId="360A3470" w:rsidR="00C11ACC" w:rsidRPr="006351EA" w:rsidRDefault="00C11ACC" w:rsidP="003470BC">
      <w:pPr>
        <w:pStyle w:val="Style1"/>
        <w:ind w:left="432" w:firstLine="0"/>
        <w:rPr>
          <w:rFonts w:ascii="Cambria" w:hAnsi="Cambria"/>
          <w:i/>
          <w:iCs/>
        </w:rPr>
      </w:pPr>
      <w:r w:rsidRPr="006351EA">
        <w:rPr>
          <w:rFonts w:ascii="Cambria" w:hAnsi="Cambria"/>
          <w:i/>
          <w:iCs/>
        </w:rPr>
        <w:t xml:space="preserve">at the moment we are seeing an increase predominantly as a result of the change to our fee structure.  A number of nursing homes and organisations managed people's financial affairs, not under the order from the Guardianship and Administration Board but quite deliberately on the basis that they felt our fees were at a level that made it difficult for their clients.  As a result of our review, those fees are now amongst the lowest in the country and we are seeing a number of directors of those organisation who are personally liable for managing those finances looking to transfer those represented persons to us by going to the Guardianship Administration Board and applying for block orders, up to 30 or 40.  </w:t>
      </w:r>
    </w:p>
    <w:p w14:paraId="2AAEB3AC" w14:textId="77777777" w:rsidR="00C11ACC" w:rsidRPr="006351EA" w:rsidRDefault="00C11ACC" w:rsidP="00C11ACC">
      <w:pPr>
        <w:ind w:right="-347"/>
        <w:jc w:val="both"/>
        <w:rPr>
          <w:rFonts w:ascii="Cambria" w:hAnsi="Cambria"/>
          <w:color w:val="000000" w:themeColor="text1"/>
          <w:shd w:val="clear" w:color="auto" w:fill="FFFFFF"/>
        </w:rPr>
      </w:pPr>
    </w:p>
    <w:p w14:paraId="4C7B14D0" w14:textId="1F779EE8" w:rsidR="004173D8" w:rsidRPr="006351EA" w:rsidRDefault="004173D8" w:rsidP="004173D8">
      <w:pPr>
        <w:ind w:right="-347"/>
        <w:jc w:val="both"/>
        <w:rPr>
          <w:rFonts w:ascii="Cambria" w:hAnsi="Cambria"/>
          <w:color w:val="000000" w:themeColor="text1"/>
          <w:lang w:val="en-US"/>
        </w:rPr>
      </w:pPr>
      <w:r w:rsidRPr="006351EA">
        <w:rPr>
          <w:rFonts w:ascii="Cambria" w:hAnsi="Cambria"/>
          <w:color w:val="000000" w:themeColor="text1"/>
          <w:lang w:val="en-US"/>
        </w:rPr>
        <w:t>In 2017 the State Government and the Public Trustee entered into a Community Service Obligation Agreement which was extended in 2020 (the Agreement).</w:t>
      </w:r>
      <w:r w:rsidRPr="006351EA">
        <w:rPr>
          <w:rStyle w:val="FootnoteReference"/>
          <w:rFonts w:ascii="Cambria" w:hAnsi="Cambria"/>
          <w:color w:val="000000" w:themeColor="text1"/>
          <w:lang w:val="en-US"/>
        </w:rPr>
        <w:footnoteReference w:id="30"/>
      </w:r>
      <w:r w:rsidRPr="006351EA">
        <w:rPr>
          <w:rFonts w:ascii="Cambria" w:hAnsi="Cambria"/>
          <w:color w:val="000000" w:themeColor="text1"/>
          <w:lang w:val="en-US"/>
        </w:rPr>
        <w:t xml:space="preserve"> The Agreement provides that over four years the amount of CSO funding would increase from $2,023,000 in 2017/18 to $2,163,000 in 2020/21: </w:t>
      </w:r>
    </w:p>
    <w:p w14:paraId="28DA3E9D" w14:textId="3778A4C8" w:rsidR="004173D8" w:rsidRDefault="004173D8" w:rsidP="004173D8">
      <w:pPr>
        <w:ind w:right="-347"/>
        <w:jc w:val="both"/>
        <w:rPr>
          <w:rFonts w:ascii="Cambria" w:hAnsi="Cambria"/>
          <w:color w:val="000000" w:themeColor="text1"/>
          <w:lang w:val="en-US"/>
        </w:rPr>
      </w:pPr>
    </w:p>
    <w:p w14:paraId="2A565AF5" w14:textId="77777777" w:rsidR="00CF3B39" w:rsidRPr="006351EA" w:rsidRDefault="00CF3B39" w:rsidP="004173D8">
      <w:pPr>
        <w:ind w:right="-347"/>
        <w:jc w:val="both"/>
        <w:rPr>
          <w:rFonts w:ascii="Cambria" w:hAnsi="Cambria"/>
          <w:color w:val="000000" w:themeColor="text1"/>
          <w:lang w:val="en-US"/>
        </w:rPr>
      </w:pPr>
    </w:p>
    <w:p w14:paraId="57A0D8B6" w14:textId="77777777" w:rsidR="004173D8" w:rsidRPr="006351EA" w:rsidRDefault="004173D8" w:rsidP="004173D8">
      <w:pPr>
        <w:ind w:right="-347"/>
        <w:jc w:val="center"/>
        <w:rPr>
          <w:rFonts w:ascii="Cambria" w:hAnsi="Cambria"/>
          <w:b/>
          <w:bCs/>
          <w:color w:val="000000" w:themeColor="text1"/>
          <w:lang w:val="en-US"/>
        </w:rPr>
      </w:pPr>
      <w:r w:rsidRPr="006351EA">
        <w:rPr>
          <w:rFonts w:ascii="Cambria" w:hAnsi="Cambria"/>
          <w:b/>
          <w:bCs/>
          <w:color w:val="000000" w:themeColor="text1"/>
          <w:lang w:val="en-US"/>
        </w:rPr>
        <w:t xml:space="preserve">State Government Funding of Public Trustee </w:t>
      </w:r>
    </w:p>
    <w:tbl>
      <w:tblPr>
        <w:tblStyle w:val="TableGrid"/>
        <w:tblW w:w="7366" w:type="dxa"/>
        <w:jc w:val="center"/>
        <w:tblLayout w:type="fixed"/>
        <w:tblLook w:val="04A0" w:firstRow="1" w:lastRow="0" w:firstColumn="1" w:lastColumn="0" w:noHBand="0" w:noVBand="1"/>
      </w:tblPr>
      <w:tblGrid>
        <w:gridCol w:w="1696"/>
        <w:gridCol w:w="1418"/>
        <w:gridCol w:w="1417"/>
        <w:gridCol w:w="1418"/>
        <w:gridCol w:w="1417"/>
      </w:tblGrid>
      <w:tr w:rsidR="004173D8" w:rsidRPr="006351EA" w14:paraId="0A2DB6EF" w14:textId="77777777" w:rsidTr="00CF19BE">
        <w:trPr>
          <w:jc w:val="center"/>
        </w:trPr>
        <w:tc>
          <w:tcPr>
            <w:tcW w:w="1696" w:type="dxa"/>
          </w:tcPr>
          <w:p w14:paraId="50A6A97D" w14:textId="77777777" w:rsidR="004173D8" w:rsidRPr="006351EA" w:rsidRDefault="004173D8" w:rsidP="00CF19BE">
            <w:pPr>
              <w:ind w:right="-347"/>
              <w:jc w:val="both"/>
              <w:rPr>
                <w:rFonts w:ascii="Cambria" w:hAnsi="Cambria"/>
                <w:color w:val="000000" w:themeColor="text1"/>
                <w:lang w:val="en-US"/>
              </w:rPr>
            </w:pPr>
          </w:p>
        </w:tc>
        <w:tc>
          <w:tcPr>
            <w:tcW w:w="1418" w:type="dxa"/>
          </w:tcPr>
          <w:p w14:paraId="24C1056A" w14:textId="77777777" w:rsidR="004173D8" w:rsidRPr="006351EA" w:rsidRDefault="004173D8" w:rsidP="00CF19BE">
            <w:pPr>
              <w:ind w:right="-347"/>
              <w:jc w:val="both"/>
              <w:rPr>
                <w:rFonts w:ascii="Cambria" w:hAnsi="Cambria"/>
                <w:b/>
                <w:bCs/>
                <w:color w:val="000000" w:themeColor="text1"/>
                <w:lang w:val="en-US"/>
              </w:rPr>
            </w:pPr>
            <w:r w:rsidRPr="006351EA">
              <w:rPr>
                <w:rFonts w:ascii="Cambria" w:hAnsi="Cambria"/>
                <w:b/>
                <w:bCs/>
                <w:color w:val="000000" w:themeColor="text1"/>
                <w:lang w:val="en-US"/>
              </w:rPr>
              <w:t>2017/18</w:t>
            </w:r>
          </w:p>
        </w:tc>
        <w:tc>
          <w:tcPr>
            <w:tcW w:w="1417" w:type="dxa"/>
          </w:tcPr>
          <w:p w14:paraId="1BF987A8" w14:textId="77777777" w:rsidR="004173D8" w:rsidRPr="006351EA" w:rsidRDefault="004173D8" w:rsidP="00CF19BE">
            <w:pPr>
              <w:ind w:right="-347"/>
              <w:jc w:val="both"/>
              <w:rPr>
                <w:rFonts w:ascii="Cambria" w:hAnsi="Cambria"/>
                <w:b/>
                <w:bCs/>
                <w:color w:val="000000" w:themeColor="text1"/>
                <w:lang w:val="en-US"/>
              </w:rPr>
            </w:pPr>
            <w:r w:rsidRPr="006351EA">
              <w:rPr>
                <w:rFonts w:ascii="Cambria" w:hAnsi="Cambria"/>
                <w:b/>
                <w:bCs/>
                <w:color w:val="000000" w:themeColor="text1"/>
                <w:lang w:val="en-US"/>
              </w:rPr>
              <w:t>2018/19</w:t>
            </w:r>
          </w:p>
        </w:tc>
        <w:tc>
          <w:tcPr>
            <w:tcW w:w="1418" w:type="dxa"/>
          </w:tcPr>
          <w:p w14:paraId="4ED5EAD5" w14:textId="77777777" w:rsidR="004173D8" w:rsidRPr="006351EA" w:rsidRDefault="004173D8" w:rsidP="00CF19BE">
            <w:pPr>
              <w:ind w:right="-347"/>
              <w:jc w:val="both"/>
              <w:rPr>
                <w:rFonts w:ascii="Cambria" w:hAnsi="Cambria"/>
                <w:b/>
                <w:bCs/>
                <w:color w:val="000000" w:themeColor="text1"/>
                <w:lang w:val="en-US"/>
              </w:rPr>
            </w:pPr>
            <w:r w:rsidRPr="006351EA">
              <w:rPr>
                <w:rFonts w:ascii="Cambria" w:hAnsi="Cambria"/>
                <w:b/>
                <w:bCs/>
                <w:color w:val="000000" w:themeColor="text1"/>
                <w:lang w:val="en-US"/>
              </w:rPr>
              <w:t>2019/20</w:t>
            </w:r>
          </w:p>
        </w:tc>
        <w:tc>
          <w:tcPr>
            <w:tcW w:w="1417" w:type="dxa"/>
          </w:tcPr>
          <w:p w14:paraId="7F9ECD0F" w14:textId="77777777" w:rsidR="004173D8" w:rsidRPr="006351EA" w:rsidRDefault="004173D8" w:rsidP="00CF19BE">
            <w:pPr>
              <w:ind w:right="-347"/>
              <w:jc w:val="both"/>
              <w:rPr>
                <w:rFonts w:ascii="Cambria" w:hAnsi="Cambria"/>
                <w:b/>
                <w:bCs/>
                <w:color w:val="000000" w:themeColor="text1"/>
                <w:lang w:val="en-US"/>
              </w:rPr>
            </w:pPr>
            <w:r w:rsidRPr="006351EA">
              <w:rPr>
                <w:rFonts w:ascii="Cambria" w:hAnsi="Cambria"/>
                <w:b/>
                <w:bCs/>
                <w:color w:val="000000" w:themeColor="text1"/>
                <w:lang w:val="en-US"/>
              </w:rPr>
              <w:t>2020/21</w:t>
            </w:r>
          </w:p>
        </w:tc>
      </w:tr>
      <w:tr w:rsidR="004173D8" w:rsidRPr="006351EA" w14:paraId="44377D00" w14:textId="77777777" w:rsidTr="00CF19BE">
        <w:trPr>
          <w:jc w:val="center"/>
        </w:trPr>
        <w:tc>
          <w:tcPr>
            <w:tcW w:w="1696" w:type="dxa"/>
          </w:tcPr>
          <w:p w14:paraId="16CF9351" w14:textId="77777777" w:rsidR="004173D8" w:rsidRPr="006351EA" w:rsidRDefault="004173D8" w:rsidP="00CF19BE">
            <w:pPr>
              <w:ind w:right="-347"/>
              <w:jc w:val="both"/>
              <w:rPr>
                <w:rFonts w:ascii="Cambria" w:hAnsi="Cambria"/>
                <w:b/>
                <w:bCs/>
                <w:color w:val="000000" w:themeColor="text1"/>
                <w:lang w:val="en-US"/>
              </w:rPr>
            </w:pPr>
            <w:r w:rsidRPr="006351EA">
              <w:rPr>
                <w:rFonts w:ascii="Cambria" w:hAnsi="Cambria"/>
                <w:b/>
                <w:bCs/>
                <w:color w:val="000000" w:themeColor="text1"/>
                <w:lang w:val="en-US"/>
              </w:rPr>
              <w:t>CSO Funding</w:t>
            </w:r>
          </w:p>
        </w:tc>
        <w:tc>
          <w:tcPr>
            <w:tcW w:w="1418" w:type="dxa"/>
          </w:tcPr>
          <w:p w14:paraId="34534F83" w14:textId="77777777" w:rsidR="004173D8" w:rsidRPr="006351EA" w:rsidRDefault="004173D8" w:rsidP="00CF19BE">
            <w:pPr>
              <w:ind w:right="-347"/>
              <w:jc w:val="both"/>
              <w:rPr>
                <w:rFonts w:ascii="Cambria" w:hAnsi="Cambria"/>
                <w:color w:val="000000" w:themeColor="text1"/>
                <w:lang w:val="en-US"/>
              </w:rPr>
            </w:pPr>
            <w:r w:rsidRPr="006351EA">
              <w:rPr>
                <w:rFonts w:ascii="Cambria" w:hAnsi="Cambria"/>
                <w:color w:val="000000" w:themeColor="text1"/>
                <w:lang w:val="en-US"/>
              </w:rPr>
              <w:t>$2,023,000</w:t>
            </w:r>
          </w:p>
        </w:tc>
        <w:tc>
          <w:tcPr>
            <w:tcW w:w="1417" w:type="dxa"/>
          </w:tcPr>
          <w:p w14:paraId="7B1E1A32" w14:textId="77777777" w:rsidR="004173D8" w:rsidRPr="006351EA" w:rsidRDefault="004173D8" w:rsidP="00CF19BE">
            <w:pPr>
              <w:ind w:right="-347"/>
              <w:jc w:val="both"/>
              <w:rPr>
                <w:rFonts w:ascii="Cambria" w:hAnsi="Cambria"/>
                <w:color w:val="000000" w:themeColor="text1"/>
                <w:lang w:val="en-US"/>
              </w:rPr>
            </w:pPr>
            <w:r w:rsidRPr="006351EA">
              <w:rPr>
                <w:rFonts w:ascii="Cambria" w:hAnsi="Cambria"/>
                <w:color w:val="000000" w:themeColor="text1"/>
                <w:lang w:val="en-US"/>
              </w:rPr>
              <w:t>$2,068,000</w:t>
            </w:r>
          </w:p>
        </w:tc>
        <w:tc>
          <w:tcPr>
            <w:tcW w:w="1418" w:type="dxa"/>
          </w:tcPr>
          <w:p w14:paraId="4CDFE68D" w14:textId="77777777" w:rsidR="004173D8" w:rsidRPr="006351EA" w:rsidRDefault="004173D8" w:rsidP="00CF19BE">
            <w:pPr>
              <w:ind w:right="-347"/>
              <w:jc w:val="both"/>
              <w:rPr>
                <w:rFonts w:ascii="Cambria" w:hAnsi="Cambria"/>
                <w:color w:val="000000" w:themeColor="text1"/>
                <w:lang w:val="en-US"/>
              </w:rPr>
            </w:pPr>
            <w:r w:rsidRPr="006351EA">
              <w:rPr>
                <w:rFonts w:ascii="Cambria" w:hAnsi="Cambria"/>
                <w:color w:val="000000" w:themeColor="text1"/>
                <w:lang w:val="en-US"/>
              </w:rPr>
              <w:t>$2,115,000</w:t>
            </w:r>
          </w:p>
        </w:tc>
        <w:tc>
          <w:tcPr>
            <w:tcW w:w="1417" w:type="dxa"/>
          </w:tcPr>
          <w:p w14:paraId="449C88C3" w14:textId="77777777" w:rsidR="004173D8" w:rsidRPr="006351EA" w:rsidRDefault="004173D8" w:rsidP="00CF19BE">
            <w:pPr>
              <w:ind w:right="-347"/>
              <w:jc w:val="both"/>
              <w:rPr>
                <w:rFonts w:ascii="Cambria" w:hAnsi="Cambria"/>
                <w:color w:val="000000" w:themeColor="text1"/>
                <w:lang w:val="en-US"/>
              </w:rPr>
            </w:pPr>
            <w:r w:rsidRPr="006351EA">
              <w:rPr>
                <w:rFonts w:ascii="Cambria" w:hAnsi="Cambria"/>
                <w:color w:val="000000" w:themeColor="text1"/>
                <w:lang w:val="en-US"/>
              </w:rPr>
              <w:t>$2,163,000</w:t>
            </w:r>
          </w:p>
        </w:tc>
      </w:tr>
    </w:tbl>
    <w:p w14:paraId="1FC352E0" w14:textId="4DEC3BB9" w:rsidR="004173D8" w:rsidRDefault="004173D8" w:rsidP="004173D8">
      <w:pPr>
        <w:ind w:right="-347"/>
        <w:jc w:val="both"/>
        <w:rPr>
          <w:rFonts w:ascii="Cambria" w:hAnsi="Cambria"/>
          <w:color w:val="000000" w:themeColor="text1"/>
          <w:lang w:val="en-US"/>
        </w:rPr>
      </w:pPr>
      <w:r w:rsidRPr="006351EA">
        <w:rPr>
          <w:rFonts w:ascii="Cambria" w:hAnsi="Cambria"/>
          <w:color w:val="000000" w:themeColor="text1"/>
          <w:lang w:val="en-US"/>
        </w:rPr>
        <w:t xml:space="preserve"> </w:t>
      </w:r>
    </w:p>
    <w:p w14:paraId="7ABC166C" w14:textId="77777777" w:rsidR="00CF3B39" w:rsidRPr="006351EA" w:rsidRDefault="00CF3B39" w:rsidP="004173D8">
      <w:pPr>
        <w:ind w:right="-347"/>
        <w:jc w:val="both"/>
        <w:rPr>
          <w:rFonts w:ascii="Cambria" w:hAnsi="Cambria" w:cstheme="minorBidi"/>
          <w:color w:val="000000" w:themeColor="text1"/>
        </w:rPr>
      </w:pPr>
    </w:p>
    <w:p w14:paraId="234F281B" w14:textId="22729A6C" w:rsidR="004173D8" w:rsidRPr="006351EA" w:rsidRDefault="004173D8" w:rsidP="004173D8">
      <w:pPr>
        <w:ind w:right="-347"/>
        <w:jc w:val="both"/>
        <w:rPr>
          <w:rFonts w:ascii="Cambria" w:hAnsi="Cambria"/>
          <w:color w:val="000000" w:themeColor="text1"/>
          <w:lang w:val="en-US"/>
        </w:rPr>
      </w:pPr>
      <w:r w:rsidRPr="006351EA">
        <w:rPr>
          <w:rFonts w:ascii="Cambria" w:hAnsi="Cambria"/>
          <w:color w:val="000000" w:themeColor="text1"/>
        </w:rPr>
        <w:t>Over the course of the agreement, the amount of CSO funding provided by the State Government increased by 6.9 per cent. But, over the same period the Consumer Price Index (CPI) increased by 5.3 per cent.</w:t>
      </w:r>
      <w:r w:rsidRPr="006351EA">
        <w:rPr>
          <w:rStyle w:val="FootnoteReference"/>
          <w:rFonts w:ascii="Cambria" w:hAnsi="Cambria"/>
          <w:color w:val="000000" w:themeColor="text1"/>
        </w:rPr>
        <w:footnoteReference w:id="31"/>
      </w:r>
      <w:r w:rsidRPr="006351EA">
        <w:rPr>
          <w:rFonts w:ascii="Cambria" w:hAnsi="Cambria"/>
          <w:color w:val="000000" w:themeColor="text1"/>
        </w:rPr>
        <w:t xml:space="preserve"> In other words, the level of funding provided to the Public Trustee to provide an essential service was </w:t>
      </w:r>
      <w:r w:rsidR="00C73055" w:rsidRPr="006351EA">
        <w:rPr>
          <w:rFonts w:ascii="Cambria" w:hAnsi="Cambria"/>
          <w:color w:val="000000" w:themeColor="text1"/>
        </w:rPr>
        <w:t xml:space="preserve">not sustainable at its commencement, was only </w:t>
      </w:r>
      <w:r w:rsidRPr="006351EA">
        <w:rPr>
          <w:rFonts w:ascii="Cambria" w:hAnsi="Cambria"/>
          <w:color w:val="000000" w:themeColor="text1"/>
        </w:rPr>
        <w:t xml:space="preserve">1.6 per cent above CPI </w:t>
      </w:r>
      <w:r w:rsidR="00C73055" w:rsidRPr="006351EA">
        <w:rPr>
          <w:rFonts w:ascii="Cambria" w:hAnsi="Cambria"/>
          <w:color w:val="000000" w:themeColor="text1"/>
        </w:rPr>
        <w:t xml:space="preserve">over the course of </w:t>
      </w:r>
      <w:r w:rsidR="004B11E1" w:rsidRPr="006351EA">
        <w:rPr>
          <w:rFonts w:ascii="Cambria" w:hAnsi="Cambria"/>
          <w:color w:val="000000" w:themeColor="text1"/>
        </w:rPr>
        <w:t xml:space="preserve">a four year funding agreement </w:t>
      </w:r>
      <w:r w:rsidRPr="006351EA">
        <w:rPr>
          <w:rFonts w:ascii="Cambria" w:hAnsi="Cambria"/>
          <w:color w:val="000000" w:themeColor="text1"/>
        </w:rPr>
        <w:t xml:space="preserve">and at the same time as there was a </w:t>
      </w:r>
      <w:r w:rsidR="004B11E1" w:rsidRPr="006351EA">
        <w:rPr>
          <w:rFonts w:ascii="Cambria" w:hAnsi="Cambria"/>
          <w:color w:val="000000" w:themeColor="text1"/>
        </w:rPr>
        <w:t>large</w:t>
      </w:r>
      <w:r w:rsidRPr="006351EA">
        <w:rPr>
          <w:rFonts w:ascii="Cambria" w:hAnsi="Cambria"/>
          <w:color w:val="000000" w:themeColor="text1"/>
        </w:rPr>
        <w:t xml:space="preserve"> increase in the number of CSO represented clients.</w:t>
      </w:r>
      <w:r w:rsidRPr="006351EA">
        <w:rPr>
          <w:rStyle w:val="FootnoteReference"/>
          <w:rFonts w:ascii="Cambria" w:hAnsi="Cambria"/>
          <w:color w:val="000000" w:themeColor="text1"/>
        </w:rPr>
        <w:footnoteReference w:id="32"/>
      </w:r>
      <w:r w:rsidRPr="006351EA">
        <w:rPr>
          <w:rFonts w:ascii="Cambria" w:hAnsi="Cambria"/>
          <w:color w:val="000000" w:themeColor="text1"/>
        </w:rPr>
        <w:t xml:space="preserve"> </w:t>
      </w:r>
    </w:p>
    <w:p w14:paraId="2EC24749" w14:textId="77777777" w:rsidR="004173D8" w:rsidRPr="006351EA" w:rsidRDefault="004173D8" w:rsidP="004173D8">
      <w:pPr>
        <w:ind w:right="-347"/>
        <w:jc w:val="both"/>
        <w:rPr>
          <w:rFonts w:ascii="Cambria" w:hAnsi="Cambria"/>
          <w:color w:val="000000" w:themeColor="text1"/>
          <w:lang w:val="en-US"/>
        </w:rPr>
      </w:pPr>
    </w:p>
    <w:p w14:paraId="02D0915F" w14:textId="77777777" w:rsidR="00CF3B39" w:rsidRDefault="00CF3B39" w:rsidP="00634A9E">
      <w:pPr>
        <w:ind w:right="-347"/>
        <w:jc w:val="both"/>
        <w:rPr>
          <w:rFonts w:ascii="Cambria" w:hAnsi="Cambria"/>
          <w:color w:val="000000" w:themeColor="text1"/>
          <w:lang w:val="en-US"/>
        </w:rPr>
      </w:pPr>
    </w:p>
    <w:p w14:paraId="06FFB5CD" w14:textId="77777777" w:rsidR="00CF3B39" w:rsidRDefault="00CF3B39" w:rsidP="00634A9E">
      <w:pPr>
        <w:ind w:right="-347"/>
        <w:jc w:val="both"/>
        <w:rPr>
          <w:rFonts w:ascii="Cambria" w:hAnsi="Cambria"/>
          <w:color w:val="000000" w:themeColor="text1"/>
          <w:lang w:val="en-US"/>
        </w:rPr>
      </w:pPr>
    </w:p>
    <w:p w14:paraId="3EE31094" w14:textId="77777777" w:rsidR="00CF3B39" w:rsidRDefault="00CF3B39" w:rsidP="00634A9E">
      <w:pPr>
        <w:ind w:right="-347"/>
        <w:jc w:val="both"/>
        <w:rPr>
          <w:rFonts w:ascii="Cambria" w:hAnsi="Cambria"/>
          <w:color w:val="000000" w:themeColor="text1"/>
          <w:lang w:val="en-US"/>
        </w:rPr>
      </w:pPr>
    </w:p>
    <w:p w14:paraId="1C38CFE8" w14:textId="77777777" w:rsidR="00CF3B39" w:rsidRDefault="00CF3B39" w:rsidP="00634A9E">
      <w:pPr>
        <w:ind w:right="-347"/>
        <w:jc w:val="both"/>
        <w:rPr>
          <w:rFonts w:ascii="Cambria" w:hAnsi="Cambria"/>
          <w:color w:val="000000" w:themeColor="text1"/>
          <w:lang w:val="en-US"/>
        </w:rPr>
      </w:pPr>
    </w:p>
    <w:p w14:paraId="0D16DC8F" w14:textId="4A8CBA1E" w:rsidR="0077328A" w:rsidRPr="006351EA" w:rsidRDefault="004173D8" w:rsidP="00634A9E">
      <w:pPr>
        <w:ind w:right="-347"/>
        <w:jc w:val="both"/>
        <w:rPr>
          <w:rFonts w:ascii="Cambria" w:hAnsi="Cambria"/>
        </w:rPr>
      </w:pPr>
      <w:r w:rsidRPr="006351EA">
        <w:rPr>
          <w:rFonts w:ascii="Cambria" w:hAnsi="Cambria"/>
          <w:color w:val="000000" w:themeColor="text1"/>
          <w:lang w:val="en-US"/>
        </w:rPr>
        <w:lastRenderedPageBreak/>
        <w:t xml:space="preserve">The importance of appropriate </w:t>
      </w:r>
      <w:r w:rsidR="004B11E1" w:rsidRPr="006351EA">
        <w:rPr>
          <w:rFonts w:ascii="Cambria" w:hAnsi="Cambria"/>
          <w:color w:val="000000" w:themeColor="text1"/>
          <w:lang w:val="en-US"/>
        </w:rPr>
        <w:t xml:space="preserve">CSO </w:t>
      </w:r>
      <w:r w:rsidRPr="006351EA">
        <w:rPr>
          <w:rFonts w:ascii="Cambria" w:hAnsi="Cambria"/>
          <w:color w:val="000000" w:themeColor="text1"/>
          <w:lang w:val="en-US"/>
        </w:rPr>
        <w:t>funding levels is highlighted in modelling carried out in the last few years by the Guardianship and Administration Board. The modelling predicted that the number of new applications received by the GAB would continue to increase “</w:t>
      </w:r>
      <w:r w:rsidRPr="006351EA">
        <w:rPr>
          <w:rFonts w:ascii="Cambria" w:hAnsi="Cambria"/>
        </w:rPr>
        <w:t>due to increased dementia and mental health disabilities, and an ageing population”.</w:t>
      </w:r>
      <w:r w:rsidRPr="006351EA">
        <w:rPr>
          <w:rStyle w:val="FootnoteReference"/>
          <w:rFonts w:ascii="Cambria" w:hAnsi="Cambria"/>
        </w:rPr>
        <w:footnoteReference w:id="33"/>
      </w:r>
    </w:p>
    <w:p w14:paraId="01933068" w14:textId="77777777" w:rsidR="0077328A" w:rsidRPr="006351EA" w:rsidRDefault="0077328A" w:rsidP="00634A9E">
      <w:pPr>
        <w:ind w:right="-347"/>
        <w:jc w:val="both"/>
        <w:rPr>
          <w:rFonts w:ascii="Cambria" w:hAnsi="Cambria"/>
          <w:bCs/>
          <w:color w:val="000000" w:themeColor="text1"/>
        </w:rPr>
      </w:pPr>
    </w:p>
    <w:tbl>
      <w:tblPr>
        <w:tblStyle w:val="TableGrid"/>
        <w:tblW w:w="0" w:type="auto"/>
        <w:tblLook w:val="04A0" w:firstRow="1" w:lastRow="0" w:firstColumn="1" w:lastColumn="0" w:noHBand="0" w:noVBand="1"/>
      </w:tblPr>
      <w:tblGrid>
        <w:gridCol w:w="8290"/>
      </w:tblGrid>
      <w:tr w:rsidR="00EF31EA" w:rsidRPr="006351EA" w14:paraId="3B9D2254" w14:textId="77777777" w:rsidTr="00EF31EA">
        <w:tc>
          <w:tcPr>
            <w:tcW w:w="8290" w:type="dxa"/>
          </w:tcPr>
          <w:p w14:paraId="1B94EEE2" w14:textId="5D7C3816" w:rsidR="00EF31EA" w:rsidRPr="006351EA" w:rsidRDefault="00EF31EA" w:rsidP="006351EA">
            <w:pPr>
              <w:ind w:right="-347"/>
              <w:rPr>
                <w:rFonts w:ascii="Cambria" w:hAnsi="Cambria"/>
                <w:bCs/>
                <w:color w:val="000000" w:themeColor="text1"/>
              </w:rPr>
            </w:pPr>
            <w:r w:rsidRPr="006351EA">
              <w:rPr>
                <w:rFonts w:ascii="Cambria" w:hAnsi="Cambria"/>
                <w:b/>
                <w:color w:val="000000" w:themeColor="text1"/>
              </w:rPr>
              <w:t>Recommendation 3:</w:t>
            </w:r>
            <w:r w:rsidRPr="006351EA">
              <w:rPr>
                <w:rFonts w:ascii="Cambria" w:hAnsi="Cambria"/>
                <w:bCs/>
                <w:color w:val="000000" w:themeColor="text1"/>
              </w:rPr>
              <w:t xml:space="preserve"> That the Public Trustee receives community</w:t>
            </w:r>
            <w:r w:rsidR="006351EA" w:rsidRPr="006351EA">
              <w:rPr>
                <w:rFonts w:ascii="Cambria" w:hAnsi="Cambria"/>
                <w:bCs/>
                <w:color w:val="000000" w:themeColor="text1"/>
              </w:rPr>
              <w:t xml:space="preserve"> </w:t>
            </w:r>
            <w:r w:rsidRPr="006351EA">
              <w:rPr>
                <w:rFonts w:ascii="Cambria" w:hAnsi="Cambria"/>
                <w:bCs/>
                <w:color w:val="000000" w:themeColor="text1"/>
              </w:rPr>
              <w:t>service obligation funding that is in line with the increase in represented</w:t>
            </w:r>
            <w:r w:rsidR="006351EA" w:rsidRPr="006351EA">
              <w:rPr>
                <w:rFonts w:ascii="Cambria" w:hAnsi="Cambria"/>
                <w:bCs/>
                <w:color w:val="000000" w:themeColor="text1"/>
              </w:rPr>
              <w:t xml:space="preserve"> </w:t>
            </w:r>
            <w:r w:rsidRPr="006351EA">
              <w:rPr>
                <w:rFonts w:ascii="Cambria" w:hAnsi="Cambria"/>
                <w:bCs/>
                <w:color w:val="000000" w:themeColor="text1"/>
              </w:rPr>
              <w:t xml:space="preserve">persons.    </w:t>
            </w:r>
          </w:p>
        </w:tc>
      </w:tr>
    </w:tbl>
    <w:p w14:paraId="547C2AF2" w14:textId="77777777" w:rsidR="00EF31EA" w:rsidRPr="006351EA" w:rsidRDefault="00EF31EA" w:rsidP="00634A9E">
      <w:pPr>
        <w:ind w:right="-347"/>
        <w:jc w:val="both"/>
        <w:rPr>
          <w:rFonts w:ascii="Cambria" w:hAnsi="Cambria"/>
          <w:bCs/>
          <w:color w:val="000000" w:themeColor="text1"/>
        </w:rPr>
      </w:pPr>
    </w:p>
    <w:p w14:paraId="1C900802" w14:textId="1A47EDD8" w:rsidR="00634A9E" w:rsidRPr="006351EA" w:rsidRDefault="00634A9E" w:rsidP="00634A9E">
      <w:pPr>
        <w:ind w:right="-347"/>
        <w:jc w:val="both"/>
        <w:rPr>
          <w:rFonts w:ascii="Cambria" w:hAnsi="Cambria"/>
          <w:color w:val="000000" w:themeColor="text1"/>
          <w:lang w:val="en-US"/>
        </w:rPr>
      </w:pPr>
      <w:r w:rsidRPr="006351EA">
        <w:rPr>
          <w:rFonts w:ascii="Cambria" w:hAnsi="Cambria"/>
          <w:bCs/>
          <w:color w:val="000000" w:themeColor="text1"/>
        </w:rPr>
        <w:t>If we can be of any further assistance, please do not hesitate to contact us.</w:t>
      </w:r>
    </w:p>
    <w:p w14:paraId="5C9000B4" w14:textId="77777777" w:rsidR="00634A9E" w:rsidRPr="006351EA" w:rsidRDefault="00634A9E" w:rsidP="00634A9E">
      <w:pPr>
        <w:shd w:val="clear" w:color="auto" w:fill="FFFFFF"/>
        <w:ind w:right="-347"/>
        <w:jc w:val="both"/>
        <w:rPr>
          <w:rFonts w:ascii="Cambria" w:hAnsi="Cambria"/>
          <w:bCs/>
          <w:color w:val="000000" w:themeColor="text1"/>
        </w:rPr>
      </w:pPr>
    </w:p>
    <w:p w14:paraId="1B77DA47" w14:textId="77777777" w:rsidR="00634A9E" w:rsidRPr="006351EA" w:rsidRDefault="00634A9E" w:rsidP="00634A9E">
      <w:pPr>
        <w:shd w:val="clear" w:color="auto" w:fill="FFFFFF"/>
        <w:ind w:right="-347"/>
        <w:jc w:val="both"/>
        <w:rPr>
          <w:rFonts w:ascii="Cambria" w:hAnsi="Cambria"/>
          <w:bCs/>
          <w:color w:val="000000" w:themeColor="text1"/>
        </w:rPr>
      </w:pPr>
    </w:p>
    <w:p w14:paraId="5FFD83F2" w14:textId="77777777" w:rsidR="00634A9E" w:rsidRPr="006351EA" w:rsidRDefault="00634A9E" w:rsidP="00634A9E">
      <w:pPr>
        <w:shd w:val="clear" w:color="auto" w:fill="FFFFFF"/>
        <w:ind w:right="-347"/>
        <w:jc w:val="both"/>
        <w:rPr>
          <w:rFonts w:ascii="Cambria" w:hAnsi="Cambria"/>
          <w:bCs/>
          <w:color w:val="000000" w:themeColor="text1"/>
        </w:rPr>
      </w:pPr>
      <w:r w:rsidRPr="006351EA">
        <w:rPr>
          <w:rFonts w:ascii="Cambria" w:hAnsi="Cambria"/>
          <w:bCs/>
          <w:color w:val="000000" w:themeColor="text1"/>
        </w:rPr>
        <w:t>Yours faithfully,</w:t>
      </w:r>
    </w:p>
    <w:p w14:paraId="1BBBD6EC" w14:textId="77777777" w:rsidR="00634A9E" w:rsidRPr="006351EA" w:rsidRDefault="00634A9E" w:rsidP="00634A9E">
      <w:pPr>
        <w:shd w:val="clear" w:color="auto" w:fill="FFFFFF"/>
        <w:ind w:right="-347"/>
        <w:jc w:val="both"/>
        <w:rPr>
          <w:rFonts w:ascii="Cambria" w:hAnsi="Cambria"/>
          <w:bCs/>
          <w:color w:val="000000" w:themeColor="text1"/>
        </w:rPr>
      </w:pPr>
    </w:p>
    <w:p w14:paraId="1030E6D1" w14:textId="77777777" w:rsidR="00634A9E" w:rsidRPr="006351EA" w:rsidRDefault="00634A9E" w:rsidP="00634A9E">
      <w:pPr>
        <w:shd w:val="clear" w:color="auto" w:fill="FFFFFF"/>
        <w:ind w:right="-347"/>
        <w:jc w:val="both"/>
        <w:rPr>
          <w:rFonts w:ascii="Cambria" w:hAnsi="Cambria"/>
          <w:bCs/>
          <w:color w:val="000000" w:themeColor="text1"/>
        </w:rPr>
      </w:pPr>
    </w:p>
    <w:p w14:paraId="3F13938D" w14:textId="77777777" w:rsidR="00634A9E" w:rsidRPr="006351EA" w:rsidRDefault="00634A9E" w:rsidP="00634A9E">
      <w:pPr>
        <w:shd w:val="clear" w:color="auto" w:fill="FFFFFF"/>
        <w:ind w:right="-347"/>
        <w:jc w:val="both"/>
        <w:rPr>
          <w:rFonts w:ascii="Cambria" w:hAnsi="Cambria"/>
          <w:bCs/>
          <w:color w:val="000000" w:themeColor="text1"/>
        </w:rPr>
      </w:pPr>
    </w:p>
    <w:p w14:paraId="6D1067D4" w14:textId="77777777" w:rsidR="00634A9E" w:rsidRPr="006351EA" w:rsidRDefault="00634A9E" w:rsidP="00634A9E">
      <w:pPr>
        <w:shd w:val="clear" w:color="auto" w:fill="FFFFFF"/>
        <w:ind w:right="-347"/>
        <w:jc w:val="both"/>
        <w:rPr>
          <w:rFonts w:ascii="Cambria" w:hAnsi="Cambria"/>
          <w:bCs/>
          <w:color w:val="000000" w:themeColor="text1"/>
        </w:rPr>
      </w:pPr>
      <w:r w:rsidRPr="006351EA">
        <w:rPr>
          <w:rFonts w:ascii="Cambria" w:hAnsi="Cambria"/>
          <w:bCs/>
          <w:color w:val="000000" w:themeColor="text1"/>
        </w:rPr>
        <w:t xml:space="preserve">Benedict </w:t>
      </w:r>
      <w:proofErr w:type="spellStart"/>
      <w:r w:rsidRPr="006351EA">
        <w:rPr>
          <w:rFonts w:ascii="Cambria" w:hAnsi="Cambria"/>
          <w:bCs/>
          <w:color w:val="000000" w:themeColor="text1"/>
        </w:rPr>
        <w:t>Bartl</w:t>
      </w:r>
      <w:proofErr w:type="spellEnd"/>
    </w:p>
    <w:p w14:paraId="296C2787" w14:textId="77777777" w:rsidR="00634A9E" w:rsidRPr="006351EA" w:rsidRDefault="00634A9E" w:rsidP="00634A9E">
      <w:pPr>
        <w:shd w:val="clear" w:color="auto" w:fill="FFFFFF"/>
        <w:ind w:right="-347"/>
        <w:jc w:val="both"/>
        <w:rPr>
          <w:rFonts w:ascii="Cambria" w:hAnsi="Cambria"/>
          <w:bCs/>
          <w:color w:val="000000" w:themeColor="text1"/>
        </w:rPr>
      </w:pPr>
      <w:r w:rsidRPr="006351EA">
        <w:rPr>
          <w:rFonts w:ascii="Cambria" w:hAnsi="Cambria"/>
          <w:bCs/>
          <w:color w:val="000000" w:themeColor="text1"/>
        </w:rPr>
        <w:t>Policy Officer</w:t>
      </w:r>
    </w:p>
    <w:p w14:paraId="35353518" w14:textId="77777777" w:rsidR="00634A9E" w:rsidRPr="006351EA" w:rsidRDefault="00634A9E" w:rsidP="00634A9E">
      <w:pPr>
        <w:pBdr>
          <w:bottom w:val="single" w:sz="6" w:space="1" w:color="auto"/>
        </w:pBdr>
        <w:shd w:val="clear" w:color="auto" w:fill="FFFFFF"/>
        <w:ind w:right="-347"/>
        <w:jc w:val="both"/>
        <w:rPr>
          <w:rFonts w:ascii="Cambria" w:hAnsi="Cambria"/>
          <w:b/>
          <w:bCs/>
          <w:color w:val="000000" w:themeColor="text1"/>
        </w:rPr>
      </w:pPr>
      <w:r w:rsidRPr="006351EA">
        <w:rPr>
          <w:rFonts w:ascii="Cambria" w:hAnsi="Cambria"/>
          <w:b/>
          <w:bCs/>
          <w:color w:val="000000" w:themeColor="text1"/>
        </w:rPr>
        <w:t>Community Legal Centres Tasmania</w:t>
      </w:r>
    </w:p>
    <w:p w14:paraId="462765B0" w14:textId="77777777" w:rsidR="004D1C4F" w:rsidRPr="006351EA" w:rsidRDefault="004D1C4F" w:rsidP="004B11E1">
      <w:pPr>
        <w:pStyle w:val="Style1"/>
        <w:ind w:firstLine="0"/>
        <w:rPr>
          <w:rFonts w:ascii="Cambria" w:hAnsi="Cambria"/>
          <w:b/>
          <w:bCs/>
        </w:rPr>
      </w:pPr>
    </w:p>
    <w:p w14:paraId="54A46C6D" w14:textId="0E8F10EA" w:rsidR="0007319E" w:rsidRPr="006351EA" w:rsidRDefault="00AD01E5" w:rsidP="00AD01E5">
      <w:pPr>
        <w:ind w:left="720" w:hanging="720"/>
        <w:rPr>
          <w:rFonts w:ascii="Cambria" w:hAnsi="Cambria"/>
        </w:rPr>
      </w:pPr>
      <w:r w:rsidRPr="006351EA">
        <w:rPr>
          <w:rFonts w:ascii="Cambria" w:hAnsi="Cambria"/>
        </w:rPr>
        <w:t xml:space="preserve">enc: </w:t>
      </w:r>
      <w:r w:rsidRPr="006351EA">
        <w:rPr>
          <w:rFonts w:ascii="Cambria" w:hAnsi="Cambria"/>
        </w:rPr>
        <w:tab/>
        <w:t xml:space="preserve">The Public Trustee and a Fair and Proportionate Fee Structure for Represented Persons </w:t>
      </w:r>
    </w:p>
    <w:sectPr w:rsidR="0007319E" w:rsidRPr="006351EA" w:rsidSect="00F6096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0B8AE" w14:textId="77777777" w:rsidR="00A602F5" w:rsidRDefault="00A602F5" w:rsidP="00634A9E">
      <w:r>
        <w:separator/>
      </w:r>
    </w:p>
  </w:endnote>
  <w:endnote w:type="continuationSeparator" w:id="0">
    <w:p w14:paraId="54B40DC8" w14:textId="77777777" w:rsidR="00A602F5" w:rsidRDefault="00A602F5" w:rsidP="0063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Arial"/>
    <w:panose1 w:val="020B06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C01A" w14:textId="77777777" w:rsidR="0079536B" w:rsidRDefault="00F96F14" w:rsidP="00F609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2E606A" w14:textId="77777777" w:rsidR="0079536B" w:rsidRDefault="00A602F5" w:rsidP="00F60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40E3E" w14:textId="77777777" w:rsidR="0079536B" w:rsidRDefault="00F96F14" w:rsidP="00F609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5324C8" w14:textId="77777777" w:rsidR="0079536B" w:rsidRDefault="00A602F5" w:rsidP="00F609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EA528" w14:textId="77777777" w:rsidR="00A602F5" w:rsidRDefault="00A602F5" w:rsidP="00634A9E">
      <w:r>
        <w:separator/>
      </w:r>
    </w:p>
  </w:footnote>
  <w:footnote w:type="continuationSeparator" w:id="0">
    <w:p w14:paraId="67B85595" w14:textId="77777777" w:rsidR="00A602F5" w:rsidRDefault="00A602F5" w:rsidP="00634A9E">
      <w:r>
        <w:continuationSeparator/>
      </w:r>
    </w:p>
  </w:footnote>
  <w:footnote w:id="1">
    <w:p w14:paraId="6F66D2C3" w14:textId="1334B2E9" w:rsidR="002F4964" w:rsidRDefault="002F4964">
      <w:pPr>
        <w:pStyle w:val="FootnoteText"/>
      </w:pPr>
      <w:r>
        <w:rPr>
          <w:rStyle w:val="FootnoteReference"/>
        </w:rPr>
        <w:footnoteRef/>
      </w:r>
      <w:r>
        <w:t xml:space="preserve"> </w:t>
      </w:r>
      <w:r>
        <w:rPr>
          <w:rFonts w:ascii="Cambria" w:hAnsi="Cambria"/>
          <w:sz w:val="20"/>
          <w:szCs w:val="20"/>
        </w:rPr>
        <w:t xml:space="preserve">CLC Tas </w:t>
      </w:r>
      <w:r w:rsidRPr="002F4964">
        <w:rPr>
          <w:rFonts w:ascii="Cambria" w:hAnsi="Cambria"/>
          <w:sz w:val="20"/>
          <w:szCs w:val="20"/>
        </w:rPr>
        <w:t xml:space="preserve">would like to </w:t>
      </w:r>
      <w:r>
        <w:rPr>
          <w:rFonts w:ascii="Cambria" w:hAnsi="Cambria"/>
          <w:sz w:val="20"/>
          <w:szCs w:val="20"/>
        </w:rPr>
        <w:t>acknowledge</w:t>
      </w:r>
      <w:r w:rsidRPr="002F4964">
        <w:rPr>
          <w:rFonts w:ascii="Cambria" w:hAnsi="Cambria"/>
          <w:sz w:val="20"/>
          <w:szCs w:val="20"/>
        </w:rPr>
        <w:t xml:space="preserve"> those persons and organisations who gave freely of their time in assistin</w:t>
      </w:r>
      <w:r w:rsidR="004D1C4F">
        <w:rPr>
          <w:rFonts w:ascii="Cambria" w:hAnsi="Cambria"/>
          <w:sz w:val="20"/>
          <w:szCs w:val="20"/>
        </w:rPr>
        <w:t>g</w:t>
      </w:r>
      <w:r w:rsidRPr="002F4964">
        <w:rPr>
          <w:rFonts w:ascii="Cambria" w:hAnsi="Cambria"/>
          <w:sz w:val="20"/>
          <w:szCs w:val="20"/>
        </w:rPr>
        <w:t xml:space="preserve"> with our enquiries</w:t>
      </w:r>
      <w:r>
        <w:rPr>
          <w:rFonts w:ascii="Cambria" w:hAnsi="Cambria"/>
          <w:sz w:val="20"/>
          <w:szCs w:val="20"/>
        </w:rPr>
        <w:t xml:space="preserve"> and </w:t>
      </w:r>
      <w:r w:rsidRPr="002F4964">
        <w:rPr>
          <w:rFonts w:ascii="Cambria" w:hAnsi="Cambria"/>
          <w:sz w:val="20"/>
          <w:szCs w:val="20"/>
        </w:rPr>
        <w:t>answering our questions</w:t>
      </w:r>
      <w:r>
        <w:rPr>
          <w:rFonts w:ascii="Cambria" w:hAnsi="Cambria"/>
          <w:sz w:val="20"/>
          <w:szCs w:val="20"/>
        </w:rPr>
        <w:t xml:space="preserve">. </w:t>
      </w:r>
    </w:p>
  </w:footnote>
  <w:footnote w:id="2">
    <w:p w14:paraId="0F644473" w14:textId="6A749365" w:rsidR="004D1C4F" w:rsidRPr="004D1C4F" w:rsidRDefault="004D1C4F">
      <w:pPr>
        <w:pStyle w:val="FootnoteText"/>
        <w:rPr>
          <w:rFonts w:ascii="Cambria" w:hAnsi="Cambria"/>
        </w:rPr>
      </w:pPr>
      <w:r w:rsidRPr="004D1C4F">
        <w:rPr>
          <w:rStyle w:val="FootnoteReference"/>
          <w:rFonts w:ascii="Cambria" w:hAnsi="Cambria"/>
        </w:rPr>
        <w:footnoteRef/>
      </w:r>
      <w:r w:rsidRPr="004D1C4F">
        <w:rPr>
          <w:rFonts w:ascii="Cambria" w:hAnsi="Cambria"/>
        </w:rPr>
        <w:t xml:space="preserve"> </w:t>
      </w:r>
      <w:r w:rsidRPr="004D1C4F">
        <w:rPr>
          <w:rFonts w:ascii="Cambria" w:hAnsi="Cambria"/>
          <w:sz w:val="20"/>
          <w:szCs w:val="20"/>
        </w:rPr>
        <w:t xml:space="preserve">Victorian Ombudsman, </w:t>
      </w:r>
      <w:r w:rsidRPr="004D1C4F">
        <w:rPr>
          <w:rFonts w:ascii="Cambria" w:hAnsi="Cambria"/>
          <w:i/>
          <w:iCs/>
          <w:sz w:val="20"/>
          <w:szCs w:val="20"/>
        </w:rPr>
        <w:t>Investigation into State Trustees</w:t>
      </w:r>
      <w:r w:rsidRPr="004D1C4F">
        <w:rPr>
          <w:rFonts w:ascii="Cambria" w:hAnsi="Cambria"/>
          <w:sz w:val="20"/>
          <w:szCs w:val="20"/>
        </w:rPr>
        <w:t xml:space="preserve"> (June 2019) at 4</w:t>
      </w:r>
      <w:r w:rsidRPr="00EF12FC">
        <w:rPr>
          <w:rFonts w:ascii="Cambria" w:hAnsi="Cambria"/>
          <w:sz w:val="20"/>
          <w:szCs w:val="20"/>
        </w:rPr>
        <w:t>.</w:t>
      </w:r>
      <w:r w:rsidRPr="004D1C4F">
        <w:rPr>
          <w:rFonts w:ascii="Cambria" w:hAnsi="Cambria"/>
          <w:sz w:val="20"/>
          <w:szCs w:val="20"/>
        </w:rPr>
        <w:t xml:space="preserve"> As found at </w:t>
      </w:r>
      <w:hyperlink r:id="rId1" w:history="1">
        <w:r w:rsidRPr="004D1C4F">
          <w:rPr>
            <w:rStyle w:val="Hyperlink"/>
            <w:rFonts w:ascii="Cambria" w:hAnsi="Cambria"/>
            <w:sz w:val="20"/>
            <w:szCs w:val="20"/>
          </w:rPr>
          <w:t>https://www.ombudsman.vic.gov.au/our-impact/investigation-reports/investigation-into-state-trustees/</w:t>
        </w:r>
      </w:hyperlink>
      <w:r w:rsidRPr="004D1C4F">
        <w:rPr>
          <w:rFonts w:ascii="Cambria" w:hAnsi="Cambria"/>
          <w:sz w:val="20"/>
          <w:szCs w:val="20"/>
        </w:rPr>
        <w:t xml:space="preserve"> (Accessed </w:t>
      </w:r>
      <w:r w:rsidR="00CF3B39">
        <w:rPr>
          <w:rFonts w:ascii="Cambria" w:hAnsi="Cambria"/>
          <w:sz w:val="20"/>
          <w:szCs w:val="20"/>
        </w:rPr>
        <w:t>27</w:t>
      </w:r>
      <w:r w:rsidRPr="004D1C4F">
        <w:rPr>
          <w:rFonts w:ascii="Cambria" w:hAnsi="Cambria"/>
          <w:sz w:val="20"/>
          <w:szCs w:val="20"/>
        </w:rPr>
        <w:t xml:space="preserve"> August 2021).</w:t>
      </w:r>
      <w:r w:rsidRPr="004D1C4F">
        <w:rPr>
          <w:rFonts w:ascii="Cambria" w:hAnsi="Cambria"/>
        </w:rPr>
        <w:t xml:space="preserve"> </w:t>
      </w:r>
    </w:p>
  </w:footnote>
  <w:footnote w:id="3">
    <w:p w14:paraId="3D76F7E5" w14:textId="35D6820B" w:rsidR="00A42F88" w:rsidRPr="004D1C4F" w:rsidRDefault="00A42F88">
      <w:pPr>
        <w:pStyle w:val="FootnoteText"/>
        <w:rPr>
          <w:rFonts w:ascii="Cambria" w:hAnsi="Cambria"/>
        </w:rPr>
      </w:pPr>
      <w:r w:rsidRPr="004D1C4F">
        <w:rPr>
          <w:rStyle w:val="FootnoteReference"/>
          <w:rFonts w:ascii="Cambria" w:hAnsi="Cambria"/>
        </w:rPr>
        <w:footnoteRef/>
      </w:r>
      <w:r w:rsidRPr="004D1C4F">
        <w:rPr>
          <w:rFonts w:ascii="Cambria" w:hAnsi="Cambria"/>
        </w:rPr>
        <w:t xml:space="preserve"> </w:t>
      </w:r>
      <w:r w:rsidRPr="004D1C4F">
        <w:rPr>
          <w:rFonts w:ascii="Cambria" w:hAnsi="Cambria"/>
          <w:sz w:val="20"/>
          <w:szCs w:val="20"/>
        </w:rPr>
        <w:t xml:space="preserve">Section 50(1) of the </w:t>
      </w:r>
      <w:r w:rsidRPr="004D1C4F">
        <w:rPr>
          <w:rFonts w:ascii="Cambria" w:hAnsi="Cambria"/>
          <w:i/>
          <w:iCs/>
          <w:color w:val="000000" w:themeColor="text1"/>
          <w:sz w:val="20"/>
          <w:szCs w:val="20"/>
          <w:lang w:val="en-US"/>
        </w:rPr>
        <w:t>Guardianship and Administration Act 1995</w:t>
      </w:r>
      <w:r w:rsidRPr="004D1C4F">
        <w:rPr>
          <w:rFonts w:ascii="Cambria" w:hAnsi="Cambria"/>
          <w:color w:val="000000" w:themeColor="text1"/>
          <w:sz w:val="20"/>
          <w:szCs w:val="20"/>
          <w:lang w:val="en-US"/>
        </w:rPr>
        <w:t xml:space="preserve"> (Tas).</w:t>
      </w:r>
      <w:r w:rsidRPr="004D1C4F">
        <w:rPr>
          <w:rFonts w:ascii="Cambria" w:hAnsi="Cambria"/>
          <w:color w:val="000000" w:themeColor="text1"/>
          <w:lang w:val="en-US"/>
        </w:rPr>
        <w:t xml:space="preserve"> </w:t>
      </w:r>
      <w:r w:rsidRPr="004D1C4F">
        <w:rPr>
          <w:rFonts w:ascii="Cambria" w:hAnsi="Cambria"/>
        </w:rPr>
        <w:t xml:space="preserve"> </w:t>
      </w:r>
    </w:p>
  </w:footnote>
  <w:footnote w:id="4">
    <w:p w14:paraId="4B96027A" w14:textId="55F817D9" w:rsidR="00E274E1" w:rsidRPr="004D1C4F" w:rsidRDefault="00E274E1">
      <w:pPr>
        <w:pStyle w:val="FootnoteText"/>
        <w:rPr>
          <w:rFonts w:ascii="Cambria" w:hAnsi="Cambria"/>
        </w:rPr>
      </w:pPr>
      <w:r w:rsidRPr="004D1C4F">
        <w:rPr>
          <w:rStyle w:val="FootnoteReference"/>
          <w:rFonts w:ascii="Cambria" w:hAnsi="Cambria"/>
        </w:rPr>
        <w:footnoteRef/>
      </w:r>
      <w:r w:rsidRPr="004D1C4F">
        <w:rPr>
          <w:rFonts w:ascii="Cambria" w:hAnsi="Cambria"/>
        </w:rPr>
        <w:t xml:space="preserve"> </w:t>
      </w:r>
      <w:r w:rsidRPr="004D1C4F">
        <w:rPr>
          <w:rFonts w:ascii="Cambria" w:hAnsi="Cambria"/>
          <w:color w:val="333333"/>
          <w:sz w:val="20"/>
          <w:szCs w:val="20"/>
        </w:rPr>
        <w:t>[</w:t>
      </w:r>
      <w:r w:rsidRPr="004D1C4F">
        <w:rPr>
          <w:rFonts w:ascii="Cambria" w:hAnsi="Cambria"/>
          <w:color w:val="000000" w:themeColor="text1"/>
          <w:sz w:val="20"/>
          <w:szCs w:val="20"/>
        </w:rPr>
        <w:t>2003] WASCA 268</w:t>
      </w:r>
      <w:r w:rsidR="00117D3A" w:rsidRPr="004D1C4F">
        <w:rPr>
          <w:rFonts w:ascii="Cambria" w:hAnsi="Cambria"/>
          <w:color w:val="000000" w:themeColor="text1"/>
          <w:sz w:val="20"/>
          <w:szCs w:val="20"/>
        </w:rPr>
        <w:t xml:space="preserve"> at para. [43] per </w:t>
      </w:r>
      <w:proofErr w:type="spellStart"/>
      <w:r w:rsidR="00117D3A" w:rsidRPr="004D1C4F">
        <w:rPr>
          <w:rFonts w:ascii="Cambria" w:hAnsi="Cambria"/>
          <w:color w:val="000000" w:themeColor="text1"/>
          <w:sz w:val="20"/>
          <w:szCs w:val="20"/>
          <w:shd w:val="clear" w:color="auto" w:fill="FFFFFF"/>
        </w:rPr>
        <w:t>Heenan</w:t>
      </w:r>
      <w:proofErr w:type="spellEnd"/>
      <w:r w:rsidR="00117D3A" w:rsidRPr="004D1C4F">
        <w:rPr>
          <w:rFonts w:ascii="Cambria" w:hAnsi="Cambria"/>
          <w:color w:val="000000" w:themeColor="text1"/>
          <w:sz w:val="20"/>
          <w:szCs w:val="20"/>
          <w:shd w:val="clear" w:color="auto" w:fill="FFFFFF"/>
        </w:rPr>
        <w:t xml:space="preserve"> J; Anderson, </w:t>
      </w:r>
      <w:proofErr w:type="spellStart"/>
      <w:r w:rsidR="00117D3A" w:rsidRPr="004D1C4F">
        <w:rPr>
          <w:rFonts w:ascii="Cambria" w:hAnsi="Cambria"/>
          <w:color w:val="000000" w:themeColor="text1"/>
          <w:sz w:val="20"/>
          <w:szCs w:val="20"/>
          <w:shd w:val="clear" w:color="auto" w:fill="FFFFFF"/>
        </w:rPr>
        <w:t>Steytler</w:t>
      </w:r>
      <w:proofErr w:type="spellEnd"/>
      <w:r w:rsidR="00117D3A" w:rsidRPr="004D1C4F">
        <w:rPr>
          <w:rFonts w:ascii="Cambria" w:hAnsi="Cambria"/>
          <w:color w:val="000000" w:themeColor="text1"/>
          <w:sz w:val="20"/>
          <w:szCs w:val="20"/>
          <w:shd w:val="clear" w:color="auto" w:fill="FFFFFF"/>
        </w:rPr>
        <w:t xml:space="preserve">, Miller and </w:t>
      </w:r>
      <w:proofErr w:type="spellStart"/>
      <w:r w:rsidR="00117D3A" w:rsidRPr="004D1C4F">
        <w:rPr>
          <w:rFonts w:ascii="Cambria" w:hAnsi="Cambria"/>
          <w:color w:val="000000" w:themeColor="text1"/>
          <w:sz w:val="20"/>
          <w:szCs w:val="20"/>
          <w:shd w:val="clear" w:color="auto" w:fill="FFFFFF"/>
        </w:rPr>
        <w:t>McLure</w:t>
      </w:r>
      <w:proofErr w:type="spellEnd"/>
      <w:r w:rsidR="00117D3A" w:rsidRPr="004D1C4F">
        <w:rPr>
          <w:rFonts w:ascii="Cambria" w:hAnsi="Cambria"/>
          <w:color w:val="000000" w:themeColor="text1"/>
          <w:sz w:val="20"/>
          <w:szCs w:val="20"/>
          <w:shd w:val="clear" w:color="auto" w:fill="FFFFFF"/>
        </w:rPr>
        <w:t xml:space="preserve"> JJ agreeing.</w:t>
      </w:r>
    </w:p>
  </w:footnote>
  <w:footnote w:id="5">
    <w:p w14:paraId="31385F67" w14:textId="1531304C" w:rsidR="00B36C81" w:rsidRPr="004D1C4F" w:rsidRDefault="00B36C81">
      <w:pPr>
        <w:pStyle w:val="FootnoteText"/>
        <w:rPr>
          <w:rFonts w:ascii="Cambria" w:hAnsi="Cambria"/>
        </w:rPr>
      </w:pPr>
      <w:r w:rsidRPr="004D1C4F">
        <w:rPr>
          <w:rStyle w:val="FootnoteReference"/>
          <w:rFonts w:ascii="Cambria" w:hAnsi="Cambria"/>
        </w:rPr>
        <w:footnoteRef/>
      </w:r>
      <w:r w:rsidRPr="004D1C4F">
        <w:rPr>
          <w:rFonts w:ascii="Cambria" w:hAnsi="Cambria"/>
        </w:rPr>
        <w:t xml:space="preserve"> </w:t>
      </w:r>
      <w:r w:rsidRPr="004D1C4F">
        <w:rPr>
          <w:rFonts w:ascii="Cambria" w:hAnsi="Cambria"/>
          <w:sz w:val="20"/>
          <w:szCs w:val="20"/>
        </w:rPr>
        <w:t xml:space="preserve">Section 51(1) of the </w:t>
      </w:r>
      <w:r w:rsidRPr="004D1C4F">
        <w:rPr>
          <w:rFonts w:ascii="Cambria" w:hAnsi="Cambria"/>
          <w:i/>
          <w:iCs/>
          <w:color w:val="000000" w:themeColor="text1"/>
          <w:sz w:val="20"/>
          <w:szCs w:val="20"/>
          <w:lang w:val="en-US"/>
        </w:rPr>
        <w:t>Guardianship and Administration Act 1995</w:t>
      </w:r>
      <w:r w:rsidRPr="004D1C4F">
        <w:rPr>
          <w:rFonts w:ascii="Cambria" w:hAnsi="Cambria"/>
          <w:color w:val="000000" w:themeColor="text1"/>
          <w:sz w:val="20"/>
          <w:szCs w:val="20"/>
          <w:lang w:val="en-US"/>
        </w:rPr>
        <w:t xml:space="preserve"> (Tas).</w:t>
      </w:r>
      <w:r w:rsidRPr="004D1C4F">
        <w:rPr>
          <w:rFonts w:ascii="Cambria" w:hAnsi="Cambria"/>
          <w:color w:val="000000" w:themeColor="text1"/>
          <w:lang w:val="en-US"/>
        </w:rPr>
        <w:t xml:space="preserve"> </w:t>
      </w:r>
      <w:r w:rsidRPr="004D1C4F">
        <w:rPr>
          <w:rFonts w:ascii="Cambria" w:hAnsi="Cambria"/>
        </w:rPr>
        <w:t xml:space="preserve"> </w:t>
      </w:r>
    </w:p>
  </w:footnote>
  <w:footnote w:id="6">
    <w:p w14:paraId="35D28D06" w14:textId="77777777" w:rsidR="00062A0A" w:rsidRPr="004D1C4F" w:rsidRDefault="00062A0A" w:rsidP="00062A0A">
      <w:pPr>
        <w:pStyle w:val="FootnoteText"/>
        <w:rPr>
          <w:rFonts w:ascii="Cambria" w:hAnsi="Cambria"/>
        </w:rPr>
      </w:pPr>
      <w:r w:rsidRPr="004D1C4F">
        <w:rPr>
          <w:rStyle w:val="FootnoteReference"/>
          <w:rFonts w:ascii="Cambria" w:hAnsi="Cambria"/>
        </w:rPr>
        <w:footnoteRef/>
      </w:r>
      <w:r w:rsidRPr="004D1C4F">
        <w:rPr>
          <w:rFonts w:ascii="Cambria" w:hAnsi="Cambria"/>
        </w:rPr>
        <w:t xml:space="preserve"> </w:t>
      </w:r>
      <w:r w:rsidRPr="004D1C4F">
        <w:rPr>
          <w:rFonts w:ascii="Cambria" w:hAnsi="Cambria"/>
          <w:sz w:val="20"/>
          <w:szCs w:val="20"/>
        </w:rPr>
        <w:t xml:space="preserve">Section 54 of the </w:t>
      </w:r>
      <w:r w:rsidRPr="004D1C4F">
        <w:rPr>
          <w:rFonts w:ascii="Cambria" w:hAnsi="Cambria"/>
          <w:i/>
          <w:iCs/>
          <w:color w:val="000000" w:themeColor="text1"/>
          <w:sz w:val="20"/>
          <w:szCs w:val="20"/>
          <w:lang w:val="en-US"/>
        </w:rPr>
        <w:t>Guardianship and Administration Act 1995</w:t>
      </w:r>
      <w:r w:rsidRPr="004D1C4F">
        <w:rPr>
          <w:rFonts w:ascii="Cambria" w:hAnsi="Cambria"/>
          <w:color w:val="000000" w:themeColor="text1"/>
          <w:sz w:val="20"/>
          <w:szCs w:val="20"/>
          <w:lang w:val="en-US"/>
        </w:rPr>
        <w:t xml:space="preserve"> (Tas).</w:t>
      </w:r>
      <w:r w:rsidRPr="004D1C4F">
        <w:rPr>
          <w:rFonts w:ascii="Cambria" w:hAnsi="Cambria"/>
          <w:color w:val="000000" w:themeColor="text1"/>
          <w:lang w:val="en-US"/>
        </w:rPr>
        <w:t xml:space="preserve"> </w:t>
      </w:r>
      <w:r w:rsidRPr="004D1C4F">
        <w:rPr>
          <w:rFonts w:ascii="Cambria" w:hAnsi="Cambria"/>
        </w:rPr>
        <w:t xml:space="preserve"> </w:t>
      </w:r>
    </w:p>
  </w:footnote>
  <w:footnote w:id="7">
    <w:p w14:paraId="57233021" w14:textId="6E884149" w:rsidR="00626C72" w:rsidRDefault="00626C72">
      <w:pPr>
        <w:pStyle w:val="FootnoteText"/>
      </w:pPr>
      <w:r w:rsidRPr="004D1C4F">
        <w:rPr>
          <w:rStyle w:val="FootnoteReference"/>
          <w:rFonts w:ascii="Cambria" w:hAnsi="Cambria"/>
        </w:rPr>
        <w:footnoteRef/>
      </w:r>
      <w:r w:rsidRPr="004D1C4F">
        <w:rPr>
          <w:rFonts w:ascii="Cambria" w:hAnsi="Cambria"/>
        </w:rPr>
        <w:t xml:space="preserve"> </w:t>
      </w:r>
      <w:r w:rsidRPr="004D1C4F">
        <w:rPr>
          <w:rFonts w:ascii="Cambria" w:hAnsi="Cambria"/>
          <w:sz w:val="20"/>
          <w:szCs w:val="20"/>
        </w:rPr>
        <w:t>Section 57</w:t>
      </w:r>
      <w:r w:rsidR="00BE2069" w:rsidRPr="004D1C4F">
        <w:rPr>
          <w:rFonts w:ascii="Cambria" w:hAnsi="Cambria"/>
          <w:sz w:val="20"/>
          <w:szCs w:val="20"/>
        </w:rPr>
        <w:t>(1)</w:t>
      </w:r>
      <w:r w:rsidRPr="004D1C4F">
        <w:rPr>
          <w:rFonts w:ascii="Cambria" w:hAnsi="Cambria"/>
          <w:sz w:val="20"/>
          <w:szCs w:val="20"/>
        </w:rPr>
        <w:t xml:space="preserve"> of the </w:t>
      </w:r>
      <w:r w:rsidRPr="004D1C4F">
        <w:rPr>
          <w:rFonts w:ascii="Cambria" w:hAnsi="Cambria"/>
          <w:i/>
          <w:iCs/>
          <w:color w:val="000000" w:themeColor="text1"/>
          <w:sz w:val="20"/>
          <w:szCs w:val="20"/>
          <w:lang w:val="en-US"/>
        </w:rPr>
        <w:t>Guardianship and Administration Act 1995</w:t>
      </w:r>
      <w:r w:rsidRPr="004D1C4F">
        <w:rPr>
          <w:rFonts w:ascii="Cambria" w:hAnsi="Cambria"/>
          <w:color w:val="000000" w:themeColor="text1"/>
          <w:sz w:val="20"/>
          <w:szCs w:val="20"/>
          <w:lang w:val="en-US"/>
        </w:rPr>
        <w:t xml:space="preserve"> (Tas).</w:t>
      </w:r>
      <w:r w:rsidRPr="006A4C23">
        <w:rPr>
          <w:rFonts w:ascii="Cambria" w:hAnsi="Cambria"/>
          <w:color w:val="000000" w:themeColor="text1"/>
          <w:lang w:val="en-US"/>
        </w:rPr>
        <w:t xml:space="preserve"> </w:t>
      </w:r>
      <w:r w:rsidRPr="006A4C23">
        <w:rPr>
          <w:rFonts w:ascii="Cambria" w:hAnsi="Cambria"/>
        </w:rPr>
        <w:t xml:space="preserve"> </w:t>
      </w:r>
    </w:p>
  </w:footnote>
  <w:footnote w:id="8">
    <w:p w14:paraId="71AF475A" w14:textId="1605057E" w:rsidR="00BE2069" w:rsidRDefault="00BE2069">
      <w:pPr>
        <w:pStyle w:val="FootnoteText"/>
      </w:pPr>
      <w:r>
        <w:rPr>
          <w:rStyle w:val="FootnoteReference"/>
        </w:rPr>
        <w:footnoteRef/>
      </w:r>
      <w:r>
        <w:t xml:space="preserve"> </w:t>
      </w:r>
      <w:r w:rsidRPr="006A4C23">
        <w:rPr>
          <w:rFonts w:ascii="Cambria" w:hAnsi="Cambria"/>
          <w:sz w:val="20"/>
          <w:szCs w:val="20"/>
        </w:rPr>
        <w:t>Section 5</w:t>
      </w:r>
      <w:r>
        <w:rPr>
          <w:rFonts w:ascii="Cambria" w:hAnsi="Cambria"/>
          <w:sz w:val="20"/>
          <w:szCs w:val="20"/>
        </w:rPr>
        <w:t>7(2)</w:t>
      </w:r>
      <w:r w:rsidRPr="006A4C23">
        <w:rPr>
          <w:rFonts w:ascii="Cambria" w:hAnsi="Cambria"/>
          <w:sz w:val="20"/>
          <w:szCs w:val="20"/>
        </w:rPr>
        <w:t xml:space="preserve"> of the </w:t>
      </w:r>
      <w:r w:rsidRPr="006A4C23">
        <w:rPr>
          <w:rFonts w:ascii="Cambria" w:hAnsi="Cambria"/>
          <w:i/>
          <w:iCs/>
          <w:color w:val="000000" w:themeColor="text1"/>
          <w:sz w:val="20"/>
          <w:szCs w:val="20"/>
          <w:lang w:val="en-US"/>
        </w:rPr>
        <w:t>Guardianship and Administration Act 1995</w:t>
      </w:r>
      <w:r w:rsidRPr="006A4C23">
        <w:rPr>
          <w:rFonts w:ascii="Cambria" w:hAnsi="Cambria"/>
          <w:color w:val="000000" w:themeColor="text1"/>
          <w:sz w:val="20"/>
          <w:szCs w:val="20"/>
          <w:lang w:val="en-US"/>
        </w:rPr>
        <w:t xml:space="preserve"> (Tas).</w:t>
      </w:r>
      <w:r w:rsidRPr="006A4C23">
        <w:rPr>
          <w:rFonts w:ascii="Cambria" w:hAnsi="Cambria"/>
          <w:color w:val="000000" w:themeColor="text1"/>
          <w:lang w:val="en-US"/>
        </w:rPr>
        <w:t xml:space="preserve"> </w:t>
      </w:r>
      <w:r w:rsidRPr="006A4C23">
        <w:rPr>
          <w:rFonts w:ascii="Cambria" w:hAnsi="Cambria"/>
        </w:rPr>
        <w:t xml:space="preserve"> </w:t>
      </w:r>
    </w:p>
  </w:footnote>
  <w:footnote w:id="9">
    <w:p w14:paraId="1909BF67" w14:textId="73DE0F3B" w:rsidR="001046D7" w:rsidRDefault="001046D7">
      <w:pPr>
        <w:pStyle w:val="FootnoteText"/>
      </w:pPr>
      <w:r>
        <w:rPr>
          <w:rStyle w:val="FootnoteReference"/>
        </w:rPr>
        <w:footnoteRef/>
      </w:r>
      <w:r>
        <w:t xml:space="preserve"> </w:t>
      </w:r>
      <w:r w:rsidRPr="001046D7">
        <w:rPr>
          <w:rFonts w:ascii="Cambria" w:hAnsi="Cambria"/>
          <w:sz w:val="20"/>
          <w:szCs w:val="20"/>
        </w:rPr>
        <w:t xml:space="preserve">Public Trustee, Financial Administration Brochure. As found at </w:t>
      </w:r>
      <w:hyperlink r:id="rId2" w:history="1">
        <w:r w:rsidRPr="001046D7">
          <w:rPr>
            <w:rStyle w:val="Hyperlink"/>
            <w:rFonts w:ascii="Cambria" w:hAnsi="Cambria"/>
            <w:sz w:val="20"/>
            <w:szCs w:val="20"/>
          </w:rPr>
          <w:t>https://www.publictrustee.tas.gov.au/assets/files/public-trustee-financial-administraion_apr-21.pdf</w:t>
        </w:r>
      </w:hyperlink>
      <w:r w:rsidRPr="001046D7">
        <w:rPr>
          <w:rFonts w:ascii="Cambria" w:hAnsi="Cambria"/>
          <w:sz w:val="20"/>
          <w:szCs w:val="20"/>
        </w:rPr>
        <w:t xml:space="preserve"> (Accessed 2</w:t>
      </w:r>
      <w:r w:rsidR="00CF3B39">
        <w:rPr>
          <w:rFonts w:ascii="Cambria" w:hAnsi="Cambria"/>
          <w:sz w:val="20"/>
          <w:szCs w:val="20"/>
        </w:rPr>
        <w:t>7</w:t>
      </w:r>
      <w:r w:rsidRPr="001046D7">
        <w:rPr>
          <w:rFonts w:ascii="Cambria" w:hAnsi="Cambria"/>
          <w:sz w:val="20"/>
          <w:szCs w:val="20"/>
        </w:rPr>
        <w:t xml:space="preserve"> August 2021).</w:t>
      </w:r>
      <w:r>
        <w:t xml:space="preserve"> </w:t>
      </w:r>
    </w:p>
  </w:footnote>
  <w:footnote w:id="10">
    <w:p w14:paraId="66763F0C" w14:textId="4C0EF984" w:rsidR="0015424E" w:rsidRDefault="0015424E">
      <w:pPr>
        <w:pStyle w:val="FootnoteText"/>
      </w:pPr>
      <w:r>
        <w:rPr>
          <w:rStyle w:val="FootnoteReference"/>
        </w:rPr>
        <w:footnoteRef/>
      </w:r>
      <w:r>
        <w:t xml:space="preserve"> </w:t>
      </w:r>
      <w:r w:rsidRPr="001046D7">
        <w:rPr>
          <w:rFonts w:ascii="Cambria" w:hAnsi="Cambria"/>
          <w:sz w:val="20"/>
          <w:szCs w:val="20"/>
        </w:rPr>
        <w:t xml:space="preserve">Public Trustee, Financial Administration Brochure. As found at </w:t>
      </w:r>
      <w:hyperlink r:id="rId3" w:history="1">
        <w:r w:rsidRPr="001046D7">
          <w:rPr>
            <w:rStyle w:val="Hyperlink"/>
            <w:rFonts w:ascii="Cambria" w:hAnsi="Cambria"/>
            <w:sz w:val="20"/>
            <w:szCs w:val="20"/>
          </w:rPr>
          <w:t>https://www.publictrustee.tas.gov.au/assets/files/public-trustee-financial-administraion_apr-21.pdf</w:t>
        </w:r>
      </w:hyperlink>
      <w:r w:rsidRPr="001046D7">
        <w:rPr>
          <w:rFonts w:ascii="Cambria" w:hAnsi="Cambria"/>
          <w:sz w:val="20"/>
          <w:szCs w:val="20"/>
        </w:rPr>
        <w:t xml:space="preserve"> (Accessed 2</w:t>
      </w:r>
      <w:r w:rsidR="00CF3B39">
        <w:rPr>
          <w:rFonts w:ascii="Cambria" w:hAnsi="Cambria"/>
          <w:sz w:val="20"/>
          <w:szCs w:val="20"/>
        </w:rPr>
        <w:t>7</w:t>
      </w:r>
      <w:r w:rsidRPr="001046D7">
        <w:rPr>
          <w:rFonts w:ascii="Cambria" w:hAnsi="Cambria"/>
          <w:sz w:val="20"/>
          <w:szCs w:val="20"/>
        </w:rPr>
        <w:t xml:space="preserve"> August 2021).</w:t>
      </w:r>
    </w:p>
  </w:footnote>
  <w:footnote w:id="11">
    <w:p w14:paraId="423889C8" w14:textId="15618773" w:rsidR="00691BBC" w:rsidRDefault="00691BBC">
      <w:pPr>
        <w:pStyle w:val="FootnoteText"/>
      </w:pPr>
      <w:r w:rsidRPr="006A4C23">
        <w:rPr>
          <w:rStyle w:val="FootnoteReference"/>
          <w:rFonts w:ascii="Cambria" w:hAnsi="Cambria"/>
        </w:rPr>
        <w:footnoteRef/>
      </w:r>
      <w:r w:rsidRPr="006A4C23">
        <w:rPr>
          <w:rFonts w:ascii="Cambria" w:hAnsi="Cambria"/>
        </w:rPr>
        <w:t xml:space="preserve"> </w:t>
      </w:r>
      <w:r w:rsidRPr="006A4C23">
        <w:rPr>
          <w:rFonts w:ascii="Cambria" w:hAnsi="Cambria"/>
          <w:sz w:val="20"/>
          <w:szCs w:val="20"/>
        </w:rPr>
        <w:t>Data contained in Public Trustee Annual Reports</w:t>
      </w:r>
      <w:r w:rsidR="00080E51" w:rsidRPr="006A4C23">
        <w:rPr>
          <w:rFonts w:ascii="Cambria" w:hAnsi="Cambria"/>
          <w:sz w:val="20"/>
          <w:szCs w:val="20"/>
        </w:rPr>
        <w:t xml:space="preserve"> 2014/15, 2015/16, 2016/17, 2017/18, 2018/19 and 2019//20. As found at </w:t>
      </w:r>
      <w:hyperlink r:id="rId4" w:history="1">
        <w:r w:rsidR="00080E51" w:rsidRPr="006A4C23">
          <w:rPr>
            <w:rStyle w:val="Hyperlink"/>
            <w:rFonts w:ascii="Cambria" w:hAnsi="Cambria"/>
            <w:sz w:val="20"/>
            <w:szCs w:val="20"/>
          </w:rPr>
          <w:t>https://www.publictrustee.tas.gov.au/about/governance</w:t>
        </w:r>
      </w:hyperlink>
      <w:r w:rsidR="00080E51" w:rsidRPr="006A4C23">
        <w:rPr>
          <w:rFonts w:ascii="Cambria" w:hAnsi="Cambria"/>
          <w:sz w:val="20"/>
          <w:szCs w:val="20"/>
        </w:rPr>
        <w:t xml:space="preserve"> (Accessed </w:t>
      </w:r>
      <w:r w:rsidR="00CF3B39">
        <w:rPr>
          <w:rFonts w:ascii="Cambria" w:hAnsi="Cambria"/>
          <w:sz w:val="20"/>
          <w:szCs w:val="20"/>
        </w:rPr>
        <w:t>27</w:t>
      </w:r>
      <w:r w:rsidR="00080E51" w:rsidRPr="006A4C23">
        <w:rPr>
          <w:rFonts w:ascii="Cambria" w:hAnsi="Cambria"/>
          <w:sz w:val="20"/>
          <w:szCs w:val="20"/>
        </w:rPr>
        <w:t xml:space="preserve"> August 2021).</w:t>
      </w:r>
      <w:r w:rsidR="00080E51">
        <w:t xml:space="preserve">  </w:t>
      </w:r>
      <w:r>
        <w:t xml:space="preserve"> </w:t>
      </w:r>
    </w:p>
  </w:footnote>
  <w:footnote w:id="12">
    <w:p w14:paraId="37BF488E" w14:textId="68DF6A98" w:rsidR="004173D8" w:rsidRPr="00EF12FC" w:rsidRDefault="004173D8" w:rsidP="004173D8">
      <w:pPr>
        <w:pStyle w:val="FootnoteText"/>
        <w:rPr>
          <w:rFonts w:ascii="Cambria" w:hAnsi="Cambria"/>
        </w:rPr>
      </w:pPr>
      <w:r w:rsidRPr="00EF12FC">
        <w:rPr>
          <w:rStyle w:val="FootnoteReference"/>
          <w:rFonts w:ascii="Cambria" w:hAnsi="Cambria"/>
        </w:rPr>
        <w:footnoteRef/>
      </w:r>
      <w:r w:rsidRPr="00EF12FC">
        <w:rPr>
          <w:rFonts w:ascii="Cambria" w:hAnsi="Cambria"/>
        </w:rPr>
        <w:t xml:space="preserve"> </w:t>
      </w:r>
      <w:r w:rsidRPr="00EF12FC">
        <w:rPr>
          <w:rFonts w:ascii="Cambria" w:hAnsi="Cambria"/>
          <w:color w:val="000000" w:themeColor="text1"/>
          <w:sz w:val="20"/>
          <w:szCs w:val="20"/>
        </w:rPr>
        <w:t xml:space="preserve">Attorney-General, Vanessa Goodwin, ‘Public Trustee fees to be significantly reduced for low-income clients’, 3 December 2015. As found at </w:t>
      </w:r>
      <w:hyperlink r:id="rId5" w:history="1">
        <w:r w:rsidRPr="00EF12FC">
          <w:rPr>
            <w:rStyle w:val="Hyperlink"/>
            <w:rFonts w:ascii="Cambria" w:hAnsi="Cambria"/>
            <w:sz w:val="20"/>
            <w:szCs w:val="20"/>
          </w:rPr>
          <w:t>http://www.premier.tas.gov.au/releases/public_trustee_fees_to_be_significantly_reduced_for_low-income_clients</w:t>
        </w:r>
      </w:hyperlink>
      <w:r w:rsidRPr="00EF12FC">
        <w:rPr>
          <w:rFonts w:ascii="Cambria" w:hAnsi="Cambria"/>
          <w:sz w:val="20"/>
          <w:szCs w:val="20"/>
        </w:rPr>
        <w:t xml:space="preserve"> (</w:t>
      </w:r>
      <w:r w:rsidRPr="00EF12FC">
        <w:rPr>
          <w:rFonts w:ascii="Cambria" w:hAnsi="Cambria"/>
          <w:color w:val="000000" w:themeColor="text1"/>
          <w:sz w:val="20"/>
          <w:szCs w:val="20"/>
        </w:rPr>
        <w:t>Accessed 2</w:t>
      </w:r>
      <w:r w:rsidR="00CF3B39">
        <w:rPr>
          <w:rFonts w:ascii="Cambria" w:hAnsi="Cambria"/>
          <w:color w:val="000000" w:themeColor="text1"/>
          <w:sz w:val="20"/>
          <w:szCs w:val="20"/>
        </w:rPr>
        <w:t>7</w:t>
      </w:r>
      <w:r w:rsidRPr="00EF12FC">
        <w:rPr>
          <w:rFonts w:ascii="Cambria" w:hAnsi="Cambria"/>
          <w:color w:val="000000" w:themeColor="text1"/>
          <w:sz w:val="20"/>
          <w:szCs w:val="20"/>
        </w:rPr>
        <w:t xml:space="preserve"> August 2021).</w:t>
      </w:r>
    </w:p>
  </w:footnote>
  <w:footnote w:id="13">
    <w:p w14:paraId="2A916E14" w14:textId="23BA5846" w:rsidR="008E3EEF" w:rsidRPr="00EF12FC" w:rsidRDefault="008E3EEF">
      <w:pPr>
        <w:pStyle w:val="FootnoteText"/>
        <w:rPr>
          <w:rFonts w:ascii="Cambria" w:hAnsi="Cambria"/>
        </w:rPr>
      </w:pPr>
      <w:r w:rsidRPr="00EF12FC">
        <w:rPr>
          <w:rStyle w:val="FootnoteReference"/>
          <w:rFonts w:ascii="Cambria" w:hAnsi="Cambria"/>
        </w:rPr>
        <w:footnoteRef/>
      </w:r>
      <w:r w:rsidRPr="00EF12FC">
        <w:rPr>
          <w:rFonts w:ascii="Cambria" w:hAnsi="Cambria"/>
        </w:rPr>
        <w:t xml:space="preserve"> </w:t>
      </w:r>
      <w:r w:rsidRPr="00EF12FC">
        <w:rPr>
          <w:rFonts w:ascii="Cambria" w:hAnsi="Cambria"/>
          <w:color w:val="000000" w:themeColor="text1"/>
          <w:sz w:val="20"/>
          <w:szCs w:val="20"/>
        </w:rPr>
        <w:t xml:space="preserve">Attorney-General, Vanessa Goodwin, ‘Public Trustee fees to be significantly reduced for low-income clients’, 3 December 2015. As found at </w:t>
      </w:r>
      <w:hyperlink r:id="rId6" w:history="1">
        <w:r w:rsidRPr="00EF12FC">
          <w:rPr>
            <w:rStyle w:val="Hyperlink"/>
            <w:rFonts w:ascii="Cambria" w:hAnsi="Cambria"/>
            <w:sz w:val="20"/>
            <w:szCs w:val="20"/>
          </w:rPr>
          <w:t>http://www.premier.tas.gov.au/releases/public_trustee_fees_to_be_significantly_reduced_for_low-income_clients</w:t>
        </w:r>
      </w:hyperlink>
      <w:r w:rsidRPr="00EF12FC">
        <w:rPr>
          <w:rFonts w:ascii="Cambria" w:hAnsi="Cambria"/>
          <w:sz w:val="20"/>
          <w:szCs w:val="20"/>
        </w:rPr>
        <w:t xml:space="preserve"> (</w:t>
      </w:r>
      <w:r w:rsidRPr="00EF12FC">
        <w:rPr>
          <w:rFonts w:ascii="Cambria" w:hAnsi="Cambria"/>
          <w:color w:val="000000" w:themeColor="text1"/>
          <w:sz w:val="20"/>
          <w:szCs w:val="20"/>
        </w:rPr>
        <w:t>Accessed 2</w:t>
      </w:r>
      <w:r w:rsidR="00CF3B39">
        <w:rPr>
          <w:rFonts w:ascii="Cambria" w:hAnsi="Cambria"/>
          <w:color w:val="000000" w:themeColor="text1"/>
          <w:sz w:val="20"/>
          <w:szCs w:val="20"/>
        </w:rPr>
        <w:t>7</w:t>
      </w:r>
      <w:r w:rsidRPr="00EF12FC">
        <w:rPr>
          <w:rFonts w:ascii="Cambria" w:hAnsi="Cambria"/>
          <w:color w:val="000000" w:themeColor="text1"/>
          <w:sz w:val="20"/>
          <w:szCs w:val="20"/>
        </w:rPr>
        <w:t xml:space="preserve"> August 2021).</w:t>
      </w:r>
      <w:r w:rsidRPr="00EF12FC">
        <w:rPr>
          <w:rFonts w:ascii="Cambria" w:hAnsi="Cambria"/>
          <w:color w:val="000000" w:themeColor="text1"/>
        </w:rPr>
        <w:t xml:space="preserve"> </w:t>
      </w:r>
    </w:p>
  </w:footnote>
  <w:footnote w:id="14">
    <w:p w14:paraId="26B3FD24" w14:textId="6B41421D" w:rsidR="00330D2E" w:rsidRPr="003D17CA" w:rsidRDefault="00330D2E">
      <w:pPr>
        <w:pStyle w:val="FootnoteText"/>
        <w:rPr>
          <w:rFonts w:ascii="Cambria" w:hAnsi="Cambria"/>
        </w:rPr>
      </w:pPr>
      <w:r w:rsidRPr="003D17CA">
        <w:rPr>
          <w:rStyle w:val="FootnoteReference"/>
          <w:rFonts w:ascii="Cambria" w:hAnsi="Cambria"/>
        </w:rPr>
        <w:footnoteRef/>
      </w:r>
      <w:r w:rsidRPr="003D17CA">
        <w:rPr>
          <w:rFonts w:ascii="Cambria" w:hAnsi="Cambria"/>
        </w:rPr>
        <w:t xml:space="preserve"> </w:t>
      </w:r>
      <w:r w:rsidRPr="003D17CA">
        <w:rPr>
          <w:rFonts w:ascii="Cambria" w:hAnsi="Cambria"/>
          <w:sz w:val="20"/>
          <w:szCs w:val="20"/>
        </w:rPr>
        <w:t xml:space="preserve">NSW Trustee &amp; Guardian, Financial Management Fees. As found at  </w:t>
      </w:r>
      <w:hyperlink r:id="rId7" w:history="1">
        <w:r w:rsidRPr="003D17CA">
          <w:rPr>
            <w:rStyle w:val="Hyperlink"/>
            <w:rFonts w:ascii="Cambria" w:hAnsi="Cambria"/>
            <w:sz w:val="20"/>
            <w:szCs w:val="20"/>
          </w:rPr>
          <w:t>https://www.tag.nsw.gov.au/fees/financial-management-fees</w:t>
        </w:r>
      </w:hyperlink>
      <w:r w:rsidRPr="003D17CA">
        <w:rPr>
          <w:rFonts w:ascii="Cambria" w:hAnsi="Cambria"/>
          <w:sz w:val="20"/>
          <w:szCs w:val="20"/>
        </w:rPr>
        <w:t xml:space="preserve"> (Accessed 2</w:t>
      </w:r>
      <w:r w:rsidR="00CF3B39">
        <w:rPr>
          <w:rFonts w:ascii="Cambria" w:hAnsi="Cambria"/>
          <w:sz w:val="20"/>
          <w:szCs w:val="20"/>
        </w:rPr>
        <w:t>7</w:t>
      </w:r>
      <w:r w:rsidRPr="003D17CA">
        <w:rPr>
          <w:rFonts w:ascii="Cambria" w:hAnsi="Cambria"/>
          <w:sz w:val="20"/>
          <w:szCs w:val="20"/>
        </w:rPr>
        <w:t xml:space="preserve"> August 2021). </w:t>
      </w:r>
    </w:p>
  </w:footnote>
  <w:footnote w:id="15">
    <w:p w14:paraId="6006567A" w14:textId="44E018FC" w:rsidR="00EF12FC" w:rsidRPr="003D17CA" w:rsidRDefault="00EF12FC">
      <w:pPr>
        <w:pStyle w:val="FootnoteText"/>
        <w:rPr>
          <w:rFonts w:ascii="Cambria" w:hAnsi="Cambria"/>
        </w:rPr>
      </w:pPr>
      <w:r w:rsidRPr="003D17CA">
        <w:rPr>
          <w:rStyle w:val="FootnoteReference"/>
          <w:rFonts w:ascii="Cambria" w:hAnsi="Cambria"/>
        </w:rPr>
        <w:footnoteRef/>
      </w:r>
      <w:r w:rsidRPr="003D17CA">
        <w:rPr>
          <w:rFonts w:ascii="Cambria" w:hAnsi="Cambria"/>
        </w:rPr>
        <w:t xml:space="preserve"> </w:t>
      </w:r>
      <w:r w:rsidRPr="003D17CA">
        <w:rPr>
          <w:rFonts w:ascii="Cambria" w:hAnsi="Cambria"/>
          <w:sz w:val="20"/>
          <w:szCs w:val="20"/>
        </w:rPr>
        <w:t xml:space="preserve">State Trustees, Commissions, Fees &amp; Charges. As found at </w:t>
      </w:r>
      <w:hyperlink r:id="rId8" w:history="1">
        <w:r w:rsidRPr="003D17CA">
          <w:rPr>
            <w:rStyle w:val="Hyperlink"/>
            <w:rFonts w:ascii="Cambria" w:hAnsi="Cambria"/>
            <w:sz w:val="20"/>
            <w:szCs w:val="20"/>
          </w:rPr>
          <w:t>https://www.statetrustees.com.au/what-we-do/state-trustees-commissions-fees-charges</w:t>
        </w:r>
      </w:hyperlink>
      <w:r w:rsidRPr="003D17CA">
        <w:rPr>
          <w:rFonts w:ascii="Cambria" w:hAnsi="Cambria"/>
          <w:sz w:val="20"/>
          <w:szCs w:val="20"/>
        </w:rPr>
        <w:t xml:space="preserve"> (Accessed 24 August 2021). Also see Victorian Ombudsman, </w:t>
      </w:r>
      <w:r w:rsidRPr="003D17CA">
        <w:rPr>
          <w:rFonts w:ascii="Cambria" w:hAnsi="Cambria"/>
          <w:i/>
          <w:iCs/>
          <w:sz w:val="20"/>
          <w:szCs w:val="20"/>
        </w:rPr>
        <w:t>Investigation into State Trustees</w:t>
      </w:r>
      <w:r w:rsidRPr="003D17CA">
        <w:rPr>
          <w:rFonts w:ascii="Cambria" w:hAnsi="Cambria"/>
          <w:sz w:val="20"/>
          <w:szCs w:val="20"/>
        </w:rPr>
        <w:t xml:space="preserve"> (June 2019) at para. 254 which states “under the </w:t>
      </w:r>
      <w:r w:rsidR="00BB0EC6" w:rsidRPr="003D17CA">
        <w:rPr>
          <w:rFonts w:ascii="Cambria" w:hAnsi="Cambria"/>
          <w:sz w:val="20"/>
          <w:szCs w:val="20"/>
        </w:rPr>
        <w:t>DHHS</w:t>
      </w:r>
      <w:r w:rsidRPr="003D17CA">
        <w:rPr>
          <w:rFonts w:ascii="Cambria" w:hAnsi="Cambria"/>
          <w:sz w:val="20"/>
          <w:szCs w:val="20"/>
        </w:rPr>
        <w:t xml:space="preserve"> community services agreement with State Trustees, the department pays fees and commissions (excluding capital commissions and management fees) for clients with an average daily account balance of less than $3,000”. As found at </w:t>
      </w:r>
      <w:hyperlink r:id="rId9" w:history="1">
        <w:r w:rsidR="004D1C4F" w:rsidRPr="003D17CA">
          <w:rPr>
            <w:rStyle w:val="Hyperlink"/>
            <w:rFonts w:ascii="Cambria" w:hAnsi="Cambria"/>
            <w:sz w:val="20"/>
            <w:szCs w:val="20"/>
          </w:rPr>
          <w:t>https://www.ombudsman.vic.gov.au/our-impact/investigation-reports/investigation-into-state-trustees/</w:t>
        </w:r>
      </w:hyperlink>
      <w:r w:rsidR="004D1C4F" w:rsidRPr="003D17CA">
        <w:rPr>
          <w:rFonts w:ascii="Cambria" w:hAnsi="Cambria"/>
          <w:sz w:val="20"/>
          <w:szCs w:val="20"/>
        </w:rPr>
        <w:t xml:space="preserve"> </w:t>
      </w:r>
      <w:r w:rsidRPr="003D17CA">
        <w:rPr>
          <w:rFonts w:ascii="Cambria" w:hAnsi="Cambria"/>
          <w:sz w:val="20"/>
          <w:szCs w:val="20"/>
        </w:rPr>
        <w:t>(Accessed 2</w:t>
      </w:r>
      <w:r w:rsidR="00CF3B39">
        <w:rPr>
          <w:rFonts w:ascii="Cambria" w:hAnsi="Cambria"/>
          <w:sz w:val="20"/>
          <w:szCs w:val="20"/>
        </w:rPr>
        <w:t>7</w:t>
      </w:r>
      <w:r w:rsidRPr="003D17CA">
        <w:rPr>
          <w:rFonts w:ascii="Cambria" w:hAnsi="Cambria"/>
          <w:sz w:val="20"/>
          <w:szCs w:val="20"/>
        </w:rPr>
        <w:t xml:space="preserve"> August 2021).</w:t>
      </w:r>
      <w:r w:rsidRPr="003D17CA">
        <w:rPr>
          <w:rFonts w:ascii="Cambria" w:hAnsi="Cambria"/>
        </w:rPr>
        <w:t xml:space="preserve"> </w:t>
      </w:r>
    </w:p>
  </w:footnote>
  <w:footnote w:id="16">
    <w:p w14:paraId="1088E2A7" w14:textId="1C8E91B8" w:rsidR="007E54DA" w:rsidRPr="003D17CA" w:rsidRDefault="007E54DA" w:rsidP="007E54DA">
      <w:pPr>
        <w:rPr>
          <w:rFonts w:ascii="Cambria" w:hAnsi="Cambria"/>
        </w:rPr>
      </w:pPr>
      <w:r w:rsidRPr="003D17CA">
        <w:rPr>
          <w:rStyle w:val="FootnoteReference"/>
          <w:rFonts w:ascii="Cambria" w:hAnsi="Cambria"/>
        </w:rPr>
        <w:footnoteRef/>
      </w:r>
      <w:r w:rsidRPr="003D17CA">
        <w:rPr>
          <w:rFonts w:ascii="Cambria" w:hAnsi="Cambria"/>
        </w:rPr>
        <w:t xml:space="preserve"> </w:t>
      </w:r>
      <w:r w:rsidRPr="003D17CA">
        <w:rPr>
          <w:rFonts w:ascii="Cambria" w:hAnsi="Cambria"/>
          <w:sz w:val="20"/>
          <w:szCs w:val="20"/>
        </w:rPr>
        <w:t>Conversation with Clinton Miles, Director of Disability Services, Public Trustee of Queensland on 16th April 2014.</w:t>
      </w:r>
      <w:r w:rsidRPr="003D17CA">
        <w:rPr>
          <w:rFonts w:ascii="Cambria" w:hAnsi="Cambria"/>
        </w:rPr>
        <w:t xml:space="preserve"> </w:t>
      </w:r>
    </w:p>
  </w:footnote>
  <w:footnote w:id="17">
    <w:p w14:paraId="1EFCA543" w14:textId="7CF7E2E6" w:rsidR="00EF12FC" w:rsidRPr="003D17CA" w:rsidRDefault="00EF12FC">
      <w:pPr>
        <w:pStyle w:val="FootnoteText"/>
        <w:rPr>
          <w:rFonts w:ascii="Cambria" w:hAnsi="Cambria"/>
        </w:rPr>
      </w:pPr>
      <w:r w:rsidRPr="003D17CA">
        <w:rPr>
          <w:rStyle w:val="FootnoteReference"/>
          <w:rFonts w:ascii="Cambria" w:hAnsi="Cambria"/>
        </w:rPr>
        <w:footnoteRef/>
      </w:r>
      <w:r w:rsidRPr="003D17CA">
        <w:rPr>
          <w:rFonts w:ascii="Cambria" w:hAnsi="Cambria"/>
        </w:rPr>
        <w:t xml:space="preserve"> </w:t>
      </w:r>
      <w:r w:rsidRPr="003D17CA">
        <w:rPr>
          <w:rFonts w:ascii="Cambria" w:hAnsi="Cambria"/>
          <w:sz w:val="20"/>
          <w:szCs w:val="20"/>
        </w:rPr>
        <w:t xml:space="preserve">Western Australian Government Gazette, </w:t>
      </w:r>
      <w:r w:rsidRPr="003D17CA">
        <w:rPr>
          <w:rFonts w:ascii="Cambria" w:hAnsi="Cambria"/>
          <w:i/>
          <w:iCs/>
          <w:sz w:val="20"/>
          <w:szCs w:val="20"/>
        </w:rPr>
        <w:t>Public Trustee’s Scale of Fees</w:t>
      </w:r>
      <w:r w:rsidRPr="003D17CA">
        <w:rPr>
          <w:rFonts w:ascii="Cambria" w:hAnsi="Cambria"/>
          <w:sz w:val="20"/>
          <w:szCs w:val="20"/>
        </w:rPr>
        <w:t xml:space="preserve">, 18 June 2021. As found at </w:t>
      </w:r>
      <w:hyperlink r:id="rId10" w:history="1">
        <w:r w:rsidRPr="003D17CA">
          <w:rPr>
            <w:rStyle w:val="Hyperlink"/>
            <w:rFonts w:ascii="Cambria" w:hAnsi="Cambria"/>
            <w:sz w:val="20"/>
            <w:szCs w:val="20"/>
          </w:rPr>
          <w:t>https://www.legislation.wa.gov.au/legislation/prod/gazettestore.nsf/FileURL/gg2021_105.pdf/$FILE/Gg2021_105.pdf</w:t>
        </w:r>
      </w:hyperlink>
      <w:r w:rsidRPr="003D17CA">
        <w:rPr>
          <w:rFonts w:ascii="Cambria" w:hAnsi="Cambria"/>
          <w:sz w:val="20"/>
          <w:szCs w:val="20"/>
        </w:rPr>
        <w:t xml:space="preserve"> (Accessed </w:t>
      </w:r>
      <w:r w:rsidR="00CF3B39">
        <w:rPr>
          <w:rFonts w:ascii="Cambria" w:hAnsi="Cambria"/>
          <w:sz w:val="20"/>
          <w:szCs w:val="20"/>
        </w:rPr>
        <w:t>27</w:t>
      </w:r>
      <w:r w:rsidRPr="003D17CA">
        <w:rPr>
          <w:rFonts w:ascii="Cambria" w:hAnsi="Cambria"/>
          <w:sz w:val="20"/>
          <w:szCs w:val="20"/>
        </w:rPr>
        <w:t xml:space="preserve"> August 2021).  </w:t>
      </w:r>
    </w:p>
  </w:footnote>
  <w:footnote w:id="18">
    <w:p w14:paraId="1AA492B1" w14:textId="24691042" w:rsidR="00926A9A" w:rsidRPr="003D17CA" w:rsidRDefault="00926A9A">
      <w:pPr>
        <w:pStyle w:val="FootnoteText"/>
        <w:rPr>
          <w:rFonts w:ascii="Cambria" w:hAnsi="Cambria"/>
        </w:rPr>
      </w:pPr>
      <w:r w:rsidRPr="003D17CA">
        <w:rPr>
          <w:rStyle w:val="FootnoteReference"/>
          <w:rFonts w:ascii="Cambria" w:hAnsi="Cambria"/>
        </w:rPr>
        <w:footnoteRef/>
      </w:r>
      <w:r w:rsidRPr="003D17CA">
        <w:rPr>
          <w:rFonts w:ascii="Cambria" w:hAnsi="Cambria"/>
        </w:rPr>
        <w:t xml:space="preserve"> </w:t>
      </w:r>
      <w:r w:rsidRPr="003D17CA">
        <w:rPr>
          <w:rFonts w:ascii="Cambria" w:hAnsi="Cambria"/>
          <w:sz w:val="20"/>
          <w:szCs w:val="20"/>
        </w:rPr>
        <w:t xml:space="preserve">Correspondence received from the Acting Manager of Personal Estates, Public Trustee South Australia on 24 August 2021.  </w:t>
      </w:r>
    </w:p>
  </w:footnote>
  <w:footnote w:id="19">
    <w:p w14:paraId="123C1C6F" w14:textId="688F2146" w:rsidR="00EF12FC" w:rsidRPr="003D17CA" w:rsidRDefault="00EF12FC">
      <w:pPr>
        <w:pStyle w:val="FootnoteText"/>
        <w:rPr>
          <w:rFonts w:ascii="Cambria" w:hAnsi="Cambria"/>
        </w:rPr>
      </w:pPr>
      <w:r w:rsidRPr="003D17CA">
        <w:rPr>
          <w:rStyle w:val="FootnoteReference"/>
          <w:rFonts w:ascii="Cambria" w:hAnsi="Cambria"/>
        </w:rPr>
        <w:footnoteRef/>
      </w:r>
      <w:r w:rsidRPr="003D17CA">
        <w:rPr>
          <w:rFonts w:ascii="Cambria" w:hAnsi="Cambria"/>
        </w:rPr>
        <w:t xml:space="preserve"> </w:t>
      </w:r>
      <w:r w:rsidRPr="003D17CA">
        <w:rPr>
          <w:rFonts w:ascii="Cambria" w:hAnsi="Cambria"/>
          <w:sz w:val="20"/>
          <w:szCs w:val="20"/>
        </w:rPr>
        <w:t xml:space="preserve">Public Trustee Tasmania, Financial Administration. As found at </w:t>
      </w:r>
      <w:hyperlink r:id="rId11" w:history="1">
        <w:r w:rsidRPr="003D17CA">
          <w:rPr>
            <w:rStyle w:val="Hyperlink"/>
            <w:rFonts w:ascii="Cambria" w:hAnsi="Cambria"/>
            <w:sz w:val="20"/>
            <w:szCs w:val="20"/>
          </w:rPr>
          <w:t>https://www.publictrustee.tas.gov.au/financial-administration1.html</w:t>
        </w:r>
      </w:hyperlink>
      <w:r w:rsidRPr="003D17CA">
        <w:rPr>
          <w:rFonts w:ascii="Cambria" w:hAnsi="Cambria"/>
          <w:sz w:val="20"/>
          <w:szCs w:val="20"/>
        </w:rPr>
        <w:t xml:space="preserve"> (Accessed </w:t>
      </w:r>
      <w:r w:rsidR="00CF3B39">
        <w:rPr>
          <w:rFonts w:ascii="Cambria" w:hAnsi="Cambria"/>
          <w:sz w:val="20"/>
          <w:szCs w:val="20"/>
        </w:rPr>
        <w:t>27</w:t>
      </w:r>
      <w:r w:rsidRPr="003D17CA">
        <w:rPr>
          <w:rFonts w:ascii="Cambria" w:hAnsi="Cambria"/>
          <w:sz w:val="20"/>
          <w:szCs w:val="20"/>
        </w:rPr>
        <w:t xml:space="preserve"> August 2021).</w:t>
      </w:r>
      <w:r w:rsidRPr="003D17CA">
        <w:rPr>
          <w:rFonts w:ascii="Cambria" w:hAnsi="Cambria"/>
        </w:rPr>
        <w:t xml:space="preserve"> </w:t>
      </w:r>
    </w:p>
  </w:footnote>
  <w:footnote w:id="20">
    <w:p w14:paraId="03120A2E" w14:textId="08FD9A00" w:rsidR="00E70507" w:rsidRPr="003D17CA" w:rsidRDefault="00E70507">
      <w:pPr>
        <w:pStyle w:val="FootnoteText"/>
        <w:rPr>
          <w:rFonts w:ascii="Cambria" w:hAnsi="Cambria"/>
        </w:rPr>
      </w:pPr>
      <w:r w:rsidRPr="003D17CA">
        <w:rPr>
          <w:rStyle w:val="FootnoteReference"/>
          <w:rFonts w:ascii="Cambria" w:hAnsi="Cambria"/>
        </w:rPr>
        <w:footnoteRef/>
      </w:r>
      <w:r w:rsidRPr="003D17CA">
        <w:rPr>
          <w:rFonts w:ascii="Cambria" w:hAnsi="Cambria"/>
        </w:rPr>
        <w:t xml:space="preserve"> </w:t>
      </w:r>
      <w:r w:rsidRPr="003D17CA">
        <w:rPr>
          <w:rFonts w:ascii="Cambria" w:hAnsi="Cambria"/>
          <w:sz w:val="20"/>
          <w:szCs w:val="20"/>
        </w:rPr>
        <w:t xml:space="preserve">Correspondence received from Andrew Taylor, Public Trustee and Guardian on 25 August 2021.  </w:t>
      </w:r>
    </w:p>
  </w:footnote>
  <w:footnote w:id="21">
    <w:p w14:paraId="4BA3B6FB" w14:textId="7B2E167F" w:rsidR="003D17CA" w:rsidRDefault="003D17CA" w:rsidP="003D17CA">
      <w:r w:rsidRPr="003D17CA">
        <w:rPr>
          <w:rStyle w:val="FootnoteReference"/>
          <w:rFonts w:ascii="Cambria" w:hAnsi="Cambria"/>
        </w:rPr>
        <w:footnoteRef/>
      </w:r>
      <w:r w:rsidRPr="003D17CA">
        <w:rPr>
          <w:rFonts w:ascii="Cambria" w:hAnsi="Cambria"/>
        </w:rPr>
        <w:t xml:space="preserve"> </w:t>
      </w:r>
      <w:r w:rsidRPr="003D17CA">
        <w:rPr>
          <w:rFonts w:ascii="Cambria" w:hAnsi="Cambria"/>
          <w:sz w:val="20"/>
          <w:szCs w:val="20"/>
        </w:rPr>
        <w:t>Correspondence received from Cheryl Harris, Acting Senior Manager/Senior Guardian, Office of the Public Guardian on 7th May 2014</w:t>
      </w:r>
    </w:p>
  </w:footnote>
  <w:footnote w:id="22">
    <w:p w14:paraId="0F058ACF" w14:textId="209A8697" w:rsidR="00EF12FC" w:rsidRPr="00926A9A" w:rsidRDefault="00EF12FC" w:rsidP="00EF12FC">
      <w:pPr>
        <w:pStyle w:val="FootnoteText"/>
        <w:rPr>
          <w:rFonts w:ascii="Cambria" w:hAnsi="Cambria"/>
        </w:rPr>
      </w:pPr>
      <w:r w:rsidRPr="00926A9A">
        <w:rPr>
          <w:rStyle w:val="FootnoteReference"/>
          <w:rFonts w:ascii="Cambria" w:hAnsi="Cambria"/>
        </w:rPr>
        <w:footnoteRef/>
      </w:r>
      <w:r w:rsidRPr="00926A9A">
        <w:rPr>
          <w:rFonts w:ascii="Cambria" w:hAnsi="Cambria"/>
        </w:rPr>
        <w:t xml:space="preserve"> </w:t>
      </w:r>
      <w:r w:rsidRPr="00926A9A">
        <w:rPr>
          <w:rFonts w:ascii="Cambria" w:hAnsi="Cambria"/>
          <w:sz w:val="20"/>
          <w:szCs w:val="20"/>
        </w:rPr>
        <w:t>Australian Government, Payment rat</w:t>
      </w:r>
      <w:r w:rsidR="00E43C63">
        <w:rPr>
          <w:rFonts w:ascii="Cambria" w:hAnsi="Cambria"/>
          <w:sz w:val="20"/>
          <w:szCs w:val="20"/>
        </w:rPr>
        <w:t>es</w:t>
      </w:r>
      <w:r w:rsidRPr="00926A9A">
        <w:rPr>
          <w:rFonts w:ascii="Cambria" w:hAnsi="Cambria"/>
          <w:sz w:val="20"/>
          <w:szCs w:val="20"/>
        </w:rPr>
        <w:t xml:space="preserve">. As found at </w:t>
      </w:r>
      <w:hyperlink r:id="rId12" w:history="1">
        <w:r w:rsidRPr="00926A9A">
          <w:rPr>
            <w:rStyle w:val="Hyperlink"/>
            <w:rFonts w:ascii="Cambria" w:hAnsi="Cambria"/>
            <w:sz w:val="20"/>
            <w:szCs w:val="20"/>
          </w:rPr>
          <w:t>https://www.servicesaustralia.gov.au/individuals/services/centrelink/disability-support-pension/how-much-you-can-get/payment-rates</w:t>
        </w:r>
      </w:hyperlink>
      <w:r w:rsidR="00E43C63">
        <w:rPr>
          <w:rFonts w:ascii="Cambria" w:hAnsi="Cambria"/>
          <w:sz w:val="20"/>
          <w:szCs w:val="20"/>
        </w:rPr>
        <w:t xml:space="preserve">; </w:t>
      </w:r>
      <w:hyperlink r:id="rId13" w:history="1">
        <w:r w:rsidR="001B451E" w:rsidRPr="00977B59">
          <w:rPr>
            <w:rStyle w:val="Hyperlink"/>
            <w:rFonts w:ascii="Cambria" w:hAnsi="Cambria"/>
            <w:sz w:val="20"/>
            <w:szCs w:val="20"/>
          </w:rPr>
          <w:t>https://www.servicesaustralia.gov.au/individuals/services/centrelink/age-pension/how-much-you-can-get</w:t>
        </w:r>
      </w:hyperlink>
      <w:r w:rsidR="001B451E">
        <w:rPr>
          <w:rFonts w:ascii="Cambria" w:hAnsi="Cambria"/>
          <w:sz w:val="20"/>
          <w:szCs w:val="20"/>
        </w:rPr>
        <w:t xml:space="preserve"> </w:t>
      </w:r>
      <w:r w:rsidRPr="00926A9A">
        <w:rPr>
          <w:rFonts w:ascii="Cambria" w:hAnsi="Cambria"/>
          <w:sz w:val="20"/>
          <w:szCs w:val="20"/>
        </w:rPr>
        <w:t>(Accessed 2</w:t>
      </w:r>
      <w:r w:rsidR="00CF3B39">
        <w:rPr>
          <w:rFonts w:ascii="Cambria" w:hAnsi="Cambria"/>
          <w:sz w:val="20"/>
          <w:szCs w:val="20"/>
        </w:rPr>
        <w:t>7</w:t>
      </w:r>
      <w:r w:rsidRPr="00926A9A">
        <w:rPr>
          <w:rFonts w:ascii="Cambria" w:hAnsi="Cambria"/>
          <w:sz w:val="20"/>
          <w:szCs w:val="20"/>
        </w:rPr>
        <w:t xml:space="preserve"> August 2021).</w:t>
      </w:r>
      <w:r w:rsidRPr="00926A9A">
        <w:rPr>
          <w:rFonts w:ascii="Cambria" w:hAnsi="Cambria"/>
        </w:rPr>
        <w:t xml:space="preserve"> </w:t>
      </w:r>
    </w:p>
  </w:footnote>
  <w:footnote w:id="23">
    <w:p w14:paraId="371693F7" w14:textId="481FC713" w:rsidR="00C73055" w:rsidRPr="00926A9A" w:rsidRDefault="00C73055">
      <w:pPr>
        <w:pStyle w:val="FootnoteText"/>
        <w:rPr>
          <w:rFonts w:ascii="Cambria" w:hAnsi="Cambria"/>
        </w:rPr>
      </w:pPr>
      <w:r w:rsidRPr="00926A9A">
        <w:rPr>
          <w:rStyle w:val="FootnoteReference"/>
          <w:rFonts w:ascii="Cambria" w:hAnsi="Cambria"/>
        </w:rPr>
        <w:footnoteRef/>
      </w:r>
      <w:r w:rsidRPr="00926A9A">
        <w:rPr>
          <w:rFonts w:ascii="Cambria" w:hAnsi="Cambria"/>
        </w:rPr>
        <w:t xml:space="preserve"> </w:t>
      </w:r>
      <w:r w:rsidRPr="00926A9A">
        <w:rPr>
          <w:rFonts w:ascii="Cambria" w:hAnsi="Cambria"/>
          <w:sz w:val="20"/>
          <w:szCs w:val="20"/>
        </w:rPr>
        <w:t xml:space="preserve">Parliament of Tasmania, </w:t>
      </w:r>
      <w:r w:rsidRPr="00926A9A">
        <w:rPr>
          <w:rFonts w:ascii="Cambria" w:hAnsi="Cambria"/>
          <w:i/>
          <w:iCs/>
          <w:color w:val="000000"/>
          <w:sz w:val="20"/>
          <w:szCs w:val="20"/>
        </w:rPr>
        <w:t>Hansard</w:t>
      </w:r>
      <w:r w:rsidRPr="00926A9A">
        <w:rPr>
          <w:rFonts w:ascii="Cambria" w:hAnsi="Cambria"/>
          <w:color w:val="000000"/>
          <w:sz w:val="20"/>
          <w:szCs w:val="20"/>
        </w:rPr>
        <w:t>, Government Businesses Scrutiny Committee, 8 December 2016.</w:t>
      </w:r>
    </w:p>
  </w:footnote>
  <w:footnote w:id="24">
    <w:p w14:paraId="6CFBEC1E" w14:textId="7A56745B" w:rsidR="003622E5" w:rsidRPr="004173D8" w:rsidRDefault="003622E5" w:rsidP="003622E5">
      <w:pPr>
        <w:pStyle w:val="FootnoteText"/>
        <w:rPr>
          <w:rFonts w:ascii="Cambria" w:hAnsi="Cambria"/>
        </w:rPr>
      </w:pPr>
      <w:r w:rsidRPr="004173D8">
        <w:rPr>
          <w:rStyle w:val="FootnoteReference"/>
          <w:rFonts w:ascii="Cambria" w:hAnsi="Cambria"/>
        </w:rPr>
        <w:footnoteRef/>
      </w:r>
      <w:r w:rsidRPr="004173D8">
        <w:rPr>
          <w:rFonts w:ascii="Cambria" w:hAnsi="Cambria"/>
        </w:rPr>
        <w:t xml:space="preserve"> </w:t>
      </w:r>
      <w:r w:rsidRPr="004173D8">
        <w:rPr>
          <w:rFonts w:ascii="Cambria" w:hAnsi="Cambria"/>
          <w:sz w:val="20"/>
          <w:szCs w:val="20"/>
        </w:rPr>
        <w:t xml:space="preserve">Community Legal Centres Tasmania and Advocacy Tasmania Inc, </w:t>
      </w:r>
      <w:r w:rsidRPr="004173D8">
        <w:rPr>
          <w:rFonts w:ascii="Cambria" w:hAnsi="Cambria"/>
          <w:i/>
          <w:iCs/>
          <w:sz w:val="20"/>
          <w:szCs w:val="20"/>
        </w:rPr>
        <w:t>The Public Trustee and a Fair and Proportionate Fee Structure for Represented Persons</w:t>
      </w:r>
      <w:r w:rsidRPr="004173D8">
        <w:rPr>
          <w:rFonts w:ascii="Cambria" w:hAnsi="Cambria"/>
          <w:sz w:val="20"/>
          <w:szCs w:val="20"/>
        </w:rPr>
        <w:t xml:space="preserve"> (October 2014). As found at </w:t>
      </w:r>
      <w:hyperlink r:id="rId14" w:history="1">
        <w:r w:rsidRPr="004173D8">
          <w:rPr>
            <w:rStyle w:val="Hyperlink"/>
            <w:rFonts w:ascii="Cambria" w:hAnsi="Cambria"/>
            <w:sz w:val="20"/>
            <w:szCs w:val="20"/>
          </w:rPr>
          <w:t>http://www.clctas.org.au/wp-content/uploads/2014/10/PublicTrusteeFeesPaperF.pdf</w:t>
        </w:r>
      </w:hyperlink>
      <w:r w:rsidRPr="004173D8">
        <w:rPr>
          <w:rFonts w:ascii="Cambria" w:hAnsi="Cambria"/>
          <w:sz w:val="20"/>
          <w:szCs w:val="20"/>
        </w:rPr>
        <w:t xml:space="preserve"> (Accessed 2</w:t>
      </w:r>
      <w:r w:rsidR="00CF3B39">
        <w:rPr>
          <w:rFonts w:ascii="Cambria" w:hAnsi="Cambria"/>
          <w:sz w:val="20"/>
          <w:szCs w:val="20"/>
        </w:rPr>
        <w:t>7</w:t>
      </w:r>
      <w:r w:rsidRPr="004173D8">
        <w:rPr>
          <w:rFonts w:ascii="Cambria" w:hAnsi="Cambria"/>
          <w:sz w:val="20"/>
          <w:szCs w:val="20"/>
        </w:rPr>
        <w:t xml:space="preserve"> August 2021).</w:t>
      </w:r>
      <w:r w:rsidRPr="004173D8">
        <w:rPr>
          <w:rFonts w:ascii="Cambria" w:hAnsi="Cambria"/>
        </w:rPr>
        <w:t xml:space="preserve">  </w:t>
      </w:r>
    </w:p>
  </w:footnote>
  <w:footnote w:id="25">
    <w:p w14:paraId="2A26743E" w14:textId="77777777" w:rsidR="004173D8" w:rsidRPr="004173D8" w:rsidRDefault="004173D8" w:rsidP="004173D8">
      <w:pPr>
        <w:rPr>
          <w:rFonts w:ascii="Cambria" w:hAnsi="Cambria"/>
        </w:rPr>
      </w:pPr>
      <w:r w:rsidRPr="004173D8">
        <w:rPr>
          <w:rStyle w:val="FootnoteReference"/>
          <w:rFonts w:ascii="Cambria" w:hAnsi="Cambria"/>
        </w:rPr>
        <w:footnoteRef/>
      </w:r>
      <w:r w:rsidRPr="004173D8">
        <w:rPr>
          <w:rFonts w:ascii="Cambria" w:hAnsi="Cambria"/>
        </w:rPr>
        <w:t xml:space="preserve"> </w:t>
      </w:r>
      <w:r w:rsidRPr="004173D8">
        <w:rPr>
          <w:rFonts w:ascii="Cambria" w:hAnsi="Cambria"/>
          <w:sz w:val="20"/>
          <w:szCs w:val="20"/>
        </w:rPr>
        <w:t>Industry Commission, Community Service Obligations: Policies and Practices of Australian Governments (Australian Government: 1997) at 7. The Productivity Commission was formerly known as the Industry Commission.</w:t>
      </w:r>
      <w:r w:rsidRPr="004173D8">
        <w:rPr>
          <w:rFonts w:ascii="Cambria" w:hAnsi="Cambria"/>
        </w:rPr>
        <w:t xml:space="preserve"> </w:t>
      </w:r>
    </w:p>
  </w:footnote>
  <w:footnote w:id="26">
    <w:p w14:paraId="20463B7A" w14:textId="77777777" w:rsidR="004173D8" w:rsidRPr="004173D8" w:rsidRDefault="004173D8" w:rsidP="004173D8">
      <w:pPr>
        <w:rPr>
          <w:rFonts w:ascii="Cambria" w:hAnsi="Cambria"/>
        </w:rPr>
      </w:pPr>
      <w:r w:rsidRPr="004173D8">
        <w:rPr>
          <w:rStyle w:val="FootnoteReference"/>
          <w:rFonts w:ascii="Cambria" w:hAnsi="Cambria"/>
        </w:rPr>
        <w:footnoteRef/>
      </w:r>
      <w:r w:rsidRPr="004173D8">
        <w:rPr>
          <w:rFonts w:ascii="Cambria" w:hAnsi="Cambria"/>
        </w:rPr>
        <w:t xml:space="preserve"> </w:t>
      </w:r>
      <w:r w:rsidRPr="004173D8">
        <w:rPr>
          <w:rFonts w:ascii="Cambria" w:hAnsi="Cambria"/>
          <w:sz w:val="20"/>
          <w:szCs w:val="20"/>
        </w:rPr>
        <w:t>House of Representatives Standing Committee on Financial Institutions and Public Administration, Cultivating Competition: Report of the Inquiry into Aspects of the National Competition Policy Reform Package (Canberra: 1997) at 43.</w:t>
      </w:r>
      <w:r w:rsidRPr="004173D8">
        <w:rPr>
          <w:rFonts w:ascii="Cambria" w:hAnsi="Cambria"/>
        </w:rPr>
        <w:t xml:space="preserve"> </w:t>
      </w:r>
    </w:p>
  </w:footnote>
  <w:footnote w:id="27">
    <w:p w14:paraId="64CE4B51" w14:textId="3A47A9AD" w:rsidR="004173D8" w:rsidRPr="00C11ACC" w:rsidRDefault="004173D8">
      <w:pPr>
        <w:pStyle w:val="FootnoteText"/>
        <w:rPr>
          <w:rFonts w:ascii="Cambria" w:hAnsi="Cambria"/>
        </w:rPr>
      </w:pPr>
      <w:r w:rsidRPr="00C11ACC">
        <w:rPr>
          <w:rStyle w:val="FootnoteReference"/>
          <w:rFonts w:ascii="Cambria" w:hAnsi="Cambria"/>
        </w:rPr>
        <w:footnoteRef/>
      </w:r>
      <w:r w:rsidRPr="00C11ACC">
        <w:rPr>
          <w:rFonts w:ascii="Cambria" w:hAnsi="Cambria"/>
        </w:rPr>
        <w:t xml:space="preserve"> </w:t>
      </w:r>
      <w:r w:rsidRPr="00C11ACC">
        <w:rPr>
          <w:rFonts w:ascii="Cambria" w:hAnsi="Cambria"/>
          <w:color w:val="000000" w:themeColor="text1"/>
          <w:sz w:val="20"/>
          <w:szCs w:val="20"/>
        </w:rPr>
        <w:t xml:space="preserve">Attorney-General, Vanessa Goodwin, ‘Public Trustee fees to be significantly reduced for low-income clients’, 3 December 2015. As found at </w:t>
      </w:r>
      <w:hyperlink r:id="rId15" w:history="1">
        <w:r w:rsidRPr="00C11ACC">
          <w:rPr>
            <w:rStyle w:val="Hyperlink"/>
            <w:rFonts w:ascii="Cambria" w:hAnsi="Cambria"/>
            <w:sz w:val="20"/>
            <w:szCs w:val="20"/>
          </w:rPr>
          <w:t>http://www.premier.tas.gov.au/releases/public_trustee_fees_to_be_significantly_reduced_for_low-income_clients</w:t>
        </w:r>
      </w:hyperlink>
      <w:r w:rsidRPr="00C11ACC">
        <w:rPr>
          <w:rFonts w:ascii="Cambria" w:hAnsi="Cambria"/>
          <w:sz w:val="20"/>
          <w:szCs w:val="20"/>
        </w:rPr>
        <w:t xml:space="preserve"> (</w:t>
      </w:r>
      <w:r w:rsidRPr="00C11ACC">
        <w:rPr>
          <w:rFonts w:ascii="Cambria" w:hAnsi="Cambria"/>
          <w:color w:val="000000" w:themeColor="text1"/>
          <w:sz w:val="20"/>
          <w:szCs w:val="20"/>
        </w:rPr>
        <w:t>Accessed 2</w:t>
      </w:r>
      <w:r w:rsidR="00CF3B39">
        <w:rPr>
          <w:rFonts w:ascii="Cambria" w:hAnsi="Cambria"/>
          <w:color w:val="000000" w:themeColor="text1"/>
          <w:sz w:val="20"/>
          <w:szCs w:val="20"/>
        </w:rPr>
        <w:t>7</w:t>
      </w:r>
      <w:r w:rsidRPr="00C11ACC">
        <w:rPr>
          <w:rFonts w:ascii="Cambria" w:hAnsi="Cambria"/>
          <w:color w:val="000000" w:themeColor="text1"/>
          <w:sz w:val="20"/>
          <w:szCs w:val="20"/>
        </w:rPr>
        <w:t xml:space="preserve"> August 2021).</w:t>
      </w:r>
    </w:p>
  </w:footnote>
  <w:footnote w:id="28">
    <w:p w14:paraId="4A717D06" w14:textId="61C73916" w:rsidR="00C11ACC" w:rsidRPr="008F5B37" w:rsidRDefault="00C11ACC">
      <w:pPr>
        <w:pStyle w:val="FootnoteText"/>
        <w:rPr>
          <w:rFonts w:ascii="Cambria" w:hAnsi="Cambria"/>
        </w:rPr>
      </w:pPr>
      <w:r w:rsidRPr="008F5B37">
        <w:rPr>
          <w:rStyle w:val="FootnoteReference"/>
          <w:rFonts w:ascii="Cambria" w:hAnsi="Cambria"/>
        </w:rPr>
        <w:footnoteRef/>
      </w:r>
      <w:r w:rsidRPr="008F5B37">
        <w:rPr>
          <w:rFonts w:ascii="Cambria" w:hAnsi="Cambria"/>
        </w:rPr>
        <w:t xml:space="preserve"> </w:t>
      </w:r>
      <w:r w:rsidRPr="008F5B37">
        <w:rPr>
          <w:rFonts w:ascii="Cambria" w:hAnsi="Cambria"/>
          <w:color w:val="000000" w:themeColor="text1"/>
          <w:sz w:val="20"/>
          <w:szCs w:val="20"/>
        </w:rPr>
        <w:t xml:space="preserve">Attorney-General, Vanessa Goodwin, ‘Public Trustee fees to be significantly reduced for low-income clients’, 3 December 2015. As found at </w:t>
      </w:r>
      <w:hyperlink r:id="rId16" w:history="1">
        <w:r w:rsidRPr="008F5B37">
          <w:rPr>
            <w:rStyle w:val="Hyperlink"/>
            <w:rFonts w:ascii="Cambria" w:hAnsi="Cambria"/>
            <w:sz w:val="20"/>
            <w:szCs w:val="20"/>
          </w:rPr>
          <w:t>http://www.premier.tas.gov.au/releases/public_trustee_fees_to_be_significantly_reduced_for_low-income_clients</w:t>
        </w:r>
      </w:hyperlink>
      <w:r w:rsidRPr="008F5B37">
        <w:rPr>
          <w:rFonts w:ascii="Cambria" w:hAnsi="Cambria"/>
          <w:sz w:val="20"/>
          <w:szCs w:val="20"/>
        </w:rPr>
        <w:t xml:space="preserve"> (</w:t>
      </w:r>
      <w:r w:rsidRPr="008F5B37">
        <w:rPr>
          <w:rFonts w:ascii="Cambria" w:hAnsi="Cambria"/>
          <w:color w:val="000000" w:themeColor="text1"/>
          <w:sz w:val="20"/>
          <w:szCs w:val="20"/>
        </w:rPr>
        <w:t>Accessed 2</w:t>
      </w:r>
      <w:r w:rsidR="00CF3B39">
        <w:rPr>
          <w:rFonts w:ascii="Cambria" w:hAnsi="Cambria"/>
          <w:color w:val="000000" w:themeColor="text1"/>
          <w:sz w:val="20"/>
          <w:szCs w:val="20"/>
        </w:rPr>
        <w:t>7</w:t>
      </w:r>
      <w:r w:rsidRPr="008F5B37">
        <w:rPr>
          <w:rFonts w:ascii="Cambria" w:hAnsi="Cambria"/>
          <w:color w:val="000000" w:themeColor="text1"/>
          <w:sz w:val="20"/>
          <w:szCs w:val="20"/>
        </w:rPr>
        <w:t xml:space="preserve"> August 2021).</w:t>
      </w:r>
      <w:r w:rsidR="00601E34">
        <w:rPr>
          <w:rFonts w:ascii="Cambria" w:hAnsi="Cambria"/>
          <w:color w:val="000000" w:themeColor="text1"/>
          <w:sz w:val="20"/>
          <w:szCs w:val="20"/>
        </w:rPr>
        <w:t xml:space="preserve"> </w:t>
      </w:r>
      <w:r w:rsidR="00601E34" w:rsidRPr="00601E34">
        <w:rPr>
          <w:rFonts w:ascii="Cambria" w:hAnsi="Cambria"/>
          <w:color w:val="000000" w:themeColor="text1"/>
          <w:sz w:val="20"/>
          <w:szCs w:val="20"/>
        </w:rPr>
        <w:t xml:space="preserve">Also see </w:t>
      </w:r>
      <w:r w:rsidR="00601E34" w:rsidRPr="00601E34">
        <w:rPr>
          <w:rFonts w:ascii="Cambria" w:hAnsi="Cambria"/>
          <w:sz w:val="20"/>
          <w:szCs w:val="20"/>
        </w:rPr>
        <w:t xml:space="preserve">Parliament of Tasmania, </w:t>
      </w:r>
      <w:r w:rsidR="00601E34" w:rsidRPr="00601E34">
        <w:rPr>
          <w:rFonts w:ascii="Cambria" w:hAnsi="Cambria"/>
          <w:i/>
          <w:iCs/>
          <w:color w:val="000000"/>
          <w:sz w:val="20"/>
          <w:szCs w:val="20"/>
        </w:rPr>
        <w:t>Hansard</w:t>
      </w:r>
      <w:r w:rsidR="00601E34" w:rsidRPr="00601E34">
        <w:rPr>
          <w:rFonts w:ascii="Cambria" w:hAnsi="Cambria"/>
          <w:color w:val="000000"/>
          <w:sz w:val="20"/>
          <w:szCs w:val="20"/>
        </w:rPr>
        <w:t xml:space="preserve">, Government Businesses Scrutiny Committee, 8 December 2016 in which </w:t>
      </w:r>
      <w:r w:rsidR="00601E34" w:rsidRPr="00601E34">
        <w:rPr>
          <w:rFonts w:ascii="Cambria" w:hAnsi="Cambria"/>
          <w:color w:val="000000" w:themeColor="text1"/>
          <w:sz w:val="20"/>
          <w:szCs w:val="20"/>
          <w:shd w:val="clear" w:color="auto" w:fill="FFFFFF"/>
        </w:rPr>
        <w:t>the Public Trustee noted that there was a shortfall of CSO funding of around $750,000.</w:t>
      </w:r>
      <w:r w:rsidR="00601E34">
        <w:rPr>
          <w:rFonts w:ascii="Cambria" w:hAnsi="Cambria"/>
          <w:color w:val="000000" w:themeColor="text1"/>
          <w:shd w:val="clear" w:color="auto" w:fill="FFFFFF"/>
        </w:rPr>
        <w:t xml:space="preserve">   </w:t>
      </w:r>
    </w:p>
  </w:footnote>
  <w:footnote w:id="29">
    <w:p w14:paraId="44C7D91E" w14:textId="2A4747DC" w:rsidR="003470BC" w:rsidRPr="008F5B37" w:rsidRDefault="003470BC">
      <w:pPr>
        <w:pStyle w:val="FootnoteText"/>
        <w:rPr>
          <w:rFonts w:ascii="Cambria" w:hAnsi="Cambria"/>
        </w:rPr>
      </w:pPr>
      <w:r w:rsidRPr="008F5B37">
        <w:rPr>
          <w:rStyle w:val="FootnoteReference"/>
          <w:rFonts w:ascii="Cambria" w:hAnsi="Cambria"/>
        </w:rPr>
        <w:footnoteRef/>
      </w:r>
      <w:r w:rsidRPr="008F5B37">
        <w:rPr>
          <w:rFonts w:ascii="Cambria" w:hAnsi="Cambria"/>
        </w:rPr>
        <w:t xml:space="preserve"> </w:t>
      </w:r>
      <w:r w:rsidRPr="008F5B37">
        <w:rPr>
          <w:rFonts w:ascii="Cambria" w:hAnsi="Cambria"/>
          <w:sz w:val="20"/>
          <w:szCs w:val="20"/>
        </w:rPr>
        <w:t xml:space="preserve">Parliament of Tasmania, </w:t>
      </w:r>
      <w:r w:rsidRPr="008F5B37">
        <w:rPr>
          <w:rFonts w:ascii="Cambria" w:hAnsi="Cambria"/>
          <w:i/>
          <w:iCs/>
          <w:color w:val="000000"/>
          <w:sz w:val="20"/>
          <w:szCs w:val="20"/>
        </w:rPr>
        <w:t>Hansard</w:t>
      </w:r>
      <w:r w:rsidRPr="008F5B37">
        <w:rPr>
          <w:rFonts w:ascii="Cambria" w:hAnsi="Cambria"/>
          <w:color w:val="000000"/>
          <w:sz w:val="20"/>
          <w:szCs w:val="20"/>
        </w:rPr>
        <w:t>, Government Businesses Scrutiny Committee, 8 December 2016.</w:t>
      </w:r>
      <w:r w:rsidRPr="008F5B37">
        <w:rPr>
          <w:rFonts w:ascii="Cambria" w:hAnsi="Cambria"/>
          <w:color w:val="000000"/>
        </w:rPr>
        <w:t xml:space="preserve"> </w:t>
      </w:r>
    </w:p>
  </w:footnote>
  <w:footnote w:id="30">
    <w:p w14:paraId="41648D7D" w14:textId="56138028" w:rsidR="004173D8" w:rsidRPr="008F5B37" w:rsidRDefault="004173D8" w:rsidP="004173D8">
      <w:pPr>
        <w:pStyle w:val="FootnoteText"/>
        <w:rPr>
          <w:rFonts w:ascii="Cambria" w:hAnsi="Cambria"/>
        </w:rPr>
      </w:pPr>
      <w:r w:rsidRPr="008F5B37">
        <w:rPr>
          <w:rStyle w:val="FootnoteReference"/>
          <w:rFonts w:ascii="Cambria" w:hAnsi="Cambria"/>
        </w:rPr>
        <w:footnoteRef/>
      </w:r>
      <w:r w:rsidRPr="008F5B37">
        <w:rPr>
          <w:rFonts w:ascii="Cambria" w:hAnsi="Cambria"/>
        </w:rPr>
        <w:t xml:space="preserve"> </w:t>
      </w:r>
      <w:r w:rsidRPr="008F5B37">
        <w:rPr>
          <w:rFonts w:ascii="Cambria" w:hAnsi="Cambria"/>
          <w:sz w:val="20"/>
          <w:szCs w:val="20"/>
        </w:rPr>
        <w:t xml:space="preserve">Department of Treasury and Finance, Community Service Obligation Agreement 0 Public Trustee Deed of Variation and Extension (1 July 2017 – 30 June 2022). As found at </w:t>
      </w:r>
      <w:hyperlink r:id="rId17" w:history="1">
        <w:r w:rsidRPr="008F5B37">
          <w:rPr>
            <w:rStyle w:val="Hyperlink"/>
            <w:rFonts w:ascii="Cambria" w:hAnsi="Cambria"/>
            <w:sz w:val="20"/>
            <w:szCs w:val="20"/>
          </w:rPr>
          <w:t>https://www.treasury.tas.gov.au/about-us/corporate-governance/routine-disclosure-of-information/disclosure-of-non-procurement-contracts-over-$2-million</w:t>
        </w:r>
      </w:hyperlink>
      <w:r w:rsidRPr="008F5B37">
        <w:rPr>
          <w:rFonts w:ascii="Cambria" w:hAnsi="Cambria"/>
          <w:sz w:val="20"/>
          <w:szCs w:val="20"/>
        </w:rPr>
        <w:t xml:space="preserve"> (Accessed 2</w:t>
      </w:r>
      <w:r w:rsidR="00CF3B39">
        <w:rPr>
          <w:rFonts w:ascii="Cambria" w:hAnsi="Cambria"/>
          <w:sz w:val="20"/>
          <w:szCs w:val="20"/>
        </w:rPr>
        <w:t>7</w:t>
      </w:r>
      <w:r w:rsidRPr="008F5B37">
        <w:rPr>
          <w:rFonts w:ascii="Cambria" w:hAnsi="Cambria"/>
          <w:sz w:val="20"/>
          <w:szCs w:val="20"/>
        </w:rPr>
        <w:t xml:space="preserve"> August 2021).</w:t>
      </w:r>
      <w:r w:rsidRPr="008F5B37">
        <w:rPr>
          <w:rFonts w:ascii="Cambria" w:hAnsi="Cambria"/>
        </w:rPr>
        <w:t xml:space="preserve"> </w:t>
      </w:r>
    </w:p>
  </w:footnote>
  <w:footnote w:id="31">
    <w:p w14:paraId="4994C9E7" w14:textId="398512A8" w:rsidR="004173D8" w:rsidRPr="00C11ACC" w:rsidRDefault="004173D8" w:rsidP="004173D8">
      <w:pPr>
        <w:rPr>
          <w:rFonts w:ascii="Cambria" w:hAnsi="Cambria"/>
          <w:color w:val="000000" w:themeColor="text1"/>
        </w:rPr>
      </w:pPr>
      <w:r w:rsidRPr="008F5B37">
        <w:rPr>
          <w:rStyle w:val="FootnoteReference"/>
          <w:rFonts w:ascii="Cambria" w:hAnsi="Cambria"/>
        </w:rPr>
        <w:footnoteRef/>
      </w:r>
      <w:r w:rsidRPr="008F5B37">
        <w:rPr>
          <w:rFonts w:ascii="Cambria" w:hAnsi="Cambria"/>
        </w:rPr>
        <w:t xml:space="preserve"> </w:t>
      </w:r>
      <w:r w:rsidRPr="008F5B37">
        <w:rPr>
          <w:rFonts w:ascii="Cambria" w:hAnsi="Cambria"/>
          <w:sz w:val="20"/>
          <w:szCs w:val="20"/>
        </w:rPr>
        <w:t xml:space="preserve">Australian Bureau of Statistics, Consumer Price Index, Australia. As found at </w:t>
      </w:r>
      <w:hyperlink r:id="rId18" w:history="1">
        <w:r w:rsidRPr="008F5B37">
          <w:rPr>
            <w:rStyle w:val="Hyperlink"/>
            <w:rFonts w:ascii="Cambria" w:hAnsi="Cambria"/>
            <w:sz w:val="20"/>
            <w:szCs w:val="20"/>
          </w:rPr>
          <w:t>https://www.abs.gov.au/statistics/economy/price-indexes-and-inflation/consumer-price-index-australia/latest-release</w:t>
        </w:r>
      </w:hyperlink>
      <w:r w:rsidRPr="008F5B37">
        <w:rPr>
          <w:rFonts w:ascii="Cambria" w:hAnsi="Cambria"/>
          <w:sz w:val="20"/>
          <w:szCs w:val="20"/>
        </w:rPr>
        <w:t xml:space="preserve"> (Accessed 2</w:t>
      </w:r>
      <w:r w:rsidR="00CF3B39">
        <w:rPr>
          <w:rFonts w:ascii="Cambria" w:hAnsi="Cambria"/>
          <w:sz w:val="20"/>
          <w:szCs w:val="20"/>
        </w:rPr>
        <w:t>7</w:t>
      </w:r>
      <w:r w:rsidRPr="008F5B37">
        <w:rPr>
          <w:rFonts w:ascii="Cambria" w:hAnsi="Cambria"/>
          <w:sz w:val="20"/>
          <w:szCs w:val="20"/>
        </w:rPr>
        <w:t xml:space="preserve"> August 2021). The CPI in </w:t>
      </w:r>
      <w:r w:rsidRPr="008F5B37">
        <w:rPr>
          <w:rFonts w:ascii="Cambria" w:hAnsi="Cambria"/>
          <w:color w:val="000000" w:themeColor="text1"/>
          <w:sz w:val="20"/>
          <w:szCs w:val="20"/>
        </w:rPr>
        <w:t>June 2017 was 1.9 per cent; 2.1 per cent in June 2018; 1.6 per cent in June 2019 and -0.3 per cent in June 2019.</w:t>
      </w:r>
      <w:r w:rsidRPr="00C11ACC">
        <w:rPr>
          <w:rFonts w:ascii="Cambria" w:hAnsi="Cambria"/>
          <w:color w:val="000000" w:themeColor="text1"/>
        </w:rPr>
        <w:t xml:space="preserve"> </w:t>
      </w:r>
    </w:p>
  </w:footnote>
  <w:footnote w:id="32">
    <w:p w14:paraId="6C12866C" w14:textId="77777777" w:rsidR="004173D8" w:rsidRPr="00C11ACC" w:rsidRDefault="004173D8" w:rsidP="004173D8">
      <w:pPr>
        <w:pStyle w:val="FootnoteText"/>
        <w:rPr>
          <w:rFonts w:ascii="Cambria" w:hAnsi="Cambria"/>
        </w:rPr>
      </w:pPr>
      <w:r w:rsidRPr="00C11ACC">
        <w:rPr>
          <w:rStyle w:val="FootnoteReference"/>
          <w:rFonts w:ascii="Cambria" w:hAnsi="Cambria"/>
        </w:rPr>
        <w:footnoteRef/>
      </w:r>
      <w:r w:rsidRPr="00C11ACC">
        <w:rPr>
          <w:rFonts w:ascii="Cambria" w:hAnsi="Cambria"/>
        </w:rPr>
        <w:t xml:space="preserve"> </w:t>
      </w:r>
      <w:r w:rsidRPr="00C11ACC">
        <w:rPr>
          <w:rFonts w:ascii="Cambria" w:hAnsi="Cambria"/>
          <w:sz w:val="20"/>
          <w:szCs w:val="20"/>
        </w:rPr>
        <w:t>The 13 per cent increase does not take into account the 2020-21 financial year with the number of CSO represented persons not yet made publicly available.</w:t>
      </w:r>
      <w:r w:rsidRPr="00C11ACC">
        <w:rPr>
          <w:rFonts w:ascii="Cambria" w:hAnsi="Cambria"/>
        </w:rPr>
        <w:t xml:space="preserve"> </w:t>
      </w:r>
    </w:p>
  </w:footnote>
  <w:footnote w:id="33">
    <w:p w14:paraId="1DBBBF78" w14:textId="77777777" w:rsidR="004173D8" w:rsidRPr="00B307FE" w:rsidRDefault="004173D8" w:rsidP="004173D8">
      <w:pPr>
        <w:rPr>
          <w:rFonts w:ascii="Cambria" w:hAnsi="Cambria"/>
          <w:sz w:val="20"/>
          <w:szCs w:val="20"/>
        </w:rPr>
      </w:pPr>
      <w:r w:rsidRPr="00B307FE">
        <w:rPr>
          <w:rStyle w:val="FootnoteReference"/>
          <w:rFonts w:ascii="Cambria" w:hAnsi="Cambria"/>
        </w:rPr>
        <w:footnoteRef/>
      </w:r>
      <w:r w:rsidRPr="00B307FE">
        <w:rPr>
          <w:rFonts w:ascii="Cambria" w:hAnsi="Cambria"/>
        </w:rPr>
        <w:t xml:space="preserve"> </w:t>
      </w:r>
      <w:r w:rsidRPr="00B307FE">
        <w:rPr>
          <w:rFonts w:ascii="Cambria" w:hAnsi="Cambria"/>
          <w:sz w:val="20"/>
          <w:szCs w:val="20"/>
        </w:rPr>
        <w:t xml:space="preserve">Guardianship and Administration Board, </w:t>
      </w:r>
      <w:r w:rsidRPr="00B307FE">
        <w:rPr>
          <w:rFonts w:ascii="Cambria" w:hAnsi="Cambria"/>
          <w:i/>
          <w:iCs/>
          <w:sz w:val="20"/>
          <w:szCs w:val="20"/>
        </w:rPr>
        <w:t xml:space="preserve">Annual Report 2018/19 </w:t>
      </w:r>
      <w:r w:rsidRPr="00B307FE">
        <w:rPr>
          <w:rFonts w:ascii="Cambria" w:hAnsi="Cambria"/>
          <w:sz w:val="20"/>
          <w:szCs w:val="20"/>
        </w:rPr>
        <w:t xml:space="preserve">at 3. As found at </w:t>
      </w:r>
    </w:p>
    <w:p w14:paraId="46AD172A" w14:textId="687EFFF9" w:rsidR="004173D8" w:rsidRPr="00B307FE" w:rsidRDefault="00A602F5" w:rsidP="004173D8">
      <w:pPr>
        <w:rPr>
          <w:rFonts w:ascii="Cambria" w:hAnsi="Cambria"/>
        </w:rPr>
      </w:pPr>
      <w:hyperlink r:id="rId19" w:history="1">
        <w:r w:rsidR="004173D8" w:rsidRPr="00B307FE">
          <w:rPr>
            <w:rStyle w:val="Hyperlink"/>
            <w:rFonts w:ascii="Cambria" w:hAnsi="Cambria"/>
            <w:sz w:val="20"/>
            <w:szCs w:val="20"/>
          </w:rPr>
          <w:t>https://www.guardianship.tas.gov.au/__data/assets/pdf_file/0006/597084/FINAL-Annual-Report-2019-20-25-September-2020.pdf</w:t>
        </w:r>
      </w:hyperlink>
      <w:r w:rsidR="004173D8" w:rsidRPr="00B307FE">
        <w:rPr>
          <w:rFonts w:ascii="Cambria" w:hAnsi="Cambria"/>
          <w:sz w:val="20"/>
          <w:szCs w:val="20"/>
        </w:rPr>
        <w:t xml:space="preserve"> (Accessed </w:t>
      </w:r>
      <w:r w:rsidR="00CF3B39">
        <w:rPr>
          <w:rFonts w:ascii="Cambria" w:hAnsi="Cambria"/>
          <w:sz w:val="20"/>
          <w:szCs w:val="20"/>
        </w:rPr>
        <w:t>27</w:t>
      </w:r>
      <w:r w:rsidR="004173D8" w:rsidRPr="00B307FE">
        <w:rPr>
          <w:rFonts w:ascii="Cambria" w:hAnsi="Cambria"/>
          <w:sz w:val="20"/>
          <w:szCs w:val="20"/>
        </w:rPr>
        <w:t xml:space="preserve"> August 2021).</w:t>
      </w:r>
      <w:r w:rsidR="004173D8">
        <w:rPr>
          <w:rFonts w:ascii="Cambria" w:hAnsi="Cambria"/>
          <w:sz w:val="20"/>
          <w:szCs w:val="20"/>
        </w:rPr>
        <w:t xml:space="preserve"> </w:t>
      </w:r>
      <w:r w:rsidR="004173D8" w:rsidRPr="00B307FE">
        <w:rPr>
          <w:rFonts w:ascii="Cambria" w:hAnsi="Cambria"/>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507"/>
    <w:multiLevelType w:val="multilevel"/>
    <w:tmpl w:val="B9A68B00"/>
    <w:styleLink w:val="LCRNumberingList"/>
    <w:lvl w:ilvl="0">
      <w:start w:val="1"/>
      <w:numFmt w:val="decimal"/>
      <w:pStyle w:val="ChapterHeading"/>
      <w:lvlText w:val="%1."/>
      <w:lvlJc w:val="left"/>
      <w:pPr>
        <w:tabs>
          <w:tab w:val="num" w:pos="720"/>
        </w:tabs>
        <w:ind w:left="720" w:hanging="720"/>
      </w:pPr>
      <w:rPr>
        <w:rFonts w:ascii="Arial Bold" w:hAnsi="Arial Bold" w:hint="default"/>
        <w:b/>
        <w:i w:val="0"/>
        <w:color w:val="2F5496" w:themeColor="accent1" w:themeShade="BF"/>
        <w:sz w:val="32"/>
      </w:rPr>
    </w:lvl>
    <w:lvl w:ilvl="1">
      <w:start w:val="1"/>
      <w:numFmt w:val="decimal"/>
      <w:pStyle w:val="NormalAutoChapter"/>
      <w:lvlText w:val="%1.%2"/>
      <w:lvlJc w:val="left"/>
      <w:pPr>
        <w:tabs>
          <w:tab w:val="num" w:pos="720"/>
        </w:tabs>
        <w:ind w:left="720" w:hanging="720"/>
      </w:pPr>
      <w:rPr>
        <w:rFonts w:ascii="Arial" w:hAnsi="Arial" w:hint="default"/>
        <w:b w:val="0"/>
        <w:i w:val="0"/>
        <w:sz w:val="18"/>
      </w:rPr>
    </w:lvl>
    <w:lvl w:ilvl="2">
      <w:start w:val="1"/>
      <w:numFmt w:val="upperLetter"/>
      <w:lvlRestart w:val="0"/>
      <w:pStyle w:val="AppendixHeading"/>
      <w:suff w:val="nothing"/>
      <w:lvlText w:val="%3"/>
      <w:lvlJc w:val="right"/>
      <w:pPr>
        <w:ind w:left="720" w:hanging="720"/>
      </w:pPr>
      <w:rPr>
        <w:rFonts w:hint="default"/>
        <w:b w:val="0"/>
        <w:i w:val="0"/>
        <w:vanish/>
        <w:color w:val="FFFFFF" w:themeColor="background1"/>
        <w:sz w:val="22"/>
      </w:rPr>
    </w:lvl>
    <w:lvl w:ilvl="3">
      <w:start w:val="1"/>
      <w:numFmt w:val="decimal"/>
      <w:pStyle w:val="NormalAutoAppendix"/>
      <w:lvlText w:val="%3.%4"/>
      <w:lvlJc w:val="left"/>
      <w:pPr>
        <w:tabs>
          <w:tab w:val="num" w:pos="720"/>
        </w:tabs>
        <w:ind w:left="720" w:hanging="720"/>
      </w:pPr>
      <w:rPr>
        <w:rFonts w:ascii="Arial" w:hAnsi="Arial" w:hint="default"/>
        <w:b w:val="0"/>
        <w:i w:val="0"/>
        <w:sz w:val="18"/>
      </w:rPr>
    </w:lvl>
    <w:lvl w:ilvl="4">
      <w:start w:val="1"/>
      <w:numFmt w:val="decimal"/>
      <w:lvlRestart w:val="3"/>
      <w:lvlText w:val="%5"/>
      <w:lvlJc w:val="left"/>
      <w:pPr>
        <w:tabs>
          <w:tab w:val="num" w:pos="720"/>
        </w:tabs>
        <w:ind w:left="720" w:hanging="720"/>
      </w:pPr>
      <w:rPr>
        <w:rFonts w:ascii="Arial" w:hAnsi="Arial" w:hint="default"/>
        <w:b w:val="0"/>
        <w:i w:val="0"/>
        <w:sz w:val="18"/>
      </w:rPr>
    </w:lvl>
    <w:lvl w:ilvl="5">
      <w:numFmt w:val="none"/>
      <w:lvlText w:val=""/>
      <w:lvlJc w:val="left"/>
      <w:pPr>
        <w:tabs>
          <w:tab w:val="num" w:pos="720"/>
        </w:tabs>
        <w:ind w:left="720" w:hanging="720"/>
      </w:pPr>
      <w:rPr>
        <w:rFonts w:hint="default"/>
      </w:rPr>
    </w:lvl>
    <w:lvl w:ilvl="6">
      <w:start w:val="32767"/>
      <w:numFmt w:val="none"/>
      <w:lvlText w:val=""/>
      <w:lvlJc w:val="left"/>
      <w:pPr>
        <w:tabs>
          <w:tab w:val="num" w:pos="720"/>
        </w:tabs>
        <w:ind w:left="720" w:hanging="720"/>
      </w:pPr>
      <w:rPr>
        <w:rFonts w:hint="default"/>
      </w:rPr>
    </w:lvl>
    <w:lvl w:ilvl="7">
      <w:start w:val="32767"/>
      <w:numFmt w:val="none"/>
      <w:lvlText w:val=""/>
      <w:lvlJc w:val="left"/>
      <w:pPr>
        <w:tabs>
          <w:tab w:val="num" w:pos="720"/>
        </w:tabs>
        <w:ind w:left="720" w:hanging="720"/>
      </w:pPr>
      <w:rPr>
        <w:rFonts w:hint="default"/>
      </w:rPr>
    </w:lvl>
    <w:lvl w:ilvl="8">
      <w:start w:val="32767"/>
      <w:numFmt w:val="none"/>
      <w:lvlText w:val=""/>
      <w:lvlJc w:val="left"/>
      <w:pPr>
        <w:tabs>
          <w:tab w:val="num" w:pos="720"/>
        </w:tabs>
        <w:ind w:left="720" w:hanging="720"/>
      </w:pPr>
      <w:rPr>
        <w:rFonts w:hint="default"/>
      </w:rPr>
    </w:lvl>
  </w:abstractNum>
  <w:abstractNum w:abstractNumId="1" w15:restartNumberingAfterBreak="0">
    <w:nsid w:val="0C955527"/>
    <w:multiLevelType w:val="multilevel"/>
    <w:tmpl w:val="B9A68B00"/>
    <w:numStyleLink w:val="LCRNumberingList"/>
  </w:abstractNum>
  <w:abstractNum w:abstractNumId="2" w15:restartNumberingAfterBreak="0">
    <w:nsid w:val="221C35B4"/>
    <w:multiLevelType w:val="multilevel"/>
    <w:tmpl w:val="0BB2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03FF2"/>
    <w:multiLevelType w:val="hybridMultilevel"/>
    <w:tmpl w:val="E53A82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D0DEE"/>
    <w:multiLevelType w:val="hybridMultilevel"/>
    <w:tmpl w:val="273E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B4F29"/>
    <w:multiLevelType w:val="hybridMultilevel"/>
    <w:tmpl w:val="2DC6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D6C9B"/>
    <w:multiLevelType w:val="multilevel"/>
    <w:tmpl w:val="BAE210E0"/>
    <w:lvl w:ilvl="0">
      <w:start w:val="1"/>
      <w:numFmt w:val="decimal"/>
      <w:pStyle w:val="PartNoTLRI"/>
      <w:suff w:val="nothing"/>
      <w:lvlText w:val="Part %1"/>
      <w:lvlJc w:val="left"/>
      <w:pPr>
        <w:ind w:left="4969"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HeadingTLRI"/>
      <w:lvlText w:val="%1.%2"/>
      <w:lvlJc w:val="left"/>
      <w:pPr>
        <w:tabs>
          <w:tab w:val="num" w:pos="1287"/>
        </w:tabs>
        <w:ind w:left="567" w:firstLine="0"/>
      </w:pPr>
      <w:rPr>
        <w:rFonts w:ascii="Arial" w:hAnsi="Arial" w:cs="Arial" w:hint="default"/>
        <w:i w:val="0"/>
        <w:sz w:val="32"/>
        <w:szCs w:val="32"/>
      </w:rPr>
    </w:lvl>
    <w:lvl w:ilvl="2">
      <w:start w:val="1"/>
      <w:numFmt w:val="decimal"/>
      <w:pStyle w:val="NormalNumberedTextTLRI"/>
      <w:lvlText w:val="%1.%2.%3"/>
      <w:lvlJc w:val="left"/>
      <w:pPr>
        <w:tabs>
          <w:tab w:val="num" w:pos="1146"/>
        </w:tabs>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2"/>
      <w:numFmt w:val="none"/>
      <w:lvlText w:val=""/>
      <w:lvlJc w:val="left"/>
      <w:pPr>
        <w:tabs>
          <w:tab w:val="num" w:pos="361"/>
        </w:tabs>
        <w:ind w:left="1" w:firstLine="0"/>
      </w:pPr>
    </w:lvl>
    <w:lvl w:ilvl="4">
      <w:start w:val="1"/>
      <w:numFmt w:val="none"/>
      <w:lvlText w:val=""/>
      <w:lvlJc w:val="left"/>
      <w:pPr>
        <w:tabs>
          <w:tab w:val="num" w:pos="158"/>
        </w:tabs>
        <w:ind w:left="158" w:hanging="1008"/>
      </w:pPr>
    </w:lvl>
    <w:lvl w:ilvl="5">
      <w:start w:val="1"/>
      <w:numFmt w:val="none"/>
      <w:lvlRestart w:val="1"/>
      <w:lvlText w:val=""/>
      <w:lvlJc w:val="left"/>
      <w:pPr>
        <w:tabs>
          <w:tab w:val="num" w:pos="302"/>
        </w:tabs>
        <w:ind w:left="302" w:hanging="1152"/>
      </w:pPr>
    </w:lvl>
    <w:lvl w:ilvl="6">
      <w:start w:val="1"/>
      <w:numFmt w:val="none"/>
      <w:lvlText w:val=""/>
      <w:lvlJc w:val="left"/>
      <w:pPr>
        <w:tabs>
          <w:tab w:val="num" w:pos="446"/>
        </w:tabs>
        <w:ind w:left="446" w:hanging="1296"/>
      </w:pPr>
    </w:lvl>
    <w:lvl w:ilvl="7">
      <w:start w:val="1"/>
      <w:numFmt w:val="none"/>
      <w:lvlText w:val=""/>
      <w:lvlJc w:val="left"/>
      <w:pPr>
        <w:tabs>
          <w:tab w:val="num" w:pos="590"/>
        </w:tabs>
        <w:ind w:left="590" w:hanging="1440"/>
      </w:pPr>
    </w:lvl>
    <w:lvl w:ilvl="8">
      <w:start w:val="1"/>
      <w:numFmt w:val="none"/>
      <w:lvlText w:val=""/>
      <w:lvlJc w:val="left"/>
      <w:pPr>
        <w:tabs>
          <w:tab w:val="num" w:pos="734"/>
        </w:tabs>
        <w:ind w:left="734" w:hanging="1584"/>
      </w:pPr>
    </w:lvl>
  </w:abstractNum>
  <w:abstractNum w:abstractNumId="7" w15:restartNumberingAfterBreak="0">
    <w:nsid w:val="48EB2316"/>
    <w:multiLevelType w:val="multilevel"/>
    <w:tmpl w:val="951E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894E12"/>
    <w:multiLevelType w:val="multilevel"/>
    <w:tmpl w:val="AA9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D12A9"/>
    <w:multiLevelType w:val="multilevel"/>
    <w:tmpl w:val="0D7E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4B6725"/>
    <w:multiLevelType w:val="multilevel"/>
    <w:tmpl w:val="6DB67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721280"/>
    <w:multiLevelType w:val="hybridMultilevel"/>
    <w:tmpl w:val="129E7B08"/>
    <w:lvl w:ilvl="0" w:tplc="E7C4D50E">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425CE"/>
    <w:multiLevelType w:val="multilevel"/>
    <w:tmpl w:val="EF44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A730EC"/>
    <w:multiLevelType w:val="multilevel"/>
    <w:tmpl w:val="F68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61CA5"/>
    <w:multiLevelType w:val="hybridMultilevel"/>
    <w:tmpl w:val="30DA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10258"/>
    <w:multiLevelType w:val="hybridMultilevel"/>
    <w:tmpl w:val="549A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562381"/>
    <w:multiLevelType w:val="multilevel"/>
    <w:tmpl w:val="6DB67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5A6922"/>
    <w:multiLevelType w:val="multilevel"/>
    <w:tmpl w:val="3A4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3"/>
  </w:num>
  <w:num w:numId="4">
    <w:abstractNumId w:val="11"/>
  </w:num>
  <w:num w:numId="5">
    <w:abstractNumId w:val="6"/>
  </w:num>
  <w:num w:numId="6">
    <w:abstractNumId w:val="15"/>
  </w:num>
  <w:num w:numId="7">
    <w:abstractNumId w:val="4"/>
  </w:num>
  <w:num w:numId="8">
    <w:abstractNumId w:val="0"/>
  </w:num>
  <w:num w:numId="9">
    <w:abstractNumId w:val="1"/>
  </w:num>
  <w:num w:numId="10">
    <w:abstractNumId w:val="1"/>
  </w:num>
  <w:num w:numId="11">
    <w:abstractNumId w:val="12"/>
  </w:num>
  <w:num w:numId="12">
    <w:abstractNumId w:val="17"/>
  </w:num>
  <w:num w:numId="13">
    <w:abstractNumId w:val="5"/>
  </w:num>
  <w:num w:numId="14">
    <w:abstractNumId w:val="9"/>
  </w:num>
  <w:num w:numId="15">
    <w:abstractNumId w:val="14"/>
  </w:num>
  <w:num w:numId="16">
    <w:abstractNumId w:val="2"/>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9E"/>
    <w:rsid w:val="00003DCF"/>
    <w:rsid w:val="00024572"/>
    <w:rsid w:val="00036BC2"/>
    <w:rsid w:val="00062A0A"/>
    <w:rsid w:val="0007319E"/>
    <w:rsid w:val="00080E51"/>
    <w:rsid w:val="000B3DD8"/>
    <w:rsid w:val="000E0C47"/>
    <w:rsid w:val="000E0FD6"/>
    <w:rsid w:val="000F276D"/>
    <w:rsid w:val="001046D7"/>
    <w:rsid w:val="00117D3A"/>
    <w:rsid w:val="0014539B"/>
    <w:rsid w:val="0015424E"/>
    <w:rsid w:val="00172CBC"/>
    <w:rsid w:val="001B451E"/>
    <w:rsid w:val="001F552C"/>
    <w:rsid w:val="00203F7C"/>
    <w:rsid w:val="002078AE"/>
    <w:rsid w:val="00215FCE"/>
    <w:rsid w:val="00241AF4"/>
    <w:rsid w:val="00250484"/>
    <w:rsid w:val="00266632"/>
    <w:rsid w:val="002737A4"/>
    <w:rsid w:val="00274FBA"/>
    <w:rsid w:val="00276AF2"/>
    <w:rsid w:val="00280934"/>
    <w:rsid w:val="002C1479"/>
    <w:rsid w:val="002C3A86"/>
    <w:rsid w:val="002E1D70"/>
    <w:rsid w:val="002F4964"/>
    <w:rsid w:val="00330D2E"/>
    <w:rsid w:val="003470BC"/>
    <w:rsid w:val="003622E5"/>
    <w:rsid w:val="003831C0"/>
    <w:rsid w:val="003C6A2E"/>
    <w:rsid w:val="003D17CA"/>
    <w:rsid w:val="00401FBB"/>
    <w:rsid w:val="00405ACB"/>
    <w:rsid w:val="004173D8"/>
    <w:rsid w:val="004826D8"/>
    <w:rsid w:val="004B11E1"/>
    <w:rsid w:val="004D1C4F"/>
    <w:rsid w:val="0052592C"/>
    <w:rsid w:val="00583477"/>
    <w:rsid w:val="005F7DC5"/>
    <w:rsid w:val="00601E34"/>
    <w:rsid w:val="00626C72"/>
    <w:rsid w:val="00634A9E"/>
    <w:rsid w:val="006351EA"/>
    <w:rsid w:val="00667C57"/>
    <w:rsid w:val="00674D12"/>
    <w:rsid w:val="00691BBC"/>
    <w:rsid w:val="006A4C23"/>
    <w:rsid w:val="006B09A9"/>
    <w:rsid w:val="007149E5"/>
    <w:rsid w:val="00722C08"/>
    <w:rsid w:val="00731D93"/>
    <w:rsid w:val="007571B0"/>
    <w:rsid w:val="00767295"/>
    <w:rsid w:val="0077328A"/>
    <w:rsid w:val="007B2274"/>
    <w:rsid w:val="007E4809"/>
    <w:rsid w:val="007E54DA"/>
    <w:rsid w:val="007F5933"/>
    <w:rsid w:val="008102F8"/>
    <w:rsid w:val="00850FB7"/>
    <w:rsid w:val="00854B7E"/>
    <w:rsid w:val="00884C72"/>
    <w:rsid w:val="008B1BB0"/>
    <w:rsid w:val="008E23D6"/>
    <w:rsid w:val="008E3EEF"/>
    <w:rsid w:val="008F5B37"/>
    <w:rsid w:val="0091708A"/>
    <w:rsid w:val="00926A9A"/>
    <w:rsid w:val="00960038"/>
    <w:rsid w:val="009B4CC6"/>
    <w:rsid w:val="009B4EA2"/>
    <w:rsid w:val="009D7913"/>
    <w:rsid w:val="009E0FB9"/>
    <w:rsid w:val="009F53E5"/>
    <w:rsid w:val="00A06760"/>
    <w:rsid w:val="00A42F88"/>
    <w:rsid w:val="00A602F5"/>
    <w:rsid w:val="00AD01E5"/>
    <w:rsid w:val="00B307FE"/>
    <w:rsid w:val="00B36C81"/>
    <w:rsid w:val="00B41307"/>
    <w:rsid w:val="00B43BB7"/>
    <w:rsid w:val="00B83FC5"/>
    <w:rsid w:val="00BB0EC6"/>
    <w:rsid w:val="00BC2CE2"/>
    <w:rsid w:val="00BE2069"/>
    <w:rsid w:val="00C067EF"/>
    <w:rsid w:val="00C11ACC"/>
    <w:rsid w:val="00C73055"/>
    <w:rsid w:val="00CF0645"/>
    <w:rsid w:val="00CF3B39"/>
    <w:rsid w:val="00D1363D"/>
    <w:rsid w:val="00D13ADD"/>
    <w:rsid w:val="00D27BC7"/>
    <w:rsid w:val="00DC75C9"/>
    <w:rsid w:val="00E05C90"/>
    <w:rsid w:val="00E21CD8"/>
    <w:rsid w:val="00E274E1"/>
    <w:rsid w:val="00E32851"/>
    <w:rsid w:val="00E43C63"/>
    <w:rsid w:val="00E55AF3"/>
    <w:rsid w:val="00E70507"/>
    <w:rsid w:val="00E728AA"/>
    <w:rsid w:val="00E80A80"/>
    <w:rsid w:val="00E8491B"/>
    <w:rsid w:val="00EB721E"/>
    <w:rsid w:val="00EF12FC"/>
    <w:rsid w:val="00EF31EA"/>
    <w:rsid w:val="00F0186F"/>
    <w:rsid w:val="00F23187"/>
    <w:rsid w:val="00F96F14"/>
    <w:rsid w:val="00FB3FFE"/>
    <w:rsid w:val="00FF1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C458"/>
  <w15:chartTrackingRefBased/>
  <w15:docId w15:val="{4A123FF0-574F-DA47-B842-DAD2C584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7F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149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77328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17"/>
    <w:unhideWhenUsed/>
    <w:rsid w:val="00634A9E"/>
  </w:style>
  <w:style w:type="character" w:customStyle="1" w:styleId="FootnoteTextChar">
    <w:name w:val="Footnote Text Char"/>
    <w:aliases w:val="Footnote Char,Text Char"/>
    <w:basedOn w:val="DefaultParagraphFont"/>
    <w:link w:val="FootnoteText"/>
    <w:uiPriority w:val="17"/>
    <w:rsid w:val="00634A9E"/>
    <w:rPr>
      <w:rFonts w:ascii="Times New Roman" w:hAnsi="Times New Roman" w:cs="Times New Roman"/>
      <w:lang w:eastAsia="en-AU"/>
    </w:rPr>
  </w:style>
  <w:style w:type="character" w:styleId="FootnoteReference">
    <w:name w:val="footnote reference"/>
    <w:aliases w:val="Ref,de nota al pie"/>
    <w:basedOn w:val="DefaultParagraphFont"/>
    <w:unhideWhenUsed/>
    <w:qFormat/>
    <w:rsid w:val="00634A9E"/>
    <w:rPr>
      <w:vertAlign w:val="superscript"/>
    </w:rPr>
  </w:style>
  <w:style w:type="paragraph" w:styleId="Footer">
    <w:name w:val="footer"/>
    <w:basedOn w:val="Normal"/>
    <w:link w:val="FooterChar"/>
    <w:uiPriority w:val="99"/>
    <w:unhideWhenUsed/>
    <w:rsid w:val="00634A9E"/>
    <w:pPr>
      <w:tabs>
        <w:tab w:val="center" w:pos="4513"/>
        <w:tab w:val="right" w:pos="9026"/>
      </w:tabs>
    </w:pPr>
  </w:style>
  <w:style w:type="character" w:customStyle="1" w:styleId="FooterChar">
    <w:name w:val="Footer Char"/>
    <w:basedOn w:val="DefaultParagraphFont"/>
    <w:link w:val="Footer"/>
    <w:uiPriority w:val="99"/>
    <w:rsid w:val="00634A9E"/>
    <w:rPr>
      <w:rFonts w:ascii="Times New Roman" w:hAnsi="Times New Roman" w:cs="Times New Roman"/>
      <w:lang w:eastAsia="en-AU"/>
    </w:rPr>
  </w:style>
  <w:style w:type="character" w:styleId="PageNumber">
    <w:name w:val="page number"/>
    <w:basedOn w:val="DefaultParagraphFont"/>
    <w:uiPriority w:val="99"/>
    <w:semiHidden/>
    <w:unhideWhenUsed/>
    <w:rsid w:val="00634A9E"/>
  </w:style>
  <w:style w:type="character" w:styleId="Hyperlink">
    <w:name w:val="Hyperlink"/>
    <w:basedOn w:val="DefaultParagraphFont"/>
    <w:uiPriority w:val="99"/>
    <w:unhideWhenUsed/>
    <w:rsid w:val="00634A9E"/>
    <w:rPr>
      <w:color w:val="0563C1" w:themeColor="hyperlink"/>
      <w:u w:val="single"/>
    </w:rPr>
  </w:style>
  <w:style w:type="paragraph" w:styleId="NoSpacing">
    <w:name w:val="No Spacing"/>
    <w:uiPriority w:val="1"/>
    <w:qFormat/>
    <w:rsid w:val="00634A9E"/>
    <w:rPr>
      <w:rFonts w:ascii="Times New Roman" w:hAnsi="Times New Roman" w:cs="Times New Roman"/>
      <w:lang w:eastAsia="en-AU"/>
    </w:rPr>
  </w:style>
  <w:style w:type="character" w:styleId="UnresolvedMention">
    <w:name w:val="Unresolved Mention"/>
    <w:basedOn w:val="DefaultParagraphFont"/>
    <w:uiPriority w:val="99"/>
    <w:semiHidden/>
    <w:unhideWhenUsed/>
    <w:rsid w:val="00634A9E"/>
    <w:rPr>
      <w:color w:val="605E5C"/>
      <w:shd w:val="clear" w:color="auto" w:fill="E1DFDD"/>
    </w:rPr>
  </w:style>
  <w:style w:type="paragraph" w:styleId="NormalWeb">
    <w:name w:val="Normal (Web)"/>
    <w:basedOn w:val="Normal"/>
    <w:uiPriority w:val="99"/>
    <w:unhideWhenUsed/>
    <w:rsid w:val="00E80A80"/>
    <w:pPr>
      <w:spacing w:before="100" w:beforeAutospacing="1" w:after="100" w:afterAutospacing="1"/>
    </w:pPr>
  </w:style>
  <w:style w:type="character" w:customStyle="1" w:styleId="isyshit">
    <w:name w:val="_isys_hit_"/>
    <w:basedOn w:val="DefaultParagraphFont"/>
    <w:rsid w:val="00691BBC"/>
  </w:style>
  <w:style w:type="paragraph" w:styleId="ListParagraph">
    <w:name w:val="List Paragraph"/>
    <w:basedOn w:val="Normal"/>
    <w:uiPriority w:val="34"/>
    <w:qFormat/>
    <w:rsid w:val="00691BBC"/>
    <w:pPr>
      <w:ind w:left="720"/>
      <w:contextualSpacing/>
    </w:pPr>
  </w:style>
  <w:style w:type="paragraph" w:customStyle="1" w:styleId="Style1">
    <w:name w:val="Style1"/>
    <w:basedOn w:val="Normal"/>
    <w:rsid w:val="003831C0"/>
    <w:pPr>
      <w:tabs>
        <w:tab w:val="left" w:pos="432"/>
      </w:tabs>
      <w:overflowPunct w:val="0"/>
      <w:autoSpaceDE w:val="0"/>
      <w:autoSpaceDN w:val="0"/>
      <w:adjustRightInd w:val="0"/>
      <w:ind w:firstLine="432"/>
      <w:jc w:val="both"/>
      <w:textAlignment w:val="baseline"/>
    </w:pPr>
    <w:rPr>
      <w:rFonts w:cs="Arial"/>
      <w:szCs w:val="28"/>
    </w:rPr>
  </w:style>
  <w:style w:type="paragraph" w:styleId="BalloonText">
    <w:name w:val="Balloon Text"/>
    <w:basedOn w:val="Normal"/>
    <w:link w:val="BalloonTextChar"/>
    <w:uiPriority w:val="99"/>
    <w:semiHidden/>
    <w:unhideWhenUsed/>
    <w:rsid w:val="003C6A2E"/>
    <w:pPr>
      <w:tabs>
        <w:tab w:val="left" w:pos="432"/>
      </w:tabs>
      <w:overflowPunct w:val="0"/>
      <w:autoSpaceDE w:val="0"/>
      <w:autoSpaceDN w:val="0"/>
      <w:adjustRightInd w:val="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2E"/>
    <w:rPr>
      <w:rFonts w:ascii="Segoe UI" w:eastAsia="Times New Roman" w:hAnsi="Segoe UI" w:cs="Segoe UI"/>
      <w:sz w:val="18"/>
      <w:szCs w:val="18"/>
      <w:lang w:eastAsia="en-AU"/>
    </w:rPr>
  </w:style>
  <w:style w:type="paragraph" w:customStyle="1" w:styleId="NumberedHeadingTLRI">
    <w:name w:val="Numbered Heading TLRI"/>
    <w:basedOn w:val="Normal"/>
    <w:next w:val="NormalNumberedTextTLRI"/>
    <w:qFormat/>
    <w:rsid w:val="00626C72"/>
    <w:pPr>
      <w:numPr>
        <w:ilvl w:val="1"/>
        <w:numId w:val="5"/>
      </w:numPr>
      <w:tabs>
        <w:tab w:val="clear" w:pos="1287"/>
        <w:tab w:val="num" w:pos="851"/>
      </w:tabs>
      <w:spacing w:before="360" w:after="220"/>
      <w:ind w:left="0"/>
    </w:pPr>
    <w:rPr>
      <w:rFonts w:ascii="Arial" w:eastAsia="Times" w:hAnsi="Arial"/>
      <w:b/>
      <w:sz w:val="32"/>
      <w:szCs w:val="20"/>
      <w:lang w:eastAsia="en-US"/>
    </w:rPr>
  </w:style>
  <w:style w:type="paragraph" w:customStyle="1" w:styleId="PartNoTLRI">
    <w:name w:val="Part No TLRI"/>
    <w:basedOn w:val="Normal"/>
    <w:qFormat/>
    <w:rsid w:val="00626C72"/>
    <w:pPr>
      <w:numPr>
        <w:numId w:val="5"/>
      </w:numPr>
      <w:ind w:left="0" w:firstLine="0"/>
      <w:jc w:val="center"/>
    </w:pPr>
    <w:rPr>
      <w:rFonts w:ascii="Arial" w:eastAsia="Times" w:hAnsi="Arial"/>
      <w:b/>
      <w:sz w:val="36"/>
      <w:szCs w:val="20"/>
      <w:lang w:eastAsia="en-US"/>
    </w:rPr>
  </w:style>
  <w:style w:type="paragraph" w:customStyle="1" w:styleId="FootnoteTextTLRI">
    <w:name w:val="Footnote Text TLRI"/>
    <w:basedOn w:val="FootnoteText"/>
    <w:link w:val="FootnoteTextTLRIChar"/>
    <w:qFormat/>
    <w:rsid w:val="00626C72"/>
    <w:pPr>
      <w:spacing w:after="40"/>
      <w:ind w:left="426" w:hanging="426"/>
      <w:jc w:val="both"/>
    </w:pPr>
    <w:rPr>
      <w:rFonts w:ascii="Garamond" w:hAnsi="Garamond"/>
      <w:sz w:val="19"/>
      <w:szCs w:val="19"/>
      <w:lang w:eastAsia="en-US"/>
    </w:rPr>
  </w:style>
  <w:style w:type="character" w:customStyle="1" w:styleId="FootnoteTextTLRIChar">
    <w:name w:val="Footnote Text TLRI Char"/>
    <w:link w:val="FootnoteTextTLRI"/>
    <w:rsid w:val="00626C72"/>
    <w:rPr>
      <w:rFonts w:ascii="Garamond" w:eastAsia="Times New Roman" w:hAnsi="Garamond" w:cs="Times New Roman"/>
      <w:sz w:val="19"/>
      <w:szCs w:val="19"/>
    </w:rPr>
  </w:style>
  <w:style w:type="paragraph" w:customStyle="1" w:styleId="NormalNumberedTextTLRI">
    <w:name w:val="Normal Numbered Text TLRI"/>
    <w:basedOn w:val="Normal"/>
    <w:link w:val="NormalNumberedTextTLRIChar"/>
    <w:qFormat/>
    <w:rsid w:val="00626C72"/>
    <w:pPr>
      <w:numPr>
        <w:ilvl w:val="2"/>
        <w:numId w:val="5"/>
      </w:numPr>
      <w:tabs>
        <w:tab w:val="clear" w:pos="1146"/>
        <w:tab w:val="left" w:pos="851"/>
      </w:tabs>
      <w:spacing w:before="220" w:after="120" w:line="269" w:lineRule="auto"/>
      <w:ind w:left="0"/>
      <w:jc w:val="both"/>
    </w:pPr>
    <w:rPr>
      <w:rFonts w:ascii="Garamond" w:eastAsia="Times" w:hAnsi="Garamond"/>
      <w:color w:val="000000"/>
      <w:sz w:val="23"/>
      <w:szCs w:val="23"/>
      <w:lang w:eastAsia="en-US"/>
    </w:rPr>
  </w:style>
  <w:style w:type="character" w:customStyle="1" w:styleId="NormalNumberedTextTLRIChar">
    <w:name w:val="Normal Numbered Text TLRI Char"/>
    <w:link w:val="NormalNumberedTextTLRI"/>
    <w:rsid w:val="00626C72"/>
    <w:rPr>
      <w:rFonts w:ascii="Garamond" w:eastAsia="Times" w:hAnsi="Garamond" w:cs="Times New Roman"/>
      <w:color w:val="000000"/>
      <w:sz w:val="23"/>
      <w:szCs w:val="23"/>
    </w:rPr>
  </w:style>
  <w:style w:type="table" w:styleId="TableGrid">
    <w:name w:val="Table Grid"/>
    <w:basedOn w:val="TableNormal"/>
    <w:uiPriority w:val="39"/>
    <w:rsid w:val="009B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
    <w:name w:val="headingparagraph"/>
    <w:basedOn w:val="Normal"/>
    <w:rsid w:val="00A42F88"/>
    <w:pPr>
      <w:spacing w:before="100" w:beforeAutospacing="1" w:after="100" w:afterAutospacing="1"/>
    </w:pPr>
  </w:style>
  <w:style w:type="character" w:customStyle="1" w:styleId="sup">
    <w:name w:val="sup"/>
    <w:basedOn w:val="DefaultParagraphFont"/>
    <w:rsid w:val="00E274E1"/>
  </w:style>
  <w:style w:type="paragraph" w:customStyle="1" w:styleId="NormalAutoChapter">
    <w:name w:val="Normal_Auto_Chapter"/>
    <w:basedOn w:val="Normal"/>
    <w:uiPriority w:val="2"/>
    <w:qFormat/>
    <w:rsid w:val="007149E5"/>
    <w:pPr>
      <w:numPr>
        <w:ilvl w:val="1"/>
        <w:numId w:val="9"/>
      </w:numPr>
      <w:spacing w:after="240" w:line="240" w:lineRule="atLeast"/>
      <w:jc w:val="both"/>
    </w:pPr>
    <w:rPr>
      <w:rFonts w:ascii="Arial" w:hAnsi="Arial" w:cs="Arial"/>
      <w:sz w:val="22"/>
      <w:lang w:eastAsia="en-US"/>
    </w:rPr>
  </w:style>
  <w:style w:type="paragraph" w:customStyle="1" w:styleId="ChapterHeading">
    <w:name w:val="Chapter Heading"/>
    <w:basedOn w:val="Heading1"/>
    <w:next w:val="NormalAutoChapter"/>
    <w:qFormat/>
    <w:rsid w:val="007149E5"/>
    <w:pPr>
      <w:keepLines w:val="0"/>
      <w:numPr>
        <w:numId w:val="9"/>
      </w:numPr>
      <w:pBdr>
        <w:bottom w:val="single" w:sz="2" w:space="4" w:color="auto"/>
      </w:pBdr>
      <w:tabs>
        <w:tab w:val="clear" w:pos="720"/>
        <w:tab w:val="num" w:pos="360"/>
      </w:tabs>
      <w:spacing w:before="480" w:after="480"/>
      <w:ind w:left="0" w:firstLine="0"/>
      <w:jc w:val="both"/>
    </w:pPr>
    <w:rPr>
      <w:rFonts w:ascii="Arial" w:eastAsia="Times New Roman" w:hAnsi="Arial" w:cs="Arial"/>
      <w:b/>
      <w:bCs/>
      <w:kern w:val="32"/>
      <w:lang w:eastAsia="en-US"/>
    </w:rPr>
  </w:style>
  <w:style w:type="paragraph" w:customStyle="1" w:styleId="AppendixHeading">
    <w:name w:val="Appendix Heading"/>
    <w:basedOn w:val="ChapterHeading"/>
    <w:uiPriority w:val="1"/>
    <w:rsid w:val="007149E5"/>
    <w:pPr>
      <w:numPr>
        <w:ilvl w:val="2"/>
      </w:numPr>
      <w:tabs>
        <w:tab w:val="num" w:pos="360"/>
        <w:tab w:val="num" w:pos="2664"/>
      </w:tabs>
      <w:outlineLvl w:val="3"/>
    </w:pPr>
  </w:style>
  <w:style w:type="paragraph" w:customStyle="1" w:styleId="NormalAutoAppendix">
    <w:name w:val="Normal_Auto_Appendix"/>
    <w:basedOn w:val="NormalAutoChapter"/>
    <w:uiPriority w:val="2"/>
    <w:qFormat/>
    <w:rsid w:val="007149E5"/>
    <w:pPr>
      <w:numPr>
        <w:ilvl w:val="3"/>
      </w:numPr>
      <w:tabs>
        <w:tab w:val="left" w:pos="720"/>
      </w:tabs>
    </w:pPr>
  </w:style>
  <w:style w:type="numbering" w:customStyle="1" w:styleId="LCRNumberingList">
    <w:name w:val="LCR_NumberingList"/>
    <w:uiPriority w:val="99"/>
    <w:rsid w:val="007149E5"/>
    <w:pPr>
      <w:numPr>
        <w:numId w:val="8"/>
      </w:numPr>
    </w:pPr>
  </w:style>
  <w:style w:type="character" w:customStyle="1" w:styleId="Heading1Char">
    <w:name w:val="Heading 1 Char"/>
    <w:basedOn w:val="DefaultParagraphFont"/>
    <w:link w:val="Heading1"/>
    <w:uiPriority w:val="9"/>
    <w:rsid w:val="007149E5"/>
    <w:rPr>
      <w:rFonts w:asciiTheme="majorHAnsi" w:eastAsiaTheme="majorEastAsia" w:hAnsiTheme="majorHAnsi" w:cstheme="majorBidi"/>
      <w:color w:val="2F5496" w:themeColor="accent1" w:themeShade="BF"/>
      <w:sz w:val="32"/>
      <w:szCs w:val="32"/>
      <w:lang w:eastAsia="en-AU"/>
    </w:rPr>
  </w:style>
  <w:style w:type="character" w:styleId="Emphasis">
    <w:name w:val="Emphasis"/>
    <w:basedOn w:val="DefaultParagraphFont"/>
    <w:uiPriority w:val="20"/>
    <w:qFormat/>
    <w:rsid w:val="008E3EEF"/>
    <w:rPr>
      <w:i/>
      <w:iCs/>
    </w:rPr>
  </w:style>
  <w:style w:type="character" w:customStyle="1" w:styleId="Heading4Char">
    <w:name w:val="Heading 4 Char"/>
    <w:basedOn w:val="DefaultParagraphFont"/>
    <w:link w:val="Heading4"/>
    <w:uiPriority w:val="9"/>
    <w:rsid w:val="0077328A"/>
    <w:rPr>
      <w:rFonts w:ascii="Times New Roman" w:eastAsia="Times New Roman" w:hAnsi="Times New Roman" w:cs="Times New Roman"/>
      <w:b/>
      <w:bCs/>
      <w:lang w:eastAsia="en-GB"/>
    </w:rPr>
  </w:style>
  <w:style w:type="character" w:styleId="Strong">
    <w:name w:val="Strong"/>
    <w:basedOn w:val="DefaultParagraphFont"/>
    <w:uiPriority w:val="22"/>
    <w:qFormat/>
    <w:rsid w:val="00773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3614">
      <w:bodyDiv w:val="1"/>
      <w:marLeft w:val="0"/>
      <w:marRight w:val="0"/>
      <w:marTop w:val="0"/>
      <w:marBottom w:val="0"/>
      <w:divBdr>
        <w:top w:val="none" w:sz="0" w:space="0" w:color="auto"/>
        <w:left w:val="none" w:sz="0" w:space="0" w:color="auto"/>
        <w:bottom w:val="none" w:sz="0" w:space="0" w:color="auto"/>
        <w:right w:val="none" w:sz="0" w:space="0" w:color="auto"/>
      </w:divBdr>
      <w:divsChild>
        <w:div w:id="719479026">
          <w:marLeft w:val="0"/>
          <w:marRight w:val="0"/>
          <w:marTop w:val="0"/>
          <w:marBottom w:val="0"/>
          <w:divBdr>
            <w:top w:val="none" w:sz="0" w:space="0" w:color="auto"/>
            <w:left w:val="none" w:sz="0" w:space="0" w:color="auto"/>
            <w:bottom w:val="none" w:sz="0" w:space="0" w:color="auto"/>
            <w:right w:val="none" w:sz="0" w:space="0" w:color="auto"/>
          </w:divBdr>
        </w:div>
        <w:div w:id="1447238256">
          <w:marLeft w:val="0"/>
          <w:marRight w:val="0"/>
          <w:marTop w:val="0"/>
          <w:marBottom w:val="0"/>
          <w:divBdr>
            <w:top w:val="none" w:sz="0" w:space="0" w:color="auto"/>
            <w:left w:val="none" w:sz="0" w:space="0" w:color="auto"/>
            <w:bottom w:val="none" w:sz="0" w:space="0" w:color="auto"/>
            <w:right w:val="none" w:sz="0" w:space="0" w:color="auto"/>
          </w:divBdr>
        </w:div>
        <w:div w:id="988092888">
          <w:marLeft w:val="0"/>
          <w:marRight w:val="0"/>
          <w:marTop w:val="0"/>
          <w:marBottom w:val="0"/>
          <w:divBdr>
            <w:top w:val="none" w:sz="0" w:space="0" w:color="auto"/>
            <w:left w:val="none" w:sz="0" w:space="0" w:color="auto"/>
            <w:bottom w:val="none" w:sz="0" w:space="0" w:color="auto"/>
            <w:right w:val="none" w:sz="0" w:space="0" w:color="auto"/>
          </w:divBdr>
        </w:div>
        <w:div w:id="347102906">
          <w:marLeft w:val="0"/>
          <w:marRight w:val="0"/>
          <w:marTop w:val="0"/>
          <w:marBottom w:val="0"/>
          <w:divBdr>
            <w:top w:val="none" w:sz="0" w:space="0" w:color="auto"/>
            <w:left w:val="none" w:sz="0" w:space="0" w:color="auto"/>
            <w:bottom w:val="none" w:sz="0" w:space="0" w:color="auto"/>
            <w:right w:val="none" w:sz="0" w:space="0" w:color="auto"/>
          </w:divBdr>
        </w:div>
        <w:div w:id="765031063">
          <w:marLeft w:val="0"/>
          <w:marRight w:val="0"/>
          <w:marTop w:val="0"/>
          <w:marBottom w:val="0"/>
          <w:divBdr>
            <w:top w:val="none" w:sz="0" w:space="0" w:color="auto"/>
            <w:left w:val="none" w:sz="0" w:space="0" w:color="auto"/>
            <w:bottom w:val="none" w:sz="0" w:space="0" w:color="auto"/>
            <w:right w:val="none" w:sz="0" w:space="0" w:color="auto"/>
          </w:divBdr>
        </w:div>
        <w:div w:id="856970517">
          <w:marLeft w:val="0"/>
          <w:marRight w:val="0"/>
          <w:marTop w:val="0"/>
          <w:marBottom w:val="0"/>
          <w:divBdr>
            <w:top w:val="none" w:sz="0" w:space="0" w:color="auto"/>
            <w:left w:val="none" w:sz="0" w:space="0" w:color="auto"/>
            <w:bottom w:val="none" w:sz="0" w:space="0" w:color="auto"/>
            <w:right w:val="none" w:sz="0" w:space="0" w:color="auto"/>
          </w:divBdr>
        </w:div>
        <w:div w:id="711732252">
          <w:marLeft w:val="0"/>
          <w:marRight w:val="0"/>
          <w:marTop w:val="0"/>
          <w:marBottom w:val="0"/>
          <w:divBdr>
            <w:top w:val="none" w:sz="0" w:space="0" w:color="auto"/>
            <w:left w:val="none" w:sz="0" w:space="0" w:color="auto"/>
            <w:bottom w:val="none" w:sz="0" w:space="0" w:color="auto"/>
            <w:right w:val="none" w:sz="0" w:space="0" w:color="auto"/>
          </w:divBdr>
        </w:div>
        <w:div w:id="925072088">
          <w:marLeft w:val="0"/>
          <w:marRight w:val="0"/>
          <w:marTop w:val="0"/>
          <w:marBottom w:val="0"/>
          <w:divBdr>
            <w:top w:val="none" w:sz="0" w:space="0" w:color="auto"/>
            <w:left w:val="none" w:sz="0" w:space="0" w:color="auto"/>
            <w:bottom w:val="none" w:sz="0" w:space="0" w:color="auto"/>
            <w:right w:val="none" w:sz="0" w:space="0" w:color="auto"/>
          </w:divBdr>
        </w:div>
        <w:div w:id="1352535406">
          <w:marLeft w:val="0"/>
          <w:marRight w:val="0"/>
          <w:marTop w:val="0"/>
          <w:marBottom w:val="0"/>
          <w:divBdr>
            <w:top w:val="none" w:sz="0" w:space="0" w:color="auto"/>
            <w:left w:val="none" w:sz="0" w:space="0" w:color="auto"/>
            <w:bottom w:val="none" w:sz="0" w:space="0" w:color="auto"/>
            <w:right w:val="none" w:sz="0" w:space="0" w:color="auto"/>
          </w:divBdr>
        </w:div>
        <w:div w:id="976111681">
          <w:marLeft w:val="0"/>
          <w:marRight w:val="0"/>
          <w:marTop w:val="0"/>
          <w:marBottom w:val="0"/>
          <w:divBdr>
            <w:top w:val="none" w:sz="0" w:space="0" w:color="auto"/>
            <w:left w:val="none" w:sz="0" w:space="0" w:color="auto"/>
            <w:bottom w:val="none" w:sz="0" w:space="0" w:color="auto"/>
            <w:right w:val="none" w:sz="0" w:space="0" w:color="auto"/>
          </w:divBdr>
        </w:div>
        <w:div w:id="2077509254">
          <w:marLeft w:val="0"/>
          <w:marRight w:val="0"/>
          <w:marTop w:val="0"/>
          <w:marBottom w:val="0"/>
          <w:divBdr>
            <w:top w:val="none" w:sz="0" w:space="0" w:color="auto"/>
            <w:left w:val="none" w:sz="0" w:space="0" w:color="auto"/>
            <w:bottom w:val="none" w:sz="0" w:space="0" w:color="auto"/>
            <w:right w:val="none" w:sz="0" w:space="0" w:color="auto"/>
          </w:divBdr>
        </w:div>
        <w:div w:id="353968962">
          <w:marLeft w:val="0"/>
          <w:marRight w:val="0"/>
          <w:marTop w:val="0"/>
          <w:marBottom w:val="0"/>
          <w:divBdr>
            <w:top w:val="none" w:sz="0" w:space="0" w:color="auto"/>
            <w:left w:val="none" w:sz="0" w:space="0" w:color="auto"/>
            <w:bottom w:val="none" w:sz="0" w:space="0" w:color="auto"/>
            <w:right w:val="none" w:sz="0" w:space="0" w:color="auto"/>
          </w:divBdr>
        </w:div>
        <w:div w:id="750198694">
          <w:marLeft w:val="0"/>
          <w:marRight w:val="0"/>
          <w:marTop w:val="0"/>
          <w:marBottom w:val="0"/>
          <w:divBdr>
            <w:top w:val="none" w:sz="0" w:space="0" w:color="auto"/>
            <w:left w:val="none" w:sz="0" w:space="0" w:color="auto"/>
            <w:bottom w:val="none" w:sz="0" w:space="0" w:color="auto"/>
            <w:right w:val="none" w:sz="0" w:space="0" w:color="auto"/>
          </w:divBdr>
        </w:div>
        <w:div w:id="641157122">
          <w:marLeft w:val="0"/>
          <w:marRight w:val="0"/>
          <w:marTop w:val="0"/>
          <w:marBottom w:val="0"/>
          <w:divBdr>
            <w:top w:val="none" w:sz="0" w:space="0" w:color="auto"/>
            <w:left w:val="none" w:sz="0" w:space="0" w:color="auto"/>
            <w:bottom w:val="none" w:sz="0" w:space="0" w:color="auto"/>
            <w:right w:val="none" w:sz="0" w:space="0" w:color="auto"/>
          </w:divBdr>
        </w:div>
        <w:div w:id="123279799">
          <w:marLeft w:val="0"/>
          <w:marRight w:val="0"/>
          <w:marTop w:val="0"/>
          <w:marBottom w:val="0"/>
          <w:divBdr>
            <w:top w:val="none" w:sz="0" w:space="0" w:color="auto"/>
            <w:left w:val="none" w:sz="0" w:space="0" w:color="auto"/>
            <w:bottom w:val="none" w:sz="0" w:space="0" w:color="auto"/>
            <w:right w:val="none" w:sz="0" w:space="0" w:color="auto"/>
          </w:divBdr>
        </w:div>
        <w:div w:id="312030857">
          <w:marLeft w:val="0"/>
          <w:marRight w:val="0"/>
          <w:marTop w:val="0"/>
          <w:marBottom w:val="0"/>
          <w:divBdr>
            <w:top w:val="none" w:sz="0" w:space="0" w:color="auto"/>
            <w:left w:val="none" w:sz="0" w:space="0" w:color="auto"/>
            <w:bottom w:val="none" w:sz="0" w:space="0" w:color="auto"/>
            <w:right w:val="none" w:sz="0" w:space="0" w:color="auto"/>
          </w:divBdr>
        </w:div>
        <w:div w:id="896816695">
          <w:marLeft w:val="0"/>
          <w:marRight w:val="0"/>
          <w:marTop w:val="0"/>
          <w:marBottom w:val="0"/>
          <w:divBdr>
            <w:top w:val="none" w:sz="0" w:space="0" w:color="auto"/>
            <w:left w:val="none" w:sz="0" w:space="0" w:color="auto"/>
            <w:bottom w:val="none" w:sz="0" w:space="0" w:color="auto"/>
            <w:right w:val="none" w:sz="0" w:space="0" w:color="auto"/>
          </w:divBdr>
        </w:div>
        <w:div w:id="662050452">
          <w:marLeft w:val="0"/>
          <w:marRight w:val="0"/>
          <w:marTop w:val="0"/>
          <w:marBottom w:val="0"/>
          <w:divBdr>
            <w:top w:val="none" w:sz="0" w:space="0" w:color="auto"/>
            <w:left w:val="none" w:sz="0" w:space="0" w:color="auto"/>
            <w:bottom w:val="none" w:sz="0" w:space="0" w:color="auto"/>
            <w:right w:val="none" w:sz="0" w:space="0" w:color="auto"/>
          </w:divBdr>
        </w:div>
        <w:div w:id="906306240">
          <w:marLeft w:val="0"/>
          <w:marRight w:val="0"/>
          <w:marTop w:val="0"/>
          <w:marBottom w:val="0"/>
          <w:divBdr>
            <w:top w:val="none" w:sz="0" w:space="0" w:color="auto"/>
            <w:left w:val="none" w:sz="0" w:space="0" w:color="auto"/>
            <w:bottom w:val="none" w:sz="0" w:space="0" w:color="auto"/>
            <w:right w:val="none" w:sz="0" w:space="0" w:color="auto"/>
          </w:divBdr>
        </w:div>
        <w:div w:id="1152722250">
          <w:marLeft w:val="0"/>
          <w:marRight w:val="0"/>
          <w:marTop w:val="0"/>
          <w:marBottom w:val="0"/>
          <w:divBdr>
            <w:top w:val="none" w:sz="0" w:space="0" w:color="auto"/>
            <w:left w:val="none" w:sz="0" w:space="0" w:color="auto"/>
            <w:bottom w:val="none" w:sz="0" w:space="0" w:color="auto"/>
            <w:right w:val="none" w:sz="0" w:space="0" w:color="auto"/>
          </w:divBdr>
        </w:div>
        <w:div w:id="288435561">
          <w:marLeft w:val="0"/>
          <w:marRight w:val="0"/>
          <w:marTop w:val="0"/>
          <w:marBottom w:val="0"/>
          <w:divBdr>
            <w:top w:val="none" w:sz="0" w:space="0" w:color="auto"/>
            <w:left w:val="none" w:sz="0" w:space="0" w:color="auto"/>
            <w:bottom w:val="none" w:sz="0" w:space="0" w:color="auto"/>
            <w:right w:val="none" w:sz="0" w:space="0" w:color="auto"/>
          </w:divBdr>
        </w:div>
        <w:div w:id="630674590">
          <w:marLeft w:val="0"/>
          <w:marRight w:val="0"/>
          <w:marTop w:val="0"/>
          <w:marBottom w:val="0"/>
          <w:divBdr>
            <w:top w:val="none" w:sz="0" w:space="0" w:color="auto"/>
            <w:left w:val="none" w:sz="0" w:space="0" w:color="auto"/>
            <w:bottom w:val="none" w:sz="0" w:space="0" w:color="auto"/>
            <w:right w:val="none" w:sz="0" w:space="0" w:color="auto"/>
          </w:divBdr>
        </w:div>
        <w:div w:id="1220478552">
          <w:marLeft w:val="0"/>
          <w:marRight w:val="0"/>
          <w:marTop w:val="0"/>
          <w:marBottom w:val="0"/>
          <w:divBdr>
            <w:top w:val="none" w:sz="0" w:space="0" w:color="auto"/>
            <w:left w:val="none" w:sz="0" w:space="0" w:color="auto"/>
            <w:bottom w:val="none" w:sz="0" w:space="0" w:color="auto"/>
            <w:right w:val="none" w:sz="0" w:space="0" w:color="auto"/>
          </w:divBdr>
        </w:div>
        <w:div w:id="2024477349">
          <w:marLeft w:val="0"/>
          <w:marRight w:val="0"/>
          <w:marTop w:val="0"/>
          <w:marBottom w:val="0"/>
          <w:divBdr>
            <w:top w:val="none" w:sz="0" w:space="0" w:color="auto"/>
            <w:left w:val="none" w:sz="0" w:space="0" w:color="auto"/>
            <w:bottom w:val="none" w:sz="0" w:space="0" w:color="auto"/>
            <w:right w:val="none" w:sz="0" w:space="0" w:color="auto"/>
          </w:divBdr>
        </w:div>
        <w:div w:id="1334214395">
          <w:marLeft w:val="0"/>
          <w:marRight w:val="0"/>
          <w:marTop w:val="0"/>
          <w:marBottom w:val="0"/>
          <w:divBdr>
            <w:top w:val="none" w:sz="0" w:space="0" w:color="auto"/>
            <w:left w:val="none" w:sz="0" w:space="0" w:color="auto"/>
            <w:bottom w:val="none" w:sz="0" w:space="0" w:color="auto"/>
            <w:right w:val="none" w:sz="0" w:space="0" w:color="auto"/>
          </w:divBdr>
        </w:div>
        <w:div w:id="152720116">
          <w:marLeft w:val="0"/>
          <w:marRight w:val="0"/>
          <w:marTop w:val="0"/>
          <w:marBottom w:val="0"/>
          <w:divBdr>
            <w:top w:val="none" w:sz="0" w:space="0" w:color="auto"/>
            <w:left w:val="none" w:sz="0" w:space="0" w:color="auto"/>
            <w:bottom w:val="none" w:sz="0" w:space="0" w:color="auto"/>
            <w:right w:val="none" w:sz="0" w:space="0" w:color="auto"/>
          </w:divBdr>
        </w:div>
        <w:div w:id="1999384798">
          <w:marLeft w:val="0"/>
          <w:marRight w:val="0"/>
          <w:marTop w:val="0"/>
          <w:marBottom w:val="0"/>
          <w:divBdr>
            <w:top w:val="none" w:sz="0" w:space="0" w:color="auto"/>
            <w:left w:val="none" w:sz="0" w:space="0" w:color="auto"/>
            <w:bottom w:val="none" w:sz="0" w:space="0" w:color="auto"/>
            <w:right w:val="none" w:sz="0" w:space="0" w:color="auto"/>
          </w:divBdr>
        </w:div>
        <w:div w:id="1548682189">
          <w:marLeft w:val="0"/>
          <w:marRight w:val="0"/>
          <w:marTop w:val="0"/>
          <w:marBottom w:val="0"/>
          <w:divBdr>
            <w:top w:val="none" w:sz="0" w:space="0" w:color="auto"/>
            <w:left w:val="none" w:sz="0" w:space="0" w:color="auto"/>
            <w:bottom w:val="none" w:sz="0" w:space="0" w:color="auto"/>
            <w:right w:val="none" w:sz="0" w:space="0" w:color="auto"/>
          </w:divBdr>
        </w:div>
        <w:div w:id="1715077349">
          <w:marLeft w:val="0"/>
          <w:marRight w:val="0"/>
          <w:marTop w:val="0"/>
          <w:marBottom w:val="0"/>
          <w:divBdr>
            <w:top w:val="none" w:sz="0" w:space="0" w:color="auto"/>
            <w:left w:val="none" w:sz="0" w:space="0" w:color="auto"/>
            <w:bottom w:val="none" w:sz="0" w:space="0" w:color="auto"/>
            <w:right w:val="none" w:sz="0" w:space="0" w:color="auto"/>
          </w:divBdr>
        </w:div>
        <w:div w:id="1631403896">
          <w:marLeft w:val="0"/>
          <w:marRight w:val="0"/>
          <w:marTop w:val="0"/>
          <w:marBottom w:val="0"/>
          <w:divBdr>
            <w:top w:val="none" w:sz="0" w:space="0" w:color="auto"/>
            <w:left w:val="none" w:sz="0" w:space="0" w:color="auto"/>
            <w:bottom w:val="none" w:sz="0" w:space="0" w:color="auto"/>
            <w:right w:val="none" w:sz="0" w:space="0" w:color="auto"/>
          </w:divBdr>
        </w:div>
        <w:div w:id="1857845808">
          <w:marLeft w:val="0"/>
          <w:marRight w:val="0"/>
          <w:marTop w:val="0"/>
          <w:marBottom w:val="0"/>
          <w:divBdr>
            <w:top w:val="none" w:sz="0" w:space="0" w:color="auto"/>
            <w:left w:val="none" w:sz="0" w:space="0" w:color="auto"/>
            <w:bottom w:val="none" w:sz="0" w:space="0" w:color="auto"/>
            <w:right w:val="none" w:sz="0" w:space="0" w:color="auto"/>
          </w:divBdr>
        </w:div>
        <w:div w:id="643775945">
          <w:marLeft w:val="0"/>
          <w:marRight w:val="0"/>
          <w:marTop w:val="0"/>
          <w:marBottom w:val="0"/>
          <w:divBdr>
            <w:top w:val="none" w:sz="0" w:space="0" w:color="auto"/>
            <w:left w:val="none" w:sz="0" w:space="0" w:color="auto"/>
            <w:bottom w:val="none" w:sz="0" w:space="0" w:color="auto"/>
            <w:right w:val="none" w:sz="0" w:space="0" w:color="auto"/>
          </w:divBdr>
        </w:div>
        <w:div w:id="1478568395">
          <w:marLeft w:val="0"/>
          <w:marRight w:val="0"/>
          <w:marTop w:val="0"/>
          <w:marBottom w:val="0"/>
          <w:divBdr>
            <w:top w:val="none" w:sz="0" w:space="0" w:color="auto"/>
            <w:left w:val="none" w:sz="0" w:space="0" w:color="auto"/>
            <w:bottom w:val="none" w:sz="0" w:space="0" w:color="auto"/>
            <w:right w:val="none" w:sz="0" w:space="0" w:color="auto"/>
          </w:divBdr>
        </w:div>
        <w:div w:id="1710108556">
          <w:marLeft w:val="0"/>
          <w:marRight w:val="0"/>
          <w:marTop w:val="0"/>
          <w:marBottom w:val="0"/>
          <w:divBdr>
            <w:top w:val="none" w:sz="0" w:space="0" w:color="auto"/>
            <w:left w:val="none" w:sz="0" w:space="0" w:color="auto"/>
            <w:bottom w:val="none" w:sz="0" w:space="0" w:color="auto"/>
            <w:right w:val="none" w:sz="0" w:space="0" w:color="auto"/>
          </w:divBdr>
        </w:div>
        <w:div w:id="439758565">
          <w:marLeft w:val="0"/>
          <w:marRight w:val="0"/>
          <w:marTop w:val="0"/>
          <w:marBottom w:val="0"/>
          <w:divBdr>
            <w:top w:val="none" w:sz="0" w:space="0" w:color="auto"/>
            <w:left w:val="none" w:sz="0" w:space="0" w:color="auto"/>
            <w:bottom w:val="none" w:sz="0" w:space="0" w:color="auto"/>
            <w:right w:val="none" w:sz="0" w:space="0" w:color="auto"/>
          </w:divBdr>
        </w:div>
        <w:div w:id="541096563">
          <w:marLeft w:val="0"/>
          <w:marRight w:val="0"/>
          <w:marTop w:val="0"/>
          <w:marBottom w:val="0"/>
          <w:divBdr>
            <w:top w:val="none" w:sz="0" w:space="0" w:color="auto"/>
            <w:left w:val="none" w:sz="0" w:space="0" w:color="auto"/>
            <w:bottom w:val="none" w:sz="0" w:space="0" w:color="auto"/>
            <w:right w:val="none" w:sz="0" w:space="0" w:color="auto"/>
          </w:divBdr>
        </w:div>
        <w:div w:id="1128401791">
          <w:marLeft w:val="0"/>
          <w:marRight w:val="0"/>
          <w:marTop w:val="0"/>
          <w:marBottom w:val="0"/>
          <w:divBdr>
            <w:top w:val="none" w:sz="0" w:space="0" w:color="auto"/>
            <w:left w:val="none" w:sz="0" w:space="0" w:color="auto"/>
            <w:bottom w:val="none" w:sz="0" w:space="0" w:color="auto"/>
            <w:right w:val="none" w:sz="0" w:space="0" w:color="auto"/>
          </w:divBdr>
        </w:div>
        <w:div w:id="250507473">
          <w:marLeft w:val="0"/>
          <w:marRight w:val="0"/>
          <w:marTop w:val="0"/>
          <w:marBottom w:val="0"/>
          <w:divBdr>
            <w:top w:val="none" w:sz="0" w:space="0" w:color="auto"/>
            <w:left w:val="none" w:sz="0" w:space="0" w:color="auto"/>
            <w:bottom w:val="none" w:sz="0" w:space="0" w:color="auto"/>
            <w:right w:val="none" w:sz="0" w:space="0" w:color="auto"/>
          </w:divBdr>
        </w:div>
        <w:div w:id="445152662">
          <w:marLeft w:val="0"/>
          <w:marRight w:val="0"/>
          <w:marTop w:val="0"/>
          <w:marBottom w:val="0"/>
          <w:divBdr>
            <w:top w:val="none" w:sz="0" w:space="0" w:color="auto"/>
            <w:left w:val="none" w:sz="0" w:space="0" w:color="auto"/>
            <w:bottom w:val="none" w:sz="0" w:space="0" w:color="auto"/>
            <w:right w:val="none" w:sz="0" w:space="0" w:color="auto"/>
          </w:divBdr>
        </w:div>
        <w:div w:id="155921075">
          <w:marLeft w:val="0"/>
          <w:marRight w:val="0"/>
          <w:marTop w:val="0"/>
          <w:marBottom w:val="0"/>
          <w:divBdr>
            <w:top w:val="none" w:sz="0" w:space="0" w:color="auto"/>
            <w:left w:val="none" w:sz="0" w:space="0" w:color="auto"/>
            <w:bottom w:val="none" w:sz="0" w:space="0" w:color="auto"/>
            <w:right w:val="none" w:sz="0" w:space="0" w:color="auto"/>
          </w:divBdr>
        </w:div>
        <w:div w:id="611207082">
          <w:marLeft w:val="0"/>
          <w:marRight w:val="0"/>
          <w:marTop w:val="0"/>
          <w:marBottom w:val="0"/>
          <w:divBdr>
            <w:top w:val="none" w:sz="0" w:space="0" w:color="auto"/>
            <w:left w:val="none" w:sz="0" w:space="0" w:color="auto"/>
            <w:bottom w:val="none" w:sz="0" w:space="0" w:color="auto"/>
            <w:right w:val="none" w:sz="0" w:space="0" w:color="auto"/>
          </w:divBdr>
        </w:div>
        <w:div w:id="1843424734">
          <w:marLeft w:val="0"/>
          <w:marRight w:val="0"/>
          <w:marTop w:val="0"/>
          <w:marBottom w:val="0"/>
          <w:divBdr>
            <w:top w:val="none" w:sz="0" w:space="0" w:color="auto"/>
            <w:left w:val="none" w:sz="0" w:space="0" w:color="auto"/>
            <w:bottom w:val="none" w:sz="0" w:space="0" w:color="auto"/>
            <w:right w:val="none" w:sz="0" w:space="0" w:color="auto"/>
          </w:divBdr>
        </w:div>
        <w:div w:id="108670635">
          <w:marLeft w:val="0"/>
          <w:marRight w:val="0"/>
          <w:marTop w:val="0"/>
          <w:marBottom w:val="0"/>
          <w:divBdr>
            <w:top w:val="none" w:sz="0" w:space="0" w:color="auto"/>
            <w:left w:val="none" w:sz="0" w:space="0" w:color="auto"/>
            <w:bottom w:val="none" w:sz="0" w:space="0" w:color="auto"/>
            <w:right w:val="none" w:sz="0" w:space="0" w:color="auto"/>
          </w:divBdr>
        </w:div>
        <w:div w:id="2033529511">
          <w:marLeft w:val="0"/>
          <w:marRight w:val="0"/>
          <w:marTop w:val="0"/>
          <w:marBottom w:val="0"/>
          <w:divBdr>
            <w:top w:val="none" w:sz="0" w:space="0" w:color="auto"/>
            <w:left w:val="none" w:sz="0" w:space="0" w:color="auto"/>
            <w:bottom w:val="none" w:sz="0" w:space="0" w:color="auto"/>
            <w:right w:val="none" w:sz="0" w:space="0" w:color="auto"/>
          </w:divBdr>
        </w:div>
        <w:div w:id="1042025437">
          <w:marLeft w:val="0"/>
          <w:marRight w:val="0"/>
          <w:marTop w:val="0"/>
          <w:marBottom w:val="0"/>
          <w:divBdr>
            <w:top w:val="none" w:sz="0" w:space="0" w:color="auto"/>
            <w:left w:val="none" w:sz="0" w:space="0" w:color="auto"/>
            <w:bottom w:val="none" w:sz="0" w:space="0" w:color="auto"/>
            <w:right w:val="none" w:sz="0" w:space="0" w:color="auto"/>
          </w:divBdr>
        </w:div>
        <w:div w:id="740642009">
          <w:marLeft w:val="0"/>
          <w:marRight w:val="0"/>
          <w:marTop w:val="0"/>
          <w:marBottom w:val="0"/>
          <w:divBdr>
            <w:top w:val="none" w:sz="0" w:space="0" w:color="auto"/>
            <w:left w:val="none" w:sz="0" w:space="0" w:color="auto"/>
            <w:bottom w:val="none" w:sz="0" w:space="0" w:color="auto"/>
            <w:right w:val="none" w:sz="0" w:space="0" w:color="auto"/>
          </w:divBdr>
        </w:div>
        <w:div w:id="1351224482">
          <w:marLeft w:val="0"/>
          <w:marRight w:val="0"/>
          <w:marTop w:val="0"/>
          <w:marBottom w:val="0"/>
          <w:divBdr>
            <w:top w:val="none" w:sz="0" w:space="0" w:color="auto"/>
            <w:left w:val="none" w:sz="0" w:space="0" w:color="auto"/>
            <w:bottom w:val="none" w:sz="0" w:space="0" w:color="auto"/>
            <w:right w:val="none" w:sz="0" w:space="0" w:color="auto"/>
          </w:divBdr>
        </w:div>
        <w:div w:id="1028796801">
          <w:marLeft w:val="0"/>
          <w:marRight w:val="0"/>
          <w:marTop w:val="0"/>
          <w:marBottom w:val="0"/>
          <w:divBdr>
            <w:top w:val="none" w:sz="0" w:space="0" w:color="auto"/>
            <w:left w:val="none" w:sz="0" w:space="0" w:color="auto"/>
            <w:bottom w:val="none" w:sz="0" w:space="0" w:color="auto"/>
            <w:right w:val="none" w:sz="0" w:space="0" w:color="auto"/>
          </w:divBdr>
        </w:div>
        <w:div w:id="817037959">
          <w:marLeft w:val="0"/>
          <w:marRight w:val="0"/>
          <w:marTop w:val="0"/>
          <w:marBottom w:val="0"/>
          <w:divBdr>
            <w:top w:val="none" w:sz="0" w:space="0" w:color="auto"/>
            <w:left w:val="none" w:sz="0" w:space="0" w:color="auto"/>
            <w:bottom w:val="none" w:sz="0" w:space="0" w:color="auto"/>
            <w:right w:val="none" w:sz="0" w:space="0" w:color="auto"/>
          </w:divBdr>
        </w:div>
        <w:div w:id="2037998002">
          <w:marLeft w:val="0"/>
          <w:marRight w:val="0"/>
          <w:marTop w:val="0"/>
          <w:marBottom w:val="0"/>
          <w:divBdr>
            <w:top w:val="none" w:sz="0" w:space="0" w:color="auto"/>
            <w:left w:val="none" w:sz="0" w:space="0" w:color="auto"/>
            <w:bottom w:val="none" w:sz="0" w:space="0" w:color="auto"/>
            <w:right w:val="none" w:sz="0" w:space="0" w:color="auto"/>
          </w:divBdr>
        </w:div>
        <w:div w:id="533545719">
          <w:marLeft w:val="0"/>
          <w:marRight w:val="0"/>
          <w:marTop w:val="0"/>
          <w:marBottom w:val="0"/>
          <w:divBdr>
            <w:top w:val="none" w:sz="0" w:space="0" w:color="auto"/>
            <w:left w:val="none" w:sz="0" w:space="0" w:color="auto"/>
            <w:bottom w:val="none" w:sz="0" w:space="0" w:color="auto"/>
            <w:right w:val="none" w:sz="0" w:space="0" w:color="auto"/>
          </w:divBdr>
        </w:div>
        <w:div w:id="294717699">
          <w:marLeft w:val="0"/>
          <w:marRight w:val="0"/>
          <w:marTop w:val="0"/>
          <w:marBottom w:val="0"/>
          <w:divBdr>
            <w:top w:val="none" w:sz="0" w:space="0" w:color="auto"/>
            <w:left w:val="none" w:sz="0" w:space="0" w:color="auto"/>
            <w:bottom w:val="none" w:sz="0" w:space="0" w:color="auto"/>
            <w:right w:val="none" w:sz="0" w:space="0" w:color="auto"/>
          </w:divBdr>
        </w:div>
        <w:div w:id="907963983">
          <w:marLeft w:val="0"/>
          <w:marRight w:val="0"/>
          <w:marTop w:val="0"/>
          <w:marBottom w:val="0"/>
          <w:divBdr>
            <w:top w:val="none" w:sz="0" w:space="0" w:color="auto"/>
            <w:left w:val="none" w:sz="0" w:space="0" w:color="auto"/>
            <w:bottom w:val="none" w:sz="0" w:space="0" w:color="auto"/>
            <w:right w:val="none" w:sz="0" w:space="0" w:color="auto"/>
          </w:divBdr>
        </w:div>
        <w:div w:id="1780753864">
          <w:marLeft w:val="0"/>
          <w:marRight w:val="0"/>
          <w:marTop w:val="0"/>
          <w:marBottom w:val="0"/>
          <w:divBdr>
            <w:top w:val="none" w:sz="0" w:space="0" w:color="auto"/>
            <w:left w:val="none" w:sz="0" w:space="0" w:color="auto"/>
            <w:bottom w:val="none" w:sz="0" w:space="0" w:color="auto"/>
            <w:right w:val="none" w:sz="0" w:space="0" w:color="auto"/>
          </w:divBdr>
        </w:div>
        <w:div w:id="207684724">
          <w:marLeft w:val="0"/>
          <w:marRight w:val="0"/>
          <w:marTop w:val="0"/>
          <w:marBottom w:val="0"/>
          <w:divBdr>
            <w:top w:val="none" w:sz="0" w:space="0" w:color="auto"/>
            <w:left w:val="none" w:sz="0" w:space="0" w:color="auto"/>
            <w:bottom w:val="none" w:sz="0" w:space="0" w:color="auto"/>
            <w:right w:val="none" w:sz="0" w:space="0" w:color="auto"/>
          </w:divBdr>
        </w:div>
        <w:div w:id="1381437152">
          <w:marLeft w:val="0"/>
          <w:marRight w:val="0"/>
          <w:marTop w:val="0"/>
          <w:marBottom w:val="0"/>
          <w:divBdr>
            <w:top w:val="none" w:sz="0" w:space="0" w:color="auto"/>
            <w:left w:val="none" w:sz="0" w:space="0" w:color="auto"/>
            <w:bottom w:val="none" w:sz="0" w:space="0" w:color="auto"/>
            <w:right w:val="none" w:sz="0" w:space="0" w:color="auto"/>
          </w:divBdr>
        </w:div>
        <w:div w:id="760030835">
          <w:marLeft w:val="0"/>
          <w:marRight w:val="0"/>
          <w:marTop w:val="0"/>
          <w:marBottom w:val="0"/>
          <w:divBdr>
            <w:top w:val="none" w:sz="0" w:space="0" w:color="auto"/>
            <w:left w:val="none" w:sz="0" w:space="0" w:color="auto"/>
            <w:bottom w:val="none" w:sz="0" w:space="0" w:color="auto"/>
            <w:right w:val="none" w:sz="0" w:space="0" w:color="auto"/>
          </w:divBdr>
        </w:div>
        <w:div w:id="683357917">
          <w:marLeft w:val="0"/>
          <w:marRight w:val="0"/>
          <w:marTop w:val="0"/>
          <w:marBottom w:val="0"/>
          <w:divBdr>
            <w:top w:val="none" w:sz="0" w:space="0" w:color="auto"/>
            <w:left w:val="none" w:sz="0" w:space="0" w:color="auto"/>
            <w:bottom w:val="none" w:sz="0" w:space="0" w:color="auto"/>
            <w:right w:val="none" w:sz="0" w:space="0" w:color="auto"/>
          </w:divBdr>
        </w:div>
        <w:div w:id="1204053487">
          <w:marLeft w:val="0"/>
          <w:marRight w:val="0"/>
          <w:marTop w:val="0"/>
          <w:marBottom w:val="0"/>
          <w:divBdr>
            <w:top w:val="none" w:sz="0" w:space="0" w:color="auto"/>
            <w:left w:val="none" w:sz="0" w:space="0" w:color="auto"/>
            <w:bottom w:val="none" w:sz="0" w:space="0" w:color="auto"/>
            <w:right w:val="none" w:sz="0" w:space="0" w:color="auto"/>
          </w:divBdr>
        </w:div>
        <w:div w:id="860820150">
          <w:marLeft w:val="0"/>
          <w:marRight w:val="0"/>
          <w:marTop w:val="0"/>
          <w:marBottom w:val="0"/>
          <w:divBdr>
            <w:top w:val="none" w:sz="0" w:space="0" w:color="auto"/>
            <w:left w:val="none" w:sz="0" w:space="0" w:color="auto"/>
            <w:bottom w:val="none" w:sz="0" w:space="0" w:color="auto"/>
            <w:right w:val="none" w:sz="0" w:space="0" w:color="auto"/>
          </w:divBdr>
        </w:div>
        <w:div w:id="1430349096">
          <w:marLeft w:val="0"/>
          <w:marRight w:val="0"/>
          <w:marTop w:val="0"/>
          <w:marBottom w:val="0"/>
          <w:divBdr>
            <w:top w:val="none" w:sz="0" w:space="0" w:color="auto"/>
            <w:left w:val="none" w:sz="0" w:space="0" w:color="auto"/>
            <w:bottom w:val="none" w:sz="0" w:space="0" w:color="auto"/>
            <w:right w:val="none" w:sz="0" w:space="0" w:color="auto"/>
          </w:divBdr>
        </w:div>
        <w:div w:id="1646859821">
          <w:marLeft w:val="0"/>
          <w:marRight w:val="0"/>
          <w:marTop w:val="0"/>
          <w:marBottom w:val="0"/>
          <w:divBdr>
            <w:top w:val="none" w:sz="0" w:space="0" w:color="auto"/>
            <w:left w:val="none" w:sz="0" w:space="0" w:color="auto"/>
            <w:bottom w:val="none" w:sz="0" w:space="0" w:color="auto"/>
            <w:right w:val="none" w:sz="0" w:space="0" w:color="auto"/>
          </w:divBdr>
        </w:div>
        <w:div w:id="1254124407">
          <w:marLeft w:val="0"/>
          <w:marRight w:val="0"/>
          <w:marTop w:val="0"/>
          <w:marBottom w:val="0"/>
          <w:divBdr>
            <w:top w:val="none" w:sz="0" w:space="0" w:color="auto"/>
            <w:left w:val="none" w:sz="0" w:space="0" w:color="auto"/>
            <w:bottom w:val="none" w:sz="0" w:space="0" w:color="auto"/>
            <w:right w:val="none" w:sz="0" w:space="0" w:color="auto"/>
          </w:divBdr>
        </w:div>
        <w:div w:id="1446658387">
          <w:marLeft w:val="0"/>
          <w:marRight w:val="0"/>
          <w:marTop w:val="0"/>
          <w:marBottom w:val="0"/>
          <w:divBdr>
            <w:top w:val="none" w:sz="0" w:space="0" w:color="auto"/>
            <w:left w:val="none" w:sz="0" w:space="0" w:color="auto"/>
            <w:bottom w:val="none" w:sz="0" w:space="0" w:color="auto"/>
            <w:right w:val="none" w:sz="0" w:space="0" w:color="auto"/>
          </w:divBdr>
        </w:div>
        <w:div w:id="471486129">
          <w:marLeft w:val="0"/>
          <w:marRight w:val="0"/>
          <w:marTop w:val="0"/>
          <w:marBottom w:val="0"/>
          <w:divBdr>
            <w:top w:val="none" w:sz="0" w:space="0" w:color="auto"/>
            <w:left w:val="none" w:sz="0" w:space="0" w:color="auto"/>
            <w:bottom w:val="none" w:sz="0" w:space="0" w:color="auto"/>
            <w:right w:val="none" w:sz="0" w:space="0" w:color="auto"/>
          </w:divBdr>
        </w:div>
        <w:div w:id="69087603">
          <w:marLeft w:val="0"/>
          <w:marRight w:val="0"/>
          <w:marTop w:val="0"/>
          <w:marBottom w:val="0"/>
          <w:divBdr>
            <w:top w:val="none" w:sz="0" w:space="0" w:color="auto"/>
            <w:left w:val="none" w:sz="0" w:space="0" w:color="auto"/>
            <w:bottom w:val="none" w:sz="0" w:space="0" w:color="auto"/>
            <w:right w:val="none" w:sz="0" w:space="0" w:color="auto"/>
          </w:divBdr>
        </w:div>
        <w:div w:id="818576860">
          <w:marLeft w:val="0"/>
          <w:marRight w:val="0"/>
          <w:marTop w:val="0"/>
          <w:marBottom w:val="0"/>
          <w:divBdr>
            <w:top w:val="none" w:sz="0" w:space="0" w:color="auto"/>
            <w:left w:val="none" w:sz="0" w:space="0" w:color="auto"/>
            <w:bottom w:val="none" w:sz="0" w:space="0" w:color="auto"/>
            <w:right w:val="none" w:sz="0" w:space="0" w:color="auto"/>
          </w:divBdr>
        </w:div>
        <w:div w:id="152331771">
          <w:marLeft w:val="0"/>
          <w:marRight w:val="0"/>
          <w:marTop w:val="0"/>
          <w:marBottom w:val="0"/>
          <w:divBdr>
            <w:top w:val="none" w:sz="0" w:space="0" w:color="auto"/>
            <w:left w:val="none" w:sz="0" w:space="0" w:color="auto"/>
            <w:bottom w:val="none" w:sz="0" w:space="0" w:color="auto"/>
            <w:right w:val="none" w:sz="0" w:space="0" w:color="auto"/>
          </w:divBdr>
        </w:div>
        <w:div w:id="1748577159">
          <w:marLeft w:val="0"/>
          <w:marRight w:val="0"/>
          <w:marTop w:val="0"/>
          <w:marBottom w:val="0"/>
          <w:divBdr>
            <w:top w:val="none" w:sz="0" w:space="0" w:color="auto"/>
            <w:left w:val="none" w:sz="0" w:space="0" w:color="auto"/>
            <w:bottom w:val="none" w:sz="0" w:space="0" w:color="auto"/>
            <w:right w:val="none" w:sz="0" w:space="0" w:color="auto"/>
          </w:divBdr>
        </w:div>
        <w:div w:id="1959026684">
          <w:marLeft w:val="0"/>
          <w:marRight w:val="0"/>
          <w:marTop w:val="0"/>
          <w:marBottom w:val="0"/>
          <w:divBdr>
            <w:top w:val="none" w:sz="0" w:space="0" w:color="auto"/>
            <w:left w:val="none" w:sz="0" w:space="0" w:color="auto"/>
            <w:bottom w:val="none" w:sz="0" w:space="0" w:color="auto"/>
            <w:right w:val="none" w:sz="0" w:space="0" w:color="auto"/>
          </w:divBdr>
        </w:div>
        <w:div w:id="1968272712">
          <w:marLeft w:val="0"/>
          <w:marRight w:val="0"/>
          <w:marTop w:val="0"/>
          <w:marBottom w:val="0"/>
          <w:divBdr>
            <w:top w:val="none" w:sz="0" w:space="0" w:color="auto"/>
            <w:left w:val="none" w:sz="0" w:space="0" w:color="auto"/>
            <w:bottom w:val="none" w:sz="0" w:space="0" w:color="auto"/>
            <w:right w:val="none" w:sz="0" w:space="0" w:color="auto"/>
          </w:divBdr>
        </w:div>
        <w:div w:id="125703797">
          <w:marLeft w:val="0"/>
          <w:marRight w:val="0"/>
          <w:marTop w:val="0"/>
          <w:marBottom w:val="0"/>
          <w:divBdr>
            <w:top w:val="none" w:sz="0" w:space="0" w:color="auto"/>
            <w:left w:val="none" w:sz="0" w:space="0" w:color="auto"/>
            <w:bottom w:val="none" w:sz="0" w:space="0" w:color="auto"/>
            <w:right w:val="none" w:sz="0" w:space="0" w:color="auto"/>
          </w:divBdr>
        </w:div>
        <w:div w:id="401222706">
          <w:marLeft w:val="0"/>
          <w:marRight w:val="0"/>
          <w:marTop w:val="0"/>
          <w:marBottom w:val="0"/>
          <w:divBdr>
            <w:top w:val="none" w:sz="0" w:space="0" w:color="auto"/>
            <w:left w:val="none" w:sz="0" w:space="0" w:color="auto"/>
            <w:bottom w:val="none" w:sz="0" w:space="0" w:color="auto"/>
            <w:right w:val="none" w:sz="0" w:space="0" w:color="auto"/>
          </w:divBdr>
        </w:div>
        <w:div w:id="242371443">
          <w:marLeft w:val="0"/>
          <w:marRight w:val="0"/>
          <w:marTop w:val="0"/>
          <w:marBottom w:val="0"/>
          <w:divBdr>
            <w:top w:val="none" w:sz="0" w:space="0" w:color="auto"/>
            <w:left w:val="none" w:sz="0" w:space="0" w:color="auto"/>
            <w:bottom w:val="none" w:sz="0" w:space="0" w:color="auto"/>
            <w:right w:val="none" w:sz="0" w:space="0" w:color="auto"/>
          </w:divBdr>
        </w:div>
        <w:div w:id="632291403">
          <w:marLeft w:val="0"/>
          <w:marRight w:val="0"/>
          <w:marTop w:val="0"/>
          <w:marBottom w:val="0"/>
          <w:divBdr>
            <w:top w:val="none" w:sz="0" w:space="0" w:color="auto"/>
            <w:left w:val="none" w:sz="0" w:space="0" w:color="auto"/>
            <w:bottom w:val="none" w:sz="0" w:space="0" w:color="auto"/>
            <w:right w:val="none" w:sz="0" w:space="0" w:color="auto"/>
          </w:divBdr>
        </w:div>
        <w:div w:id="1341929590">
          <w:marLeft w:val="0"/>
          <w:marRight w:val="0"/>
          <w:marTop w:val="0"/>
          <w:marBottom w:val="0"/>
          <w:divBdr>
            <w:top w:val="none" w:sz="0" w:space="0" w:color="auto"/>
            <w:left w:val="none" w:sz="0" w:space="0" w:color="auto"/>
            <w:bottom w:val="none" w:sz="0" w:space="0" w:color="auto"/>
            <w:right w:val="none" w:sz="0" w:space="0" w:color="auto"/>
          </w:divBdr>
        </w:div>
        <w:div w:id="670333927">
          <w:marLeft w:val="0"/>
          <w:marRight w:val="0"/>
          <w:marTop w:val="0"/>
          <w:marBottom w:val="0"/>
          <w:divBdr>
            <w:top w:val="none" w:sz="0" w:space="0" w:color="auto"/>
            <w:left w:val="none" w:sz="0" w:space="0" w:color="auto"/>
            <w:bottom w:val="none" w:sz="0" w:space="0" w:color="auto"/>
            <w:right w:val="none" w:sz="0" w:space="0" w:color="auto"/>
          </w:divBdr>
        </w:div>
        <w:div w:id="2002270569">
          <w:marLeft w:val="0"/>
          <w:marRight w:val="0"/>
          <w:marTop w:val="0"/>
          <w:marBottom w:val="0"/>
          <w:divBdr>
            <w:top w:val="none" w:sz="0" w:space="0" w:color="auto"/>
            <w:left w:val="none" w:sz="0" w:space="0" w:color="auto"/>
            <w:bottom w:val="none" w:sz="0" w:space="0" w:color="auto"/>
            <w:right w:val="none" w:sz="0" w:space="0" w:color="auto"/>
          </w:divBdr>
        </w:div>
        <w:div w:id="2132085344">
          <w:marLeft w:val="0"/>
          <w:marRight w:val="0"/>
          <w:marTop w:val="0"/>
          <w:marBottom w:val="0"/>
          <w:divBdr>
            <w:top w:val="none" w:sz="0" w:space="0" w:color="auto"/>
            <w:left w:val="none" w:sz="0" w:space="0" w:color="auto"/>
            <w:bottom w:val="none" w:sz="0" w:space="0" w:color="auto"/>
            <w:right w:val="none" w:sz="0" w:space="0" w:color="auto"/>
          </w:divBdr>
        </w:div>
        <w:div w:id="238446680">
          <w:marLeft w:val="0"/>
          <w:marRight w:val="0"/>
          <w:marTop w:val="0"/>
          <w:marBottom w:val="0"/>
          <w:divBdr>
            <w:top w:val="none" w:sz="0" w:space="0" w:color="auto"/>
            <w:left w:val="none" w:sz="0" w:space="0" w:color="auto"/>
            <w:bottom w:val="none" w:sz="0" w:space="0" w:color="auto"/>
            <w:right w:val="none" w:sz="0" w:space="0" w:color="auto"/>
          </w:divBdr>
        </w:div>
        <w:div w:id="690036235">
          <w:marLeft w:val="0"/>
          <w:marRight w:val="0"/>
          <w:marTop w:val="0"/>
          <w:marBottom w:val="0"/>
          <w:divBdr>
            <w:top w:val="none" w:sz="0" w:space="0" w:color="auto"/>
            <w:left w:val="none" w:sz="0" w:space="0" w:color="auto"/>
            <w:bottom w:val="none" w:sz="0" w:space="0" w:color="auto"/>
            <w:right w:val="none" w:sz="0" w:space="0" w:color="auto"/>
          </w:divBdr>
        </w:div>
        <w:div w:id="172190634">
          <w:marLeft w:val="0"/>
          <w:marRight w:val="0"/>
          <w:marTop w:val="0"/>
          <w:marBottom w:val="0"/>
          <w:divBdr>
            <w:top w:val="none" w:sz="0" w:space="0" w:color="auto"/>
            <w:left w:val="none" w:sz="0" w:space="0" w:color="auto"/>
            <w:bottom w:val="none" w:sz="0" w:space="0" w:color="auto"/>
            <w:right w:val="none" w:sz="0" w:space="0" w:color="auto"/>
          </w:divBdr>
        </w:div>
      </w:divsChild>
    </w:div>
    <w:div w:id="116217111">
      <w:bodyDiv w:val="1"/>
      <w:marLeft w:val="0"/>
      <w:marRight w:val="0"/>
      <w:marTop w:val="0"/>
      <w:marBottom w:val="0"/>
      <w:divBdr>
        <w:top w:val="none" w:sz="0" w:space="0" w:color="auto"/>
        <w:left w:val="none" w:sz="0" w:space="0" w:color="auto"/>
        <w:bottom w:val="none" w:sz="0" w:space="0" w:color="auto"/>
        <w:right w:val="none" w:sz="0" w:space="0" w:color="auto"/>
      </w:divBdr>
    </w:div>
    <w:div w:id="143473749">
      <w:bodyDiv w:val="1"/>
      <w:marLeft w:val="0"/>
      <w:marRight w:val="0"/>
      <w:marTop w:val="0"/>
      <w:marBottom w:val="0"/>
      <w:divBdr>
        <w:top w:val="none" w:sz="0" w:space="0" w:color="auto"/>
        <w:left w:val="none" w:sz="0" w:space="0" w:color="auto"/>
        <w:bottom w:val="none" w:sz="0" w:space="0" w:color="auto"/>
        <w:right w:val="none" w:sz="0" w:space="0" w:color="auto"/>
      </w:divBdr>
    </w:div>
    <w:div w:id="226107662">
      <w:bodyDiv w:val="1"/>
      <w:marLeft w:val="0"/>
      <w:marRight w:val="0"/>
      <w:marTop w:val="0"/>
      <w:marBottom w:val="0"/>
      <w:divBdr>
        <w:top w:val="none" w:sz="0" w:space="0" w:color="auto"/>
        <w:left w:val="none" w:sz="0" w:space="0" w:color="auto"/>
        <w:bottom w:val="none" w:sz="0" w:space="0" w:color="auto"/>
        <w:right w:val="none" w:sz="0" w:space="0" w:color="auto"/>
      </w:divBdr>
    </w:div>
    <w:div w:id="252402927">
      <w:bodyDiv w:val="1"/>
      <w:marLeft w:val="0"/>
      <w:marRight w:val="0"/>
      <w:marTop w:val="0"/>
      <w:marBottom w:val="0"/>
      <w:divBdr>
        <w:top w:val="none" w:sz="0" w:space="0" w:color="auto"/>
        <w:left w:val="none" w:sz="0" w:space="0" w:color="auto"/>
        <w:bottom w:val="none" w:sz="0" w:space="0" w:color="auto"/>
        <w:right w:val="none" w:sz="0" w:space="0" w:color="auto"/>
      </w:divBdr>
      <w:divsChild>
        <w:div w:id="93298050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952739839">
              <w:blockQuote w:val="1"/>
              <w:marLeft w:val="0"/>
              <w:marRight w:val="0"/>
              <w:marTop w:val="120"/>
              <w:marBottom w:val="120"/>
              <w:divBdr>
                <w:top w:val="none" w:sz="0" w:space="0" w:color="auto"/>
                <w:left w:val="none" w:sz="0" w:space="0" w:color="auto"/>
                <w:bottom w:val="none" w:sz="0" w:space="0" w:color="auto"/>
                <w:right w:val="none" w:sz="0" w:space="0" w:color="auto"/>
              </w:divBdr>
              <w:divsChild>
                <w:div w:id="937955118">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422484434">
                      <w:blockQuote w:val="1"/>
                      <w:marLeft w:val="0"/>
                      <w:marRight w:val="0"/>
                      <w:marTop w:val="120"/>
                      <w:marBottom w:val="120"/>
                      <w:divBdr>
                        <w:top w:val="none" w:sz="0" w:space="0" w:color="auto"/>
                        <w:left w:val="none" w:sz="0" w:space="0" w:color="auto"/>
                        <w:bottom w:val="none" w:sz="0" w:space="0" w:color="auto"/>
                        <w:right w:val="none" w:sz="0" w:space="0" w:color="auto"/>
                      </w:divBdr>
                    </w:div>
                    <w:div w:id="526866402">
                      <w:blockQuote w:val="1"/>
                      <w:marLeft w:val="0"/>
                      <w:marRight w:val="0"/>
                      <w:marTop w:val="120"/>
                      <w:marBottom w:val="120"/>
                      <w:divBdr>
                        <w:top w:val="none" w:sz="0" w:space="0" w:color="auto"/>
                        <w:left w:val="none" w:sz="0" w:space="0" w:color="auto"/>
                        <w:bottom w:val="none" w:sz="0" w:space="0" w:color="auto"/>
                        <w:right w:val="none" w:sz="0" w:space="0" w:color="auto"/>
                      </w:divBdr>
                    </w:div>
                    <w:div w:id="54888314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55923276">
              <w:blockQuote w:val="1"/>
              <w:marLeft w:val="0"/>
              <w:marRight w:val="0"/>
              <w:marTop w:val="120"/>
              <w:marBottom w:val="120"/>
              <w:divBdr>
                <w:top w:val="none" w:sz="0" w:space="0" w:color="auto"/>
                <w:left w:val="none" w:sz="0" w:space="0" w:color="auto"/>
                <w:bottom w:val="none" w:sz="0" w:space="0" w:color="auto"/>
                <w:right w:val="none" w:sz="0" w:space="0" w:color="auto"/>
              </w:divBdr>
            </w:div>
            <w:div w:id="262885278">
              <w:blockQuote w:val="1"/>
              <w:marLeft w:val="0"/>
              <w:marRight w:val="0"/>
              <w:marTop w:val="120"/>
              <w:marBottom w:val="120"/>
              <w:divBdr>
                <w:top w:val="none" w:sz="0" w:space="0" w:color="auto"/>
                <w:left w:val="none" w:sz="0" w:space="0" w:color="auto"/>
                <w:bottom w:val="none" w:sz="0" w:space="0" w:color="auto"/>
                <w:right w:val="none" w:sz="0" w:space="0" w:color="auto"/>
              </w:divBdr>
            </w:div>
            <w:div w:id="189126105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70961750">
      <w:bodyDiv w:val="1"/>
      <w:marLeft w:val="0"/>
      <w:marRight w:val="0"/>
      <w:marTop w:val="0"/>
      <w:marBottom w:val="0"/>
      <w:divBdr>
        <w:top w:val="none" w:sz="0" w:space="0" w:color="auto"/>
        <w:left w:val="none" w:sz="0" w:space="0" w:color="auto"/>
        <w:bottom w:val="none" w:sz="0" w:space="0" w:color="auto"/>
        <w:right w:val="none" w:sz="0" w:space="0" w:color="auto"/>
      </w:divBdr>
      <w:divsChild>
        <w:div w:id="41932998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81996149">
              <w:blockQuote w:val="1"/>
              <w:marLeft w:val="0"/>
              <w:marRight w:val="0"/>
              <w:marTop w:val="120"/>
              <w:marBottom w:val="120"/>
              <w:divBdr>
                <w:top w:val="none" w:sz="0" w:space="0" w:color="auto"/>
                <w:left w:val="none" w:sz="0" w:space="0" w:color="auto"/>
                <w:bottom w:val="none" w:sz="0" w:space="0" w:color="auto"/>
                <w:right w:val="none" w:sz="0" w:space="0" w:color="auto"/>
              </w:divBdr>
            </w:div>
            <w:div w:id="349918618">
              <w:blockQuote w:val="1"/>
              <w:marLeft w:val="0"/>
              <w:marRight w:val="0"/>
              <w:marTop w:val="120"/>
              <w:marBottom w:val="120"/>
              <w:divBdr>
                <w:top w:val="none" w:sz="0" w:space="0" w:color="auto"/>
                <w:left w:val="none" w:sz="0" w:space="0" w:color="auto"/>
                <w:bottom w:val="none" w:sz="0" w:space="0" w:color="auto"/>
                <w:right w:val="none" w:sz="0" w:space="0" w:color="auto"/>
              </w:divBdr>
              <w:divsChild>
                <w:div w:id="73573974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99586262">
                      <w:blockQuote w:val="1"/>
                      <w:marLeft w:val="0"/>
                      <w:marRight w:val="0"/>
                      <w:marTop w:val="120"/>
                      <w:marBottom w:val="120"/>
                      <w:divBdr>
                        <w:top w:val="none" w:sz="0" w:space="0" w:color="auto"/>
                        <w:left w:val="none" w:sz="0" w:space="0" w:color="auto"/>
                        <w:bottom w:val="none" w:sz="0" w:space="0" w:color="auto"/>
                        <w:right w:val="none" w:sz="0" w:space="0" w:color="auto"/>
                      </w:divBdr>
                    </w:div>
                    <w:div w:id="118852108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382217325">
      <w:bodyDiv w:val="1"/>
      <w:marLeft w:val="0"/>
      <w:marRight w:val="0"/>
      <w:marTop w:val="0"/>
      <w:marBottom w:val="0"/>
      <w:divBdr>
        <w:top w:val="none" w:sz="0" w:space="0" w:color="auto"/>
        <w:left w:val="none" w:sz="0" w:space="0" w:color="auto"/>
        <w:bottom w:val="none" w:sz="0" w:space="0" w:color="auto"/>
        <w:right w:val="none" w:sz="0" w:space="0" w:color="auto"/>
      </w:divBdr>
    </w:div>
    <w:div w:id="383985303">
      <w:bodyDiv w:val="1"/>
      <w:marLeft w:val="0"/>
      <w:marRight w:val="0"/>
      <w:marTop w:val="0"/>
      <w:marBottom w:val="0"/>
      <w:divBdr>
        <w:top w:val="none" w:sz="0" w:space="0" w:color="auto"/>
        <w:left w:val="none" w:sz="0" w:space="0" w:color="auto"/>
        <w:bottom w:val="none" w:sz="0" w:space="0" w:color="auto"/>
        <w:right w:val="none" w:sz="0" w:space="0" w:color="auto"/>
      </w:divBdr>
    </w:div>
    <w:div w:id="389227791">
      <w:bodyDiv w:val="1"/>
      <w:marLeft w:val="0"/>
      <w:marRight w:val="0"/>
      <w:marTop w:val="0"/>
      <w:marBottom w:val="0"/>
      <w:divBdr>
        <w:top w:val="none" w:sz="0" w:space="0" w:color="auto"/>
        <w:left w:val="none" w:sz="0" w:space="0" w:color="auto"/>
        <w:bottom w:val="none" w:sz="0" w:space="0" w:color="auto"/>
        <w:right w:val="none" w:sz="0" w:space="0" w:color="auto"/>
      </w:divBdr>
    </w:div>
    <w:div w:id="425151918">
      <w:bodyDiv w:val="1"/>
      <w:marLeft w:val="0"/>
      <w:marRight w:val="0"/>
      <w:marTop w:val="0"/>
      <w:marBottom w:val="0"/>
      <w:divBdr>
        <w:top w:val="none" w:sz="0" w:space="0" w:color="auto"/>
        <w:left w:val="none" w:sz="0" w:space="0" w:color="auto"/>
        <w:bottom w:val="none" w:sz="0" w:space="0" w:color="auto"/>
        <w:right w:val="none" w:sz="0" w:space="0" w:color="auto"/>
      </w:divBdr>
    </w:div>
    <w:div w:id="473834891">
      <w:bodyDiv w:val="1"/>
      <w:marLeft w:val="0"/>
      <w:marRight w:val="0"/>
      <w:marTop w:val="0"/>
      <w:marBottom w:val="0"/>
      <w:divBdr>
        <w:top w:val="none" w:sz="0" w:space="0" w:color="auto"/>
        <w:left w:val="none" w:sz="0" w:space="0" w:color="auto"/>
        <w:bottom w:val="none" w:sz="0" w:space="0" w:color="auto"/>
        <w:right w:val="none" w:sz="0" w:space="0" w:color="auto"/>
      </w:divBdr>
    </w:div>
    <w:div w:id="488057328">
      <w:bodyDiv w:val="1"/>
      <w:marLeft w:val="0"/>
      <w:marRight w:val="0"/>
      <w:marTop w:val="0"/>
      <w:marBottom w:val="0"/>
      <w:divBdr>
        <w:top w:val="none" w:sz="0" w:space="0" w:color="auto"/>
        <w:left w:val="none" w:sz="0" w:space="0" w:color="auto"/>
        <w:bottom w:val="none" w:sz="0" w:space="0" w:color="auto"/>
        <w:right w:val="none" w:sz="0" w:space="0" w:color="auto"/>
      </w:divBdr>
    </w:div>
    <w:div w:id="495802351">
      <w:bodyDiv w:val="1"/>
      <w:marLeft w:val="0"/>
      <w:marRight w:val="0"/>
      <w:marTop w:val="0"/>
      <w:marBottom w:val="0"/>
      <w:divBdr>
        <w:top w:val="none" w:sz="0" w:space="0" w:color="auto"/>
        <w:left w:val="none" w:sz="0" w:space="0" w:color="auto"/>
        <w:bottom w:val="none" w:sz="0" w:space="0" w:color="auto"/>
        <w:right w:val="none" w:sz="0" w:space="0" w:color="auto"/>
      </w:divBdr>
    </w:div>
    <w:div w:id="593897182">
      <w:bodyDiv w:val="1"/>
      <w:marLeft w:val="0"/>
      <w:marRight w:val="0"/>
      <w:marTop w:val="0"/>
      <w:marBottom w:val="0"/>
      <w:divBdr>
        <w:top w:val="none" w:sz="0" w:space="0" w:color="auto"/>
        <w:left w:val="none" w:sz="0" w:space="0" w:color="auto"/>
        <w:bottom w:val="none" w:sz="0" w:space="0" w:color="auto"/>
        <w:right w:val="none" w:sz="0" w:space="0" w:color="auto"/>
      </w:divBdr>
    </w:div>
    <w:div w:id="614795964">
      <w:bodyDiv w:val="1"/>
      <w:marLeft w:val="0"/>
      <w:marRight w:val="0"/>
      <w:marTop w:val="0"/>
      <w:marBottom w:val="0"/>
      <w:divBdr>
        <w:top w:val="none" w:sz="0" w:space="0" w:color="auto"/>
        <w:left w:val="none" w:sz="0" w:space="0" w:color="auto"/>
        <w:bottom w:val="none" w:sz="0" w:space="0" w:color="auto"/>
        <w:right w:val="none" w:sz="0" w:space="0" w:color="auto"/>
      </w:divBdr>
    </w:div>
    <w:div w:id="625308063">
      <w:bodyDiv w:val="1"/>
      <w:marLeft w:val="0"/>
      <w:marRight w:val="0"/>
      <w:marTop w:val="0"/>
      <w:marBottom w:val="0"/>
      <w:divBdr>
        <w:top w:val="none" w:sz="0" w:space="0" w:color="auto"/>
        <w:left w:val="none" w:sz="0" w:space="0" w:color="auto"/>
        <w:bottom w:val="none" w:sz="0" w:space="0" w:color="auto"/>
        <w:right w:val="none" w:sz="0" w:space="0" w:color="auto"/>
      </w:divBdr>
    </w:div>
    <w:div w:id="664624070">
      <w:bodyDiv w:val="1"/>
      <w:marLeft w:val="0"/>
      <w:marRight w:val="0"/>
      <w:marTop w:val="0"/>
      <w:marBottom w:val="0"/>
      <w:divBdr>
        <w:top w:val="none" w:sz="0" w:space="0" w:color="auto"/>
        <w:left w:val="none" w:sz="0" w:space="0" w:color="auto"/>
        <w:bottom w:val="none" w:sz="0" w:space="0" w:color="auto"/>
        <w:right w:val="none" w:sz="0" w:space="0" w:color="auto"/>
      </w:divBdr>
    </w:div>
    <w:div w:id="697315100">
      <w:bodyDiv w:val="1"/>
      <w:marLeft w:val="0"/>
      <w:marRight w:val="0"/>
      <w:marTop w:val="0"/>
      <w:marBottom w:val="0"/>
      <w:divBdr>
        <w:top w:val="none" w:sz="0" w:space="0" w:color="auto"/>
        <w:left w:val="none" w:sz="0" w:space="0" w:color="auto"/>
        <w:bottom w:val="none" w:sz="0" w:space="0" w:color="auto"/>
        <w:right w:val="none" w:sz="0" w:space="0" w:color="auto"/>
      </w:divBdr>
    </w:div>
    <w:div w:id="721099011">
      <w:bodyDiv w:val="1"/>
      <w:marLeft w:val="0"/>
      <w:marRight w:val="0"/>
      <w:marTop w:val="0"/>
      <w:marBottom w:val="0"/>
      <w:divBdr>
        <w:top w:val="none" w:sz="0" w:space="0" w:color="auto"/>
        <w:left w:val="none" w:sz="0" w:space="0" w:color="auto"/>
        <w:bottom w:val="none" w:sz="0" w:space="0" w:color="auto"/>
        <w:right w:val="none" w:sz="0" w:space="0" w:color="auto"/>
      </w:divBdr>
    </w:div>
    <w:div w:id="767891484">
      <w:bodyDiv w:val="1"/>
      <w:marLeft w:val="0"/>
      <w:marRight w:val="0"/>
      <w:marTop w:val="0"/>
      <w:marBottom w:val="0"/>
      <w:divBdr>
        <w:top w:val="none" w:sz="0" w:space="0" w:color="auto"/>
        <w:left w:val="none" w:sz="0" w:space="0" w:color="auto"/>
        <w:bottom w:val="none" w:sz="0" w:space="0" w:color="auto"/>
        <w:right w:val="none" w:sz="0" w:space="0" w:color="auto"/>
      </w:divBdr>
    </w:div>
    <w:div w:id="820803576">
      <w:bodyDiv w:val="1"/>
      <w:marLeft w:val="0"/>
      <w:marRight w:val="0"/>
      <w:marTop w:val="0"/>
      <w:marBottom w:val="0"/>
      <w:divBdr>
        <w:top w:val="none" w:sz="0" w:space="0" w:color="auto"/>
        <w:left w:val="none" w:sz="0" w:space="0" w:color="auto"/>
        <w:bottom w:val="none" w:sz="0" w:space="0" w:color="auto"/>
        <w:right w:val="none" w:sz="0" w:space="0" w:color="auto"/>
      </w:divBdr>
    </w:div>
    <w:div w:id="883828389">
      <w:bodyDiv w:val="1"/>
      <w:marLeft w:val="0"/>
      <w:marRight w:val="0"/>
      <w:marTop w:val="0"/>
      <w:marBottom w:val="0"/>
      <w:divBdr>
        <w:top w:val="none" w:sz="0" w:space="0" w:color="auto"/>
        <w:left w:val="none" w:sz="0" w:space="0" w:color="auto"/>
        <w:bottom w:val="none" w:sz="0" w:space="0" w:color="auto"/>
        <w:right w:val="none" w:sz="0" w:space="0" w:color="auto"/>
      </w:divBdr>
    </w:div>
    <w:div w:id="926305989">
      <w:bodyDiv w:val="1"/>
      <w:marLeft w:val="0"/>
      <w:marRight w:val="0"/>
      <w:marTop w:val="0"/>
      <w:marBottom w:val="0"/>
      <w:divBdr>
        <w:top w:val="none" w:sz="0" w:space="0" w:color="auto"/>
        <w:left w:val="none" w:sz="0" w:space="0" w:color="auto"/>
        <w:bottom w:val="none" w:sz="0" w:space="0" w:color="auto"/>
        <w:right w:val="none" w:sz="0" w:space="0" w:color="auto"/>
      </w:divBdr>
    </w:div>
    <w:div w:id="955647062">
      <w:bodyDiv w:val="1"/>
      <w:marLeft w:val="0"/>
      <w:marRight w:val="0"/>
      <w:marTop w:val="0"/>
      <w:marBottom w:val="0"/>
      <w:divBdr>
        <w:top w:val="none" w:sz="0" w:space="0" w:color="auto"/>
        <w:left w:val="none" w:sz="0" w:space="0" w:color="auto"/>
        <w:bottom w:val="none" w:sz="0" w:space="0" w:color="auto"/>
        <w:right w:val="none" w:sz="0" w:space="0" w:color="auto"/>
      </w:divBdr>
    </w:div>
    <w:div w:id="995913396">
      <w:bodyDiv w:val="1"/>
      <w:marLeft w:val="0"/>
      <w:marRight w:val="0"/>
      <w:marTop w:val="0"/>
      <w:marBottom w:val="0"/>
      <w:divBdr>
        <w:top w:val="none" w:sz="0" w:space="0" w:color="auto"/>
        <w:left w:val="none" w:sz="0" w:space="0" w:color="auto"/>
        <w:bottom w:val="none" w:sz="0" w:space="0" w:color="auto"/>
        <w:right w:val="none" w:sz="0" w:space="0" w:color="auto"/>
      </w:divBdr>
    </w:div>
    <w:div w:id="1002389632">
      <w:bodyDiv w:val="1"/>
      <w:marLeft w:val="0"/>
      <w:marRight w:val="0"/>
      <w:marTop w:val="0"/>
      <w:marBottom w:val="0"/>
      <w:divBdr>
        <w:top w:val="none" w:sz="0" w:space="0" w:color="auto"/>
        <w:left w:val="none" w:sz="0" w:space="0" w:color="auto"/>
        <w:bottom w:val="none" w:sz="0" w:space="0" w:color="auto"/>
        <w:right w:val="none" w:sz="0" w:space="0" w:color="auto"/>
      </w:divBdr>
    </w:div>
    <w:div w:id="1008293427">
      <w:bodyDiv w:val="1"/>
      <w:marLeft w:val="0"/>
      <w:marRight w:val="0"/>
      <w:marTop w:val="0"/>
      <w:marBottom w:val="0"/>
      <w:divBdr>
        <w:top w:val="none" w:sz="0" w:space="0" w:color="auto"/>
        <w:left w:val="none" w:sz="0" w:space="0" w:color="auto"/>
        <w:bottom w:val="none" w:sz="0" w:space="0" w:color="auto"/>
        <w:right w:val="none" w:sz="0" w:space="0" w:color="auto"/>
      </w:divBdr>
    </w:div>
    <w:div w:id="1060783272">
      <w:bodyDiv w:val="1"/>
      <w:marLeft w:val="0"/>
      <w:marRight w:val="0"/>
      <w:marTop w:val="0"/>
      <w:marBottom w:val="0"/>
      <w:divBdr>
        <w:top w:val="none" w:sz="0" w:space="0" w:color="auto"/>
        <w:left w:val="none" w:sz="0" w:space="0" w:color="auto"/>
        <w:bottom w:val="none" w:sz="0" w:space="0" w:color="auto"/>
        <w:right w:val="none" w:sz="0" w:space="0" w:color="auto"/>
      </w:divBdr>
    </w:div>
    <w:div w:id="1096245160">
      <w:bodyDiv w:val="1"/>
      <w:marLeft w:val="0"/>
      <w:marRight w:val="0"/>
      <w:marTop w:val="0"/>
      <w:marBottom w:val="0"/>
      <w:divBdr>
        <w:top w:val="none" w:sz="0" w:space="0" w:color="auto"/>
        <w:left w:val="none" w:sz="0" w:space="0" w:color="auto"/>
        <w:bottom w:val="none" w:sz="0" w:space="0" w:color="auto"/>
        <w:right w:val="none" w:sz="0" w:space="0" w:color="auto"/>
      </w:divBdr>
    </w:div>
    <w:div w:id="1145782721">
      <w:bodyDiv w:val="1"/>
      <w:marLeft w:val="0"/>
      <w:marRight w:val="0"/>
      <w:marTop w:val="0"/>
      <w:marBottom w:val="0"/>
      <w:divBdr>
        <w:top w:val="none" w:sz="0" w:space="0" w:color="auto"/>
        <w:left w:val="none" w:sz="0" w:space="0" w:color="auto"/>
        <w:bottom w:val="none" w:sz="0" w:space="0" w:color="auto"/>
        <w:right w:val="none" w:sz="0" w:space="0" w:color="auto"/>
      </w:divBdr>
    </w:div>
    <w:div w:id="1192645286">
      <w:bodyDiv w:val="1"/>
      <w:marLeft w:val="0"/>
      <w:marRight w:val="0"/>
      <w:marTop w:val="0"/>
      <w:marBottom w:val="0"/>
      <w:divBdr>
        <w:top w:val="none" w:sz="0" w:space="0" w:color="auto"/>
        <w:left w:val="none" w:sz="0" w:space="0" w:color="auto"/>
        <w:bottom w:val="none" w:sz="0" w:space="0" w:color="auto"/>
        <w:right w:val="none" w:sz="0" w:space="0" w:color="auto"/>
      </w:divBdr>
    </w:div>
    <w:div w:id="1194803240">
      <w:bodyDiv w:val="1"/>
      <w:marLeft w:val="0"/>
      <w:marRight w:val="0"/>
      <w:marTop w:val="0"/>
      <w:marBottom w:val="0"/>
      <w:divBdr>
        <w:top w:val="none" w:sz="0" w:space="0" w:color="auto"/>
        <w:left w:val="none" w:sz="0" w:space="0" w:color="auto"/>
        <w:bottom w:val="none" w:sz="0" w:space="0" w:color="auto"/>
        <w:right w:val="none" w:sz="0" w:space="0" w:color="auto"/>
      </w:divBdr>
    </w:div>
    <w:div w:id="1274165346">
      <w:bodyDiv w:val="1"/>
      <w:marLeft w:val="0"/>
      <w:marRight w:val="0"/>
      <w:marTop w:val="0"/>
      <w:marBottom w:val="0"/>
      <w:divBdr>
        <w:top w:val="none" w:sz="0" w:space="0" w:color="auto"/>
        <w:left w:val="none" w:sz="0" w:space="0" w:color="auto"/>
        <w:bottom w:val="none" w:sz="0" w:space="0" w:color="auto"/>
        <w:right w:val="none" w:sz="0" w:space="0" w:color="auto"/>
      </w:divBdr>
    </w:div>
    <w:div w:id="1328632418">
      <w:bodyDiv w:val="1"/>
      <w:marLeft w:val="0"/>
      <w:marRight w:val="0"/>
      <w:marTop w:val="0"/>
      <w:marBottom w:val="0"/>
      <w:divBdr>
        <w:top w:val="none" w:sz="0" w:space="0" w:color="auto"/>
        <w:left w:val="none" w:sz="0" w:space="0" w:color="auto"/>
        <w:bottom w:val="none" w:sz="0" w:space="0" w:color="auto"/>
        <w:right w:val="none" w:sz="0" w:space="0" w:color="auto"/>
      </w:divBdr>
    </w:div>
    <w:div w:id="1341590799">
      <w:bodyDiv w:val="1"/>
      <w:marLeft w:val="0"/>
      <w:marRight w:val="0"/>
      <w:marTop w:val="0"/>
      <w:marBottom w:val="0"/>
      <w:divBdr>
        <w:top w:val="none" w:sz="0" w:space="0" w:color="auto"/>
        <w:left w:val="none" w:sz="0" w:space="0" w:color="auto"/>
        <w:bottom w:val="none" w:sz="0" w:space="0" w:color="auto"/>
        <w:right w:val="none" w:sz="0" w:space="0" w:color="auto"/>
      </w:divBdr>
    </w:div>
    <w:div w:id="1348949495">
      <w:bodyDiv w:val="1"/>
      <w:marLeft w:val="0"/>
      <w:marRight w:val="0"/>
      <w:marTop w:val="0"/>
      <w:marBottom w:val="0"/>
      <w:divBdr>
        <w:top w:val="none" w:sz="0" w:space="0" w:color="auto"/>
        <w:left w:val="none" w:sz="0" w:space="0" w:color="auto"/>
        <w:bottom w:val="none" w:sz="0" w:space="0" w:color="auto"/>
        <w:right w:val="none" w:sz="0" w:space="0" w:color="auto"/>
      </w:divBdr>
    </w:div>
    <w:div w:id="1370379732">
      <w:bodyDiv w:val="1"/>
      <w:marLeft w:val="0"/>
      <w:marRight w:val="0"/>
      <w:marTop w:val="0"/>
      <w:marBottom w:val="0"/>
      <w:divBdr>
        <w:top w:val="none" w:sz="0" w:space="0" w:color="auto"/>
        <w:left w:val="none" w:sz="0" w:space="0" w:color="auto"/>
        <w:bottom w:val="none" w:sz="0" w:space="0" w:color="auto"/>
        <w:right w:val="none" w:sz="0" w:space="0" w:color="auto"/>
      </w:divBdr>
    </w:div>
    <w:div w:id="1419982092">
      <w:bodyDiv w:val="1"/>
      <w:marLeft w:val="0"/>
      <w:marRight w:val="0"/>
      <w:marTop w:val="0"/>
      <w:marBottom w:val="0"/>
      <w:divBdr>
        <w:top w:val="none" w:sz="0" w:space="0" w:color="auto"/>
        <w:left w:val="none" w:sz="0" w:space="0" w:color="auto"/>
        <w:bottom w:val="none" w:sz="0" w:space="0" w:color="auto"/>
        <w:right w:val="none" w:sz="0" w:space="0" w:color="auto"/>
      </w:divBdr>
    </w:div>
    <w:div w:id="1467235144">
      <w:bodyDiv w:val="1"/>
      <w:marLeft w:val="0"/>
      <w:marRight w:val="0"/>
      <w:marTop w:val="0"/>
      <w:marBottom w:val="0"/>
      <w:divBdr>
        <w:top w:val="none" w:sz="0" w:space="0" w:color="auto"/>
        <w:left w:val="none" w:sz="0" w:space="0" w:color="auto"/>
        <w:bottom w:val="none" w:sz="0" w:space="0" w:color="auto"/>
        <w:right w:val="none" w:sz="0" w:space="0" w:color="auto"/>
      </w:divBdr>
    </w:div>
    <w:div w:id="1496991938">
      <w:bodyDiv w:val="1"/>
      <w:marLeft w:val="0"/>
      <w:marRight w:val="0"/>
      <w:marTop w:val="0"/>
      <w:marBottom w:val="0"/>
      <w:divBdr>
        <w:top w:val="none" w:sz="0" w:space="0" w:color="auto"/>
        <w:left w:val="none" w:sz="0" w:space="0" w:color="auto"/>
        <w:bottom w:val="none" w:sz="0" w:space="0" w:color="auto"/>
        <w:right w:val="none" w:sz="0" w:space="0" w:color="auto"/>
      </w:divBdr>
    </w:div>
    <w:div w:id="1506674125">
      <w:bodyDiv w:val="1"/>
      <w:marLeft w:val="0"/>
      <w:marRight w:val="0"/>
      <w:marTop w:val="0"/>
      <w:marBottom w:val="0"/>
      <w:divBdr>
        <w:top w:val="none" w:sz="0" w:space="0" w:color="auto"/>
        <w:left w:val="none" w:sz="0" w:space="0" w:color="auto"/>
        <w:bottom w:val="none" w:sz="0" w:space="0" w:color="auto"/>
        <w:right w:val="none" w:sz="0" w:space="0" w:color="auto"/>
      </w:divBdr>
    </w:div>
    <w:div w:id="1540900190">
      <w:bodyDiv w:val="1"/>
      <w:marLeft w:val="0"/>
      <w:marRight w:val="0"/>
      <w:marTop w:val="0"/>
      <w:marBottom w:val="0"/>
      <w:divBdr>
        <w:top w:val="none" w:sz="0" w:space="0" w:color="auto"/>
        <w:left w:val="none" w:sz="0" w:space="0" w:color="auto"/>
        <w:bottom w:val="none" w:sz="0" w:space="0" w:color="auto"/>
        <w:right w:val="none" w:sz="0" w:space="0" w:color="auto"/>
      </w:divBdr>
    </w:div>
    <w:div w:id="1543592941">
      <w:bodyDiv w:val="1"/>
      <w:marLeft w:val="0"/>
      <w:marRight w:val="0"/>
      <w:marTop w:val="0"/>
      <w:marBottom w:val="0"/>
      <w:divBdr>
        <w:top w:val="none" w:sz="0" w:space="0" w:color="auto"/>
        <w:left w:val="none" w:sz="0" w:space="0" w:color="auto"/>
        <w:bottom w:val="none" w:sz="0" w:space="0" w:color="auto"/>
        <w:right w:val="none" w:sz="0" w:space="0" w:color="auto"/>
      </w:divBdr>
      <w:divsChild>
        <w:div w:id="108438130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637486488">
              <w:blockQuote w:val="1"/>
              <w:marLeft w:val="0"/>
              <w:marRight w:val="0"/>
              <w:marTop w:val="120"/>
              <w:marBottom w:val="120"/>
              <w:divBdr>
                <w:top w:val="none" w:sz="0" w:space="0" w:color="auto"/>
                <w:left w:val="none" w:sz="0" w:space="0" w:color="auto"/>
                <w:bottom w:val="none" w:sz="0" w:space="0" w:color="auto"/>
                <w:right w:val="none" w:sz="0" w:space="0" w:color="auto"/>
              </w:divBdr>
            </w:div>
            <w:div w:id="1383750926">
              <w:blockQuote w:val="1"/>
              <w:marLeft w:val="0"/>
              <w:marRight w:val="0"/>
              <w:marTop w:val="120"/>
              <w:marBottom w:val="120"/>
              <w:divBdr>
                <w:top w:val="none" w:sz="0" w:space="0" w:color="auto"/>
                <w:left w:val="none" w:sz="0" w:space="0" w:color="auto"/>
                <w:bottom w:val="none" w:sz="0" w:space="0" w:color="auto"/>
                <w:right w:val="none" w:sz="0" w:space="0" w:color="auto"/>
              </w:divBdr>
            </w:div>
            <w:div w:id="38903638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45479842">
      <w:bodyDiv w:val="1"/>
      <w:marLeft w:val="0"/>
      <w:marRight w:val="0"/>
      <w:marTop w:val="0"/>
      <w:marBottom w:val="0"/>
      <w:divBdr>
        <w:top w:val="none" w:sz="0" w:space="0" w:color="auto"/>
        <w:left w:val="none" w:sz="0" w:space="0" w:color="auto"/>
        <w:bottom w:val="none" w:sz="0" w:space="0" w:color="auto"/>
        <w:right w:val="none" w:sz="0" w:space="0" w:color="auto"/>
      </w:divBdr>
      <w:divsChild>
        <w:div w:id="178930825">
          <w:marLeft w:val="0"/>
          <w:marRight w:val="0"/>
          <w:marTop w:val="0"/>
          <w:marBottom w:val="0"/>
          <w:divBdr>
            <w:top w:val="none" w:sz="0" w:space="0" w:color="auto"/>
            <w:left w:val="none" w:sz="0" w:space="0" w:color="auto"/>
            <w:bottom w:val="none" w:sz="0" w:space="0" w:color="auto"/>
            <w:right w:val="none" w:sz="0" w:space="0" w:color="auto"/>
          </w:divBdr>
          <w:divsChild>
            <w:div w:id="2098284129">
              <w:marLeft w:val="0"/>
              <w:marRight w:val="0"/>
              <w:marTop w:val="0"/>
              <w:marBottom w:val="0"/>
              <w:divBdr>
                <w:top w:val="none" w:sz="0" w:space="0" w:color="auto"/>
                <w:left w:val="none" w:sz="0" w:space="0" w:color="auto"/>
                <w:bottom w:val="none" w:sz="0" w:space="0" w:color="auto"/>
                <w:right w:val="none" w:sz="0" w:space="0" w:color="auto"/>
              </w:divBdr>
              <w:divsChild>
                <w:div w:id="13697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85741">
      <w:bodyDiv w:val="1"/>
      <w:marLeft w:val="0"/>
      <w:marRight w:val="0"/>
      <w:marTop w:val="0"/>
      <w:marBottom w:val="0"/>
      <w:divBdr>
        <w:top w:val="none" w:sz="0" w:space="0" w:color="auto"/>
        <w:left w:val="none" w:sz="0" w:space="0" w:color="auto"/>
        <w:bottom w:val="none" w:sz="0" w:space="0" w:color="auto"/>
        <w:right w:val="none" w:sz="0" w:space="0" w:color="auto"/>
      </w:divBdr>
    </w:div>
    <w:div w:id="1579286932">
      <w:bodyDiv w:val="1"/>
      <w:marLeft w:val="0"/>
      <w:marRight w:val="0"/>
      <w:marTop w:val="0"/>
      <w:marBottom w:val="0"/>
      <w:divBdr>
        <w:top w:val="none" w:sz="0" w:space="0" w:color="auto"/>
        <w:left w:val="none" w:sz="0" w:space="0" w:color="auto"/>
        <w:bottom w:val="none" w:sz="0" w:space="0" w:color="auto"/>
        <w:right w:val="none" w:sz="0" w:space="0" w:color="auto"/>
      </w:divBdr>
    </w:div>
    <w:div w:id="1634748384">
      <w:bodyDiv w:val="1"/>
      <w:marLeft w:val="0"/>
      <w:marRight w:val="0"/>
      <w:marTop w:val="0"/>
      <w:marBottom w:val="0"/>
      <w:divBdr>
        <w:top w:val="none" w:sz="0" w:space="0" w:color="auto"/>
        <w:left w:val="none" w:sz="0" w:space="0" w:color="auto"/>
        <w:bottom w:val="none" w:sz="0" w:space="0" w:color="auto"/>
        <w:right w:val="none" w:sz="0" w:space="0" w:color="auto"/>
      </w:divBdr>
      <w:divsChild>
        <w:div w:id="2062947011">
          <w:marLeft w:val="0"/>
          <w:marRight w:val="0"/>
          <w:marTop w:val="0"/>
          <w:marBottom w:val="0"/>
          <w:divBdr>
            <w:top w:val="none" w:sz="0" w:space="0" w:color="auto"/>
            <w:left w:val="none" w:sz="0" w:space="0" w:color="auto"/>
            <w:bottom w:val="none" w:sz="0" w:space="0" w:color="auto"/>
            <w:right w:val="none" w:sz="0" w:space="0" w:color="auto"/>
          </w:divBdr>
          <w:divsChild>
            <w:div w:id="1307471329">
              <w:marLeft w:val="0"/>
              <w:marRight w:val="0"/>
              <w:marTop w:val="0"/>
              <w:marBottom w:val="0"/>
              <w:divBdr>
                <w:top w:val="none" w:sz="0" w:space="0" w:color="auto"/>
                <w:left w:val="none" w:sz="0" w:space="0" w:color="auto"/>
                <w:bottom w:val="none" w:sz="0" w:space="0" w:color="auto"/>
                <w:right w:val="none" w:sz="0" w:space="0" w:color="auto"/>
              </w:divBdr>
              <w:divsChild>
                <w:div w:id="9253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3589">
      <w:bodyDiv w:val="1"/>
      <w:marLeft w:val="0"/>
      <w:marRight w:val="0"/>
      <w:marTop w:val="0"/>
      <w:marBottom w:val="0"/>
      <w:divBdr>
        <w:top w:val="none" w:sz="0" w:space="0" w:color="auto"/>
        <w:left w:val="none" w:sz="0" w:space="0" w:color="auto"/>
        <w:bottom w:val="none" w:sz="0" w:space="0" w:color="auto"/>
        <w:right w:val="none" w:sz="0" w:space="0" w:color="auto"/>
      </w:divBdr>
    </w:div>
    <w:div w:id="1665627015">
      <w:bodyDiv w:val="1"/>
      <w:marLeft w:val="0"/>
      <w:marRight w:val="0"/>
      <w:marTop w:val="0"/>
      <w:marBottom w:val="0"/>
      <w:divBdr>
        <w:top w:val="none" w:sz="0" w:space="0" w:color="auto"/>
        <w:left w:val="none" w:sz="0" w:space="0" w:color="auto"/>
        <w:bottom w:val="none" w:sz="0" w:space="0" w:color="auto"/>
        <w:right w:val="none" w:sz="0" w:space="0" w:color="auto"/>
      </w:divBdr>
    </w:div>
    <w:div w:id="1682852265">
      <w:bodyDiv w:val="1"/>
      <w:marLeft w:val="0"/>
      <w:marRight w:val="0"/>
      <w:marTop w:val="0"/>
      <w:marBottom w:val="0"/>
      <w:divBdr>
        <w:top w:val="none" w:sz="0" w:space="0" w:color="auto"/>
        <w:left w:val="none" w:sz="0" w:space="0" w:color="auto"/>
        <w:bottom w:val="none" w:sz="0" w:space="0" w:color="auto"/>
        <w:right w:val="none" w:sz="0" w:space="0" w:color="auto"/>
      </w:divBdr>
    </w:div>
    <w:div w:id="1704330521">
      <w:bodyDiv w:val="1"/>
      <w:marLeft w:val="0"/>
      <w:marRight w:val="0"/>
      <w:marTop w:val="0"/>
      <w:marBottom w:val="0"/>
      <w:divBdr>
        <w:top w:val="none" w:sz="0" w:space="0" w:color="auto"/>
        <w:left w:val="none" w:sz="0" w:space="0" w:color="auto"/>
        <w:bottom w:val="none" w:sz="0" w:space="0" w:color="auto"/>
        <w:right w:val="none" w:sz="0" w:space="0" w:color="auto"/>
      </w:divBdr>
    </w:div>
    <w:div w:id="1753043224">
      <w:bodyDiv w:val="1"/>
      <w:marLeft w:val="0"/>
      <w:marRight w:val="0"/>
      <w:marTop w:val="0"/>
      <w:marBottom w:val="0"/>
      <w:divBdr>
        <w:top w:val="none" w:sz="0" w:space="0" w:color="auto"/>
        <w:left w:val="none" w:sz="0" w:space="0" w:color="auto"/>
        <w:bottom w:val="none" w:sz="0" w:space="0" w:color="auto"/>
        <w:right w:val="none" w:sz="0" w:space="0" w:color="auto"/>
      </w:divBdr>
    </w:div>
    <w:div w:id="1755518181">
      <w:bodyDiv w:val="1"/>
      <w:marLeft w:val="0"/>
      <w:marRight w:val="0"/>
      <w:marTop w:val="0"/>
      <w:marBottom w:val="0"/>
      <w:divBdr>
        <w:top w:val="none" w:sz="0" w:space="0" w:color="auto"/>
        <w:left w:val="none" w:sz="0" w:space="0" w:color="auto"/>
        <w:bottom w:val="none" w:sz="0" w:space="0" w:color="auto"/>
        <w:right w:val="none" w:sz="0" w:space="0" w:color="auto"/>
      </w:divBdr>
    </w:div>
    <w:div w:id="1774084875">
      <w:bodyDiv w:val="1"/>
      <w:marLeft w:val="0"/>
      <w:marRight w:val="0"/>
      <w:marTop w:val="0"/>
      <w:marBottom w:val="0"/>
      <w:divBdr>
        <w:top w:val="none" w:sz="0" w:space="0" w:color="auto"/>
        <w:left w:val="none" w:sz="0" w:space="0" w:color="auto"/>
        <w:bottom w:val="none" w:sz="0" w:space="0" w:color="auto"/>
        <w:right w:val="none" w:sz="0" w:space="0" w:color="auto"/>
      </w:divBdr>
    </w:div>
    <w:div w:id="1777826890">
      <w:bodyDiv w:val="1"/>
      <w:marLeft w:val="0"/>
      <w:marRight w:val="0"/>
      <w:marTop w:val="0"/>
      <w:marBottom w:val="0"/>
      <w:divBdr>
        <w:top w:val="none" w:sz="0" w:space="0" w:color="auto"/>
        <w:left w:val="none" w:sz="0" w:space="0" w:color="auto"/>
        <w:bottom w:val="none" w:sz="0" w:space="0" w:color="auto"/>
        <w:right w:val="none" w:sz="0" w:space="0" w:color="auto"/>
      </w:divBdr>
    </w:div>
    <w:div w:id="1838421306">
      <w:bodyDiv w:val="1"/>
      <w:marLeft w:val="0"/>
      <w:marRight w:val="0"/>
      <w:marTop w:val="0"/>
      <w:marBottom w:val="0"/>
      <w:divBdr>
        <w:top w:val="none" w:sz="0" w:space="0" w:color="auto"/>
        <w:left w:val="none" w:sz="0" w:space="0" w:color="auto"/>
        <w:bottom w:val="none" w:sz="0" w:space="0" w:color="auto"/>
        <w:right w:val="none" w:sz="0" w:space="0" w:color="auto"/>
      </w:divBdr>
    </w:div>
    <w:div w:id="1844662162">
      <w:bodyDiv w:val="1"/>
      <w:marLeft w:val="0"/>
      <w:marRight w:val="0"/>
      <w:marTop w:val="0"/>
      <w:marBottom w:val="0"/>
      <w:divBdr>
        <w:top w:val="none" w:sz="0" w:space="0" w:color="auto"/>
        <w:left w:val="none" w:sz="0" w:space="0" w:color="auto"/>
        <w:bottom w:val="none" w:sz="0" w:space="0" w:color="auto"/>
        <w:right w:val="none" w:sz="0" w:space="0" w:color="auto"/>
      </w:divBdr>
    </w:div>
    <w:div w:id="1848134048">
      <w:bodyDiv w:val="1"/>
      <w:marLeft w:val="0"/>
      <w:marRight w:val="0"/>
      <w:marTop w:val="0"/>
      <w:marBottom w:val="0"/>
      <w:divBdr>
        <w:top w:val="none" w:sz="0" w:space="0" w:color="auto"/>
        <w:left w:val="none" w:sz="0" w:space="0" w:color="auto"/>
        <w:bottom w:val="none" w:sz="0" w:space="0" w:color="auto"/>
        <w:right w:val="none" w:sz="0" w:space="0" w:color="auto"/>
      </w:divBdr>
    </w:div>
    <w:div w:id="1858812577">
      <w:bodyDiv w:val="1"/>
      <w:marLeft w:val="0"/>
      <w:marRight w:val="0"/>
      <w:marTop w:val="0"/>
      <w:marBottom w:val="0"/>
      <w:divBdr>
        <w:top w:val="none" w:sz="0" w:space="0" w:color="auto"/>
        <w:left w:val="none" w:sz="0" w:space="0" w:color="auto"/>
        <w:bottom w:val="none" w:sz="0" w:space="0" w:color="auto"/>
        <w:right w:val="none" w:sz="0" w:space="0" w:color="auto"/>
      </w:divBdr>
    </w:div>
    <w:div w:id="1883058886">
      <w:bodyDiv w:val="1"/>
      <w:marLeft w:val="0"/>
      <w:marRight w:val="0"/>
      <w:marTop w:val="0"/>
      <w:marBottom w:val="0"/>
      <w:divBdr>
        <w:top w:val="none" w:sz="0" w:space="0" w:color="auto"/>
        <w:left w:val="none" w:sz="0" w:space="0" w:color="auto"/>
        <w:bottom w:val="none" w:sz="0" w:space="0" w:color="auto"/>
        <w:right w:val="none" w:sz="0" w:space="0" w:color="auto"/>
      </w:divBdr>
    </w:div>
    <w:div w:id="1884949829">
      <w:bodyDiv w:val="1"/>
      <w:marLeft w:val="0"/>
      <w:marRight w:val="0"/>
      <w:marTop w:val="0"/>
      <w:marBottom w:val="0"/>
      <w:divBdr>
        <w:top w:val="none" w:sz="0" w:space="0" w:color="auto"/>
        <w:left w:val="none" w:sz="0" w:space="0" w:color="auto"/>
        <w:bottom w:val="none" w:sz="0" w:space="0" w:color="auto"/>
        <w:right w:val="none" w:sz="0" w:space="0" w:color="auto"/>
      </w:divBdr>
    </w:div>
    <w:div w:id="1926569358">
      <w:bodyDiv w:val="1"/>
      <w:marLeft w:val="0"/>
      <w:marRight w:val="0"/>
      <w:marTop w:val="0"/>
      <w:marBottom w:val="0"/>
      <w:divBdr>
        <w:top w:val="none" w:sz="0" w:space="0" w:color="auto"/>
        <w:left w:val="none" w:sz="0" w:space="0" w:color="auto"/>
        <w:bottom w:val="none" w:sz="0" w:space="0" w:color="auto"/>
        <w:right w:val="none" w:sz="0" w:space="0" w:color="auto"/>
      </w:divBdr>
    </w:div>
    <w:div w:id="1976326703">
      <w:bodyDiv w:val="1"/>
      <w:marLeft w:val="0"/>
      <w:marRight w:val="0"/>
      <w:marTop w:val="0"/>
      <w:marBottom w:val="0"/>
      <w:divBdr>
        <w:top w:val="none" w:sz="0" w:space="0" w:color="auto"/>
        <w:left w:val="none" w:sz="0" w:space="0" w:color="auto"/>
        <w:bottom w:val="none" w:sz="0" w:space="0" w:color="auto"/>
        <w:right w:val="none" w:sz="0" w:space="0" w:color="auto"/>
      </w:divBdr>
    </w:div>
    <w:div w:id="2001957550">
      <w:bodyDiv w:val="1"/>
      <w:marLeft w:val="0"/>
      <w:marRight w:val="0"/>
      <w:marTop w:val="0"/>
      <w:marBottom w:val="0"/>
      <w:divBdr>
        <w:top w:val="none" w:sz="0" w:space="0" w:color="auto"/>
        <w:left w:val="none" w:sz="0" w:space="0" w:color="auto"/>
        <w:bottom w:val="none" w:sz="0" w:space="0" w:color="auto"/>
        <w:right w:val="none" w:sz="0" w:space="0" w:color="auto"/>
      </w:divBdr>
    </w:div>
    <w:div w:id="2020958405">
      <w:bodyDiv w:val="1"/>
      <w:marLeft w:val="0"/>
      <w:marRight w:val="0"/>
      <w:marTop w:val="0"/>
      <w:marBottom w:val="0"/>
      <w:divBdr>
        <w:top w:val="none" w:sz="0" w:space="0" w:color="auto"/>
        <w:left w:val="none" w:sz="0" w:space="0" w:color="auto"/>
        <w:bottom w:val="none" w:sz="0" w:space="0" w:color="auto"/>
        <w:right w:val="none" w:sz="0" w:space="0" w:color="auto"/>
      </w:divBdr>
    </w:div>
    <w:div w:id="2063868197">
      <w:bodyDiv w:val="1"/>
      <w:marLeft w:val="0"/>
      <w:marRight w:val="0"/>
      <w:marTop w:val="0"/>
      <w:marBottom w:val="0"/>
      <w:divBdr>
        <w:top w:val="none" w:sz="0" w:space="0" w:color="auto"/>
        <w:left w:val="none" w:sz="0" w:space="0" w:color="auto"/>
        <w:bottom w:val="none" w:sz="0" w:space="0" w:color="auto"/>
        <w:right w:val="none" w:sz="0" w:space="0" w:color="auto"/>
      </w:divBdr>
    </w:div>
    <w:div w:id="20797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TrusteeReview@justice.tas.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www.statetrustees.com.au/what-we-do/state-trustees-commissions-fees-charges" TargetMode="External"/><Relationship Id="rId13" Type="http://schemas.openxmlformats.org/officeDocument/2006/relationships/hyperlink" Target="https://www.servicesaustralia.gov.au/individuals/services/centrelink/age-pension/how-much-you-can-get" TargetMode="External"/><Relationship Id="rId18" Type="http://schemas.openxmlformats.org/officeDocument/2006/relationships/hyperlink" Target="https://www.abs.gov.au/statistics/economy/price-indexes-and-inflation/consumer-price-index-australia/latest-release" TargetMode="External"/><Relationship Id="rId3" Type="http://schemas.openxmlformats.org/officeDocument/2006/relationships/hyperlink" Target="https://www.publictrustee.tas.gov.au/assets/files/public-trustee-financial-administraion_apr-21.pdf" TargetMode="External"/><Relationship Id="rId7" Type="http://schemas.openxmlformats.org/officeDocument/2006/relationships/hyperlink" Target="https://www.tag.nsw.gov.au/fees/financial-management-fees" TargetMode="External"/><Relationship Id="rId12" Type="http://schemas.openxmlformats.org/officeDocument/2006/relationships/hyperlink" Target="https://www.servicesaustralia.gov.au/individuals/services/centrelink/disability-support-pension/how-much-you-can-get/payment-rates" TargetMode="External"/><Relationship Id="rId17" Type="http://schemas.openxmlformats.org/officeDocument/2006/relationships/hyperlink" Target="https://www.treasury.tas.gov.au/about-us/corporate-governance/routine-disclosure-of-information/disclosure-of-non-procurement-contracts-over-$2-million" TargetMode="External"/><Relationship Id="rId2" Type="http://schemas.openxmlformats.org/officeDocument/2006/relationships/hyperlink" Target="https://www.publictrustee.tas.gov.au/assets/files/public-trustee-financial-administraion_apr-21.pdf" TargetMode="External"/><Relationship Id="rId16" Type="http://schemas.openxmlformats.org/officeDocument/2006/relationships/hyperlink" Target="http://www.premier.tas.gov.au/releases/public_trustee_fees_to_be_significantly_reduced_for_low-income_clients" TargetMode="External"/><Relationship Id="rId1" Type="http://schemas.openxmlformats.org/officeDocument/2006/relationships/hyperlink" Target="https://www.ombudsman.vic.gov.au/our-impact/investigation-reports/investigation-into-state-trustees/" TargetMode="External"/><Relationship Id="rId6" Type="http://schemas.openxmlformats.org/officeDocument/2006/relationships/hyperlink" Target="http://www.premier.tas.gov.au/releases/public_trustee_fees_to_be_significantly_reduced_for_low-income_clients" TargetMode="External"/><Relationship Id="rId11" Type="http://schemas.openxmlformats.org/officeDocument/2006/relationships/hyperlink" Target="https://www.publictrustee.tas.gov.au/financial-administration1.html" TargetMode="External"/><Relationship Id="rId5" Type="http://schemas.openxmlformats.org/officeDocument/2006/relationships/hyperlink" Target="http://www.premier.tas.gov.au/releases/public_trustee_fees_to_be_significantly_reduced_for_low-income_clients" TargetMode="External"/><Relationship Id="rId15" Type="http://schemas.openxmlformats.org/officeDocument/2006/relationships/hyperlink" Target="http://www.premier.tas.gov.au/releases/public_trustee_fees_to_be_significantly_reduced_for_low-income_clients" TargetMode="External"/><Relationship Id="rId10" Type="http://schemas.openxmlformats.org/officeDocument/2006/relationships/hyperlink" Target="https://www.legislation.wa.gov.au/legislation/prod/gazettestore.nsf/FileURL/gg2021_105.pdf/$FILE/Gg2021_105.pdf" TargetMode="External"/><Relationship Id="rId19" Type="http://schemas.openxmlformats.org/officeDocument/2006/relationships/hyperlink" Target="https://www.guardianship.tas.gov.au/__data/assets/pdf_file/0006/597084/FINAL-Annual-Report-2019-20-25-September-2020.pdf" TargetMode="External"/><Relationship Id="rId4" Type="http://schemas.openxmlformats.org/officeDocument/2006/relationships/hyperlink" Target="https://www.publictrustee.tas.gov.au/about/governance" TargetMode="External"/><Relationship Id="rId9" Type="http://schemas.openxmlformats.org/officeDocument/2006/relationships/hyperlink" Target="https://www.ombudsman.vic.gov.au/our-impact/investigation-reports/investigation-into-state-trustees/" TargetMode="External"/><Relationship Id="rId14" Type="http://schemas.openxmlformats.org/officeDocument/2006/relationships/hyperlink" Target="http://www.clctas.org.au/wp-content/uploads/2014/10/PublicTrusteeFeesPaperF.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en-GB" b="1"/>
              <a:t>Public Trustee - </a:t>
            </a:r>
          </a:p>
          <a:p>
            <a:pPr>
              <a:defRPr/>
            </a:pPr>
            <a:r>
              <a:rPr lang="en-GB" b="1"/>
              <a:t>Represented Persons </a:t>
            </a:r>
          </a:p>
          <a:p>
            <a:pPr>
              <a:defRPr/>
            </a:pPr>
            <a:r>
              <a:rPr lang="en-GB" b="1"/>
              <a:t>vs</a:t>
            </a:r>
            <a:r>
              <a:rPr lang="en-GB" b="1" baseline="0"/>
              <a:t> FTE </a:t>
            </a:r>
            <a:r>
              <a:rPr lang="en-GB" b="1"/>
              <a:t>Staff</a:t>
            </a:r>
          </a:p>
        </c:rich>
      </c:tx>
      <c:overlay val="0"/>
      <c:spPr>
        <a:noFill/>
        <a:ln>
          <a:noFill/>
        </a:ln>
        <a:effectLst/>
      </c:spPr>
      <c:txPr>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Public Trustee Represented Persons</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Sheet1!$A$2:$A$7</c:f>
              <c:strCache>
                <c:ptCount val="6"/>
                <c:pt idx="0">
                  <c:v>2014/15</c:v>
                </c:pt>
                <c:pt idx="1">
                  <c:v>2015/16</c:v>
                </c:pt>
                <c:pt idx="2">
                  <c:v>2016/17</c:v>
                </c:pt>
                <c:pt idx="3">
                  <c:v>2017/18</c:v>
                </c:pt>
                <c:pt idx="4">
                  <c:v>2018/19</c:v>
                </c:pt>
                <c:pt idx="5">
                  <c:v>2019/20</c:v>
                </c:pt>
              </c:strCache>
            </c:strRef>
          </c:cat>
          <c:val>
            <c:numRef>
              <c:f>Sheet1!$B$2:$B$7</c:f>
              <c:numCache>
                <c:formatCode>General</c:formatCode>
                <c:ptCount val="6"/>
                <c:pt idx="0">
                  <c:v>559</c:v>
                </c:pt>
                <c:pt idx="1">
                  <c:v>571</c:v>
                </c:pt>
                <c:pt idx="2">
                  <c:v>682</c:v>
                </c:pt>
                <c:pt idx="3">
                  <c:v>784</c:v>
                </c:pt>
                <c:pt idx="4">
                  <c:v>842</c:v>
                </c:pt>
                <c:pt idx="5">
                  <c:v>889</c:v>
                </c:pt>
              </c:numCache>
            </c:numRef>
          </c:val>
          <c:smooth val="0"/>
          <c:extLst>
            <c:ext xmlns:c16="http://schemas.microsoft.com/office/drawing/2014/chart" uri="{C3380CC4-5D6E-409C-BE32-E72D297353CC}">
              <c16:uniqueId val="{00000000-6E82-8A47-976B-363120D7D5B0}"/>
            </c:ext>
          </c:extLst>
        </c:ser>
        <c:ser>
          <c:idx val="1"/>
          <c:order val="1"/>
          <c:tx>
            <c:strRef>
              <c:f>Sheet1!$C$1</c:f>
              <c:strCache>
                <c:ptCount val="1"/>
                <c:pt idx="0">
                  <c:v>FTE Staff</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Sheet1!$A$2:$A$7</c:f>
              <c:strCache>
                <c:ptCount val="6"/>
                <c:pt idx="0">
                  <c:v>2014/15</c:v>
                </c:pt>
                <c:pt idx="1">
                  <c:v>2015/16</c:v>
                </c:pt>
                <c:pt idx="2">
                  <c:v>2016/17</c:v>
                </c:pt>
                <c:pt idx="3">
                  <c:v>2017/18</c:v>
                </c:pt>
                <c:pt idx="4">
                  <c:v>2018/19</c:v>
                </c:pt>
                <c:pt idx="5">
                  <c:v>2019/20</c:v>
                </c:pt>
              </c:strCache>
            </c:strRef>
          </c:cat>
          <c:val>
            <c:numRef>
              <c:f>Sheet1!$C$2:$C$7</c:f>
              <c:numCache>
                <c:formatCode>General</c:formatCode>
                <c:ptCount val="6"/>
                <c:pt idx="0">
                  <c:v>53.9</c:v>
                </c:pt>
                <c:pt idx="1">
                  <c:v>50.19</c:v>
                </c:pt>
                <c:pt idx="2">
                  <c:v>52.62</c:v>
                </c:pt>
                <c:pt idx="3">
                  <c:v>52.02</c:v>
                </c:pt>
                <c:pt idx="4">
                  <c:v>51.9</c:v>
                </c:pt>
                <c:pt idx="5">
                  <c:v>52.96</c:v>
                </c:pt>
              </c:numCache>
            </c:numRef>
          </c:val>
          <c:smooth val="0"/>
          <c:extLst>
            <c:ext xmlns:c16="http://schemas.microsoft.com/office/drawing/2014/chart" uri="{C3380CC4-5D6E-409C-BE32-E72D297353CC}">
              <c16:uniqueId val="{00000001-6E82-8A47-976B-363120D7D5B0}"/>
            </c:ext>
          </c:extLst>
        </c:ser>
        <c:dLbls>
          <c:dLblPos val="ctr"/>
          <c:showLegendKey val="0"/>
          <c:showVal val="1"/>
          <c:showCatName val="0"/>
          <c:showSerName val="0"/>
          <c:showPercent val="0"/>
          <c:showBubbleSize val="0"/>
        </c:dLbls>
        <c:marker val="1"/>
        <c:smooth val="0"/>
        <c:axId val="2115527232"/>
        <c:axId val="2072634624"/>
      </c:lineChart>
      <c:catAx>
        <c:axId val="21155272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2072634624"/>
        <c:crosses val="autoZero"/>
        <c:auto val="1"/>
        <c:lblAlgn val="ctr"/>
        <c:lblOffset val="100"/>
        <c:noMultiLvlLbl val="0"/>
      </c:catAx>
      <c:valAx>
        <c:axId val="2072634624"/>
        <c:scaling>
          <c:orientation val="minMax"/>
        </c:scaling>
        <c:delete val="1"/>
        <c:axPos val="l"/>
        <c:numFmt formatCode="General" sourceLinked="1"/>
        <c:majorTickMark val="none"/>
        <c:minorTickMark val="none"/>
        <c:tickLblPos val="nextTo"/>
        <c:crossAx val="211552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2021-08-27T04:42:00Z</cp:lastPrinted>
  <dcterms:created xsi:type="dcterms:W3CDTF">2021-09-20T00:32:00Z</dcterms:created>
  <dcterms:modified xsi:type="dcterms:W3CDTF">2021-09-20T00:32:00Z</dcterms:modified>
</cp:coreProperties>
</file>