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36FC" w:rsidRPr="00404F7A" w:rsidRDefault="009A36FC" w:rsidP="009A36FC">
      <w:pPr>
        <w:ind w:right="-205"/>
        <w:jc w:val="center"/>
        <w:rPr>
          <w:rFonts w:ascii="Cambria" w:hAnsi="Cambria"/>
          <w:color w:val="000000" w:themeColor="text1"/>
          <w:sz w:val="23"/>
          <w:szCs w:val="23"/>
        </w:rPr>
      </w:pPr>
      <w:r w:rsidRPr="00BC0D6B">
        <w:rPr>
          <w:rFonts w:asciiTheme="minorHAnsi" w:hAnsiTheme="minorHAnsi"/>
          <w:noProof/>
          <w:sz w:val="20"/>
          <w:szCs w:val="20"/>
          <w:lang w:val="en-US" w:eastAsia="en-US"/>
        </w:rPr>
        <w:drawing>
          <wp:inline distT="0" distB="0" distL="0" distR="0" wp14:anchorId="59C82752" wp14:editId="6E994902">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9A36FC" w:rsidRPr="00AF136E" w:rsidRDefault="009A36FC" w:rsidP="009A36FC">
      <w:pPr>
        <w:ind w:right="-205"/>
        <w:jc w:val="both"/>
        <w:rPr>
          <w:rFonts w:ascii="Cambria" w:hAnsi="Cambria"/>
          <w:color w:val="000000" w:themeColor="text1"/>
        </w:rPr>
      </w:pPr>
    </w:p>
    <w:p w:rsidR="009A36FC" w:rsidRPr="00AF136E" w:rsidRDefault="009A36FC" w:rsidP="009A36FC">
      <w:pPr>
        <w:ind w:right="-205"/>
        <w:jc w:val="both"/>
        <w:rPr>
          <w:rFonts w:ascii="Cambria" w:hAnsi="Cambria"/>
          <w:color w:val="000000" w:themeColor="text1"/>
        </w:rPr>
      </w:pPr>
    </w:p>
    <w:p w:rsidR="009A36FC" w:rsidRPr="00AF136E" w:rsidRDefault="006D4614" w:rsidP="009A36FC">
      <w:pPr>
        <w:ind w:right="-205"/>
        <w:jc w:val="both"/>
        <w:rPr>
          <w:rFonts w:ascii="Cambria" w:hAnsi="Cambria"/>
          <w:color w:val="000000" w:themeColor="text1"/>
        </w:rPr>
      </w:pPr>
      <w:r w:rsidRPr="00AF136E">
        <w:rPr>
          <w:rFonts w:ascii="Cambria" w:hAnsi="Cambria"/>
          <w:color w:val="000000" w:themeColor="text1"/>
        </w:rPr>
        <w:t>2</w:t>
      </w:r>
      <w:r w:rsidR="005C7827">
        <w:rPr>
          <w:rFonts w:ascii="Cambria" w:hAnsi="Cambria"/>
          <w:color w:val="000000" w:themeColor="text1"/>
        </w:rPr>
        <w:t>5</w:t>
      </w:r>
      <w:r w:rsidR="009A36FC" w:rsidRPr="00AF136E">
        <w:rPr>
          <w:rFonts w:ascii="Cambria" w:hAnsi="Cambria"/>
          <w:color w:val="000000" w:themeColor="text1"/>
        </w:rPr>
        <w:t xml:space="preserve"> November 2020</w:t>
      </w:r>
    </w:p>
    <w:p w:rsidR="009A36FC" w:rsidRPr="00AF136E" w:rsidRDefault="009A36FC" w:rsidP="009A36FC">
      <w:pPr>
        <w:ind w:right="-347"/>
        <w:rPr>
          <w:rFonts w:ascii="Cambria" w:hAnsi="Cambria"/>
          <w:color w:val="000000" w:themeColor="text1"/>
        </w:rPr>
      </w:pPr>
    </w:p>
    <w:p w:rsidR="009A36FC" w:rsidRPr="00AF136E" w:rsidRDefault="009A36FC" w:rsidP="009A36FC">
      <w:pPr>
        <w:ind w:right="-347"/>
        <w:rPr>
          <w:rFonts w:ascii="Cambria" w:hAnsi="Cambria"/>
          <w:color w:val="000000" w:themeColor="text1"/>
        </w:rPr>
      </w:pPr>
      <w:r w:rsidRPr="00AF136E">
        <w:rPr>
          <w:rFonts w:ascii="Cambria" w:hAnsi="Cambria"/>
          <w:color w:val="000000" w:themeColor="text1"/>
        </w:rPr>
        <w:t>Tasmania Law Reform Institute</w:t>
      </w:r>
    </w:p>
    <w:p w:rsidR="009A36FC" w:rsidRPr="00AF136E" w:rsidRDefault="009A36FC" w:rsidP="009A36FC">
      <w:pPr>
        <w:ind w:right="-347"/>
        <w:rPr>
          <w:rFonts w:ascii="Cambria" w:hAnsi="Cambria"/>
          <w:color w:val="000000" w:themeColor="text1"/>
        </w:rPr>
      </w:pPr>
      <w:r w:rsidRPr="00AF136E">
        <w:rPr>
          <w:rFonts w:ascii="Cambria" w:hAnsi="Cambria"/>
          <w:color w:val="000000" w:themeColor="text1"/>
        </w:rPr>
        <w:t>Private Bag 89</w:t>
      </w:r>
    </w:p>
    <w:p w:rsidR="009A36FC" w:rsidRPr="00AF136E" w:rsidRDefault="009A36FC" w:rsidP="009A36FC">
      <w:pPr>
        <w:ind w:right="-347"/>
        <w:rPr>
          <w:rFonts w:ascii="Cambria" w:hAnsi="Cambria"/>
          <w:color w:val="000000" w:themeColor="text1"/>
        </w:rPr>
      </w:pPr>
      <w:r w:rsidRPr="00AF136E">
        <w:rPr>
          <w:rFonts w:ascii="Cambria" w:hAnsi="Cambria"/>
          <w:color w:val="000000" w:themeColor="text1"/>
        </w:rPr>
        <w:t>HOBART TAS 7001</w:t>
      </w:r>
    </w:p>
    <w:p w:rsidR="006D4614" w:rsidRPr="00AF136E" w:rsidRDefault="009A36FC" w:rsidP="009A36FC">
      <w:pPr>
        <w:ind w:right="-347"/>
        <w:rPr>
          <w:rFonts w:ascii="Cambria" w:hAnsi="Cambria"/>
          <w:color w:val="000000" w:themeColor="text1"/>
        </w:rPr>
      </w:pPr>
      <w:proofErr w:type="spellStart"/>
      <w:r w:rsidRPr="00AF136E">
        <w:rPr>
          <w:rFonts w:ascii="Cambria" w:hAnsi="Cambria"/>
          <w:color w:val="000000" w:themeColor="text1"/>
        </w:rPr>
        <w:t>attn:</w:t>
      </w:r>
      <w:proofErr w:type="spellEnd"/>
      <w:r w:rsidRPr="00AF136E">
        <w:rPr>
          <w:rFonts w:ascii="Cambria" w:hAnsi="Cambria"/>
          <w:color w:val="000000" w:themeColor="text1"/>
        </w:rPr>
        <w:t xml:space="preserve"> Bruce Newey</w:t>
      </w:r>
      <w:r w:rsidRPr="00AF136E">
        <w:rPr>
          <w:rFonts w:ascii="Cambria" w:hAnsi="Cambria"/>
          <w:color w:val="000000" w:themeColor="text1"/>
        </w:rPr>
        <w:tab/>
      </w:r>
      <w:r w:rsidRPr="00AF136E">
        <w:rPr>
          <w:rFonts w:ascii="Cambria" w:hAnsi="Cambria"/>
          <w:color w:val="000000" w:themeColor="text1"/>
        </w:rPr>
        <w:tab/>
      </w:r>
      <w:r w:rsidRPr="00AF136E">
        <w:rPr>
          <w:rFonts w:ascii="Cambria" w:hAnsi="Cambria"/>
          <w:color w:val="000000" w:themeColor="text1"/>
        </w:rPr>
        <w:tab/>
      </w:r>
    </w:p>
    <w:p w:rsidR="009A36FC" w:rsidRPr="00AF136E" w:rsidRDefault="009A36FC" w:rsidP="006D4614">
      <w:pPr>
        <w:ind w:left="1440" w:right="-347" w:firstLine="720"/>
        <w:rPr>
          <w:rFonts w:ascii="Cambria" w:hAnsi="Cambria"/>
          <w:color w:val="000000" w:themeColor="text1"/>
        </w:rPr>
      </w:pPr>
      <w:r w:rsidRPr="00AF136E">
        <w:rPr>
          <w:rFonts w:ascii="Cambria" w:hAnsi="Cambria"/>
          <w:i/>
          <w:iCs/>
          <w:color w:val="000000" w:themeColor="text1"/>
        </w:rPr>
        <w:t xml:space="preserve">via email: </w:t>
      </w:r>
      <w:hyperlink r:id="rId8" w:history="1">
        <w:r w:rsidRPr="00AF136E">
          <w:rPr>
            <w:rStyle w:val="Hyperlink"/>
            <w:rFonts w:ascii="Cambria" w:eastAsiaTheme="majorEastAsia" w:hAnsi="Cambria"/>
            <w:i/>
            <w:iCs/>
          </w:rPr>
          <w:t>law.reform@utas.edu.au</w:t>
        </w:r>
      </w:hyperlink>
      <w:r w:rsidRPr="00AF136E">
        <w:rPr>
          <w:rFonts w:ascii="Cambria" w:hAnsi="Cambria"/>
          <w:i/>
          <w:iCs/>
          <w:color w:val="000000" w:themeColor="text1"/>
        </w:rPr>
        <w:t xml:space="preserve">  </w:t>
      </w:r>
    </w:p>
    <w:p w:rsidR="006D4614" w:rsidRPr="00AF136E" w:rsidRDefault="006D4614" w:rsidP="009A36FC">
      <w:pPr>
        <w:ind w:right="-347"/>
        <w:rPr>
          <w:rFonts w:ascii="Cambria" w:hAnsi="Cambria"/>
          <w:color w:val="000000" w:themeColor="text1"/>
        </w:rPr>
      </w:pPr>
    </w:p>
    <w:p w:rsidR="009A36FC" w:rsidRPr="00235532" w:rsidRDefault="006D4614" w:rsidP="009A36FC">
      <w:pPr>
        <w:ind w:right="-347"/>
        <w:rPr>
          <w:rFonts w:ascii="Cambria" w:hAnsi="Cambria"/>
          <w:color w:val="000000" w:themeColor="text1"/>
        </w:rPr>
      </w:pPr>
      <w:r w:rsidRPr="00235532">
        <w:rPr>
          <w:rFonts w:ascii="Cambria" w:hAnsi="Cambria"/>
          <w:color w:val="000000" w:themeColor="text1"/>
        </w:rPr>
        <w:t xml:space="preserve">To the Tasmania Law Reform Institute, </w:t>
      </w:r>
      <w:r w:rsidR="009A36FC" w:rsidRPr="00235532">
        <w:rPr>
          <w:rFonts w:ascii="Cambria" w:hAnsi="Cambria"/>
          <w:color w:val="000000" w:themeColor="text1"/>
        </w:rPr>
        <w:t> </w:t>
      </w:r>
    </w:p>
    <w:p w:rsidR="009A36FC" w:rsidRPr="00235532" w:rsidRDefault="009A36FC" w:rsidP="009A36FC">
      <w:pPr>
        <w:pBdr>
          <w:bottom w:val="single" w:sz="6" w:space="1" w:color="auto"/>
        </w:pBdr>
        <w:jc w:val="both"/>
        <w:rPr>
          <w:rFonts w:ascii="Cambria" w:hAnsi="Cambria"/>
          <w:b/>
          <w:color w:val="000000" w:themeColor="text1"/>
        </w:rPr>
      </w:pPr>
      <w:r w:rsidRPr="00235532">
        <w:rPr>
          <w:rFonts w:ascii="Cambria" w:hAnsi="Cambria"/>
          <w:b/>
          <w:color w:val="000000" w:themeColor="text1"/>
        </w:rPr>
        <w:t xml:space="preserve">Re: </w:t>
      </w:r>
      <w:r w:rsidRPr="00235532">
        <w:rPr>
          <w:rFonts w:ascii="Cambria" w:hAnsi="Cambria"/>
          <w:b/>
          <w:bCs/>
          <w:i/>
          <w:iCs/>
          <w:color w:val="000000" w:themeColor="text1"/>
        </w:rPr>
        <w:t>Re-Examination of the Case for a Human Rights Act in Tasmania</w:t>
      </w:r>
    </w:p>
    <w:p w:rsidR="009A36FC" w:rsidRPr="00235532" w:rsidRDefault="009A36FC" w:rsidP="009A36FC">
      <w:pPr>
        <w:ind w:right="-64"/>
        <w:jc w:val="both"/>
        <w:rPr>
          <w:rFonts w:ascii="Cambria" w:hAnsi="Cambria"/>
          <w:color w:val="000000" w:themeColor="text1"/>
        </w:rPr>
      </w:pPr>
    </w:p>
    <w:p w:rsidR="006D4614" w:rsidRPr="00235532" w:rsidRDefault="009A36FC" w:rsidP="009A36FC">
      <w:pPr>
        <w:ind w:right="-347"/>
        <w:jc w:val="both"/>
        <w:rPr>
          <w:rFonts w:ascii="Cambria" w:hAnsi="Cambria"/>
          <w:color w:val="000000" w:themeColor="text1"/>
        </w:rPr>
      </w:pPr>
      <w:r w:rsidRPr="00235532">
        <w:rPr>
          <w:rFonts w:ascii="Cambria" w:hAnsi="Cambria" w:cs="Calibri"/>
          <w:color w:val="000000" w:themeColor="text1"/>
        </w:rPr>
        <w:t>Community Legal Centres Tasmania (CLC Tas)</w:t>
      </w:r>
      <w:r w:rsidRPr="00235532">
        <w:rPr>
          <w:rFonts w:ascii="Cambria" w:hAnsi="Cambria"/>
          <w:color w:val="000000" w:themeColor="text1"/>
        </w:rPr>
        <w:t xml:space="preserve"> welcomes the opportunity to provide comment on the </w:t>
      </w:r>
      <w:r w:rsidRPr="00235532">
        <w:rPr>
          <w:rFonts w:ascii="Cambria" w:hAnsi="Cambria"/>
          <w:i/>
          <w:iCs/>
          <w:color w:val="000000" w:themeColor="text1"/>
        </w:rPr>
        <w:t>Re-Examination of the Case for a Human Rights Act in Tasmania</w:t>
      </w:r>
      <w:r w:rsidRPr="00235532">
        <w:rPr>
          <w:rFonts w:ascii="Cambria" w:hAnsi="Cambria"/>
          <w:iCs/>
          <w:color w:val="000000" w:themeColor="text1"/>
        </w:rPr>
        <w:t>.</w:t>
      </w:r>
      <w:r w:rsidRPr="00235532">
        <w:rPr>
          <w:rStyle w:val="FootnoteReference"/>
          <w:rFonts w:ascii="Cambria" w:hAnsi="Cambria"/>
          <w:iCs/>
          <w:color w:val="000000" w:themeColor="text1"/>
        </w:rPr>
        <w:footnoteReference w:id="1"/>
      </w:r>
    </w:p>
    <w:p w:rsidR="006D4614" w:rsidRPr="00235532" w:rsidRDefault="006D4614" w:rsidP="009A36FC">
      <w:pPr>
        <w:ind w:right="-347"/>
        <w:jc w:val="both"/>
        <w:rPr>
          <w:rFonts w:ascii="Cambria" w:hAnsi="Cambria"/>
          <w:color w:val="000000" w:themeColor="text1"/>
        </w:rPr>
      </w:pPr>
    </w:p>
    <w:p w:rsidR="009A36FC" w:rsidRPr="00235532" w:rsidRDefault="009A36FC" w:rsidP="009A36FC">
      <w:pPr>
        <w:ind w:right="-347"/>
        <w:jc w:val="both"/>
        <w:rPr>
          <w:rFonts w:ascii="Cambria" w:hAnsi="Cambria" w:cs="Arial"/>
          <w:color w:val="000000" w:themeColor="text1"/>
        </w:rPr>
      </w:pPr>
      <w:r w:rsidRPr="00235532">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6D4614" w:rsidRPr="00235532" w:rsidRDefault="006D4614" w:rsidP="009A36FC">
      <w:pPr>
        <w:ind w:right="-347"/>
        <w:jc w:val="both"/>
        <w:rPr>
          <w:rFonts w:ascii="Cambria" w:hAnsi="Cambria" w:cs="Arial"/>
          <w:color w:val="000000" w:themeColor="text1"/>
        </w:rPr>
      </w:pPr>
    </w:p>
    <w:p w:rsidR="006D4614" w:rsidRPr="006D4614" w:rsidRDefault="006D4614" w:rsidP="006D4614">
      <w:pPr>
        <w:ind w:right="-347"/>
        <w:jc w:val="both"/>
        <w:rPr>
          <w:rFonts w:ascii="Cambria" w:hAnsi="Cambria"/>
          <w:color w:val="000000" w:themeColor="text1"/>
        </w:rPr>
      </w:pPr>
      <w:r w:rsidRPr="00235532">
        <w:rPr>
          <w:rFonts w:ascii="Cambria" w:hAnsi="Cambria" w:cs="Arial"/>
          <w:color w:val="000000" w:themeColor="text1"/>
        </w:rPr>
        <w:t xml:space="preserve">Fourteen years ago, </w:t>
      </w:r>
      <w:r w:rsidRPr="006D4614">
        <w:rPr>
          <w:rFonts w:ascii="Cambria" w:hAnsi="Cambria"/>
          <w:color w:val="000000" w:themeColor="text1"/>
        </w:rPr>
        <w:t xml:space="preserve">the </w:t>
      </w:r>
      <w:r w:rsidR="001A487F" w:rsidRPr="00235532">
        <w:rPr>
          <w:rFonts w:ascii="Cambria" w:hAnsi="Cambria"/>
          <w:color w:val="000000" w:themeColor="text1"/>
        </w:rPr>
        <w:t xml:space="preserve">State Government invited the </w:t>
      </w:r>
      <w:r w:rsidRPr="006D4614">
        <w:rPr>
          <w:rFonts w:ascii="Cambria" w:hAnsi="Cambria"/>
          <w:color w:val="000000" w:themeColor="text1"/>
        </w:rPr>
        <w:t xml:space="preserve">Tasmanian Law Reform Institute </w:t>
      </w:r>
      <w:r w:rsidR="00E30699" w:rsidRPr="00235532">
        <w:rPr>
          <w:rFonts w:ascii="Cambria" w:hAnsi="Cambria"/>
          <w:color w:val="000000" w:themeColor="text1"/>
        </w:rPr>
        <w:t xml:space="preserve">(TLRI) </w:t>
      </w:r>
      <w:r w:rsidRPr="006D4614">
        <w:rPr>
          <w:rFonts w:ascii="Cambria" w:hAnsi="Cambria"/>
          <w:color w:val="000000" w:themeColor="text1"/>
        </w:rPr>
        <w:t xml:space="preserve">to investigate how </w:t>
      </w:r>
      <w:r w:rsidRPr="00235532">
        <w:rPr>
          <w:rFonts w:ascii="Cambria" w:hAnsi="Cambria"/>
          <w:color w:val="000000" w:themeColor="text1"/>
        </w:rPr>
        <w:t>human rights could</w:t>
      </w:r>
      <w:r w:rsidRPr="006D4614">
        <w:rPr>
          <w:rFonts w:ascii="Cambria" w:hAnsi="Cambria"/>
          <w:color w:val="000000" w:themeColor="text1"/>
        </w:rPr>
        <w:t xml:space="preserve"> be </w:t>
      </w:r>
      <w:r w:rsidRPr="00235532">
        <w:rPr>
          <w:rFonts w:ascii="Cambria" w:hAnsi="Cambria"/>
          <w:color w:val="000000" w:themeColor="text1"/>
        </w:rPr>
        <w:t>better protected in Tasmania</w:t>
      </w:r>
      <w:r w:rsidRPr="006D4614">
        <w:rPr>
          <w:rFonts w:ascii="Cambria" w:hAnsi="Cambria"/>
          <w:color w:val="000000" w:themeColor="text1"/>
        </w:rPr>
        <w:t xml:space="preserve">. </w:t>
      </w:r>
      <w:r w:rsidRPr="00235532">
        <w:rPr>
          <w:rFonts w:ascii="Cambria" w:hAnsi="Cambria"/>
          <w:color w:val="000000" w:themeColor="text1"/>
        </w:rPr>
        <w:t>The community consultation embarked on by the TLRI was the largest undertaken in its history with 66</w:t>
      </w:r>
      <w:r w:rsidR="00B027B0" w:rsidRPr="00235532">
        <w:rPr>
          <w:rFonts w:ascii="Cambria" w:hAnsi="Cambria"/>
          <w:color w:val="000000" w:themeColor="text1"/>
        </w:rPr>
        <w:t xml:space="preserve"> </w:t>
      </w:r>
      <w:r w:rsidRPr="00235532">
        <w:rPr>
          <w:rFonts w:ascii="Cambria" w:hAnsi="Cambria"/>
          <w:color w:val="000000" w:themeColor="text1"/>
        </w:rPr>
        <w:t xml:space="preserve">forums, briefings and presentations held </w:t>
      </w:r>
      <w:r w:rsidR="00B027B0" w:rsidRPr="00235532">
        <w:rPr>
          <w:rFonts w:ascii="Cambria" w:hAnsi="Cambria"/>
          <w:color w:val="000000" w:themeColor="text1"/>
        </w:rPr>
        <w:t>across the State</w:t>
      </w:r>
      <w:r w:rsidRPr="00235532">
        <w:rPr>
          <w:rFonts w:ascii="Cambria" w:hAnsi="Cambria"/>
          <w:color w:val="000000" w:themeColor="text1"/>
        </w:rPr>
        <w:t xml:space="preserve">. The </w:t>
      </w:r>
      <w:r w:rsidR="00B027B0" w:rsidRPr="00235532">
        <w:rPr>
          <w:rFonts w:ascii="Cambria" w:hAnsi="Cambria"/>
          <w:color w:val="000000" w:themeColor="text1"/>
        </w:rPr>
        <w:t xml:space="preserve">exhaustive </w:t>
      </w:r>
      <w:r w:rsidRPr="00235532">
        <w:rPr>
          <w:rFonts w:ascii="Cambria" w:hAnsi="Cambria"/>
          <w:color w:val="000000" w:themeColor="text1"/>
        </w:rPr>
        <w:t>consultation resulted in more than 400 submissions being received, “</w:t>
      </w:r>
      <w:r w:rsidRPr="006D4614">
        <w:rPr>
          <w:rFonts w:ascii="Cambria" w:hAnsi="Cambria"/>
          <w:color w:val="000000" w:themeColor="text1"/>
        </w:rPr>
        <w:t>the largest number of original submissions received on any project undertaken by the Institute</w:t>
      </w:r>
      <w:r w:rsidRPr="00235532">
        <w:rPr>
          <w:rFonts w:ascii="Cambria" w:hAnsi="Cambria"/>
          <w:color w:val="000000" w:themeColor="text1"/>
        </w:rPr>
        <w:t>”</w:t>
      </w:r>
      <w:r w:rsidRPr="006D4614">
        <w:rPr>
          <w:rFonts w:ascii="Cambria" w:hAnsi="Cambria"/>
          <w:color w:val="000000" w:themeColor="text1"/>
        </w:rPr>
        <w:t>.</w:t>
      </w:r>
      <w:r w:rsidRPr="00235532">
        <w:rPr>
          <w:rStyle w:val="FootnoteReference"/>
          <w:rFonts w:ascii="Cambria" w:hAnsi="Cambria"/>
          <w:color w:val="000000" w:themeColor="text1"/>
        </w:rPr>
        <w:footnoteReference w:id="2"/>
      </w:r>
      <w:r w:rsidR="00DE2C54" w:rsidRPr="00235532">
        <w:rPr>
          <w:rFonts w:ascii="Cambria" w:hAnsi="Cambria"/>
          <w:color w:val="000000" w:themeColor="text1"/>
        </w:rPr>
        <w:t xml:space="preserve"> </w:t>
      </w:r>
      <w:r w:rsidR="0088083C">
        <w:rPr>
          <w:rFonts w:ascii="Cambria" w:hAnsi="Cambria"/>
          <w:color w:val="000000" w:themeColor="text1"/>
        </w:rPr>
        <w:t>Significantly</w:t>
      </w:r>
      <w:r w:rsidR="00DE2C54" w:rsidRPr="00235532">
        <w:rPr>
          <w:rFonts w:ascii="Cambria" w:hAnsi="Cambria"/>
          <w:color w:val="000000" w:themeColor="text1"/>
        </w:rPr>
        <w:t>,</w:t>
      </w:r>
      <w:r w:rsidR="0088083C">
        <w:rPr>
          <w:rFonts w:ascii="Cambria" w:hAnsi="Cambria"/>
          <w:color w:val="000000" w:themeColor="text1"/>
        </w:rPr>
        <w:t xml:space="preserve"> </w:t>
      </w:r>
      <w:r w:rsidR="00DE2C54" w:rsidRPr="00235532">
        <w:rPr>
          <w:rFonts w:ascii="Cambria" w:hAnsi="Cambria"/>
          <w:color w:val="000000" w:themeColor="text1"/>
        </w:rPr>
        <w:t>more than 90 per cent of submissions received supported the introduction of a Tasmanian Charter of Rights.</w:t>
      </w:r>
      <w:r w:rsidR="00DE2C54" w:rsidRPr="00235532">
        <w:rPr>
          <w:rStyle w:val="FootnoteReference"/>
          <w:rFonts w:ascii="Cambria" w:hAnsi="Cambria"/>
          <w:color w:val="000000" w:themeColor="text1"/>
        </w:rPr>
        <w:footnoteReference w:id="3"/>
      </w:r>
      <w:r w:rsidR="00DE2C54" w:rsidRPr="00235532">
        <w:rPr>
          <w:rFonts w:ascii="Cambria" w:hAnsi="Cambria"/>
          <w:color w:val="000000" w:themeColor="text1"/>
        </w:rPr>
        <w:t xml:space="preserve">  </w:t>
      </w:r>
    </w:p>
    <w:p w:rsidR="006D4614" w:rsidRPr="00235532" w:rsidRDefault="006D4614" w:rsidP="009A36FC">
      <w:pPr>
        <w:ind w:right="-347"/>
        <w:jc w:val="both"/>
        <w:rPr>
          <w:rFonts w:ascii="Cambria" w:hAnsi="Cambria" w:cs="Arial"/>
          <w:color w:val="000000" w:themeColor="text1"/>
        </w:rPr>
      </w:pPr>
    </w:p>
    <w:p w:rsidR="00E30699" w:rsidRPr="00235532" w:rsidRDefault="003B6F9F" w:rsidP="00E30699">
      <w:pPr>
        <w:ind w:right="-347"/>
        <w:jc w:val="both"/>
        <w:rPr>
          <w:rFonts w:ascii="Cambria" w:hAnsi="Cambria" w:cs="Arial"/>
          <w:color w:val="000000" w:themeColor="text1"/>
        </w:rPr>
      </w:pPr>
      <w:r w:rsidRPr="00235532">
        <w:rPr>
          <w:rFonts w:ascii="Cambria" w:hAnsi="Cambria" w:cs="Arial"/>
          <w:color w:val="000000" w:themeColor="text1"/>
        </w:rPr>
        <w:t>The TLRI</w:t>
      </w:r>
      <w:r w:rsidR="00E30699" w:rsidRPr="00235532">
        <w:rPr>
          <w:rFonts w:ascii="Cambria" w:hAnsi="Cambria" w:cs="Arial"/>
          <w:color w:val="000000" w:themeColor="text1"/>
        </w:rPr>
        <w:t xml:space="preserve">’s final </w:t>
      </w:r>
      <w:r w:rsidR="00E30699" w:rsidRPr="00235532">
        <w:rPr>
          <w:rFonts w:ascii="Cambria" w:hAnsi="Cambria"/>
          <w:color w:val="000000" w:themeColor="text1"/>
        </w:rPr>
        <w:t xml:space="preserve">report </w:t>
      </w:r>
      <w:r w:rsidR="00E30699" w:rsidRPr="00235532">
        <w:rPr>
          <w:rFonts w:ascii="Cambria" w:hAnsi="Cambria"/>
          <w:i/>
          <w:iCs/>
          <w:color w:val="000000" w:themeColor="text1"/>
        </w:rPr>
        <w:t>A Charter of Rights for Tasmania</w:t>
      </w:r>
      <w:r w:rsidR="00E30699" w:rsidRPr="00235532">
        <w:rPr>
          <w:rFonts w:ascii="Cambria" w:hAnsi="Cambria"/>
          <w:color w:val="000000" w:themeColor="text1"/>
        </w:rPr>
        <w:t xml:space="preserve"> </w:t>
      </w:r>
      <w:r w:rsidRPr="00235532">
        <w:rPr>
          <w:rFonts w:ascii="Cambria" w:hAnsi="Cambria" w:cs="Arial"/>
          <w:color w:val="000000" w:themeColor="text1"/>
        </w:rPr>
        <w:t>reco</w:t>
      </w:r>
      <w:r w:rsidR="00E30699" w:rsidRPr="00235532">
        <w:rPr>
          <w:rFonts w:ascii="Cambria" w:hAnsi="Cambria" w:cs="Arial"/>
          <w:color w:val="000000" w:themeColor="text1"/>
        </w:rPr>
        <w:t xml:space="preserve">mmended that civil and political rights as well as economic, cultural and civil </w:t>
      </w:r>
      <w:r w:rsidRPr="00235532">
        <w:rPr>
          <w:rFonts w:ascii="Cambria" w:hAnsi="Cambria" w:cs="Arial"/>
          <w:color w:val="000000" w:themeColor="text1"/>
        </w:rPr>
        <w:t xml:space="preserve">rights </w:t>
      </w:r>
      <w:r w:rsidR="00E30699" w:rsidRPr="00235532">
        <w:rPr>
          <w:rFonts w:ascii="Cambria" w:hAnsi="Cambria" w:cs="Arial"/>
          <w:color w:val="000000" w:themeColor="text1"/>
        </w:rPr>
        <w:t xml:space="preserve">should </w:t>
      </w:r>
      <w:r w:rsidRPr="00235532">
        <w:rPr>
          <w:rFonts w:ascii="Cambria" w:hAnsi="Cambria" w:cs="Arial"/>
          <w:color w:val="000000" w:themeColor="text1"/>
        </w:rPr>
        <w:t>be protected</w:t>
      </w:r>
      <w:r w:rsidR="00E30699" w:rsidRPr="00235532">
        <w:rPr>
          <w:rFonts w:ascii="Cambria" w:hAnsi="Cambria" w:cs="Arial"/>
          <w:color w:val="000000" w:themeColor="text1"/>
        </w:rPr>
        <w:t xml:space="preserve"> and that whilst “</w:t>
      </w:r>
      <w:r w:rsidR="00E30699" w:rsidRPr="00235532">
        <w:rPr>
          <w:rFonts w:ascii="Cambria" w:hAnsi="Cambria"/>
          <w:color w:val="000000" w:themeColor="text1"/>
        </w:rPr>
        <w:t xml:space="preserve">a Charter of Rights would not be a solution for all human rights problems or prevent social </w:t>
      </w:r>
      <w:r w:rsidR="00E30699" w:rsidRPr="00235532">
        <w:rPr>
          <w:rFonts w:ascii="Cambria" w:hAnsi="Cambria"/>
          <w:color w:val="000000" w:themeColor="text1"/>
        </w:rPr>
        <w:lastRenderedPageBreak/>
        <w:t>inequality and injustice in Tasmania” it would “develop a human rights conscious culture within Tasmania”.</w:t>
      </w:r>
      <w:r w:rsidR="00E30699" w:rsidRPr="00235532">
        <w:rPr>
          <w:rStyle w:val="FootnoteReference"/>
          <w:rFonts w:ascii="Cambria" w:hAnsi="Cambria"/>
          <w:color w:val="000000" w:themeColor="text1"/>
        </w:rPr>
        <w:footnoteReference w:id="4"/>
      </w:r>
      <w:r w:rsidR="00E30699" w:rsidRPr="00235532">
        <w:rPr>
          <w:rFonts w:ascii="Cambria" w:hAnsi="Cambria"/>
          <w:color w:val="000000" w:themeColor="text1"/>
        </w:rPr>
        <w:t xml:space="preserve"> </w:t>
      </w:r>
    </w:p>
    <w:p w:rsidR="00E30699" w:rsidRPr="00235532" w:rsidRDefault="00E30699" w:rsidP="00B027B0">
      <w:pPr>
        <w:ind w:right="-347"/>
        <w:jc w:val="both"/>
        <w:rPr>
          <w:rFonts w:ascii="Cambria" w:hAnsi="Cambria" w:cs="Arial"/>
          <w:color w:val="000000" w:themeColor="text1"/>
        </w:rPr>
      </w:pPr>
    </w:p>
    <w:p w:rsidR="003B6F9F" w:rsidRPr="00235532" w:rsidRDefault="00B027B0" w:rsidP="00B027B0">
      <w:pPr>
        <w:ind w:right="-347"/>
        <w:jc w:val="both"/>
        <w:rPr>
          <w:rFonts w:ascii="Cambria" w:hAnsi="Cambria" w:cs="Arial"/>
          <w:color w:val="000000" w:themeColor="text1"/>
        </w:rPr>
      </w:pPr>
      <w:r w:rsidRPr="00235532">
        <w:rPr>
          <w:rFonts w:ascii="Cambria" w:hAnsi="Cambria" w:cs="Arial"/>
          <w:color w:val="000000" w:themeColor="text1"/>
        </w:rPr>
        <w:t>More than a decade</w:t>
      </w:r>
      <w:r w:rsidR="00E30699" w:rsidRPr="00235532">
        <w:rPr>
          <w:rFonts w:ascii="Cambria" w:hAnsi="Cambria" w:cs="Arial"/>
          <w:color w:val="000000" w:themeColor="text1"/>
        </w:rPr>
        <w:t xml:space="preserve"> after the </w:t>
      </w:r>
      <w:r w:rsidR="0088083C">
        <w:rPr>
          <w:rFonts w:ascii="Cambria" w:hAnsi="Cambria" w:cs="Arial"/>
          <w:color w:val="000000" w:themeColor="text1"/>
        </w:rPr>
        <w:t xml:space="preserve">release of the </w:t>
      </w:r>
      <w:r w:rsidR="00E30699" w:rsidRPr="00235532">
        <w:rPr>
          <w:rFonts w:ascii="Cambria" w:hAnsi="Cambria" w:cs="Arial"/>
          <w:color w:val="000000" w:themeColor="text1"/>
        </w:rPr>
        <w:t>TLRI</w:t>
      </w:r>
      <w:r w:rsidR="0088083C">
        <w:rPr>
          <w:rFonts w:ascii="Cambria" w:hAnsi="Cambria" w:cs="Arial"/>
          <w:color w:val="000000" w:themeColor="text1"/>
        </w:rPr>
        <w:t xml:space="preserve">’s final report, </w:t>
      </w:r>
      <w:r w:rsidR="00E30699" w:rsidRPr="00235532">
        <w:rPr>
          <w:rFonts w:ascii="Cambria" w:hAnsi="Cambria" w:cs="Arial"/>
          <w:color w:val="000000" w:themeColor="text1"/>
        </w:rPr>
        <w:t xml:space="preserve">it is clear that a Charter of Rights is urgently needed with </w:t>
      </w:r>
      <w:r w:rsidR="001A487F" w:rsidRPr="00235532">
        <w:rPr>
          <w:rFonts w:ascii="Cambria" w:hAnsi="Cambria" w:cs="Arial"/>
          <w:color w:val="000000" w:themeColor="text1"/>
        </w:rPr>
        <w:t xml:space="preserve">successive </w:t>
      </w:r>
      <w:r w:rsidR="00E30699" w:rsidRPr="00235532">
        <w:rPr>
          <w:rFonts w:ascii="Cambria" w:hAnsi="Cambria" w:cs="Arial"/>
          <w:color w:val="000000" w:themeColor="text1"/>
        </w:rPr>
        <w:t>Governments</w:t>
      </w:r>
      <w:r w:rsidR="001A487F" w:rsidRPr="00235532">
        <w:rPr>
          <w:rFonts w:ascii="Cambria" w:hAnsi="Cambria" w:cs="Arial"/>
          <w:color w:val="000000" w:themeColor="text1"/>
        </w:rPr>
        <w:t xml:space="preserve"> </w:t>
      </w:r>
      <w:r w:rsidR="00E30699" w:rsidRPr="00235532">
        <w:rPr>
          <w:rFonts w:ascii="Cambria" w:hAnsi="Cambria" w:cs="Arial"/>
          <w:color w:val="000000" w:themeColor="text1"/>
        </w:rPr>
        <w:t>failing to give “human rights a consistently applied central role in the conduct of government business”.</w:t>
      </w:r>
      <w:r w:rsidR="00DE2C54" w:rsidRPr="00235532">
        <w:rPr>
          <w:rStyle w:val="FootnoteReference"/>
          <w:rFonts w:ascii="Cambria" w:hAnsi="Cambria" w:cs="Arial"/>
          <w:color w:val="000000" w:themeColor="text1"/>
        </w:rPr>
        <w:footnoteReference w:id="5"/>
      </w:r>
      <w:r w:rsidR="00E30699" w:rsidRPr="00235532">
        <w:rPr>
          <w:rFonts w:ascii="Cambria" w:hAnsi="Cambria" w:cs="Arial"/>
          <w:color w:val="000000" w:themeColor="text1"/>
        </w:rPr>
        <w:t xml:space="preserve">  </w:t>
      </w:r>
    </w:p>
    <w:p w:rsidR="00351D35" w:rsidRPr="00235532" w:rsidRDefault="00351D35" w:rsidP="00B027B0">
      <w:pPr>
        <w:ind w:right="-347"/>
        <w:jc w:val="both"/>
        <w:rPr>
          <w:rFonts w:ascii="Cambria" w:hAnsi="Cambria" w:cs="Arial"/>
          <w:color w:val="000000" w:themeColor="text1"/>
        </w:rPr>
      </w:pPr>
    </w:p>
    <w:p w:rsidR="00351D35" w:rsidRPr="00235532" w:rsidRDefault="00351D35" w:rsidP="00B027B0">
      <w:pPr>
        <w:ind w:right="-347"/>
        <w:jc w:val="both"/>
        <w:rPr>
          <w:rFonts w:ascii="Cambria" w:hAnsi="Cambria" w:cs="Arial"/>
          <w:b/>
          <w:bCs/>
          <w:color w:val="000000" w:themeColor="text1"/>
        </w:rPr>
      </w:pPr>
      <w:r w:rsidRPr="00235532">
        <w:rPr>
          <w:rFonts w:ascii="Cambria" w:hAnsi="Cambria" w:cs="Arial"/>
          <w:b/>
          <w:bCs/>
          <w:color w:val="000000" w:themeColor="text1"/>
        </w:rPr>
        <w:t xml:space="preserve">Human rights in Tasmania </w:t>
      </w:r>
      <w:r w:rsidR="007A5C39" w:rsidRPr="00235532">
        <w:rPr>
          <w:rFonts w:ascii="Cambria" w:hAnsi="Cambria" w:cs="Arial"/>
          <w:b/>
          <w:bCs/>
          <w:color w:val="000000" w:themeColor="text1"/>
        </w:rPr>
        <w:t>remain</w:t>
      </w:r>
      <w:r w:rsidRPr="00235532">
        <w:rPr>
          <w:rFonts w:ascii="Cambria" w:hAnsi="Cambria" w:cs="Arial"/>
          <w:b/>
          <w:bCs/>
          <w:color w:val="000000" w:themeColor="text1"/>
        </w:rPr>
        <w:t xml:space="preserve"> “partial, disconnected and inaccessible” </w:t>
      </w:r>
    </w:p>
    <w:p w:rsidR="002C74C8" w:rsidRPr="00235532" w:rsidRDefault="00351D35" w:rsidP="00B027B0">
      <w:pPr>
        <w:ind w:right="-347"/>
        <w:jc w:val="both"/>
        <w:rPr>
          <w:rFonts w:ascii="Cambria" w:hAnsi="Cambria" w:cs="Arial"/>
          <w:color w:val="000000" w:themeColor="text1"/>
        </w:rPr>
      </w:pPr>
      <w:r w:rsidRPr="00235532">
        <w:rPr>
          <w:rFonts w:ascii="Cambria" w:hAnsi="Cambria" w:cs="Arial"/>
          <w:color w:val="000000" w:themeColor="text1"/>
        </w:rPr>
        <w:t>In the TLRI’s final report it was observed that human rights in Tasmania “are partial, disconnected and inaccessible”.</w:t>
      </w:r>
      <w:r w:rsidRPr="00235532">
        <w:rPr>
          <w:rStyle w:val="FootnoteReference"/>
          <w:rFonts w:ascii="Cambria" w:hAnsi="Cambria" w:cs="Arial"/>
          <w:color w:val="000000" w:themeColor="text1"/>
        </w:rPr>
        <w:footnoteReference w:id="6"/>
      </w:r>
      <w:r w:rsidRPr="00235532">
        <w:rPr>
          <w:rFonts w:ascii="Cambria" w:hAnsi="Cambria" w:cs="Arial"/>
          <w:color w:val="000000" w:themeColor="text1"/>
        </w:rPr>
        <w:t xml:space="preserve"> </w:t>
      </w:r>
      <w:r w:rsidR="002C74C8" w:rsidRPr="00235532">
        <w:rPr>
          <w:rFonts w:ascii="Cambria" w:hAnsi="Cambria" w:cs="Arial"/>
          <w:color w:val="000000" w:themeColor="text1"/>
        </w:rPr>
        <w:t xml:space="preserve">Since 2007, the failure </w:t>
      </w:r>
      <w:r w:rsidRPr="00235532">
        <w:rPr>
          <w:rFonts w:ascii="Cambria" w:hAnsi="Cambria" w:cs="Arial"/>
          <w:color w:val="000000" w:themeColor="text1"/>
        </w:rPr>
        <w:t>of successive Governments to enact a Charter of Rights means that there has been no consistent recognition of human rights in government decision-making.</w:t>
      </w:r>
      <w:r w:rsidR="002C74C8" w:rsidRPr="00235532">
        <w:rPr>
          <w:rFonts w:ascii="Cambria" w:hAnsi="Cambria" w:cs="Arial"/>
          <w:color w:val="000000" w:themeColor="text1"/>
        </w:rPr>
        <w:t xml:space="preserve"> </w:t>
      </w:r>
    </w:p>
    <w:p w:rsidR="002C74C8" w:rsidRPr="00235532" w:rsidRDefault="002C74C8" w:rsidP="00B027B0">
      <w:pPr>
        <w:ind w:right="-347"/>
        <w:jc w:val="both"/>
        <w:rPr>
          <w:rFonts w:ascii="Cambria" w:hAnsi="Cambria" w:cs="Arial"/>
          <w:color w:val="000000" w:themeColor="text1"/>
        </w:rPr>
      </w:pPr>
    </w:p>
    <w:p w:rsidR="002C74C8" w:rsidRPr="00235532" w:rsidRDefault="00351D35" w:rsidP="002C74C8">
      <w:pPr>
        <w:ind w:right="-347"/>
        <w:jc w:val="both"/>
        <w:rPr>
          <w:rFonts w:ascii="Cambria" w:hAnsi="Cambria" w:cs="Arial"/>
          <w:color w:val="000000" w:themeColor="text1"/>
        </w:rPr>
      </w:pPr>
      <w:r w:rsidRPr="00235532">
        <w:rPr>
          <w:rFonts w:ascii="Cambria" w:hAnsi="Cambria" w:cs="Arial"/>
          <w:color w:val="000000" w:themeColor="text1"/>
        </w:rPr>
        <w:t>Over the last eight years</w:t>
      </w:r>
      <w:r w:rsidR="0019783C" w:rsidRPr="00235532">
        <w:rPr>
          <w:rFonts w:ascii="Cambria" w:hAnsi="Cambria" w:cs="Arial"/>
          <w:color w:val="000000" w:themeColor="text1"/>
        </w:rPr>
        <w:t xml:space="preserve">, </w:t>
      </w:r>
      <w:r w:rsidRPr="00235532">
        <w:rPr>
          <w:rFonts w:ascii="Cambria" w:hAnsi="Cambria" w:cs="Arial"/>
          <w:color w:val="000000" w:themeColor="text1"/>
        </w:rPr>
        <w:t xml:space="preserve">Community Legal Centres Tasmania </w:t>
      </w:r>
      <w:r w:rsidR="0019783C" w:rsidRPr="00235532">
        <w:rPr>
          <w:rFonts w:ascii="Cambria" w:hAnsi="Cambria" w:cs="Arial"/>
          <w:color w:val="000000" w:themeColor="text1"/>
        </w:rPr>
        <w:t>has</w:t>
      </w:r>
      <w:r w:rsidRPr="00235532">
        <w:rPr>
          <w:rFonts w:ascii="Cambria" w:hAnsi="Cambria" w:cs="Arial"/>
          <w:color w:val="000000" w:themeColor="text1"/>
        </w:rPr>
        <w:t xml:space="preserve"> respond</w:t>
      </w:r>
      <w:r w:rsidR="0019783C" w:rsidRPr="00235532">
        <w:rPr>
          <w:rFonts w:ascii="Cambria" w:hAnsi="Cambria" w:cs="Arial"/>
          <w:color w:val="000000" w:themeColor="text1"/>
        </w:rPr>
        <w:t>ed</w:t>
      </w:r>
      <w:r w:rsidRPr="00235532">
        <w:rPr>
          <w:rFonts w:ascii="Cambria" w:hAnsi="Cambria" w:cs="Arial"/>
          <w:color w:val="000000" w:themeColor="text1"/>
        </w:rPr>
        <w:t xml:space="preserve"> to Bills as well as consultation papers published by Government departments, statutory bodies and other organisations. A review of our responses </w:t>
      </w:r>
      <w:r w:rsidR="00DE2C54" w:rsidRPr="00235532">
        <w:rPr>
          <w:rFonts w:ascii="Cambria" w:hAnsi="Cambria" w:cs="Arial"/>
          <w:color w:val="000000" w:themeColor="text1"/>
        </w:rPr>
        <w:t>at</w:t>
      </w:r>
      <w:r w:rsidR="0019783C" w:rsidRPr="00235532">
        <w:rPr>
          <w:rFonts w:ascii="Cambria" w:hAnsi="Cambria" w:cs="Arial"/>
          <w:color w:val="000000" w:themeColor="text1"/>
        </w:rPr>
        <w:t xml:space="preserve"> </w:t>
      </w:r>
      <w:hyperlink r:id="rId9" w:history="1">
        <w:r w:rsidR="0019783C" w:rsidRPr="00AF136E">
          <w:rPr>
            <w:rStyle w:val="Hyperlink"/>
            <w:rFonts w:ascii="Cambria" w:hAnsi="Cambria" w:cs="Arial"/>
          </w:rPr>
          <w:t>www.clctas.org.au/what/reform</w:t>
        </w:r>
      </w:hyperlink>
      <w:r w:rsidR="0019783C" w:rsidRPr="00AF136E">
        <w:rPr>
          <w:rFonts w:ascii="Cambria" w:hAnsi="Cambria" w:cs="Arial"/>
          <w:color w:val="000000" w:themeColor="text1"/>
        </w:rPr>
        <w:t xml:space="preserve"> </w:t>
      </w:r>
      <w:r w:rsidRPr="00235532">
        <w:rPr>
          <w:rFonts w:ascii="Cambria" w:hAnsi="Cambria" w:cs="Arial"/>
          <w:color w:val="000000" w:themeColor="text1"/>
        </w:rPr>
        <w:t>demonstrates</w:t>
      </w:r>
      <w:r w:rsidR="002C74C8" w:rsidRPr="00235532">
        <w:rPr>
          <w:rFonts w:ascii="Cambria" w:hAnsi="Cambria" w:cs="Arial"/>
          <w:color w:val="000000" w:themeColor="text1"/>
        </w:rPr>
        <w:t xml:space="preserve"> </w:t>
      </w:r>
      <w:r w:rsidRPr="00235532">
        <w:rPr>
          <w:rFonts w:ascii="Cambria" w:hAnsi="Cambria" w:cs="Arial"/>
          <w:color w:val="000000" w:themeColor="text1"/>
        </w:rPr>
        <w:t xml:space="preserve">that </w:t>
      </w:r>
      <w:r w:rsidR="0019783C" w:rsidRPr="00235532">
        <w:rPr>
          <w:rFonts w:ascii="Cambria" w:hAnsi="Cambria" w:cs="Arial"/>
          <w:color w:val="000000" w:themeColor="text1"/>
        </w:rPr>
        <w:t xml:space="preserve">the response of </w:t>
      </w:r>
      <w:r w:rsidRPr="00235532">
        <w:rPr>
          <w:rFonts w:ascii="Cambria" w:hAnsi="Cambria" w:cs="Arial"/>
          <w:color w:val="000000" w:themeColor="text1"/>
        </w:rPr>
        <w:t xml:space="preserve">Government and its instrumentalities </w:t>
      </w:r>
      <w:r w:rsidR="0019783C" w:rsidRPr="00235532">
        <w:rPr>
          <w:rFonts w:ascii="Cambria" w:hAnsi="Cambria" w:cs="Arial"/>
          <w:color w:val="000000" w:themeColor="text1"/>
        </w:rPr>
        <w:t xml:space="preserve">to </w:t>
      </w:r>
      <w:r w:rsidR="0088083C">
        <w:rPr>
          <w:rFonts w:ascii="Cambria" w:hAnsi="Cambria" w:cs="Arial"/>
          <w:color w:val="000000" w:themeColor="text1"/>
        </w:rPr>
        <w:t xml:space="preserve">protecting and </w:t>
      </w:r>
      <w:r w:rsidR="0019783C" w:rsidRPr="00235532">
        <w:rPr>
          <w:rFonts w:ascii="Cambria" w:hAnsi="Cambria" w:cs="Arial"/>
          <w:color w:val="000000" w:themeColor="text1"/>
        </w:rPr>
        <w:t xml:space="preserve">enhancing human rights has been mixed. Whilst, a number of </w:t>
      </w:r>
      <w:r w:rsidR="001A487F" w:rsidRPr="00235532">
        <w:rPr>
          <w:rFonts w:ascii="Cambria" w:hAnsi="Cambria" w:cs="Arial"/>
          <w:color w:val="000000" w:themeColor="text1"/>
        </w:rPr>
        <w:t>significant</w:t>
      </w:r>
      <w:r w:rsidR="0019783C" w:rsidRPr="00235532">
        <w:rPr>
          <w:rFonts w:ascii="Cambria" w:hAnsi="Cambria" w:cs="Arial"/>
          <w:color w:val="000000" w:themeColor="text1"/>
        </w:rPr>
        <w:t xml:space="preserve"> human right protections have been enshrined in legislation, the Government has also sought to weaken human rights protections and it has been left to members of the opposition parties or</w:t>
      </w:r>
      <w:r w:rsidR="0088083C">
        <w:rPr>
          <w:rFonts w:ascii="Cambria" w:hAnsi="Cambria" w:cs="Arial"/>
          <w:color w:val="000000" w:themeColor="text1"/>
        </w:rPr>
        <w:t xml:space="preserve"> </w:t>
      </w:r>
      <w:r w:rsidR="0019783C" w:rsidRPr="00235532">
        <w:rPr>
          <w:rFonts w:ascii="Cambria" w:hAnsi="Cambria" w:cs="Arial"/>
          <w:color w:val="000000" w:themeColor="text1"/>
        </w:rPr>
        <w:t xml:space="preserve">Legislative Council to advocate for human right protections.    </w:t>
      </w:r>
    </w:p>
    <w:p w:rsidR="002C74C8" w:rsidRPr="00235532" w:rsidRDefault="002C74C8" w:rsidP="002C74C8">
      <w:pPr>
        <w:ind w:right="-347"/>
        <w:jc w:val="both"/>
        <w:rPr>
          <w:rFonts w:ascii="Cambria" w:hAnsi="Cambria" w:cs="Arial"/>
          <w:color w:val="000000" w:themeColor="text1"/>
        </w:rPr>
      </w:pPr>
    </w:p>
    <w:p w:rsidR="002C74C8" w:rsidRPr="00235532" w:rsidRDefault="002C74C8" w:rsidP="002C74C8">
      <w:pPr>
        <w:ind w:right="-347"/>
        <w:jc w:val="both"/>
        <w:rPr>
          <w:rFonts w:ascii="Cambria" w:hAnsi="Cambria" w:cs="Arial"/>
          <w:color w:val="000000" w:themeColor="text1"/>
        </w:rPr>
      </w:pPr>
      <w:r w:rsidRPr="00235532">
        <w:rPr>
          <w:rFonts w:ascii="Cambria" w:hAnsi="Cambria" w:cs="Arial"/>
          <w:color w:val="000000" w:themeColor="text1"/>
        </w:rPr>
        <w:t xml:space="preserve">Government legislative reform that has </w:t>
      </w:r>
      <w:r w:rsidR="0088083C">
        <w:rPr>
          <w:rFonts w:ascii="Cambria" w:hAnsi="Cambria" w:cs="Arial"/>
          <w:color w:val="000000" w:themeColor="text1"/>
        </w:rPr>
        <w:t xml:space="preserve">protected </w:t>
      </w:r>
      <w:r w:rsidRPr="00235532">
        <w:rPr>
          <w:rFonts w:ascii="Cambria" w:hAnsi="Cambria" w:cs="Arial"/>
          <w:color w:val="000000" w:themeColor="text1"/>
        </w:rPr>
        <w:t>human rights includes:</w:t>
      </w:r>
    </w:p>
    <w:p w:rsidR="002C74C8" w:rsidRPr="00235532" w:rsidRDefault="002C74C8" w:rsidP="002C74C8">
      <w:pPr>
        <w:ind w:right="-347"/>
        <w:jc w:val="both"/>
        <w:rPr>
          <w:rFonts w:ascii="Cambria" w:hAnsi="Cambria" w:cs="Arial"/>
          <w:color w:val="000000" w:themeColor="text1"/>
        </w:rPr>
      </w:pPr>
    </w:p>
    <w:p w:rsidR="002C74C8" w:rsidRPr="00235532" w:rsidRDefault="002C74C8" w:rsidP="002C74C8">
      <w:pPr>
        <w:pStyle w:val="ListParagraph"/>
        <w:numPr>
          <w:ilvl w:val="0"/>
          <w:numId w:val="7"/>
        </w:numPr>
        <w:ind w:right="-347"/>
        <w:jc w:val="both"/>
        <w:rPr>
          <w:rFonts w:ascii="Cambria" w:hAnsi="Cambria" w:cs="Arial"/>
          <w:color w:val="000000" w:themeColor="text1"/>
        </w:rPr>
      </w:pPr>
      <w:r w:rsidRPr="00235532">
        <w:rPr>
          <w:rFonts w:ascii="Cambria" w:hAnsi="Cambria" w:cs="Arial"/>
          <w:color w:val="000000" w:themeColor="text1"/>
        </w:rPr>
        <w:t>The expungement of historic convictions for consensual homosexual sexual activity and related conduct;</w:t>
      </w:r>
      <w:r w:rsidRPr="00235532">
        <w:rPr>
          <w:rStyle w:val="FootnoteReference"/>
          <w:rFonts w:ascii="Cambria" w:hAnsi="Cambria" w:cs="Arial"/>
          <w:color w:val="000000" w:themeColor="text1"/>
        </w:rPr>
        <w:footnoteReference w:id="7"/>
      </w:r>
    </w:p>
    <w:p w:rsidR="002C74C8" w:rsidRPr="00235532" w:rsidRDefault="002C74C8" w:rsidP="002C74C8">
      <w:pPr>
        <w:pStyle w:val="ListParagraph"/>
        <w:ind w:right="-347"/>
        <w:jc w:val="both"/>
        <w:rPr>
          <w:rFonts w:ascii="Cambria" w:hAnsi="Cambria" w:cs="Arial"/>
          <w:color w:val="000000" w:themeColor="text1"/>
        </w:rPr>
      </w:pPr>
    </w:p>
    <w:p w:rsidR="002C74C8" w:rsidRPr="00235532" w:rsidRDefault="002C74C8" w:rsidP="002C74C8">
      <w:pPr>
        <w:pStyle w:val="ListParagraph"/>
        <w:numPr>
          <w:ilvl w:val="0"/>
          <w:numId w:val="7"/>
        </w:numPr>
        <w:ind w:right="-347"/>
        <w:jc w:val="both"/>
        <w:rPr>
          <w:rFonts w:ascii="Cambria" w:hAnsi="Cambria" w:cs="Arial"/>
          <w:color w:val="000000" w:themeColor="text1"/>
        </w:rPr>
      </w:pPr>
      <w:r w:rsidRPr="00235532">
        <w:rPr>
          <w:rFonts w:ascii="Cambria" w:hAnsi="Cambria" w:cs="Arial"/>
          <w:color w:val="000000" w:themeColor="text1"/>
        </w:rPr>
        <w:t>Broadening the range of rehabilitation options available to the Judiciary when sentencing offenders to terms of imprisonment;</w:t>
      </w:r>
      <w:r w:rsidRPr="00235532">
        <w:rPr>
          <w:rStyle w:val="FootnoteReference"/>
          <w:rFonts w:ascii="Cambria" w:hAnsi="Cambria" w:cs="Arial"/>
          <w:color w:val="000000" w:themeColor="text1"/>
        </w:rPr>
        <w:footnoteReference w:id="8"/>
      </w:r>
      <w:r w:rsidRPr="00235532">
        <w:rPr>
          <w:rFonts w:ascii="Cambria" w:hAnsi="Cambria" w:cs="Arial"/>
          <w:color w:val="000000" w:themeColor="text1"/>
        </w:rPr>
        <w:t xml:space="preserve"> </w:t>
      </w:r>
    </w:p>
    <w:p w:rsidR="002C74C8" w:rsidRPr="00235532" w:rsidRDefault="002C74C8" w:rsidP="002C74C8">
      <w:pPr>
        <w:pStyle w:val="ListParagraph"/>
        <w:rPr>
          <w:rFonts w:ascii="Cambria" w:hAnsi="Cambria" w:cs="Arial"/>
          <w:color w:val="000000" w:themeColor="text1"/>
        </w:rPr>
      </w:pPr>
    </w:p>
    <w:p w:rsidR="002C74C8" w:rsidRPr="00235532" w:rsidRDefault="002C74C8" w:rsidP="002C74C8">
      <w:pPr>
        <w:ind w:right="-347"/>
        <w:jc w:val="both"/>
        <w:rPr>
          <w:rFonts w:ascii="Cambria" w:hAnsi="Cambria" w:cs="Arial"/>
          <w:color w:val="000000" w:themeColor="text1"/>
        </w:rPr>
      </w:pPr>
      <w:r w:rsidRPr="00235532">
        <w:rPr>
          <w:rFonts w:ascii="Cambria" w:hAnsi="Cambria" w:cs="Arial"/>
          <w:color w:val="000000" w:themeColor="text1"/>
        </w:rPr>
        <w:t xml:space="preserve">Opposition parties or Legislative Council legislative reform that has sought to </w:t>
      </w:r>
      <w:r w:rsidR="0088083C">
        <w:rPr>
          <w:rFonts w:ascii="Cambria" w:hAnsi="Cambria" w:cs="Arial"/>
          <w:color w:val="000000" w:themeColor="text1"/>
        </w:rPr>
        <w:t>protect</w:t>
      </w:r>
      <w:r w:rsidRPr="00235532">
        <w:rPr>
          <w:rFonts w:ascii="Cambria" w:hAnsi="Cambria" w:cs="Arial"/>
          <w:color w:val="000000" w:themeColor="text1"/>
        </w:rPr>
        <w:t xml:space="preserve"> human rights includes:</w:t>
      </w:r>
    </w:p>
    <w:p w:rsidR="002C74C8" w:rsidRPr="00235532" w:rsidRDefault="002C74C8" w:rsidP="002C74C8">
      <w:pPr>
        <w:ind w:right="-347"/>
        <w:jc w:val="both"/>
        <w:rPr>
          <w:rFonts w:ascii="Cambria" w:hAnsi="Cambria" w:cs="Arial"/>
          <w:color w:val="000000" w:themeColor="text1"/>
        </w:rPr>
      </w:pPr>
    </w:p>
    <w:p w:rsidR="002C74C8" w:rsidRPr="00235532" w:rsidRDefault="002C74C8" w:rsidP="002C74C8">
      <w:pPr>
        <w:pStyle w:val="ListParagraph"/>
        <w:numPr>
          <w:ilvl w:val="0"/>
          <w:numId w:val="8"/>
        </w:numPr>
        <w:ind w:right="-347"/>
        <w:jc w:val="both"/>
        <w:rPr>
          <w:rFonts w:ascii="Cambria" w:hAnsi="Cambria" w:cs="Arial"/>
          <w:color w:val="000000" w:themeColor="text1"/>
        </w:rPr>
      </w:pPr>
      <w:r w:rsidRPr="00235532">
        <w:rPr>
          <w:rFonts w:ascii="Cambria" w:hAnsi="Cambria" w:cs="Arial"/>
          <w:color w:val="000000" w:themeColor="text1"/>
        </w:rPr>
        <w:t>The repeal of the offence of begging;</w:t>
      </w:r>
      <w:r w:rsidRPr="00235532">
        <w:rPr>
          <w:rStyle w:val="FootnoteReference"/>
          <w:rFonts w:ascii="Cambria" w:hAnsi="Cambria" w:cs="Arial"/>
          <w:color w:val="000000" w:themeColor="text1"/>
        </w:rPr>
        <w:footnoteReference w:id="9"/>
      </w:r>
      <w:r w:rsidRPr="00235532">
        <w:rPr>
          <w:rFonts w:ascii="Cambria" w:hAnsi="Cambria" w:cs="Arial"/>
          <w:color w:val="000000" w:themeColor="text1"/>
        </w:rPr>
        <w:t xml:space="preserve"> </w:t>
      </w:r>
    </w:p>
    <w:p w:rsidR="002C74C8" w:rsidRPr="00235532" w:rsidRDefault="002C74C8" w:rsidP="002C74C8">
      <w:pPr>
        <w:pStyle w:val="ListParagraph"/>
        <w:ind w:right="-347"/>
        <w:jc w:val="both"/>
        <w:rPr>
          <w:rFonts w:ascii="Cambria" w:hAnsi="Cambria" w:cs="Arial"/>
          <w:color w:val="000000" w:themeColor="text1"/>
        </w:rPr>
      </w:pPr>
    </w:p>
    <w:p w:rsidR="002C74C8" w:rsidRPr="00235532" w:rsidRDefault="002C74C8" w:rsidP="002C74C8">
      <w:pPr>
        <w:pStyle w:val="ListParagraph"/>
        <w:numPr>
          <w:ilvl w:val="0"/>
          <w:numId w:val="8"/>
        </w:numPr>
        <w:ind w:right="-347"/>
        <w:jc w:val="both"/>
        <w:rPr>
          <w:rFonts w:ascii="Cambria" w:hAnsi="Cambria" w:cs="Arial"/>
          <w:color w:val="000000" w:themeColor="text1"/>
        </w:rPr>
      </w:pPr>
      <w:r w:rsidRPr="00235532">
        <w:rPr>
          <w:rFonts w:ascii="Cambria" w:hAnsi="Cambria" w:cs="Arial"/>
          <w:color w:val="000000" w:themeColor="text1"/>
        </w:rPr>
        <w:lastRenderedPageBreak/>
        <w:t>Legal recognition of sex and gender diversity;</w:t>
      </w:r>
      <w:r w:rsidRPr="00235532">
        <w:rPr>
          <w:rStyle w:val="FootnoteReference"/>
          <w:rFonts w:ascii="Cambria" w:hAnsi="Cambria" w:cs="Arial"/>
          <w:color w:val="000000" w:themeColor="text1"/>
        </w:rPr>
        <w:footnoteReference w:id="10"/>
      </w:r>
      <w:r w:rsidRPr="00235532">
        <w:rPr>
          <w:rFonts w:ascii="Cambria" w:hAnsi="Cambria" w:cs="Arial"/>
          <w:color w:val="000000" w:themeColor="text1"/>
        </w:rPr>
        <w:t xml:space="preserve"> </w:t>
      </w:r>
    </w:p>
    <w:p w:rsidR="002C74C8" w:rsidRPr="00235532" w:rsidRDefault="002C74C8" w:rsidP="002C74C8">
      <w:pPr>
        <w:pStyle w:val="ListParagraph"/>
        <w:rPr>
          <w:rFonts w:ascii="Cambria" w:hAnsi="Cambria" w:cs="Arial"/>
          <w:color w:val="000000" w:themeColor="text1"/>
        </w:rPr>
      </w:pPr>
    </w:p>
    <w:p w:rsidR="002C74C8" w:rsidRPr="00235532" w:rsidRDefault="002C74C8" w:rsidP="002C74C8">
      <w:pPr>
        <w:ind w:right="-347"/>
        <w:jc w:val="both"/>
        <w:rPr>
          <w:rFonts w:ascii="Cambria" w:hAnsi="Cambria" w:cs="Arial"/>
          <w:color w:val="000000" w:themeColor="text1"/>
        </w:rPr>
      </w:pPr>
      <w:r w:rsidRPr="00235532">
        <w:rPr>
          <w:rFonts w:ascii="Cambria" w:hAnsi="Cambria" w:cs="Arial"/>
          <w:color w:val="000000" w:themeColor="text1"/>
        </w:rPr>
        <w:t>Government legislative reform that has sought to weaken human rights protections, includes:</w:t>
      </w:r>
    </w:p>
    <w:p w:rsidR="002C74C8" w:rsidRPr="00235532" w:rsidRDefault="002C74C8" w:rsidP="002C74C8">
      <w:pPr>
        <w:ind w:right="-347"/>
        <w:jc w:val="both"/>
        <w:rPr>
          <w:rFonts w:ascii="Cambria" w:hAnsi="Cambria" w:cs="Arial"/>
          <w:color w:val="000000" w:themeColor="text1"/>
        </w:rPr>
      </w:pPr>
    </w:p>
    <w:p w:rsidR="002C74C8" w:rsidRPr="00235532" w:rsidRDefault="002C74C8" w:rsidP="002C74C8">
      <w:pPr>
        <w:pStyle w:val="ListParagraph"/>
        <w:numPr>
          <w:ilvl w:val="0"/>
          <w:numId w:val="9"/>
        </w:numPr>
        <w:ind w:right="-347"/>
        <w:jc w:val="both"/>
        <w:rPr>
          <w:rFonts w:ascii="Cambria" w:hAnsi="Cambria" w:cs="Arial"/>
          <w:color w:val="000000" w:themeColor="text1"/>
        </w:rPr>
      </w:pPr>
      <w:r w:rsidRPr="00235532">
        <w:rPr>
          <w:rFonts w:ascii="Cambria" w:hAnsi="Cambria" w:cs="Arial"/>
          <w:color w:val="000000" w:themeColor="text1"/>
        </w:rPr>
        <w:t>Making protest unlawful when it would impede on business activity;</w:t>
      </w:r>
      <w:r w:rsidRPr="00235532">
        <w:rPr>
          <w:rStyle w:val="FootnoteReference"/>
          <w:rFonts w:ascii="Cambria" w:hAnsi="Cambria" w:cs="Arial"/>
          <w:color w:val="000000" w:themeColor="text1"/>
        </w:rPr>
        <w:footnoteReference w:id="11"/>
      </w:r>
      <w:r w:rsidRPr="00235532">
        <w:rPr>
          <w:rFonts w:ascii="Cambria" w:hAnsi="Cambria" w:cs="Arial"/>
          <w:color w:val="000000" w:themeColor="text1"/>
        </w:rPr>
        <w:t xml:space="preserve"> and</w:t>
      </w:r>
    </w:p>
    <w:p w:rsidR="002C74C8" w:rsidRPr="00235532" w:rsidRDefault="002C74C8" w:rsidP="002C74C8">
      <w:pPr>
        <w:ind w:right="-347"/>
        <w:jc w:val="both"/>
        <w:rPr>
          <w:rFonts w:ascii="Cambria" w:hAnsi="Cambria" w:cs="Arial"/>
          <w:color w:val="000000" w:themeColor="text1"/>
        </w:rPr>
      </w:pPr>
    </w:p>
    <w:p w:rsidR="002C74C8" w:rsidRPr="00235532" w:rsidRDefault="002C74C8" w:rsidP="002C74C8">
      <w:pPr>
        <w:pStyle w:val="ListParagraph"/>
        <w:numPr>
          <w:ilvl w:val="0"/>
          <w:numId w:val="9"/>
        </w:numPr>
        <w:ind w:right="-347"/>
        <w:jc w:val="both"/>
        <w:rPr>
          <w:rFonts w:ascii="Cambria" w:hAnsi="Cambria" w:cs="Arial"/>
          <w:color w:val="000000" w:themeColor="text1"/>
        </w:rPr>
      </w:pPr>
      <w:r w:rsidRPr="00235532">
        <w:rPr>
          <w:rFonts w:ascii="Cambria" w:hAnsi="Cambria" w:cs="Arial"/>
          <w:color w:val="000000" w:themeColor="text1"/>
        </w:rPr>
        <w:t>Mandatory sentencing.</w:t>
      </w:r>
      <w:r w:rsidRPr="00235532">
        <w:rPr>
          <w:rStyle w:val="FootnoteReference"/>
          <w:rFonts w:ascii="Cambria" w:hAnsi="Cambria" w:cs="Arial"/>
          <w:color w:val="000000" w:themeColor="text1"/>
        </w:rPr>
        <w:footnoteReference w:id="12"/>
      </w:r>
      <w:r w:rsidRPr="00235532">
        <w:rPr>
          <w:rFonts w:ascii="Cambria" w:hAnsi="Cambria" w:cs="Arial"/>
          <w:color w:val="000000" w:themeColor="text1"/>
        </w:rPr>
        <w:t xml:space="preserve"> </w:t>
      </w:r>
    </w:p>
    <w:p w:rsidR="002C74C8" w:rsidRPr="00235532" w:rsidRDefault="002C74C8" w:rsidP="002C74C8">
      <w:pPr>
        <w:ind w:right="-347"/>
        <w:jc w:val="both"/>
        <w:rPr>
          <w:rFonts w:ascii="Cambria" w:hAnsi="Cambria" w:cs="Arial"/>
          <w:color w:val="000000" w:themeColor="text1"/>
        </w:rPr>
      </w:pPr>
    </w:p>
    <w:p w:rsidR="00414CC2" w:rsidRPr="00235532" w:rsidRDefault="002C74C8" w:rsidP="00414CC2">
      <w:pPr>
        <w:ind w:right="-347"/>
        <w:jc w:val="both"/>
        <w:rPr>
          <w:rFonts w:ascii="Cambria" w:hAnsi="Cambria"/>
          <w:color w:val="000000" w:themeColor="text1"/>
        </w:rPr>
      </w:pPr>
      <w:r w:rsidRPr="00235532">
        <w:rPr>
          <w:rFonts w:ascii="Cambria" w:hAnsi="Cambria"/>
          <w:color w:val="000000" w:themeColor="text1"/>
        </w:rPr>
        <w:t xml:space="preserve">Our review of the Government’s legislative agenda demonstrates that the protection of human rights in Tasmania remains fragmented. We strongly concur with the TLRI’s </w:t>
      </w:r>
      <w:r w:rsidR="00414CC2" w:rsidRPr="00235532">
        <w:rPr>
          <w:rFonts w:ascii="Cambria" w:hAnsi="Cambria"/>
          <w:color w:val="000000" w:themeColor="text1"/>
        </w:rPr>
        <w:t xml:space="preserve">finding more than thirteen years ago that </w:t>
      </w:r>
      <w:r w:rsidRPr="00235532">
        <w:rPr>
          <w:rFonts w:ascii="Cambria" w:hAnsi="Cambria"/>
          <w:color w:val="000000" w:themeColor="text1"/>
        </w:rPr>
        <w:t>a Tasmanian Charter of Human Rights will</w:t>
      </w:r>
      <w:r w:rsidR="00414CC2" w:rsidRPr="00235532">
        <w:rPr>
          <w:rFonts w:ascii="Cambria" w:hAnsi="Cambria"/>
          <w:color w:val="000000" w:themeColor="text1"/>
        </w:rPr>
        <w:t xml:space="preserve"> “</w:t>
      </w:r>
      <w:r w:rsidR="00351D35" w:rsidRPr="00235532">
        <w:rPr>
          <w:rFonts w:ascii="Cambria" w:hAnsi="Cambria"/>
          <w:color w:val="000000" w:themeColor="text1"/>
        </w:rPr>
        <w:t>encourage the systematic development and observance across all arms of government of processes responsive to human rights</w:t>
      </w:r>
      <w:r w:rsidRPr="00235532">
        <w:rPr>
          <w:rFonts w:ascii="Cambria" w:hAnsi="Cambria"/>
          <w:color w:val="000000" w:themeColor="text1"/>
        </w:rPr>
        <w:t>”</w:t>
      </w:r>
      <w:r w:rsidR="00351D35" w:rsidRPr="00235532">
        <w:rPr>
          <w:rFonts w:ascii="Cambria" w:hAnsi="Cambria"/>
          <w:color w:val="000000" w:themeColor="text1"/>
        </w:rPr>
        <w:t>.</w:t>
      </w:r>
      <w:r w:rsidRPr="00235532">
        <w:rPr>
          <w:rStyle w:val="FootnoteReference"/>
          <w:rFonts w:ascii="Cambria" w:hAnsi="Cambria" w:cs="Arial"/>
          <w:color w:val="000000" w:themeColor="text1"/>
        </w:rPr>
        <w:footnoteReference w:id="13"/>
      </w:r>
    </w:p>
    <w:p w:rsidR="00414CC2" w:rsidRPr="00235532" w:rsidRDefault="00414CC2" w:rsidP="00414CC2">
      <w:pPr>
        <w:ind w:right="-347"/>
        <w:jc w:val="both"/>
        <w:rPr>
          <w:rFonts w:ascii="Cambria" w:hAnsi="Cambria"/>
          <w:color w:val="000000" w:themeColor="text1"/>
        </w:rPr>
      </w:pPr>
    </w:p>
    <w:p w:rsidR="007A5C39" w:rsidRPr="00235532" w:rsidRDefault="00414CC2" w:rsidP="007A5C39">
      <w:pPr>
        <w:ind w:right="-347"/>
        <w:jc w:val="both"/>
        <w:rPr>
          <w:rFonts w:ascii="Cambria" w:hAnsi="Cambria"/>
          <w:color w:val="000000" w:themeColor="text1"/>
        </w:rPr>
      </w:pPr>
      <w:r w:rsidRPr="00235532">
        <w:rPr>
          <w:rFonts w:ascii="Cambria" w:hAnsi="Cambria"/>
          <w:color w:val="000000" w:themeColor="text1"/>
        </w:rPr>
        <w:t xml:space="preserve">Indeed, this has been the outcome in the Australian Capital Territory and Victoria where </w:t>
      </w:r>
      <w:r w:rsidR="009F1CD7">
        <w:rPr>
          <w:rFonts w:ascii="Cambria" w:hAnsi="Cambria"/>
          <w:color w:val="000000" w:themeColor="text1"/>
        </w:rPr>
        <w:t xml:space="preserve">human rights instruments </w:t>
      </w:r>
      <w:r w:rsidRPr="00235532">
        <w:rPr>
          <w:rFonts w:ascii="Cambria" w:hAnsi="Cambria"/>
          <w:color w:val="000000" w:themeColor="text1"/>
        </w:rPr>
        <w:t xml:space="preserve">have been operational for more than a decade. </w:t>
      </w:r>
      <w:r w:rsidR="00DE2C54" w:rsidRPr="00235532">
        <w:rPr>
          <w:rFonts w:ascii="Cambria" w:hAnsi="Cambria"/>
          <w:color w:val="000000" w:themeColor="text1"/>
        </w:rPr>
        <w:t>A</w:t>
      </w:r>
      <w:r w:rsidRPr="00235532">
        <w:rPr>
          <w:rFonts w:ascii="Cambria" w:hAnsi="Cambria"/>
          <w:color w:val="000000" w:themeColor="text1"/>
        </w:rPr>
        <w:t xml:space="preserve"> review of the first five years of a Human Rights Act in the Australian Capital Territory </w:t>
      </w:r>
      <w:r w:rsidR="00DE2C54" w:rsidRPr="00235532">
        <w:rPr>
          <w:rFonts w:ascii="Cambria" w:hAnsi="Cambria"/>
          <w:color w:val="000000" w:themeColor="text1"/>
        </w:rPr>
        <w:t xml:space="preserve">for example </w:t>
      </w:r>
      <w:r w:rsidRPr="00235532">
        <w:rPr>
          <w:rFonts w:ascii="Cambria" w:hAnsi="Cambria"/>
          <w:color w:val="000000" w:themeColor="text1"/>
        </w:rPr>
        <w:t>concluded that:</w:t>
      </w:r>
      <w:r w:rsidRPr="00235532">
        <w:rPr>
          <w:rStyle w:val="FootnoteReference"/>
          <w:rFonts w:ascii="Cambria" w:hAnsi="Cambria"/>
          <w:color w:val="000000" w:themeColor="text1"/>
        </w:rPr>
        <w:footnoteReference w:id="14"/>
      </w:r>
    </w:p>
    <w:p w:rsidR="007A5C39" w:rsidRPr="00235532" w:rsidRDefault="007A5C39" w:rsidP="007A5C39">
      <w:pPr>
        <w:ind w:right="-347"/>
        <w:jc w:val="both"/>
        <w:rPr>
          <w:rFonts w:ascii="Cambria" w:hAnsi="Cambria"/>
          <w:color w:val="000000" w:themeColor="text1"/>
        </w:rPr>
      </w:pPr>
    </w:p>
    <w:p w:rsidR="007A5C39" w:rsidRPr="00235532" w:rsidRDefault="007A5C39" w:rsidP="007A5C39">
      <w:pPr>
        <w:ind w:left="720" w:right="-347"/>
        <w:jc w:val="both"/>
        <w:rPr>
          <w:rFonts w:ascii="Cambria" w:hAnsi="Cambria"/>
          <w:color w:val="000000" w:themeColor="text1"/>
        </w:rPr>
      </w:pPr>
      <w:r w:rsidRPr="00235532">
        <w:rPr>
          <w:rFonts w:ascii="Cambria" w:hAnsi="Cambria"/>
          <w:i/>
          <w:iCs/>
          <w:color w:val="000000" w:themeColor="text1"/>
        </w:rPr>
        <w:t>One of the clearest effects of the HRA has been to improve the quality of law‐making in the Territory, to ensure that human rights concerns are given due consideration in the framing of new legislation and policy. The development of new laws by the executive has been shaped by the requirement to issue a statement of compatibility for each new bill, and the approach of government has been influenced by a robust dialogue with the legislature, the Scrutiny Committee and the Human Rights Commissioner.</w:t>
      </w:r>
      <w:r w:rsidR="00A3684D" w:rsidRPr="00235532">
        <w:rPr>
          <w:rFonts w:ascii="Cambria" w:hAnsi="Cambria"/>
          <w:i/>
          <w:iCs/>
          <w:color w:val="000000" w:themeColor="text1"/>
        </w:rPr>
        <w:t xml:space="preserve"> </w:t>
      </w:r>
      <w:r w:rsidRPr="00235532">
        <w:rPr>
          <w:rFonts w:ascii="Cambria" w:hAnsi="Cambria"/>
          <w:i/>
          <w:iCs/>
          <w:color w:val="000000" w:themeColor="text1"/>
        </w:rPr>
        <w:t>These improved laws are likely to have tangible benefits over the longer term, particularly in the form of additional safeguards for vulnerable individuals in the community. </w:t>
      </w:r>
    </w:p>
    <w:p w:rsidR="007A5C39" w:rsidRPr="00235532" w:rsidRDefault="007A5C39" w:rsidP="007A5C39">
      <w:pPr>
        <w:ind w:left="720" w:right="-347"/>
        <w:jc w:val="both"/>
        <w:rPr>
          <w:rFonts w:ascii="Cambria" w:hAnsi="Cambria"/>
          <w:color w:val="000000" w:themeColor="text1"/>
        </w:rPr>
      </w:pPr>
    </w:p>
    <w:p w:rsidR="007A5C39" w:rsidRPr="00235532" w:rsidRDefault="007A5C39" w:rsidP="007A5C39">
      <w:pPr>
        <w:ind w:right="-347"/>
        <w:jc w:val="both"/>
        <w:rPr>
          <w:rFonts w:ascii="Cambria" w:hAnsi="Cambria"/>
          <w:color w:val="000000" w:themeColor="text1"/>
        </w:rPr>
      </w:pPr>
      <w:r w:rsidRPr="00235532">
        <w:rPr>
          <w:rFonts w:ascii="Cambria" w:hAnsi="Cambria"/>
          <w:color w:val="000000" w:themeColor="text1"/>
        </w:rPr>
        <w:lastRenderedPageBreak/>
        <w:t>Or</w:t>
      </w:r>
      <w:r w:rsidR="009F1CD7">
        <w:rPr>
          <w:rFonts w:ascii="Cambria" w:hAnsi="Cambria"/>
          <w:color w:val="000000" w:themeColor="text1"/>
        </w:rPr>
        <w:t>,</w:t>
      </w:r>
      <w:r w:rsidRPr="00235532">
        <w:rPr>
          <w:rFonts w:ascii="Cambria" w:hAnsi="Cambria"/>
          <w:color w:val="000000" w:themeColor="text1"/>
        </w:rPr>
        <w:t xml:space="preserve"> in 2015 a review of the first ten years of the Victorian </w:t>
      </w:r>
      <w:r w:rsidRPr="00235532">
        <w:rPr>
          <w:rFonts w:ascii="Cambria" w:hAnsi="Cambria"/>
          <w:i/>
          <w:iCs/>
          <w:color w:val="000000" w:themeColor="text1"/>
        </w:rPr>
        <w:t>Charter of Human Rights and Responsibilities 2006</w:t>
      </w:r>
      <w:r w:rsidRPr="00235532">
        <w:rPr>
          <w:rFonts w:ascii="Cambria" w:hAnsi="Cambria"/>
          <w:color w:val="000000" w:themeColor="text1"/>
        </w:rPr>
        <w:t xml:space="preserve"> observed:</w:t>
      </w:r>
      <w:r w:rsidRPr="00235532">
        <w:rPr>
          <w:rStyle w:val="FootnoteReference"/>
          <w:rFonts w:ascii="Cambria" w:hAnsi="Cambria"/>
          <w:color w:val="000000" w:themeColor="text1"/>
        </w:rPr>
        <w:footnoteReference w:id="15"/>
      </w:r>
    </w:p>
    <w:p w:rsidR="007A5C39" w:rsidRPr="00235532" w:rsidRDefault="007A5C39" w:rsidP="007A5C39">
      <w:pPr>
        <w:ind w:right="-347"/>
        <w:jc w:val="both"/>
        <w:rPr>
          <w:rFonts w:ascii="Cambria" w:hAnsi="Cambria"/>
          <w:color w:val="000000" w:themeColor="text1"/>
        </w:rPr>
      </w:pPr>
    </w:p>
    <w:p w:rsidR="007A5C39" w:rsidRPr="00235532" w:rsidRDefault="007A5C39" w:rsidP="007A5C39">
      <w:pPr>
        <w:ind w:left="720" w:right="-347"/>
        <w:jc w:val="both"/>
        <w:rPr>
          <w:rFonts w:ascii="Cambria" w:hAnsi="Cambria"/>
          <w:color w:val="000000" w:themeColor="text1"/>
        </w:rPr>
      </w:pPr>
      <w:r w:rsidRPr="00235532">
        <w:rPr>
          <w:rFonts w:ascii="Cambria" w:hAnsi="Cambria"/>
          <w:i/>
          <w:iCs/>
          <w:color w:val="000000" w:themeColor="text1"/>
        </w:rPr>
        <w:t xml:space="preserve">The introduction of the Charter has been a clear part of building a human rights culture in Victoria, particularly in the Victorian public sector. Over time, implementation of the Charter has helped to build a greater consideration of and adherence to human rights principles by the public sector, Parliament and the courts in key areas. </w:t>
      </w:r>
    </w:p>
    <w:p w:rsidR="007A5C39" w:rsidRPr="00235532" w:rsidRDefault="007A5C39" w:rsidP="007A5C39">
      <w:pPr>
        <w:ind w:left="720" w:right="-347"/>
        <w:jc w:val="both"/>
        <w:rPr>
          <w:rFonts w:ascii="Cambria" w:hAnsi="Cambria"/>
          <w:color w:val="000000" w:themeColor="text1"/>
        </w:rPr>
      </w:pPr>
    </w:p>
    <w:p w:rsidR="007A5C39" w:rsidRPr="00235532" w:rsidRDefault="007A5C39" w:rsidP="007A5C39">
      <w:pPr>
        <w:ind w:right="-347"/>
        <w:jc w:val="both"/>
        <w:rPr>
          <w:rFonts w:ascii="Cambria" w:hAnsi="Cambria"/>
          <w:color w:val="000000" w:themeColor="text1"/>
        </w:rPr>
      </w:pPr>
      <w:r w:rsidRPr="00235532">
        <w:rPr>
          <w:rFonts w:ascii="Cambria" w:hAnsi="Cambria"/>
          <w:color w:val="000000" w:themeColor="text1"/>
        </w:rPr>
        <w:t xml:space="preserve">Nevertheless, reviews of human rights legislation in the Australian Capital Territory and Victoria have found that reforms should be introduced to further strengthen human rights protection. </w:t>
      </w:r>
    </w:p>
    <w:p w:rsidR="008319EB" w:rsidRPr="00235532" w:rsidRDefault="008319EB" w:rsidP="00414CC2">
      <w:pPr>
        <w:jc w:val="both"/>
        <w:rPr>
          <w:rFonts w:ascii="Cambria" w:hAnsi="Cambria"/>
          <w:color w:val="000000" w:themeColor="text1"/>
        </w:rPr>
      </w:pPr>
    </w:p>
    <w:p w:rsidR="00414CC2" w:rsidRPr="00235532" w:rsidRDefault="00414CC2" w:rsidP="00414CC2">
      <w:pPr>
        <w:ind w:right="-347"/>
        <w:jc w:val="both"/>
        <w:rPr>
          <w:rFonts w:ascii="Cambria" w:hAnsi="Cambria" w:cs="Arial"/>
          <w:b/>
          <w:bCs/>
          <w:color w:val="000000" w:themeColor="text1"/>
        </w:rPr>
      </w:pPr>
      <w:r w:rsidRPr="00235532">
        <w:rPr>
          <w:rFonts w:ascii="Cambria" w:hAnsi="Cambria" w:cs="Arial"/>
          <w:b/>
          <w:bCs/>
          <w:color w:val="000000" w:themeColor="text1"/>
        </w:rPr>
        <w:t>Public Authorities</w:t>
      </w:r>
    </w:p>
    <w:p w:rsidR="00EE40F8" w:rsidRPr="00235532" w:rsidRDefault="00BA000D" w:rsidP="00EE40F8">
      <w:pPr>
        <w:ind w:right="-347"/>
        <w:jc w:val="both"/>
        <w:rPr>
          <w:rFonts w:ascii="Cambria" w:hAnsi="Cambria"/>
          <w:color w:val="000000" w:themeColor="text1"/>
        </w:rPr>
      </w:pPr>
      <w:r w:rsidRPr="00235532">
        <w:rPr>
          <w:rFonts w:ascii="Cambria" w:hAnsi="Cambria"/>
          <w:color w:val="000000" w:themeColor="text1"/>
        </w:rPr>
        <w:t>In 2007 the TLRI recommended that the introduction of a Charter of Rights should</w:t>
      </w:r>
      <w:r w:rsidR="00BD5E47" w:rsidRPr="00235532">
        <w:rPr>
          <w:rFonts w:ascii="Cambria" w:hAnsi="Cambria"/>
          <w:color w:val="000000" w:themeColor="text1"/>
        </w:rPr>
        <w:t xml:space="preserve"> </w:t>
      </w:r>
      <w:r w:rsidRPr="00235532">
        <w:rPr>
          <w:rFonts w:ascii="Cambria" w:hAnsi="Cambria"/>
          <w:color w:val="000000" w:themeColor="text1"/>
        </w:rPr>
        <w:t>bind public authorities</w:t>
      </w:r>
      <w:r w:rsidR="00A63B15" w:rsidRPr="00235532">
        <w:rPr>
          <w:rFonts w:ascii="Cambria" w:hAnsi="Cambria"/>
          <w:color w:val="000000" w:themeColor="text1"/>
        </w:rPr>
        <w:t xml:space="preserve"> </w:t>
      </w:r>
      <w:r w:rsidRPr="00235532">
        <w:rPr>
          <w:rFonts w:ascii="Cambria" w:hAnsi="Cambria"/>
          <w:color w:val="000000" w:themeColor="text1"/>
        </w:rPr>
        <w:t xml:space="preserve">and make it unlawful for </w:t>
      </w:r>
      <w:r w:rsidR="00A63B15" w:rsidRPr="00235532">
        <w:rPr>
          <w:rFonts w:ascii="Cambria" w:hAnsi="Cambria"/>
          <w:color w:val="000000" w:themeColor="text1"/>
        </w:rPr>
        <w:t>them</w:t>
      </w:r>
      <w:r w:rsidRPr="00235532">
        <w:rPr>
          <w:rFonts w:ascii="Cambria" w:hAnsi="Cambria"/>
          <w:color w:val="000000" w:themeColor="text1"/>
        </w:rPr>
        <w:t xml:space="preserve"> to act in a way or make decisions that </w:t>
      </w:r>
      <w:r w:rsidR="00A63B15" w:rsidRPr="00235532">
        <w:rPr>
          <w:rFonts w:ascii="Cambria" w:hAnsi="Cambria"/>
          <w:color w:val="000000" w:themeColor="text1"/>
        </w:rPr>
        <w:t xml:space="preserve">were </w:t>
      </w:r>
      <w:r w:rsidRPr="00235532">
        <w:rPr>
          <w:rFonts w:ascii="Cambria" w:hAnsi="Cambria"/>
          <w:color w:val="000000" w:themeColor="text1"/>
        </w:rPr>
        <w:t>not compliant with the Act.</w:t>
      </w:r>
      <w:r w:rsidRPr="00235532">
        <w:rPr>
          <w:rStyle w:val="FootnoteReference"/>
          <w:rFonts w:ascii="Cambria" w:hAnsi="Cambria"/>
          <w:color w:val="000000" w:themeColor="text1"/>
        </w:rPr>
        <w:footnoteReference w:id="16"/>
      </w:r>
      <w:r w:rsidR="00BD5E47" w:rsidRPr="00235532">
        <w:rPr>
          <w:rFonts w:ascii="Cambria" w:hAnsi="Cambria"/>
          <w:color w:val="000000" w:themeColor="text1"/>
        </w:rPr>
        <w:t xml:space="preserve"> </w:t>
      </w:r>
      <w:r w:rsidR="00DB12BE" w:rsidRPr="00235532">
        <w:rPr>
          <w:rFonts w:ascii="Cambria" w:hAnsi="Cambria"/>
          <w:color w:val="000000" w:themeColor="text1"/>
        </w:rPr>
        <w:t>P</w:t>
      </w:r>
      <w:r w:rsidR="00A63B15" w:rsidRPr="00235532">
        <w:rPr>
          <w:rFonts w:ascii="Cambria" w:hAnsi="Cambria"/>
          <w:color w:val="000000" w:themeColor="text1"/>
        </w:rPr>
        <w:t xml:space="preserve">ublic authorities covered by the Charter of Rights would include entities such as public hospitals, government departments and State owned businesses. The TLRI also recommended that entities that have functions of a public nature and are exercising those functions on behalf of the State or a public authority should also </w:t>
      </w:r>
      <w:r w:rsidR="00EE40F8" w:rsidRPr="00235532">
        <w:rPr>
          <w:rFonts w:ascii="Cambria" w:hAnsi="Cambria"/>
          <w:color w:val="000000" w:themeColor="text1"/>
        </w:rPr>
        <w:t>be included</w:t>
      </w:r>
      <w:r w:rsidR="00A63B15" w:rsidRPr="00235532">
        <w:rPr>
          <w:rFonts w:ascii="Cambria" w:hAnsi="Cambria"/>
          <w:color w:val="000000" w:themeColor="text1"/>
        </w:rPr>
        <w:t>.</w:t>
      </w:r>
      <w:r w:rsidR="00EE40F8" w:rsidRPr="00235532">
        <w:rPr>
          <w:rFonts w:ascii="Cambria" w:hAnsi="Cambria"/>
          <w:color w:val="000000" w:themeColor="text1"/>
        </w:rPr>
        <w:t xml:space="preserve"> The rationale </w:t>
      </w:r>
      <w:r w:rsidR="00DB12BE" w:rsidRPr="00235532">
        <w:rPr>
          <w:rFonts w:ascii="Cambria" w:hAnsi="Cambria"/>
          <w:color w:val="000000" w:themeColor="text1"/>
        </w:rPr>
        <w:t>for</w:t>
      </w:r>
      <w:r w:rsidR="00EE40F8" w:rsidRPr="00235532">
        <w:rPr>
          <w:rFonts w:ascii="Cambria" w:hAnsi="Cambria"/>
          <w:color w:val="000000" w:themeColor="text1"/>
        </w:rPr>
        <w:t xml:space="preserve"> including </w:t>
      </w:r>
      <w:r w:rsidR="00DB12BE" w:rsidRPr="00235532">
        <w:rPr>
          <w:rFonts w:ascii="Cambria" w:hAnsi="Cambria"/>
          <w:color w:val="000000" w:themeColor="text1"/>
        </w:rPr>
        <w:t xml:space="preserve">these </w:t>
      </w:r>
      <w:r w:rsidR="00EE40F8" w:rsidRPr="00235532">
        <w:rPr>
          <w:rFonts w:ascii="Cambria" w:hAnsi="Cambria"/>
          <w:color w:val="000000" w:themeColor="text1"/>
        </w:rPr>
        <w:t>entities</w:t>
      </w:r>
      <w:r w:rsidR="00DB12BE" w:rsidRPr="00235532">
        <w:rPr>
          <w:rFonts w:ascii="Cambria" w:hAnsi="Cambria"/>
          <w:color w:val="000000" w:themeColor="text1"/>
        </w:rPr>
        <w:t xml:space="preserve"> </w:t>
      </w:r>
      <w:r w:rsidR="00EE40F8" w:rsidRPr="00235532">
        <w:rPr>
          <w:rFonts w:ascii="Cambria" w:hAnsi="Cambria"/>
          <w:color w:val="000000" w:themeColor="text1"/>
        </w:rPr>
        <w:t xml:space="preserve">was </w:t>
      </w:r>
      <w:r w:rsidR="00DB12BE" w:rsidRPr="00235532">
        <w:rPr>
          <w:rFonts w:ascii="Cambria" w:hAnsi="Cambria"/>
          <w:color w:val="000000" w:themeColor="text1"/>
        </w:rPr>
        <w:t>noted</w:t>
      </w:r>
      <w:r w:rsidR="00EE40F8" w:rsidRPr="00235532">
        <w:rPr>
          <w:rFonts w:ascii="Cambria" w:hAnsi="Cambria"/>
          <w:color w:val="000000" w:themeColor="text1"/>
        </w:rPr>
        <w:t xml:space="preserve"> in the Victorian case of </w:t>
      </w:r>
      <w:r w:rsidR="00EE40F8" w:rsidRPr="00235532">
        <w:rPr>
          <w:rFonts w:ascii="Cambria" w:hAnsi="Cambria"/>
          <w:i/>
          <w:iCs/>
          <w:color w:val="000000" w:themeColor="text1"/>
        </w:rPr>
        <w:t xml:space="preserve">Metro West v </w:t>
      </w:r>
      <w:proofErr w:type="spellStart"/>
      <w:r w:rsidR="00EE40F8" w:rsidRPr="00235532">
        <w:rPr>
          <w:rFonts w:ascii="Cambria" w:hAnsi="Cambria"/>
          <w:i/>
          <w:iCs/>
          <w:color w:val="000000" w:themeColor="text1"/>
        </w:rPr>
        <w:t>Sudi</w:t>
      </w:r>
      <w:proofErr w:type="spellEnd"/>
      <w:r w:rsidR="00EE40F8" w:rsidRPr="00235532">
        <w:rPr>
          <w:rFonts w:ascii="Cambria" w:hAnsi="Cambria"/>
          <w:color w:val="000000" w:themeColor="text1"/>
        </w:rPr>
        <w:t>, where Justice Bell noted</w:t>
      </w:r>
      <w:r w:rsidR="00DB12BE" w:rsidRPr="00235532">
        <w:rPr>
          <w:rFonts w:ascii="Cambria" w:hAnsi="Cambria"/>
          <w:color w:val="000000" w:themeColor="text1"/>
        </w:rPr>
        <w:t xml:space="preserve"> about a similar provision in the Victorian </w:t>
      </w:r>
      <w:r w:rsidR="00DB12BE" w:rsidRPr="00235532">
        <w:rPr>
          <w:rFonts w:ascii="Cambria" w:hAnsi="Cambria"/>
          <w:i/>
          <w:iCs/>
          <w:color w:val="000000" w:themeColor="text1"/>
        </w:rPr>
        <w:t>Charter of Human Rights and Responsibilities</w:t>
      </w:r>
      <w:r w:rsidR="00EE40F8" w:rsidRPr="00235532">
        <w:rPr>
          <w:rFonts w:ascii="Cambria" w:hAnsi="Cambria"/>
          <w:color w:val="000000" w:themeColor="text1"/>
        </w:rPr>
        <w:t>:</w:t>
      </w:r>
      <w:r w:rsidR="00EE40F8" w:rsidRPr="00235532">
        <w:rPr>
          <w:rStyle w:val="FootnoteReference"/>
          <w:rFonts w:ascii="Cambria" w:hAnsi="Cambria"/>
          <w:color w:val="000000" w:themeColor="text1"/>
        </w:rPr>
        <w:footnoteReference w:id="17"/>
      </w:r>
      <w:r w:rsidR="00EE40F8" w:rsidRPr="00235532">
        <w:rPr>
          <w:rFonts w:ascii="Cambria" w:hAnsi="Cambria"/>
          <w:color w:val="000000" w:themeColor="text1"/>
        </w:rPr>
        <w:t xml:space="preserve"> </w:t>
      </w:r>
    </w:p>
    <w:p w:rsidR="00EE40F8" w:rsidRPr="00235532" w:rsidRDefault="00EE40F8" w:rsidP="00EE40F8">
      <w:pPr>
        <w:ind w:right="-347"/>
        <w:jc w:val="both"/>
        <w:rPr>
          <w:rFonts w:ascii="Cambria" w:hAnsi="Cambria"/>
          <w:color w:val="000000" w:themeColor="text1"/>
        </w:rPr>
      </w:pPr>
    </w:p>
    <w:p w:rsidR="00EE40F8" w:rsidRPr="00235532" w:rsidRDefault="00EE40F8" w:rsidP="00EE40F8">
      <w:pPr>
        <w:ind w:left="720" w:right="-347"/>
        <w:jc w:val="both"/>
        <w:rPr>
          <w:rFonts w:ascii="Cambria" w:hAnsi="Cambria"/>
          <w:i/>
          <w:iCs/>
          <w:color w:val="000000" w:themeColor="text1"/>
        </w:rPr>
      </w:pPr>
      <w:r w:rsidRPr="00235532">
        <w:rPr>
          <w:rFonts w:ascii="Cambria" w:hAnsi="Cambria"/>
          <w:i/>
          <w:iCs/>
          <w:color w:val="000000" w:themeColor="text1"/>
          <w:spacing w:val="-3"/>
          <w:shd w:val="clear" w:color="auto" w:fill="FFFFFF"/>
        </w:rPr>
        <w:t>The state cannot shirk its human rights responsibilities by implementing its programs and policies through private entities acting on its behalf.  Where private entities exercise public functions of a public nature on behalf of the State or a public authority, the functions come with unavoidable human rights responsibilities for the entity itself.</w:t>
      </w:r>
    </w:p>
    <w:p w:rsidR="00EE40F8" w:rsidRPr="00235532" w:rsidRDefault="00EE40F8" w:rsidP="00414CC2">
      <w:pPr>
        <w:ind w:right="-347"/>
        <w:jc w:val="both"/>
        <w:rPr>
          <w:rFonts w:ascii="Cambria" w:hAnsi="Cambria"/>
          <w:color w:val="000000" w:themeColor="text1"/>
        </w:rPr>
      </w:pPr>
    </w:p>
    <w:p w:rsidR="00DB12BE" w:rsidRPr="00235532" w:rsidRDefault="00BA000D" w:rsidP="00DB12BE">
      <w:pPr>
        <w:ind w:right="-347"/>
        <w:jc w:val="both"/>
        <w:rPr>
          <w:rFonts w:ascii="Cambria" w:hAnsi="Cambria"/>
          <w:color w:val="000000" w:themeColor="text1"/>
        </w:rPr>
      </w:pPr>
      <w:r w:rsidRPr="00235532">
        <w:rPr>
          <w:rFonts w:ascii="Cambria" w:hAnsi="Cambria"/>
          <w:color w:val="000000" w:themeColor="text1"/>
        </w:rPr>
        <w:t>The TLRI further recommended “that in prescribed reviews of the Charter, the issue of who should be bound by the Charter should be revisited and consideration given to extending its application to private bodies and individuals”.</w:t>
      </w:r>
      <w:r w:rsidRPr="00235532">
        <w:rPr>
          <w:rStyle w:val="FootnoteReference"/>
          <w:rFonts w:ascii="Cambria" w:hAnsi="Cambria"/>
          <w:color w:val="000000" w:themeColor="text1"/>
        </w:rPr>
        <w:footnoteReference w:id="18"/>
      </w:r>
      <w:r w:rsidR="00DB12BE" w:rsidRPr="00235532">
        <w:rPr>
          <w:rFonts w:ascii="Cambria" w:hAnsi="Cambria"/>
          <w:color w:val="000000" w:themeColor="text1"/>
        </w:rPr>
        <w:t xml:space="preserve"> Given that a Charter of Rights has not been introduced in Tasmania, we believe reforms introduced in the Australian Capital Territory and Victoria should be considered as part of this TLRI review.  </w:t>
      </w:r>
    </w:p>
    <w:p w:rsidR="00DB12BE" w:rsidRPr="00235532" w:rsidRDefault="00DB12BE" w:rsidP="00DB12BE">
      <w:pPr>
        <w:ind w:right="-347"/>
        <w:jc w:val="both"/>
        <w:rPr>
          <w:rFonts w:ascii="Cambria" w:hAnsi="Cambria"/>
          <w:color w:val="000000" w:themeColor="text1"/>
        </w:rPr>
      </w:pPr>
    </w:p>
    <w:p w:rsidR="00DE2C54" w:rsidRPr="00235532" w:rsidRDefault="00DE2C54" w:rsidP="00DE2C54">
      <w:pPr>
        <w:pStyle w:val="ListParagraph"/>
        <w:numPr>
          <w:ilvl w:val="0"/>
          <w:numId w:val="25"/>
        </w:numPr>
        <w:ind w:right="-347"/>
        <w:jc w:val="both"/>
        <w:rPr>
          <w:rFonts w:ascii="Cambria" w:hAnsi="Cambria"/>
          <w:b/>
          <w:bCs/>
          <w:i/>
          <w:iCs/>
          <w:color w:val="000000" w:themeColor="text1"/>
        </w:rPr>
      </w:pPr>
      <w:r w:rsidRPr="00235532">
        <w:rPr>
          <w:rFonts w:ascii="Cambria" w:hAnsi="Cambria"/>
          <w:b/>
          <w:bCs/>
          <w:i/>
          <w:iCs/>
          <w:color w:val="000000" w:themeColor="text1"/>
        </w:rPr>
        <w:t>Functions of a Public Nature</w:t>
      </w:r>
    </w:p>
    <w:p w:rsidR="00DB12BE" w:rsidRPr="00235532" w:rsidRDefault="00DB12BE" w:rsidP="00DB12BE">
      <w:pPr>
        <w:ind w:right="-347"/>
        <w:jc w:val="both"/>
        <w:rPr>
          <w:rFonts w:ascii="Cambria" w:hAnsi="Cambria"/>
          <w:color w:val="000000" w:themeColor="text1"/>
        </w:rPr>
      </w:pPr>
      <w:r w:rsidRPr="00235532">
        <w:rPr>
          <w:rFonts w:ascii="Cambria" w:hAnsi="Cambria"/>
          <w:color w:val="000000" w:themeColor="text1"/>
        </w:rPr>
        <w:t xml:space="preserve">Like the Australian Capital Territory, the TLRI recommended that a non-exhaustive list of functions considered to be of a public nature should be included in the Charter of Rights. The TLRI went on to list the entities that it believed should be included: </w:t>
      </w:r>
    </w:p>
    <w:p w:rsidR="00DB12BE" w:rsidRPr="00235532" w:rsidRDefault="00DB12BE" w:rsidP="00DB12BE">
      <w:pPr>
        <w:ind w:right="-347"/>
        <w:jc w:val="both"/>
        <w:rPr>
          <w:rFonts w:ascii="Cambria" w:hAnsi="Cambria"/>
          <w:color w:val="000000" w:themeColor="text1"/>
        </w:rPr>
      </w:pPr>
    </w:p>
    <w:p w:rsidR="00DB12BE" w:rsidRPr="00235532" w:rsidRDefault="00DB12BE" w:rsidP="00DB12BE">
      <w:pPr>
        <w:pStyle w:val="ListParagraph"/>
        <w:numPr>
          <w:ilvl w:val="0"/>
          <w:numId w:val="13"/>
        </w:numPr>
        <w:rPr>
          <w:rFonts w:ascii="Cambria" w:hAnsi="Cambria"/>
          <w:color w:val="000000" w:themeColor="text1"/>
        </w:rPr>
      </w:pPr>
      <w:r w:rsidRPr="00235532">
        <w:rPr>
          <w:rFonts w:ascii="Cambria" w:hAnsi="Cambria"/>
          <w:color w:val="000000" w:themeColor="text1"/>
        </w:rPr>
        <w:t xml:space="preserve">the operation of detention/correctional facilities; </w:t>
      </w:r>
    </w:p>
    <w:p w:rsidR="00DB12BE" w:rsidRPr="00235532" w:rsidRDefault="00DB12BE" w:rsidP="00DB12BE">
      <w:pPr>
        <w:pStyle w:val="ListParagraph"/>
        <w:numPr>
          <w:ilvl w:val="0"/>
          <w:numId w:val="13"/>
        </w:numPr>
        <w:rPr>
          <w:rFonts w:ascii="Cambria" w:hAnsi="Cambria"/>
          <w:color w:val="000000" w:themeColor="text1"/>
        </w:rPr>
      </w:pPr>
      <w:r w:rsidRPr="00235532">
        <w:rPr>
          <w:rFonts w:ascii="Cambria" w:hAnsi="Cambria"/>
          <w:color w:val="000000" w:themeColor="text1"/>
        </w:rPr>
        <w:lastRenderedPageBreak/>
        <w:t xml:space="preserve">provision of essential services, (gas, electricity, water); </w:t>
      </w:r>
    </w:p>
    <w:p w:rsidR="00DB12BE" w:rsidRPr="00235532" w:rsidRDefault="00DB12BE" w:rsidP="00DB12BE">
      <w:pPr>
        <w:pStyle w:val="ListParagraph"/>
        <w:numPr>
          <w:ilvl w:val="0"/>
          <w:numId w:val="13"/>
        </w:numPr>
        <w:rPr>
          <w:rFonts w:ascii="Cambria" w:hAnsi="Cambria"/>
          <w:color w:val="000000" w:themeColor="text1"/>
        </w:rPr>
      </w:pPr>
      <w:r w:rsidRPr="00235532">
        <w:rPr>
          <w:rFonts w:ascii="Cambria" w:hAnsi="Cambria"/>
          <w:color w:val="000000" w:themeColor="text1"/>
        </w:rPr>
        <w:t xml:space="preserve">provision of emergency services; </w:t>
      </w:r>
    </w:p>
    <w:p w:rsidR="00DB12BE" w:rsidRPr="00235532" w:rsidRDefault="00DB12BE" w:rsidP="00DB12BE">
      <w:pPr>
        <w:pStyle w:val="ListParagraph"/>
        <w:numPr>
          <w:ilvl w:val="0"/>
          <w:numId w:val="13"/>
        </w:numPr>
        <w:rPr>
          <w:rFonts w:ascii="Cambria" w:hAnsi="Cambria"/>
          <w:color w:val="000000" w:themeColor="text1"/>
        </w:rPr>
      </w:pPr>
      <w:r w:rsidRPr="00235532">
        <w:rPr>
          <w:rFonts w:ascii="Cambria" w:hAnsi="Cambria"/>
          <w:color w:val="000000" w:themeColor="text1"/>
        </w:rPr>
        <w:t>provision of government</w:t>
      </w:r>
      <w:r w:rsidR="00A73B42" w:rsidRPr="00235532">
        <w:rPr>
          <w:rFonts w:ascii="Cambria" w:hAnsi="Cambria"/>
          <w:color w:val="000000" w:themeColor="text1"/>
        </w:rPr>
        <w:t>-</w:t>
      </w:r>
      <w:r w:rsidRPr="00235532">
        <w:rPr>
          <w:rFonts w:ascii="Cambria" w:hAnsi="Cambria"/>
          <w:color w:val="000000" w:themeColor="text1"/>
        </w:rPr>
        <w:t xml:space="preserve">controlled health care or medical services; </w:t>
      </w:r>
    </w:p>
    <w:p w:rsidR="00DB12BE" w:rsidRPr="00235532" w:rsidRDefault="00DB12BE" w:rsidP="00DB12BE">
      <w:pPr>
        <w:pStyle w:val="ListParagraph"/>
        <w:numPr>
          <w:ilvl w:val="0"/>
          <w:numId w:val="13"/>
        </w:numPr>
        <w:rPr>
          <w:rFonts w:ascii="Cambria" w:hAnsi="Cambria"/>
          <w:color w:val="000000" w:themeColor="text1"/>
        </w:rPr>
      </w:pPr>
      <w:r w:rsidRPr="00235532">
        <w:rPr>
          <w:rFonts w:ascii="Cambria" w:hAnsi="Cambria"/>
          <w:color w:val="000000" w:themeColor="text1"/>
        </w:rPr>
        <w:t xml:space="preserve">provision of government educational services; </w:t>
      </w:r>
    </w:p>
    <w:p w:rsidR="00A73B42" w:rsidRPr="00235532" w:rsidRDefault="00DB12BE" w:rsidP="00DB12BE">
      <w:pPr>
        <w:pStyle w:val="ListParagraph"/>
        <w:numPr>
          <w:ilvl w:val="0"/>
          <w:numId w:val="13"/>
        </w:numPr>
        <w:rPr>
          <w:rFonts w:ascii="Cambria" w:hAnsi="Cambria"/>
          <w:color w:val="000000" w:themeColor="text1"/>
        </w:rPr>
      </w:pPr>
      <w:r w:rsidRPr="00235532">
        <w:rPr>
          <w:rFonts w:ascii="Cambria" w:hAnsi="Cambria"/>
          <w:color w:val="000000" w:themeColor="text1"/>
        </w:rPr>
        <w:t>provision of public transport and</w:t>
      </w:r>
      <w:r w:rsidR="00A73B42" w:rsidRPr="00235532">
        <w:rPr>
          <w:rFonts w:ascii="Cambria" w:hAnsi="Cambria"/>
          <w:color w:val="000000" w:themeColor="text1"/>
        </w:rPr>
        <w:t>;</w:t>
      </w:r>
      <w:r w:rsidRPr="00235532">
        <w:rPr>
          <w:rFonts w:ascii="Cambria" w:hAnsi="Cambria"/>
          <w:color w:val="000000" w:themeColor="text1"/>
        </w:rPr>
        <w:t xml:space="preserve"> </w:t>
      </w:r>
    </w:p>
    <w:p w:rsidR="00DB12BE" w:rsidRPr="00235532" w:rsidRDefault="00DB12BE" w:rsidP="00DB12BE">
      <w:pPr>
        <w:pStyle w:val="ListParagraph"/>
        <w:numPr>
          <w:ilvl w:val="0"/>
          <w:numId w:val="13"/>
        </w:numPr>
        <w:rPr>
          <w:rFonts w:ascii="Cambria" w:hAnsi="Cambria"/>
          <w:color w:val="000000" w:themeColor="text1"/>
        </w:rPr>
      </w:pPr>
      <w:r w:rsidRPr="00235532">
        <w:rPr>
          <w:rFonts w:ascii="Cambria" w:hAnsi="Cambria"/>
          <w:color w:val="000000" w:themeColor="text1"/>
        </w:rPr>
        <w:t>provision of public housing.</w:t>
      </w:r>
    </w:p>
    <w:p w:rsidR="00DB12BE" w:rsidRPr="00235532" w:rsidRDefault="00DB12BE" w:rsidP="00DB12BE">
      <w:pPr>
        <w:ind w:right="-347"/>
        <w:jc w:val="both"/>
        <w:rPr>
          <w:rFonts w:ascii="Cambria" w:hAnsi="Cambria"/>
          <w:color w:val="000000" w:themeColor="text1"/>
        </w:rPr>
      </w:pPr>
    </w:p>
    <w:p w:rsidR="00DE2C54" w:rsidRPr="00235532" w:rsidRDefault="00DB12BE" w:rsidP="00CA2241">
      <w:pPr>
        <w:ind w:right="-347"/>
        <w:jc w:val="both"/>
        <w:rPr>
          <w:rFonts w:ascii="Cambria" w:hAnsi="Cambria"/>
          <w:color w:val="000000" w:themeColor="text1"/>
        </w:rPr>
      </w:pPr>
      <w:r w:rsidRPr="00235532">
        <w:rPr>
          <w:rFonts w:ascii="Cambria" w:hAnsi="Cambria"/>
          <w:color w:val="000000" w:themeColor="text1"/>
        </w:rPr>
        <w:t xml:space="preserve">Victoria on the other hand did not include a list of entitles in its Charter, and the lack of clarity has proven to be a source of frustration as a number of organisations argued in submissions to the 2015 </w:t>
      </w:r>
      <w:r w:rsidRPr="00235532">
        <w:rPr>
          <w:rFonts w:ascii="Cambria" w:hAnsi="Cambria"/>
          <w:i/>
          <w:iCs/>
          <w:color w:val="000000" w:themeColor="text1"/>
        </w:rPr>
        <w:t>Review of the Charter of Human Rights and Responsibilities</w:t>
      </w:r>
      <w:r w:rsidRPr="00235532">
        <w:rPr>
          <w:rFonts w:ascii="Cambria" w:hAnsi="Cambria"/>
          <w:color w:val="000000" w:themeColor="text1"/>
        </w:rPr>
        <w:t>. In particular, concerns were raised that the lack of clarity has made it more difficult for individuals to raise</w:t>
      </w:r>
      <w:r w:rsidR="00DE2C54" w:rsidRPr="00235532">
        <w:rPr>
          <w:rFonts w:ascii="Cambria" w:hAnsi="Cambria"/>
          <w:color w:val="000000" w:themeColor="text1"/>
        </w:rPr>
        <w:t xml:space="preserve"> </w:t>
      </w:r>
      <w:r w:rsidRPr="00235532">
        <w:rPr>
          <w:rFonts w:ascii="Cambria" w:hAnsi="Cambria"/>
          <w:color w:val="000000" w:themeColor="text1"/>
        </w:rPr>
        <w:t xml:space="preserve">human rights </w:t>
      </w:r>
      <w:r w:rsidR="00DE2C54" w:rsidRPr="00235532">
        <w:rPr>
          <w:rFonts w:ascii="Cambria" w:hAnsi="Cambria"/>
          <w:color w:val="000000" w:themeColor="text1"/>
        </w:rPr>
        <w:t xml:space="preserve">breaches </w:t>
      </w:r>
      <w:r w:rsidRPr="00235532">
        <w:rPr>
          <w:rFonts w:ascii="Cambria" w:hAnsi="Cambria"/>
          <w:color w:val="000000" w:themeColor="text1"/>
        </w:rPr>
        <w:t>because they do not know if the entity is bound by the Charter and that some public authorities have been shielded from complying with their human rights obligations.</w:t>
      </w:r>
      <w:r w:rsidRPr="00235532">
        <w:rPr>
          <w:rStyle w:val="FootnoteReference"/>
          <w:rFonts w:ascii="Cambria" w:hAnsi="Cambria"/>
          <w:color w:val="000000" w:themeColor="text1"/>
        </w:rPr>
        <w:footnoteReference w:id="19"/>
      </w:r>
      <w:r w:rsidRPr="00235532">
        <w:rPr>
          <w:rFonts w:ascii="Cambria" w:hAnsi="Cambria"/>
          <w:color w:val="000000" w:themeColor="text1"/>
        </w:rPr>
        <w:t xml:space="preserve"> As a result, </w:t>
      </w:r>
      <w:r w:rsidR="00A73B42" w:rsidRPr="00235532">
        <w:rPr>
          <w:rFonts w:ascii="Cambria" w:hAnsi="Cambria"/>
          <w:color w:val="000000" w:themeColor="text1"/>
        </w:rPr>
        <w:t xml:space="preserve">the </w:t>
      </w:r>
      <w:r w:rsidRPr="00235532">
        <w:rPr>
          <w:rFonts w:ascii="Cambria" w:hAnsi="Cambria"/>
          <w:color w:val="000000" w:themeColor="text1"/>
        </w:rPr>
        <w:t>Victoria</w:t>
      </w:r>
      <w:r w:rsidR="00A73B42" w:rsidRPr="00235532">
        <w:rPr>
          <w:rFonts w:ascii="Cambria" w:hAnsi="Cambria"/>
          <w:color w:val="000000" w:themeColor="text1"/>
        </w:rPr>
        <w:t>n review recommended the provision of a non-exhaustive list of functions of a public nature</w:t>
      </w:r>
      <w:r w:rsidR="00DE2C54" w:rsidRPr="00235532">
        <w:rPr>
          <w:rFonts w:ascii="Cambria" w:hAnsi="Cambria"/>
          <w:color w:val="000000" w:themeColor="text1"/>
        </w:rPr>
        <w:t xml:space="preserve"> as has been enacted in the Australian Capital Territory and previously recommended </w:t>
      </w:r>
      <w:r w:rsidR="009F1CD7">
        <w:rPr>
          <w:rFonts w:ascii="Cambria" w:hAnsi="Cambria"/>
          <w:color w:val="000000" w:themeColor="text1"/>
        </w:rPr>
        <w:t xml:space="preserve">by the TLRI in its proposed </w:t>
      </w:r>
      <w:r w:rsidR="00DE2C54" w:rsidRPr="00235532">
        <w:rPr>
          <w:rFonts w:ascii="Cambria" w:hAnsi="Cambria"/>
          <w:color w:val="000000" w:themeColor="text1"/>
        </w:rPr>
        <w:t>Tasmanian Charter of Rights</w:t>
      </w:r>
      <w:r w:rsidR="00A73B42" w:rsidRPr="00235532">
        <w:rPr>
          <w:rFonts w:ascii="Cambria" w:hAnsi="Cambria"/>
          <w:color w:val="000000" w:themeColor="text1"/>
        </w:rPr>
        <w:t>.</w:t>
      </w:r>
      <w:r w:rsidR="00A73B42" w:rsidRPr="00235532">
        <w:rPr>
          <w:rStyle w:val="FootnoteReference"/>
          <w:rFonts w:ascii="Cambria" w:hAnsi="Cambria"/>
          <w:color w:val="000000" w:themeColor="text1"/>
        </w:rPr>
        <w:footnoteReference w:id="20"/>
      </w:r>
      <w:r w:rsidRPr="00235532">
        <w:rPr>
          <w:rFonts w:ascii="Cambria" w:hAnsi="Cambria"/>
          <w:color w:val="000000" w:themeColor="text1"/>
        </w:rPr>
        <w:t xml:space="preserve">   </w:t>
      </w:r>
    </w:p>
    <w:p w:rsidR="00235532" w:rsidRPr="00235532" w:rsidRDefault="00235532" w:rsidP="00CA2241">
      <w:pPr>
        <w:ind w:right="-347"/>
        <w:jc w:val="both"/>
        <w:rPr>
          <w:rFonts w:ascii="Cambria" w:hAnsi="Cambria"/>
          <w:color w:val="000000" w:themeColor="text1"/>
        </w:rPr>
      </w:pPr>
    </w:p>
    <w:p w:rsidR="00DE2C54" w:rsidRPr="00235532" w:rsidRDefault="00DE2C54" w:rsidP="00DE2C54">
      <w:pPr>
        <w:pStyle w:val="ListParagraph"/>
        <w:numPr>
          <w:ilvl w:val="0"/>
          <w:numId w:val="25"/>
        </w:numPr>
        <w:ind w:right="-347"/>
        <w:jc w:val="both"/>
        <w:rPr>
          <w:rFonts w:ascii="Cambria" w:hAnsi="Cambria"/>
          <w:b/>
          <w:bCs/>
          <w:i/>
          <w:iCs/>
          <w:color w:val="000000" w:themeColor="text1"/>
        </w:rPr>
      </w:pPr>
      <w:r w:rsidRPr="00235532">
        <w:rPr>
          <w:rFonts w:ascii="Cambria" w:hAnsi="Cambria"/>
          <w:b/>
          <w:bCs/>
          <w:i/>
          <w:iCs/>
          <w:color w:val="000000" w:themeColor="text1"/>
        </w:rPr>
        <w:t>Public authority ‘opt-in’</w:t>
      </w:r>
    </w:p>
    <w:p w:rsidR="00235532" w:rsidRPr="00235532" w:rsidRDefault="00CA2241" w:rsidP="00DE2C54">
      <w:pPr>
        <w:ind w:right="-347"/>
        <w:jc w:val="both"/>
        <w:rPr>
          <w:rFonts w:ascii="Cambria" w:hAnsi="Cambria"/>
          <w:color w:val="000000" w:themeColor="text1"/>
        </w:rPr>
      </w:pPr>
      <w:r w:rsidRPr="00235532">
        <w:rPr>
          <w:rFonts w:ascii="Cambria" w:hAnsi="Cambria"/>
          <w:color w:val="000000" w:themeColor="text1"/>
        </w:rPr>
        <w:t>Despite the TLRI recommending that the Charter of Human Rights should initially only bind public authorities, a further reform that should be adopted is providing entities</w:t>
      </w:r>
      <w:r w:rsidR="009F1CD7">
        <w:rPr>
          <w:rFonts w:ascii="Cambria" w:hAnsi="Cambria"/>
          <w:color w:val="000000" w:themeColor="text1"/>
        </w:rPr>
        <w:t xml:space="preserve"> -</w:t>
      </w:r>
      <w:r w:rsidR="00235532" w:rsidRPr="00235532">
        <w:rPr>
          <w:rFonts w:ascii="Cambria" w:hAnsi="Cambria"/>
          <w:color w:val="000000" w:themeColor="text1"/>
        </w:rPr>
        <w:t>including businesses and not-for-profit organisations</w:t>
      </w:r>
      <w:r w:rsidR="009F1CD7">
        <w:rPr>
          <w:rFonts w:ascii="Cambria" w:hAnsi="Cambria"/>
          <w:color w:val="000000" w:themeColor="text1"/>
        </w:rPr>
        <w:t xml:space="preserve">- </w:t>
      </w:r>
      <w:r w:rsidRPr="00235532">
        <w:rPr>
          <w:rFonts w:ascii="Cambria" w:hAnsi="Cambria"/>
          <w:color w:val="000000" w:themeColor="text1"/>
        </w:rPr>
        <w:t xml:space="preserve">with the opportunity to ‘opt-in’ to public authority obligations under the Charter of Rights. This is </w:t>
      </w:r>
      <w:r w:rsidR="00235532" w:rsidRPr="00235532">
        <w:rPr>
          <w:rFonts w:ascii="Cambria" w:hAnsi="Cambria"/>
          <w:color w:val="000000" w:themeColor="text1"/>
        </w:rPr>
        <w:t xml:space="preserve">a reform that was introduced in the </w:t>
      </w:r>
      <w:r w:rsidRPr="00235532">
        <w:rPr>
          <w:rFonts w:ascii="Cambria" w:hAnsi="Cambria"/>
          <w:color w:val="000000" w:themeColor="text1"/>
        </w:rPr>
        <w:t xml:space="preserve">Australian Capital Territory </w:t>
      </w:r>
      <w:r w:rsidR="00235532" w:rsidRPr="00235532">
        <w:rPr>
          <w:rFonts w:ascii="Cambria" w:hAnsi="Cambria"/>
          <w:color w:val="000000" w:themeColor="text1"/>
        </w:rPr>
        <w:t xml:space="preserve">in 2009 </w:t>
      </w:r>
      <w:r w:rsidRPr="00235532">
        <w:rPr>
          <w:rFonts w:ascii="Cambria" w:hAnsi="Cambria"/>
          <w:color w:val="000000" w:themeColor="text1"/>
        </w:rPr>
        <w:t xml:space="preserve">with </w:t>
      </w:r>
      <w:r w:rsidR="00235532" w:rsidRPr="00235532">
        <w:rPr>
          <w:rFonts w:ascii="Cambria" w:hAnsi="Cambria"/>
          <w:color w:val="000000" w:themeColor="text1"/>
        </w:rPr>
        <w:t xml:space="preserve">the insertion of </w:t>
      </w:r>
      <w:r w:rsidRPr="00235532">
        <w:rPr>
          <w:rFonts w:ascii="Cambria" w:hAnsi="Cambria"/>
          <w:color w:val="000000" w:themeColor="text1"/>
        </w:rPr>
        <w:t>section 40</w:t>
      </w:r>
      <w:r w:rsidR="00235532" w:rsidRPr="00235532">
        <w:rPr>
          <w:rFonts w:ascii="Cambria" w:hAnsi="Cambria"/>
          <w:color w:val="000000" w:themeColor="text1"/>
        </w:rPr>
        <w:t>D</w:t>
      </w:r>
      <w:r w:rsidRPr="00235532">
        <w:rPr>
          <w:rFonts w:ascii="Cambria" w:hAnsi="Cambria"/>
          <w:color w:val="000000" w:themeColor="text1"/>
        </w:rPr>
        <w:t xml:space="preserve"> of the </w:t>
      </w:r>
      <w:r w:rsidRPr="00235532">
        <w:rPr>
          <w:rFonts w:ascii="Cambria" w:hAnsi="Cambria"/>
          <w:i/>
          <w:iCs/>
          <w:color w:val="000000" w:themeColor="text1"/>
        </w:rPr>
        <w:t>Human Rights Act 2004</w:t>
      </w:r>
      <w:r w:rsidRPr="00235532">
        <w:rPr>
          <w:rFonts w:ascii="Cambria" w:hAnsi="Cambria"/>
          <w:color w:val="000000" w:themeColor="text1"/>
        </w:rPr>
        <w:t xml:space="preserve"> (ACT) </w:t>
      </w:r>
      <w:r w:rsidR="009F1CD7">
        <w:rPr>
          <w:rFonts w:ascii="Cambria" w:hAnsi="Cambria"/>
          <w:color w:val="000000" w:themeColor="text1"/>
        </w:rPr>
        <w:t xml:space="preserve">which </w:t>
      </w:r>
      <w:r w:rsidRPr="00235532">
        <w:rPr>
          <w:rFonts w:ascii="Cambria" w:hAnsi="Cambria"/>
          <w:color w:val="000000" w:themeColor="text1"/>
        </w:rPr>
        <w:t>provid</w:t>
      </w:r>
      <w:r w:rsidR="009F1CD7">
        <w:rPr>
          <w:rFonts w:ascii="Cambria" w:hAnsi="Cambria"/>
          <w:color w:val="000000" w:themeColor="text1"/>
        </w:rPr>
        <w:t>es</w:t>
      </w:r>
      <w:r w:rsidRPr="00235532">
        <w:rPr>
          <w:rFonts w:ascii="Cambria" w:hAnsi="Cambria"/>
          <w:color w:val="000000" w:themeColor="text1"/>
        </w:rPr>
        <w:t xml:space="preserve"> entities </w:t>
      </w:r>
      <w:r w:rsidR="009F1CD7">
        <w:rPr>
          <w:rFonts w:ascii="Cambria" w:hAnsi="Cambria"/>
          <w:color w:val="000000" w:themeColor="text1"/>
        </w:rPr>
        <w:t>with the option of requesting that</w:t>
      </w:r>
      <w:r w:rsidRPr="00235532">
        <w:rPr>
          <w:rFonts w:ascii="Cambria" w:hAnsi="Cambria"/>
          <w:color w:val="000000" w:themeColor="text1"/>
        </w:rPr>
        <w:t xml:space="preserve"> the Attorney-General declare it a public authority:</w:t>
      </w:r>
    </w:p>
    <w:p w:rsidR="00235532" w:rsidRPr="00235532" w:rsidRDefault="00235532" w:rsidP="00DE2C54">
      <w:pPr>
        <w:ind w:right="-347"/>
        <w:jc w:val="both"/>
        <w:rPr>
          <w:rFonts w:ascii="Cambria" w:hAnsi="Cambria"/>
          <w:color w:val="000000" w:themeColor="text1"/>
        </w:rPr>
      </w:pPr>
    </w:p>
    <w:p w:rsidR="00DE2C54" w:rsidRPr="00235532" w:rsidRDefault="00DE2C54" w:rsidP="00DE2C54">
      <w:pPr>
        <w:ind w:left="720" w:right="-347"/>
        <w:jc w:val="both"/>
        <w:rPr>
          <w:rFonts w:ascii="Cambria" w:hAnsi="Cambria"/>
          <w:b/>
          <w:bCs/>
          <w:i/>
          <w:iCs/>
          <w:color w:val="000000" w:themeColor="text1"/>
        </w:rPr>
      </w:pPr>
      <w:r w:rsidRPr="00235532">
        <w:rPr>
          <w:rFonts w:ascii="Cambria" w:hAnsi="Cambria" w:cs="Arial"/>
          <w:b/>
          <w:bCs/>
          <w:i/>
          <w:iCs/>
          <w:color w:val="000000" w:themeColor="text1"/>
        </w:rPr>
        <w:t>40D Other entities may choose to be subject to obligations of public authorities</w:t>
      </w:r>
    </w:p>
    <w:p w:rsidR="00DE2C54" w:rsidRPr="00235532" w:rsidRDefault="00DE2C54" w:rsidP="00DE2C54">
      <w:pPr>
        <w:pStyle w:val="ListParagraph"/>
        <w:numPr>
          <w:ilvl w:val="0"/>
          <w:numId w:val="24"/>
        </w:numPr>
        <w:jc w:val="both"/>
        <w:rPr>
          <w:rFonts w:ascii="Cambria" w:hAnsi="Cambria" w:cs="Arial"/>
          <w:i/>
          <w:iCs/>
          <w:color w:val="000000" w:themeColor="text1"/>
        </w:rPr>
      </w:pPr>
      <w:r w:rsidRPr="00235532">
        <w:rPr>
          <w:rFonts w:ascii="Cambria" w:hAnsi="Cambria" w:cs="Arial"/>
          <w:i/>
          <w:iCs/>
          <w:color w:val="000000" w:themeColor="text1"/>
        </w:rPr>
        <w:t>An entity that is not a public authority under section 40 may ask the Minister, in writing, to declare that the entity is subject to the obligations of a public authority under this part.</w:t>
      </w:r>
    </w:p>
    <w:p w:rsidR="00DE2C54" w:rsidRPr="00235532" w:rsidRDefault="00DE2C54" w:rsidP="00DE2C54">
      <w:pPr>
        <w:pStyle w:val="ListParagraph"/>
        <w:numPr>
          <w:ilvl w:val="0"/>
          <w:numId w:val="24"/>
        </w:numPr>
        <w:jc w:val="both"/>
        <w:rPr>
          <w:rFonts w:ascii="Cambria" w:hAnsi="Cambria" w:cs="Arial"/>
          <w:i/>
          <w:iCs/>
          <w:color w:val="000000" w:themeColor="text1"/>
        </w:rPr>
      </w:pPr>
      <w:r w:rsidRPr="00235532">
        <w:rPr>
          <w:rFonts w:ascii="Cambria" w:hAnsi="Cambria" w:cs="Arial"/>
          <w:i/>
          <w:iCs/>
          <w:color w:val="000000" w:themeColor="text1"/>
        </w:rPr>
        <w:t xml:space="preserve"> On request under subsection (1), the Minister must make the declaration.</w:t>
      </w:r>
    </w:p>
    <w:p w:rsidR="00DE2C54" w:rsidRPr="00235532" w:rsidRDefault="00DE2C54" w:rsidP="00DE2C54">
      <w:pPr>
        <w:pStyle w:val="ListParagraph"/>
        <w:numPr>
          <w:ilvl w:val="0"/>
          <w:numId w:val="24"/>
        </w:numPr>
        <w:jc w:val="both"/>
        <w:rPr>
          <w:rFonts w:ascii="Cambria" w:hAnsi="Cambria" w:cs="Arial"/>
          <w:i/>
          <w:iCs/>
          <w:color w:val="000000" w:themeColor="text1"/>
        </w:rPr>
      </w:pPr>
      <w:r w:rsidRPr="00235532">
        <w:rPr>
          <w:rFonts w:ascii="Cambria" w:hAnsi="Cambria" w:cs="Arial"/>
          <w:i/>
          <w:iCs/>
          <w:color w:val="000000" w:themeColor="text1"/>
        </w:rPr>
        <w:t>The Minister may revoke the declaration only if the entity asks the Minister, in writing, to revoke it.</w:t>
      </w:r>
    </w:p>
    <w:p w:rsidR="00DE2C54" w:rsidRPr="00235532" w:rsidRDefault="00DE2C54" w:rsidP="00DE2C54">
      <w:pPr>
        <w:ind w:left="720"/>
        <w:jc w:val="both"/>
        <w:rPr>
          <w:rFonts w:ascii="Cambria" w:hAnsi="Cambria" w:cs="Arial"/>
          <w:i/>
          <w:iCs/>
          <w:color w:val="000000" w:themeColor="text1"/>
        </w:rPr>
      </w:pPr>
      <w:r w:rsidRPr="00235532">
        <w:rPr>
          <w:rFonts w:ascii="Cambria" w:hAnsi="Cambria" w:cs="Arial"/>
          <w:i/>
          <w:iCs/>
          <w:color w:val="000000" w:themeColor="text1"/>
        </w:rPr>
        <w:t>(4) A declaration under this section is a notifiable instrument.</w:t>
      </w:r>
    </w:p>
    <w:p w:rsidR="00DE2C54" w:rsidRPr="00235532" w:rsidRDefault="00DE2C54" w:rsidP="00DE2C54">
      <w:pPr>
        <w:ind w:right="-347"/>
        <w:jc w:val="both"/>
        <w:rPr>
          <w:rFonts w:ascii="Cambria" w:hAnsi="Cambria"/>
          <w:color w:val="000000" w:themeColor="text1"/>
        </w:rPr>
      </w:pPr>
    </w:p>
    <w:p w:rsidR="00CA2241" w:rsidRPr="00235532" w:rsidRDefault="00CA2241" w:rsidP="00DE2C54">
      <w:pPr>
        <w:ind w:right="-347"/>
        <w:jc w:val="both"/>
        <w:rPr>
          <w:rFonts w:ascii="Cambria" w:hAnsi="Cambria"/>
          <w:color w:val="000000" w:themeColor="text1"/>
        </w:rPr>
      </w:pPr>
      <w:r w:rsidRPr="00235532">
        <w:rPr>
          <w:rFonts w:ascii="Cambria" w:hAnsi="Cambria"/>
          <w:color w:val="000000" w:themeColor="text1"/>
        </w:rPr>
        <w:t xml:space="preserve">We strongly believe that providing a mechanism for entities to proactively and publicly declare their support for human rights will act as a reminder that human rights are not restricted to Government and its instrumentalities as well as assisting in building a human rights culture in </w:t>
      </w:r>
      <w:r w:rsidR="00DE2C54" w:rsidRPr="00235532">
        <w:rPr>
          <w:rFonts w:ascii="Cambria" w:hAnsi="Cambria"/>
          <w:color w:val="000000" w:themeColor="text1"/>
        </w:rPr>
        <w:t xml:space="preserve">both </w:t>
      </w:r>
      <w:r w:rsidRPr="00235532">
        <w:rPr>
          <w:rFonts w:ascii="Cambria" w:hAnsi="Cambria"/>
          <w:color w:val="000000" w:themeColor="text1"/>
        </w:rPr>
        <w:t xml:space="preserve">the public and private sectors. We </w:t>
      </w:r>
      <w:r w:rsidR="00DE2C54" w:rsidRPr="00235532">
        <w:rPr>
          <w:rFonts w:ascii="Cambria" w:hAnsi="Cambria"/>
          <w:color w:val="000000" w:themeColor="text1"/>
        </w:rPr>
        <w:t xml:space="preserve">would </w:t>
      </w:r>
      <w:r w:rsidRPr="00235532">
        <w:rPr>
          <w:rFonts w:ascii="Cambria" w:hAnsi="Cambria"/>
          <w:color w:val="000000" w:themeColor="text1"/>
        </w:rPr>
        <w:t xml:space="preserve">also note that this reform was </w:t>
      </w:r>
      <w:r w:rsidRPr="00235532">
        <w:rPr>
          <w:rFonts w:ascii="Cambria" w:hAnsi="Cambria"/>
          <w:color w:val="000000" w:themeColor="text1"/>
        </w:rPr>
        <w:lastRenderedPageBreak/>
        <w:t xml:space="preserve">recommended in 2015 by the Victorian review of the </w:t>
      </w:r>
      <w:r w:rsidRPr="00235532">
        <w:rPr>
          <w:rFonts w:ascii="Cambria" w:hAnsi="Cambria"/>
          <w:i/>
          <w:iCs/>
          <w:color w:val="000000" w:themeColor="text1"/>
        </w:rPr>
        <w:t>Charter of Human Rights and Responsibilities 2006</w:t>
      </w:r>
      <w:r w:rsidRPr="00235532">
        <w:rPr>
          <w:rFonts w:ascii="Cambria" w:hAnsi="Cambria"/>
          <w:color w:val="000000" w:themeColor="text1"/>
        </w:rPr>
        <w:t>.</w:t>
      </w:r>
      <w:r w:rsidRPr="00235532">
        <w:rPr>
          <w:rStyle w:val="FootnoteReference"/>
          <w:rFonts w:ascii="Cambria" w:hAnsi="Cambria"/>
          <w:color w:val="000000" w:themeColor="text1"/>
        </w:rPr>
        <w:footnoteReference w:id="21"/>
      </w:r>
      <w:r w:rsidRPr="00235532">
        <w:rPr>
          <w:rFonts w:ascii="Cambria" w:hAnsi="Cambria"/>
          <w:color w:val="000000" w:themeColor="text1"/>
        </w:rPr>
        <w:t xml:space="preserve"> </w:t>
      </w:r>
    </w:p>
    <w:p w:rsidR="006D4614" w:rsidRPr="00235532" w:rsidRDefault="006D4614" w:rsidP="009A36FC">
      <w:pPr>
        <w:ind w:right="-347"/>
        <w:jc w:val="both"/>
        <w:rPr>
          <w:rFonts w:ascii="Cambria" w:hAnsi="Cambria"/>
          <w:color w:val="000000" w:themeColor="text1"/>
        </w:rPr>
      </w:pPr>
    </w:p>
    <w:p w:rsidR="005C7827" w:rsidRPr="00235532" w:rsidRDefault="005C7827" w:rsidP="005C7827">
      <w:pPr>
        <w:rPr>
          <w:rFonts w:ascii="Cambria" w:hAnsi="Cambria"/>
          <w:b/>
          <w:bCs/>
          <w:color w:val="000000" w:themeColor="text1"/>
        </w:rPr>
      </w:pPr>
      <w:r w:rsidRPr="00235532">
        <w:rPr>
          <w:rFonts w:ascii="Cambria" w:hAnsi="Cambria"/>
          <w:b/>
          <w:bCs/>
          <w:color w:val="000000" w:themeColor="text1"/>
        </w:rPr>
        <w:t>International law and judgments from other jurisdictions</w:t>
      </w:r>
    </w:p>
    <w:p w:rsidR="005C7827" w:rsidRPr="00235532" w:rsidRDefault="005C7827" w:rsidP="005C7827">
      <w:pPr>
        <w:ind w:right="-347"/>
        <w:jc w:val="both"/>
        <w:rPr>
          <w:rFonts w:ascii="Cambria" w:hAnsi="Cambria"/>
          <w:color w:val="000000" w:themeColor="text1"/>
        </w:rPr>
      </w:pPr>
      <w:r w:rsidRPr="00235532">
        <w:rPr>
          <w:rFonts w:ascii="Cambria" w:hAnsi="Cambria"/>
          <w:color w:val="000000" w:themeColor="text1"/>
        </w:rPr>
        <w:t xml:space="preserve">Section 32(2) of the Victorian </w:t>
      </w:r>
      <w:r w:rsidRPr="00235532">
        <w:rPr>
          <w:rFonts w:ascii="Cambria" w:hAnsi="Cambria"/>
          <w:i/>
          <w:iCs/>
          <w:color w:val="000000" w:themeColor="text1"/>
        </w:rPr>
        <w:t>Charter of Rights and Responsibilities 2006</w:t>
      </w:r>
      <w:r w:rsidRPr="00235532">
        <w:rPr>
          <w:rFonts w:ascii="Cambria" w:hAnsi="Cambria"/>
          <w:color w:val="000000" w:themeColor="text1"/>
        </w:rPr>
        <w:t xml:space="preserve"> currently provides that international law and judgements may be considered when courts or tribunals are interpreting compatibility with human rights:</w:t>
      </w:r>
      <w:r w:rsidRPr="00235532">
        <w:rPr>
          <w:rStyle w:val="FootnoteReference"/>
          <w:rFonts w:ascii="Cambria" w:hAnsi="Cambria"/>
          <w:color w:val="000000" w:themeColor="text1"/>
        </w:rPr>
        <w:footnoteReference w:id="22"/>
      </w:r>
    </w:p>
    <w:p w:rsidR="005C7827" w:rsidRPr="00235532" w:rsidRDefault="005C7827" w:rsidP="005C7827">
      <w:pPr>
        <w:ind w:right="-347"/>
        <w:jc w:val="both"/>
        <w:rPr>
          <w:rFonts w:ascii="Cambria" w:hAnsi="Cambria"/>
          <w:color w:val="000000" w:themeColor="text1"/>
        </w:rPr>
      </w:pPr>
    </w:p>
    <w:p w:rsidR="005C7827" w:rsidRPr="00235532" w:rsidRDefault="005C7827" w:rsidP="005C7827">
      <w:pPr>
        <w:ind w:left="720" w:right="-347"/>
        <w:jc w:val="both"/>
        <w:rPr>
          <w:rFonts w:ascii="Cambria" w:hAnsi="Cambria"/>
          <w:color w:val="000000" w:themeColor="text1"/>
        </w:rPr>
      </w:pPr>
      <w:r w:rsidRPr="00235532">
        <w:rPr>
          <w:rFonts w:ascii="Cambria" w:hAnsi="Cambria"/>
          <w:b/>
          <w:bCs/>
          <w:i/>
          <w:iCs/>
          <w:color w:val="000000" w:themeColor="text1"/>
        </w:rPr>
        <w:t xml:space="preserve">Division 3— Interpretation of laws </w:t>
      </w:r>
    </w:p>
    <w:p w:rsidR="005C7827" w:rsidRPr="00235532" w:rsidRDefault="005C7827" w:rsidP="005C7827">
      <w:pPr>
        <w:ind w:left="720" w:right="-347"/>
        <w:jc w:val="both"/>
        <w:rPr>
          <w:rFonts w:ascii="Cambria" w:hAnsi="Cambria"/>
          <w:color w:val="000000" w:themeColor="text1"/>
        </w:rPr>
      </w:pPr>
      <w:r w:rsidRPr="00235532">
        <w:rPr>
          <w:rFonts w:ascii="Cambria" w:hAnsi="Cambria"/>
          <w:b/>
          <w:bCs/>
          <w:i/>
          <w:iCs/>
          <w:color w:val="000000" w:themeColor="text1"/>
        </w:rPr>
        <w:t xml:space="preserve">32 Interpretation </w:t>
      </w:r>
    </w:p>
    <w:p w:rsidR="005C7827" w:rsidRPr="00235532" w:rsidRDefault="005C7827" w:rsidP="005C7827">
      <w:pPr>
        <w:ind w:left="720" w:right="-347"/>
        <w:jc w:val="both"/>
        <w:rPr>
          <w:rFonts w:ascii="Cambria" w:hAnsi="Cambria"/>
          <w:color w:val="000000" w:themeColor="text1"/>
        </w:rPr>
      </w:pPr>
      <w:r w:rsidRPr="00235532">
        <w:rPr>
          <w:rFonts w:ascii="Cambria" w:hAnsi="Cambria"/>
          <w:i/>
          <w:iCs/>
          <w:color w:val="000000" w:themeColor="text1"/>
        </w:rPr>
        <w:t xml:space="preserve">(1) So far as it is possible to do so consistently with their purpose, all statutory provisions must be interpreted in a way that is compatible with human rights. </w:t>
      </w:r>
    </w:p>
    <w:p w:rsidR="005C7827" w:rsidRPr="00235532" w:rsidRDefault="005C7827" w:rsidP="005C7827">
      <w:pPr>
        <w:ind w:left="720" w:right="-347"/>
        <w:jc w:val="both"/>
        <w:rPr>
          <w:rFonts w:ascii="Cambria" w:hAnsi="Cambria"/>
          <w:color w:val="000000" w:themeColor="text1"/>
        </w:rPr>
      </w:pPr>
    </w:p>
    <w:p w:rsidR="005C7827" w:rsidRPr="00235532" w:rsidRDefault="005C7827" w:rsidP="005C7827">
      <w:pPr>
        <w:ind w:left="720" w:right="-347"/>
        <w:jc w:val="both"/>
        <w:rPr>
          <w:rFonts w:ascii="Cambria" w:hAnsi="Cambria"/>
          <w:color w:val="000000" w:themeColor="text1"/>
        </w:rPr>
      </w:pPr>
      <w:r w:rsidRPr="00235532">
        <w:rPr>
          <w:rFonts w:ascii="Cambria" w:hAnsi="Cambria"/>
          <w:i/>
          <w:iCs/>
          <w:color w:val="000000" w:themeColor="text1"/>
        </w:rPr>
        <w:t xml:space="preserve">(2) International law and the judgments of domestic, foreign and international courts and tribunals relevant to a human right may be considered in interpreting a statutory provision. </w:t>
      </w:r>
    </w:p>
    <w:p w:rsidR="005C7827" w:rsidRPr="00235532" w:rsidRDefault="005C7827" w:rsidP="005C7827">
      <w:pPr>
        <w:ind w:left="720" w:right="-347"/>
        <w:jc w:val="both"/>
        <w:rPr>
          <w:rFonts w:ascii="Cambria" w:hAnsi="Cambria"/>
          <w:color w:val="000000" w:themeColor="text1"/>
        </w:rPr>
      </w:pPr>
    </w:p>
    <w:p w:rsidR="005C7827" w:rsidRPr="00235532" w:rsidRDefault="005C7827" w:rsidP="005C7827">
      <w:pPr>
        <w:ind w:left="720" w:right="-347"/>
        <w:jc w:val="both"/>
        <w:rPr>
          <w:rFonts w:ascii="Cambria" w:hAnsi="Cambria"/>
          <w:color w:val="000000" w:themeColor="text1"/>
        </w:rPr>
      </w:pPr>
      <w:r w:rsidRPr="00235532">
        <w:rPr>
          <w:rFonts w:ascii="Cambria" w:hAnsi="Cambria"/>
          <w:i/>
          <w:iCs/>
          <w:color w:val="000000" w:themeColor="text1"/>
        </w:rPr>
        <w:t>(3) This section does not affect the validity of— (a) an Act or provision of an Act that is incompatible with a human right; or (b) a subordinate instrument or provision of a subordinate instrument that is incompatible with a human right and is empowered to be so by the Act under which it is made.</w:t>
      </w:r>
    </w:p>
    <w:p w:rsidR="005C7827" w:rsidRPr="00235532" w:rsidRDefault="005C7827" w:rsidP="005C7827">
      <w:pPr>
        <w:ind w:right="-347"/>
        <w:jc w:val="both"/>
        <w:rPr>
          <w:rFonts w:ascii="Cambria" w:hAnsi="Cambria"/>
          <w:color w:val="000000" w:themeColor="text1"/>
        </w:rPr>
      </w:pPr>
    </w:p>
    <w:p w:rsidR="005C7827" w:rsidRPr="00235532" w:rsidRDefault="005C7827" w:rsidP="005C7827">
      <w:pPr>
        <w:ind w:right="-347"/>
        <w:jc w:val="both"/>
        <w:rPr>
          <w:rFonts w:ascii="Cambria" w:hAnsi="Cambria"/>
          <w:color w:val="000000" w:themeColor="text1"/>
        </w:rPr>
      </w:pPr>
      <w:r w:rsidRPr="00235532">
        <w:rPr>
          <w:rFonts w:ascii="Cambria" w:hAnsi="Cambria"/>
          <w:color w:val="000000" w:themeColor="text1"/>
        </w:rPr>
        <w:t xml:space="preserve">However, the failure to expressly provide that courts and tribunals must consider relevant decisions and laws from other jurisdictions has led to conflicting approaches and as a result uncertainty. In the case of </w:t>
      </w:r>
      <w:r w:rsidRPr="00235532">
        <w:rPr>
          <w:rFonts w:ascii="Cambria" w:hAnsi="Cambria"/>
          <w:i/>
          <w:iCs/>
          <w:color w:val="000000" w:themeColor="text1"/>
        </w:rPr>
        <w:t>WBM v Chief Commissioner of Police</w:t>
      </w:r>
      <w:r w:rsidRPr="00235532">
        <w:rPr>
          <w:rStyle w:val="FootnoteReference"/>
          <w:rFonts w:ascii="Cambria" w:hAnsi="Cambria"/>
          <w:color w:val="000000" w:themeColor="text1"/>
        </w:rPr>
        <w:footnoteReference w:id="23"/>
      </w:r>
      <w:r w:rsidRPr="00235532">
        <w:rPr>
          <w:rFonts w:ascii="Cambria" w:hAnsi="Cambria"/>
          <w:color w:val="000000" w:themeColor="text1"/>
        </w:rPr>
        <w:t xml:space="preserve"> for example, the Victorian Supreme Court was required to consider the meaning of ‘arbitrary’ interference in the context of the right to privacy.</w:t>
      </w:r>
      <w:r w:rsidRPr="00235532">
        <w:rPr>
          <w:rStyle w:val="FootnoteReference"/>
          <w:rFonts w:ascii="Cambria" w:hAnsi="Cambria"/>
          <w:color w:val="000000" w:themeColor="text1"/>
        </w:rPr>
        <w:footnoteReference w:id="24"/>
      </w:r>
      <w:r w:rsidRPr="00235532">
        <w:rPr>
          <w:rFonts w:ascii="Cambria" w:hAnsi="Cambria"/>
          <w:color w:val="000000" w:themeColor="text1"/>
        </w:rPr>
        <w:t xml:space="preserve"> The facts of the case were that WBM pleaded guilty to possession and production of child pornography offences in April 2003 and was sentenced to 12-months imprisonment, suspended for two years. The order was not breached and ceased in April 2005. In 2004, one year after WBM had been sentenced, the </w:t>
      </w:r>
      <w:r w:rsidRPr="00235532">
        <w:rPr>
          <w:rFonts w:ascii="Cambria" w:hAnsi="Cambria"/>
          <w:i/>
          <w:iCs/>
          <w:color w:val="000000" w:themeColor="text1"/>
        </w:rPr>
        <w:t xml:space="preserve">Sex Offenders Registration Act 2004 </w:t>
      </w:r>
      <w:r w:rsidRPr="00235532">
        <w:rPr>
          <w:rFonts w:ascii="Cambria" w:hAnsi="Cambria"/>
          <w:color w:val="000000" w:themeColor="text1"/>
        </w:rPr>
        <w:t>(Vic) came into effect and in August 2007 WBM was advised that his name would be placed on the Victorian Sex Offenders Register. WBM argued among other things that the registration was an arbitrary interference with his privacy.</w:t>
      </w:r>
    </w:p>
    <w:p w:rsidR="005C7827" w:rsidRPr="00235532" w:rsidRDefault="005C7827" w:rsidP="005C7827">
      <w:pPr>
        <w:ind w:right="-347"/>
        <w:jc w:val="both"/>
        <w:rPr>
          <w:rFonts w:ascii="Cambria" w:hAnsi="Cambria"/>
          <w:color w:val="000000" w:themeColor="text1"/>
        </w:rPr>
      </w:pPr>
    </w:p>
    <w:p w:rsidR="005C7827" w:rsidRPr="00235532" w:rsidRDefault="005C7827" w:rsidP="005C7827">
      <w:pPr>
        <w:ind w:right="-347"/>
        <w:jc w:val="both"/>
        <w:rPr>
          <w:rFonts w:ascii="Cambria" w:hAnsi="Cambria"/>
          <w:color w:val="000000" w:themeColor="text1"/>
        </w:rPr>
      </w:pPr>
      <w:r w:rsidRPr="00235532">
        <w:rPr>
          <w:rFonts w:ascii="Cambria" w:hAnsi="Cambria"/>
          <w:color w:val="000000" w:themeColor="text1"/>
        </w:rPr>
        <w:t xml:space="preserve">In finding that WBM could be placed on the sex offender register, Kaye J was reluctant to follow relevant international jurisprudence on the basis </w:t>
      </w:r>
      <w:r w:rsidRPr="00235532">
        <w:rPr>
          <w:rFonts w:ascii="Cambria" w:hAnsi="Cambria"/>
          <w:color w:val="000000" w:themeColor="text1"/>
          <w:spacing w:val="-3"/>
          <w:shd w:val="clear" w:color="auto" w:fill="FFFFFF"/>
        </w:rPr>
        <w:t xml:space="preserve">that the United Nations Human Rights Committee’s views did not accord with the plain meaning of arbitrary and because it was a non-judicial body comprising members from countries with different systems of democracy to Australia. Kaye J subsequently </w:t>
      </w:r>
      <w:r w:rsidRPr="00235532">
        <w:rPr>
          <w:rFonts w:ascii="Cambria" w:hAnsi="Cambria"/>
          <w:color w:val="000000" w:themeColor="text1"/>
        </w:rPr>
        <w:t>held that ‘arbitrary’ should be given its ordinary grammatical meaning and that a decision would only meet this description when it is “capricious and not based on any identifiable criterion or criteria”.</w:t>
      </w:r>
      <w:r w:rsidRPr="00235532">
        <w:rPr>
          <w:rStyle w:val="FootnoteReference"/>
          <w:rFonts w:ascii="Cambria" w:hAnsi="Cambria"/>
          <w:color w:val="000000" w:themeColor="text1"/>
        </w:rPr>
        <w:footnoteReference w:id="25"/>
      </w:r>
      <w:r w:rsidRPr="00235532">
        <w:rPr>
          <w:rFonts w:ascii="Cambria" w:hAnsi="Cambria"/>
          <w:color w:val="000000" w:themeColor="text1"/>
        </w:rPr>
        <w:t xml:space="preserve"> This interpretation can be contrasted with the United Nations Human Rights Committee which has interpreted ‘arbitrary’ in relation to Article 17(1) of the </w:t>
      </w:r>
      <w:r w:rsidRPr="00235532">
        <w:rPr>
          <w:rFonts w:ascii="Cambria" w:hAnsi="Cambria"/>
          <w:i/>
          <w:iCs/>
          <w:color w:val="000000" w:themeColor="text1"/>
        </w:rPr>
        <w:t xml:space="preserve">International Covenant on Civil and Political </w:t>
      </w:r>
      <w:r w:rsidRPr="00235532">
        <w:rPr>
          <w:rFonts w:ascii="Cambria" w:hAnsi="Cambria"/>
          <w:i/>
          <w:iCs/>
          <w:color w:val="000000" w:themeColor="text1"/>
        </w:rPr>
        <w:lastRenderedPageBreak/>
        <w:t>Rights</w:t>
      </w:r>
      <w:r w:rsidRPr="00235532">
        <w:rPr>
          <w:rFonts w:ascii="Cambria" w:hAnsi="Cambria"/>
          <w:color w:val="000000" w:themeColor="text1"/>
        </w:rPr>
        <w:t xml:space="preserve"> as meaning “reasonable in the particular circumstances”.</w:t>
      </w:r>
      <w:r w:rsidRPr="00235532">
        <w:rPr>
          <w:rStyle w:val="FootnoteReference"/>
          <w:rFonts w:ascii="Cambria" w:hAnsi="Cambria"/>
          <w:color w:val="000000" w:themeColor="text1"/>
        </w:rPr>
        <w:footnoteReference w:id="26"/>
      </w:r>
      <w:r w:rsidRPr="00235532">
        <w:rPr>
          <w:rFonts w:ascii="Cambria" w:hAnsi="Cambria"/>
          <w:color w:val="000000" w:themeColor="text1"/>
        </w:rPr>
        <w:t xml:space="preserve"> Whilst other Victorian Supreme Court decisions have been prepared to consider international law and the judgments of foreign and international courts and tribunals</w:t>
      </w:r>
      <w:r w:rsidRPr="00235532">
        <w:rPr>
          <w:rStyle w:val="FootnoteReference"/>
          <w:rFonts w:ascii="Cambria" w:hAnsi="Cambria"/>
          <w:color w:val="000000" w:themeColor="text1"/>
        </w:rPr>
        <w:footnoteReference w:id="27"/>
      </w:r>
      <w:r w:rsidRPr="00235532">
        <w:rPr>
          <w:rFonts w:ascii="Cambria" w:hAnsi="Cambria"/>
          <w:color w:val="000000" w:themeColor="text1"/>
        </w:rPr>
        <w:t xml:space="preserve"> the uncertainty could be removed through expressly providing that courts and tribunals must consider relevant decisions and laws from other jurisdictions.  </w:t>
      </w:r>
    </w:p>
    <w:p w:rsidR="005C7827" w:rsidRDefault="005C7827" w:rsidP="001019C9">
      <w:pPr>
        <w:ind w:right="-347"/>
        <w:jc w:val="both"/>
        <w:rPr>
          <w:rFonts w:ascii="Cambria" w:hAnsi="Cambria"/>
          <w:b/>
          <w:bCs/>
          <w:color w:val="000000" w:themeColor="text1"/>
        </w:rPr>
      </w:pPr>
    </w:p>
    <w:p w:rsidR="001019C9" w:rsidRPr="00235532" w:rsidRDefault="00A3684D" w:rsidP="001019C9">
      <w:pPr>
        <w:ind w:right="-347"/>
        <w:jc w:val="both"/>
        <w:rPr>
          <w:rFonts w:ascii="Cambria" w:hAnsi="Cambria"/>
          <w:b/>
          <w:bCs/>
          <w:color w:val="000000" w:themeColor="text1"/>
        </w:rPr>
      </w:pPr>
      <w:r w:rsidRPr="00235532">
        <w:rPr>
          <w:rFonts w:ascii="Cambria" w:hAnsi="Cambria"/>
          <w:b/>
          <w:bCs/>
          <w:color w:val="000000" w:themeColor="text1"/>
        </w:rPr>
        <w:t xml:space="preserve">Floodgates </w:t>
      </w:r>
      <w:r w:rsidR="001E5031" w:rsidRPr="00235532">
        <w:rPr>
          <w:rFonts w:ascii="Cambria" w:hAnsi="Cambria"/>
          <w:b/>
          <w:bCs/>
          <w:color w:val="000000" w:themeColor="text1"/>
        </w:rPr>
        <w:t xml:space="preserve">and Judicial Activism Arguments </w:t>
      </w:r>
      <w:r w:rsidRPr="00235532">
        <w:rPr>
          <w:rFonts w:ascii="Cambria" w:hAnsi="Cambria"/>
          <w:b/>
          <w:bCs/>
          <w:color w:val="000000" w:themeColor="text1"/>
        </w:rPr>
        <w:t>Unfounded</w:t>
      </w:r>
    </w:p>
    <w:p w:rsidR="001E5031" w:rsidRPr="00235532" w:rsidRDefault="00A3684D" w:rsidP="001019C9">
      <w:pPr>
        <w:ind w:right="-347"/>
        <w:jc w:val="both"/>
        <w:rPr>
          <w:rFonts w:ascii="Cambria" w:hAnsi="Cambria"/>
          <w:color w:val="000000" w:themeColor="text1"/>
        </w:rPr>
      </w:pPr>
      <w:r w:rsidRPr="00235532">
        <w:rPr>
          <w:rFonts w:ascii="Cambria" w:hAnsi="Cambria"/>
          <w:color w:val="000000" w:themeColor="text1"/>
        </w:rPr>
        <w:t>Finally, it is worth noting that the arguments raised by some that a Charter of Rights would “open the floodgates to frivolous court actions”</w:t>
      </w:r>
      <w:r w:rsidRPr="00235532">
        <w:rPr>
          <w:rStyle w:val="FootnoteReference"/>
          <w:rFonts w:ascii="Cambria" w:hAnsi="Cambria"/>
          <w:color w:val="000000" w:themeColor="text1"/>
        </w:rPr>
        <w:t xml:space="preserve"> </w:t>
      </w:r>
      <w:r w:rsidRPr="00235532">
        <w:rPr>
          <w:rStyle w:val="FootnoteReference"/>
          <w:rFonts w:ascii="Cambria" w:hAnsi="Cambria"/>
          <w:color w:val="000000" w:themeColor="text1"/>
        </w:rPr>
        <w:footnoteReference w:id="28"/>
      </w:r>
      <w:r w:rsidR="007938CA" w:rsidRPr="00235532">
        <w:rPr>
          <w:rFonts w:ascii="Cambria" w:hAnsi="Cambria"/>
          <w:color w:val="000000" w:themeColor="text1"/>
        </w:rPr>
        <w:t xml:space="preserve"> </w:t>
      </w:r>
      <w:r w:rsidRPr="00235532">
        <w:rPr>
          <w:rFonts w:ascii="Cambria" w:hAnsi="Cambria"/>
          <w:color w:val="000000" w:themeColor="text1"/>
        </w:rPr>
        <w:t>has proven unfounded. For example, a</w:t>
      </w:r>
      <w:r w:rsidR="001E5031" w:rsidRPr="00235532">
        <w:rPr>
          <w:rFonts w:ascii="Cambria" w:hAnsi="Cambria"/>
          <w:color w:val="000000" w:themeColor="text1"/>
        </w:rPr>
        <w:t xml:space="preserve"> </w:t>
      </w:r>
      <w:r w:rsidRPr="00235532">
        <w:rPr>
          <w:rFonts w:ascii="Cambria" w:hAnsi="Cambria"/>
          <w:color w:val="000000" w:themeColor="text1"/>
        </w:rPr>
        <w:t xml:space="preserve">review </w:t>
      </w:r>
      <w:r w:rsidR="001E5031" w:rsidRPr="00235532">
        <w:rPr>
          <w:rFonts w:ascii="Cambria" w:hAnsi="Cambria"/>
          <w:color w:val="000000" w:themeColor="text1"/>
        </w:rPr>
        <w:t xml:space="preserve">in the Australian Capital Territory </w:t>
      </w:r>
      <w:r w:rsidRPr="00235532">
        <w:rPr>
          <w:rFonts w:ascii="Cambria" w:hAnsi="Cambria"/>
          <w:color w:val="000000" w:themeColor="text1"/>
        </w:rPr>
        <w:t>found that the Human Rights Act was mentioned in approximately 6.6 per cent of Tribunal decisions, 9.2 per cent of Supreme Court decisions and 7.6 per cent of Court of Appeal decisions.</w:t>
      </w:r>
      <w:r w:rsidRPr="00235532">
        <w:rPr>
          <w:rStyle w:val="FootnoteReference"/>
          <w:rFonts w:ascii="Cambria" w:hAnsi="Cambria"/>
          <w:color w:val="000000" w:themeColor="text1"/>
        </w:rPr>
        <w:footnoteReference w:id="29"/>
      </w:r>
      <w:r w:rsidRPr="00235532">
        <w:rPr>
          <w:rFonts w:ascii="Cambria" w:hAnsi="Cambria"/>
          <w:color w:val="000000" w:themeColor="text1"/>
        </w:rPr>
        <w:t xml:space="preserve"> </w:t>
      </w:r>
    </w:p>
    <w:p w:rsidR="001E5031" w:rsidRPr="00235532" w:rsidRDefault="001E5031" w:rsidP="001019C9">
      <w:pPr>
        <w:ind w:right="-347"/>
        <w:jc w:val="both"/>
        <w:rPr>
          <w:rFonts w:ascii="Cambria" w:hAnsi="Cambria"/>
          <w:color w:val="000000" w:themeColor="text1"/>
        </w:rPr>
      </w:pPr>
    </w:p>
    <w:p w:rsidR="001E5031" w:rsidRPr="00235532" w:rsidRDefault="001E5031" w:rsidP="001E5031">
      <w:pPr>
        <w:ind w:right="-347"/>
        <w:jc w:val="both"/>
        <w:rPr>
          <w:rFonts w:ascii="Cambria" w:hAnsi="Cambria"/>
          <w:color w:val="000000" w:themeColor="text1"/>
        </w:rPr>
      </w:pPr>
      <w:r w:rsidRPr="00235532">
        <w:rPr>
          <w:rFonts w:ascii="Cambria" w:hAnsi="Cambria"/>
          <w:color w:val="000000" w:themeColor="text1"/>
        </w:rPr>
        <w:t xml:space="preserve">As well, the </w:t>
      </w:r>
      <w:r w:rsidR="007A5C39" w:rsidRPr="00235532">
        <w:rPr>
          <w:rFonts w:ascii="Cambria" w:hAnsi="Cambria"/>
          <w:color w:val="000000" w:themeColor="text1"/>
        </w:rPr>
        <w:t xml:space="preserve">Chief Justice </w:t>
      </w:r>
      <w:r w:rsidRPr="00235532">
        <w:rPr>
          <w:rFonts w:ascii="Cambria" w:hAnsi="Cambria"/>
          <w:color w:val="000000" w:themeColor="text1"/>
        </w:rPr>
        <w:t xml:space="preserve">of the ACT Supreme Court Helen </w:t>
      </w:r>
      <w:r w:rsidR="007A5C39" w:rsidRPr="00235532">
        <w:rPr>
          <w:rFonts w:ascii="Cambria" w:hAnsi="Cambria"/>
          <w:color w:val="000000" w:themeColor="text1"/>
        </w:rPr>
        <w:t>Murrell</w:t>
      </w:r>
      <w:r w:rsidRPr="00235532">
        <w:rPr>
          <w:rFonts w:ascii="Cambria" w:hAnsi="Cambria"/>
          <w:color w:val="000000" w:themeColor="text1"/>
        </w:rPr>
        <w:t xml:space="preserve"> has observed</w:t>
      </w:r>
      <w:r w:rsidR="007938CA" w:rsidRPr="00235532">
        <w:rPr>
          <w:rFonts w:ascii="Cambria" w:hAnsi="Cambria"/>
          <w:color w:val="000000" w:themeColor="text1"/>
        </w:rPr>
        <w:t xml:space="preserve"> about the Human Rights Act</w:t>
      </w:r>
      <w:r w:rsidRPr="00235532">
        <w:rPr>
          <w:rFonts w:ascii="Cambria" w:hAnsi="Cambria"/>
          <w:color w:val="000000" w:themeColor="text1"/>
        </w:rPr>
        <w:t>:</w:t>
      </w:r>
      <w:r w:rsidRPr="00235532">
        <w:rPr>
          <w:rStyle w:val="FootnoteReference"/>
          <w:rFonts w:ascii="Cambria" w:hAnsi="Cambria"/>
          <w:color w:val="000000" w:themeColor="text1"/>
        </w:rPr>
        <w:footnoteReference w:id="30"/>
      </w:r>
    </w:p>
    <w:p w:rsidR="001E5031" w:rsidRPr="00235532" w:rsidRDefault="001E5031" w:rsidP="001E5031">
      <w:pPr>
        <w:ind w:right="-347"/>
        <w:jc w:val="both"/>
        <w:rPr>
          <w:rFonts w:ascii="Cambria" w:hAnsi="Cambria"/>
          <w:color w:val="000000" w:themeColor="text1"/>
        </w:rPr>
      </w:pPr>
    </w:p>
    <w:p w:rsidR="005C508F" w:rsidRPr="00235532" w:rsidRDefault="007A5C39" w:rsidP="005C508F">
      <w:pPr>
        <w:ind w:left="720" w:right="-347"/>
        <w:jc w:val="both"/>
        <w:rPr>
          <w:rFonts w:ascii="Cambria" w:hAnsi="Cambria"/>
          <w:i/>
          <w:iCs/>
          <w:color w:val="000000" w:themeColor="text1"/>
        </w:rPr>
      </w:pPr>
      <w:r w:rsidRPr="00235532">
        <w:rPr>
          <w:rFonts w:ascii="Cambria" w:hAnsi="Cambria"/>
          <w:i/>
          <w:iCs/>
          <w:color w:val="000000" w:themeColor="text1"/>
        </w:rPr>
        <w:t>[T]he HRA has had little direct impact on the outcome of cases. The enactment of the HRA was a powerful symbolic statement, and it was predicted that the Supreme Court would play an important role in increasing human rights compliance in the ACT. But despite the significant number of cases in which the HRA has been mentioned, there are very few in which it has made a difference to the outcome</w:t>
      </w:r>
      <w:r w:rsidR="001E5031" w:rsidRPr="00235532">
        <w:rPr>
          <w:rFonts w:ascii="Cambria" w:hAnsi="Cambria"/>
          <w:i/>
          <w:iCs/>
          <w:color w:val="000000" w:themeColor="text1"/>
        </w:rPr>
        <w:t xml:space="preserve">. </w:t>
      </w:r>
    </w:p>
    <w:p w:rsidR="005C508F" w:rsidRPr="00235532" w:rsidRDefault="005C508F" w:rsidP="005C508F">
      <w:pPr>
        <w:ind w:right="-347"/>
        <w:jc w:val="both"/>
        <w:rPr>
          <w:rFonts w:ascii="Cambria" w:hAnsi="Cambria"/>
          <w:i/>
          <w:iCs/>
          <w:color w:val="000000" w:themeColor="text1"/>
        </w:rPr>
      </w:pPr>
    </w:p>
    <w:p w:rsidR="00AF136E" w:rsidRPr="00235532" w:rsidRDefault="007938CA" w:rsidP="00AF136E">
      <w:pPr>
        <w:ind w:right="-347"/>
        <w:jc w:val="both"/>
        <w:rPr>
          <w:rFonts w:ascii="Cambria" w:hAnsi="Cambria"/>
          <w:i/>
          <w:iCs/>
          <w:color w:val="000000" w:themeColor="text1"/>
        </w:rPr>
      </w:pPr>
      <w:r w:rsidRPr="00235532">
        <w:rPr>
          <w:rFonts w:ascii="Cambria" w:hAnsi="Cambria"/>
          <w:color w:val="000000" w:themeColor="text1"/>
        </w:rPr>
        <w:t xml:space="preserve">Similarly, analysis carried out by the Human Rights Law Centre in Victoria found that between 2007-2011 the </w:t>
      </w:r>
      <w:r w:rsidRPr="00235532">
        <w:rPr>
          <w:rFonts w:ascii="Cambria" w:hAnsi="Cambria"/>
          <w:i/>
          <w:iCs/>
          <w:color w:val="000000" w:themeColor="text1"/>
        </w:rPr>
        <w:t>Charter of Human Rights and Responsibilities 2006</w:t>
      </w:r>
      <w:r w:rsidRPr="00235532">
        <w:rPr>
          <w:rFonts w:ascii="Cambria" w:hAnsi="Cambria"/>
          <w:color w:val="000000" w:themeColor="text1"/>
        </w:rPr>
        <w:t xml:space="preserve"> was “considered in 1.48 per cent of all Victorian reported judgments and substantively considered in 0.58 per cent of all cases”.</w:t>
      </w:r>
      <w:r w:rsidRPr="00235532">
        <w:rPr>
          <w:rStyle w:val="FootnoteReference"/>
          <w:rFonts w:ascii="Cambria" w:hAnsi="Cambria"/>
          <w:color w:val="000000" w:themeColor="text1"/>
        </w:rPr>
        <w:footnoteReference w:id="31"/>
      </w:r>
      <w:r w:rsidRPr="00235532">
        <w:rPr>
          <w:rFonts w:ascii="Cambria" w:hAnsi="Cambria"/>
          <w:color w:val="000000" w:themeColor="text1"/>
        </w:rPr>
        <w:t xml:space="preserve">  </w:t>
      </w:r>
      <w:r w:rsidR="005C508F" w:rsidRPr="00235532">
        <w:rPr>
          <w:rFonts w:ascii="Cambria" w:hAnsi="Cambria"/>
          <w:color w:val="000000" w:themeColor="text1"/>
        </w:rPr>
        <w:t>Unsurprisingly, this lead them to conclude that “there has been no ‘flood of litigation’ or discernible increase in the number, length or complexity of cases being brought before Victorian courts and tribunals as a result of the Victorian Charter”.</w:t>
      </w:r>
      <w:r w:rsidR="005C508F" w:rsidRPr="00235532">
        <w:rPr>
          <w:rStyle w:val="FootnoteReference"/>
          <w:rFonts w:ascii="Cambria" w:hAnsi="Cambria"/>
          <w:color w:val="000000" w:themeColor="text1"/>
        </w:rPr>
        <w:footnoteReference w:id="32"/>
      </w:r>
      <w:r w:rsidR="005C508F" w:rsidRPr="00235532">
        <w:rPr>
          <w:rFonts w:ascii="Cambria" w:hAnsi="Cambria"/>
          <w:color w:val="000000" w:themeColor="text1"/>
        </w:rPr>
        <w:t xml:space="preserve"> </w:t>
      </w:r>
    </w:p>
    <w:p w:rsidR="00AF136E" w:rsidRPr="00235532" w:rsidRDefault="00AF136E" w:rsidP="00AF136E">
      <w:pPr>
        <w:ind w:right="-347"/>
        <w:jc w:val="both"/>
        <w:rPr>
          <w:rFonts w:ascii="Cambria" w:hAnsi="Cambria"/>
          <w:i/>
          <w:iCs/>
          <w:color w:val="000000" w:themeColor="text1"/>
        </w:rPr>
      </w:pPr>
    </w:p>
    <w:p w:rsidR="00235532" w:rsidRPr="00235532" w:rsidRDefault="009A36FC" w:rsidP="00AF136E">
      <w:pPr>
        <w:ind w:right="-347"/>
        <w:jc w:val="both"/>
        <w:rPr>
          <w:rFonts w:ascii="Cambria" w:hAnsi="Cambria"/>
          <w:color w:val="000000" w:themeColor="text1"/>
        </w:rPr>
      </w:pPr>
      <w:r w:rsidRPr="00235532">
        <w:rPr>
          <w:rFonts w:ascii="Cambria" w:hAnsi="Cambria"/>
          <w:color w:val="000000" w:themeColor="text1"/>
        </w:rPr>
        <w:lastRenderedPageBreak/>
        <w:t>In summary,</w:t>
      </w:r>
      <w:r w:rsidR="00AF136E" w:rsidRPr="00235532">
        <w:rPr>
          <w:rFonts w:ascii="Cambria" w:hAnsi="Cambria"/>
          <w:color w:val="000000" w:themeColor="text1"/>
        </w:rPr>
        <w:t xml:space="preserve"> we strongly support the 2007 findings of the TLRI that a Charter of Rights will “develop a human rights conscious culture within Tasmania” in which human rights are considered in a systematic way by both the community and our decision-makers in Parliament. However, </w:t>
      </w:r>
      <w:r w:rsidR="00235532">
        <w:rPr>
          <w:rFonts w:ascii="Cambria" w:hAnsi="Cambria"/>
          <w:color w:val="000000" w:themeColor="text1"/>
        </w:rPr>
        <w:t>we believe that reviews carried out in the Australian Capital Territory and Victoria after the first decade of their respective Acts, highlight</w:t>
      </w:r>
      <w:r w:rsidR="00AF136E" w:rsidRPr="00235532">
        <w:rPr>
          <w:rFonts w:ascii="Cambria" w:hAnsi="Cambria"/>
          <w:color w:val="000000" w:themeColor="text1"/>
        </w:rPr>
        <w:t xml:space="preserve"> some minor changes that should be included which will further strengthen a future Charter of Rights for Tasmania. </w:t>
      </w:r>
    </w:p>
    <w:p w:rsidR="00AF136E" w:rsidRPr="00235532" w:rsidRDefault="00AF136E" w:rsidP="00AF136E">
      <w:pPr>
        <w:ind w:right="-347"/>
        <w:jc w:val="both"/>
        <w:rPr>
          <w:rFonts w:ascii="Cambria" w:hAnsi="Cambria"/>
          <w:color w:val="000000" w:themeColor="text1"/>
          <w:sz w:val="23"/>
          <w:szCs w:val="23"/>
        </w:rPr>
      </w:pPr>
    </w:p>
    <w:p w:rsidR="00AF136E" w:rsidRPr="00235532" w:rsidRDefault="00AF136E" w:rsidP="009A36FC">
      <w:pPr>
        <w:shd w:val="clear" w:color="auto" w:fill="FFFFFF"/>
        <w:ind w:right="-347"/>
        <w:jc w:val="both"/>
        <w:rPr>
          <w:rFonts w:ascii="Cambria" w:hAnsi="Cambria"/>
          <w:bCs/>
          <w:color w:val="000000" w:themeColor="text1"/>
        </w:rPr>
      </w:pPr>
    </w:p>
    <w:p w:rsidR="009A36FC" w:rsidRPr="00235532" w:rsidRDefault="009A36FC" w:rsidP="009A36FC">
      <w:pPr>
        <w:shd w:val="clear" w:color="auto" w:fill="FFFFFF"/>
        <w:ind w:right="-347"/>
        <w:jc w:val="both"/>
        <w:rPr>
          <w:rFonts w:ascii="Cambria" w:hAnsi="Cambria"/>
          <w:bCs/>
          <w:color w:val="000000" w:themeColor="text1"/>
        </w:rPr>
      </w:pPr>
      <w:r w:rsidRPr="00235532">
        <w:rPr>
          <w:rFonts w:ascii="Cambria" w:hAnsi="Cambria"/>
          <w:bCs/>
          <w:color w:val="000000" w:themeColor="text1"/>
        </w:rPr>
        <w:t>Yours faithfully,</w:t>
      </w:r>
    </w:p>
    <w:p w:rsidR="009A36FC" w:rsidRPr="00235532" w:rsidRDefault="009A36FC" w:rsidP="009A36FC">
      <w:pPr>
        <w:shd w:val="clear" w:color="auto" w:fill="FFFFFF"/>
        <w:ind w:right="-347"/>
        <w:jc w:val="both"/>
        <w:rPr>
          <w:rFonts w:ascii="Cambria" w:hAnsi="Cambria"/>
          <w:bCs/>
          <w:color w:val="000000" w:themeColor="text1"/>
        </w:rPr>
      </w:pPr>
    </w:p>
    <w:p w:rsidR="009A36FC" w:rsidRPr="00235532" w:rsidRDefault="009A36FC" w:rsidP="009A36FC">
      <w:pPr>
        <w:shd w:val="clear" w:color="auto" w:fill="FFFFFF"/>
        <w:ind w:right="-347"/>
        <w:jc w:val="both"/>
        <w:rPr>
          <w:rFonts w:ascii="Cambria" w:hAnsi="Cambria"/>
          <w:bCs/>
          <w:color w:val="000000" w:themeColor="text1"/>
        </w:rPr>
      </w:pPr>
    </w:p>
    <w:p w:rsidR="009A36FC" w:rsidRPr="00235532" w:rsidRDefault="009A36FC" w:rsidP="009A36FC">
      <w:pPr>
        <w:shd w:val="clear" w:color="auto" w:fill="FFFFFF"/>
        <w:ind w:right="-347"/>
        <w:jc w:val="both"/>
        <w:rPr>
          <w:rFonts w:ascii="Cambria" w:hAnsi="Cambria"/>
          <w:bCs/>
          <w:color w:val="000000" w:themeColor="text1"/>
        </w:rPr>
      </w:pPr>
    </w:p>
    <w:p w:rsidR="009A36FC" w:rsidRPr="00235532" w:rsidRDefault="009A36FC" w:rsidP="009A36FC">
      <w:pPr>
        <w:shd w:val="clear" w:color="auto" w:fill="FFFFFF"/>
        <w:ind w:right="-347"/>
        <w:jc w:val="both"/>
        <w:rPr>
          <w:rFonts w:ascii="Cambria" w:hAnsi="Cambria"/>
          <w:bCs/>
          <w:color w:val="000000" w:themeColor="text1"/>
        </w:rPr>
      </w:pPr>
      <w:r w:rsidRPr="00235532">
        <w:rPr>
          <w:rFonts w:ascii="Cambria" w:hAnsi="Cambria"/>
          <w:bCs/>
          <w:color w:val="000000" w:themeColor="text1"/>
        </w:rPr>
        <w:t xml:space="preserve">Benedict </w:t>
      </w:r>
      <w:proofErr w:type="spellStart"/>
      <w:r w:rsidRPr="00235532">
        <w:rPr>
          <w:rFonts w:ascii="Cambria" w:hAnsi="Cambria"/>
          <w:bCs/>
          <w:color w:val="000000" w:themeColor="text1"/>
        </w:rPr>
        <w:t>Bartl</w:t>
      </w:r>
      <w:proofErr w:type="spellEnd"/>
    </w:p>
    <w:p w:rsidR="009A36FC" w:rsidRPr="00235532" w:rsidRDefault="00414CC2" w:rsidP="009A36FC">
      <w:pPr>
        <w:shd w:val="clear" w:color="auto" w:fill="FFFFFF"/>
        <w:ind w:right="-347"/>
        <w:jc w:val="both"/>
        <w:rPr>
          <w:rFonts w:ascii="Cambria" w:hAnsi="Cambria"/>
          <w:bCs/>
          <w:color w:val="000000" w:themeColor="text1"/>
        </w:rPr>
      </w:pPr>
      <w:r w:rsidRPr="00235532">
        <w:rPr>
          <w:rFonts w:ascii="Cambria" w:hAnsi="Cambria"/>
          <w:bCs/>
          <w:color w:val="000000" w:themeColor="text1"/>
        </w:rPr>
        <w:t>Policy Officer</w:t>
      </w:r>
    </w:p>
    <w:p w:rsidR="009A36FC" w:rsidRPr="00235532" w:rsidRDefault="00414CC2" w:rsidP="009A36FC">
      <w:pPr>
        <w:pBdr>
          <w:bottom w:val="single" w:sz="6" w:space="1" w:color="auto"/>
        </w:pBdr>
        <w:shd w:val="clear" w:color="auto" w:fill="FFFFFF"/>
        <w:ind w:right="-347"/>
        <w:jc w:val="both"/>
        <w:rPr>
          <w:rFonts w:ascii="Cambria" w:hAnsi="Cambria"/>
          <w:b/>
          <w:bCs/>
          <w:color w:val="000000" w:themeColor="text1"/>
        </w:rPr>
      </w:pPr>
      <w:r w:rsidRPr="00235532">
        <w:rPr>
          <w:rFonts w:ascii="Cambria" w:hAnsi="Cambria"/>
          <w:b/>
          <w:bCs/>
          <w:color w:val="000000" w:themeColor="text1"/>
        </w:rPr>
        <w:t>Community Legal Centres</w:t>
      </w:r>
      <w:r w:rsidR="009A36FC" w:rsidRPr="00235532">
        <w:rPr>
          <w:rFonts w:ascii="Cambria" w:hAnsi="Cambria"/>
          <w:b/>
          <w:bCs/>
          <w:color w:val="000000" w:themeColor="text1"/>
        </w:rPr>
        <w:t xml:space="preserve"> Tasmania</w:t>
      </w:r>
    </w:p>
    <w:p w:rsidR="00503D57" w:rsidRPr="00235532" w:rsidRDefault="00503D57" w:rsidP="00A30122">
      <w:pPr>
        <w:rPr>
          <w:color w:val="000000" w:themeColor="text1"/>
        </w:rPr>
      </w:pPr>
    </w:p>
    <w:p w:rsidR="00DE2C54" w:rsidRPr="00414CC2" w:rsidRDefault="00DE2C54">
      <w:pPr>
        <w:rPr>
          <w:rFonts w:ascii="Calibri" w:hAnsi="Calibri" w:cs="Calibri"/>
          <w:color w:val="201F1E"/>
          <w:sz w:val="22"/>
          <w:szCs w:val="22"/>
        </w:rPr>
      </w:pPr>
    </w:p>
    <w:sectPr w:rsidR="00DE2C54" w:rsidRPr="00414CC2" w:rsidSect="00FE7D54">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5130" w:rsidRDefault="00C75130" w:rsidP="009A36FC">
      <w:r>
        <w:separator/>
      </w:r>
    </w:p>
  </w:endnote>
  <w:endnote w:type="continuationSeparator" w:id="0">
    <w:p w:rsidR="00C75130" w:rsidRDefault="00C75130" w:rsidP="009A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0534531"/>
      <w:docPartObj>
        <w:docPartGallery w:val="Page Numbers (Bottom of Page)"/>
        <w:docPartUnique/>
      </w:docPartObj>
    </w:sdtPr>
    <w:sdtEndPr>
      <w:rPr>
        <w:rStyle w:val="PageNumber"/>
      </w:rPr>
    </w:sdtEndPr>
    <w:sdtContent>
      <w:p w:rsidR="00956E5C" w:rsidRDefault="00956E5C" w:rsidP="00262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56E5C" w:rsidRDefault="00956E5C" w:rsidP="00956E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0851165"/>
      <w:docPartObj>
        <w:docPartGallery w:val="Page Numbers (Bottom of Page)"/>
        <w:docPartUnique/>
      </w:docPartObj>
    </w:sdtPr>
    <w:sdtEndPr>
      <w:rPr>
        <w:rStyle w:val="PageNumber"/>
      </w:rPr>
    </w:sdtEndPr>
    <w:sdtContent>
      <w:p w:rsidR="00956E5C" w:rsidRDefault="00956E5C" w:rsidP="00262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56E5C" w:rsidRDefault="00956E5C" w:rsidP="00956E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5130" w:rsidRDefault="00C75130" w:rsidP="009A36FC">
      <w:r>
        <w:separator/>
      </w:r>
    </w:p>
  </w:footnote>
  <w:footnote w:type="continuationSeparator" w:id="0">
    <w:p w:rsidR="00C75130" w:rsidRDefault="00C75130" w:rsidP="009A36FC">
      <w:r>
        <w:continuationSeparator/>
      </w:r>
    </w:p>
  </w:footnote>
  <w:footnote w:id="1">
    <w:p w:rsidR="009A36FC" w:rsidRPr="00235532" w:rsidRDefault="009A36FC" w:rsidP="009A36FC">
      <w:pPr>
        <w:pStyle w:val="FootnoteText"/>
        <w:rPr>
          <w:rFonts w:ascii="Cambria" w:hAnsi="Cambria"/>
          <w:color w:val="000000" w:themeColor="text1"/>
        </w:rPr>
      </w:pPr>
      <w:r w:rsidRPr="00235532">
        <w:rPr>
          <w:rStyle w:val="FootnoteReference"/>
          <w:rFonts w:ascii="Cambria" w:hAnsi="Cambria"/>
          <w:color w:val="000000" w:themeColor="text1"/>
        </w:rPr>
        <w:footnoteRef/>
      </w:r>
      <w:r w:rsidRPr="00235532">
        <w:rPr>
          <w:rFonts w:ascii="Cambria" w:hAnsi="Cambria"/>
          <w:color w:val="000000" w:themeColor="text1"/>
        </w:rPr>
        <w:t xml:space="preserve"> </w:t>
      </w:r>
      <w:r w:rsidRPr="00235532">
        <w:rPr>
          <w:rFonts w:ascii="Cambria" w:hAnsi="Cambria"/>
          <w:color w:val="000000" w:themeColor="text1"/>
          <w:sz w:val="20"/>
          <w:szCs w:val="20"/>
        </w:rPr>
        <w:t xml:space="preserve">CLC Tas would like to acknowledge Manoj </w:t>
      </w:r>
      <w:proofErr w:type="spellStart"/>
      <w:r w:rsidRPr="00235532">
        <w:rPr>
          <w:rFonts w:ascii="Cambria" w:hAnsi="Cambria"/>
          <w:color w:val="000000" w:themeColor="text1"/>
          <w:sz w:val="20"/>
          <w:szCs w:val="20"/>
        </w:rPr>
        <w:t>Madushanka</w:t>
      </w:r>
      <w:proofErr w:type="spellEnd"/>
      <w:r w:rsidRPr="00235532">
        <w:rPr>
          <w:rFonts w:ascii="Cambria" w:hAnsi="Cambria"/>
          <w:color w:val="000000" w:themeColor="text1"/>
          <w:sz w:val="20"/>
          <w:szCs w:val="20"/>
        </w:rPr>
        <w:t xml:space="preserve"> who assisted in the preparation of this response.</w:t>
      </w:r>
      <w:r w:rsidRPr="00235532">
        <w:rPr>
          <w:rFonts w:ascii="Cambria" w:hAnsi="Cambria"/>
          <w:color w:val="000000" w:themeColor="text1"/>
        </w:rPr>
        <w:t xml:space="preserve"> </w:t>
      </w:r>
    </w:p>
  </w:footnote>
  <w:footnote w:id="2">
    <w:p w:rsidR="006D4614" w:rsidRPr="00235532" w:rsidRDefault="006D4614">
      <w:pPr>
        <w:pStyle w:val="FootnoteText"/>
        <w:rPr>
          <w:rFonts w:ascii="Cambria" w:hAnsi="Cambria"/>
          <w:color w:val="000000" w:themeColor="text1"/>
        </w:rPr>
      </w:pPr>
      <w:r w:rsidRPr="00235532">
        <w:rPr>
          <w:rStyle w:val="FootnoteReference"/>
          <w:rFonts w:ascii="Cambria" w:hAnsi="Cambria"/>
          <w:color w:val="000000" w:themeColor="text1"/>
        </w:rPr>
        <w:footnoteRef/>
      </w:r>
      <w:r w:rsidRPr="00235532">
        <w:rPr>
          <w:rFonts w:ascii="Cambria" w:hAnsi="Cambria"/>
          <w:color w:val="000000" w:themeColor="text1"/>
        </w:rPr>
        <w:t xml:space="preserve"> </w:t>
      </w:r>
      <w:r w:rsidRPr="00235532">
        <w:rPr>
          <w:rFonts w:ascii="Cambria" w:hAnsi="Cambria"/>
          <w:color w:val="000000" w:themeColor="text1"/>
          <w:sz w:val="20"/>
          <w:szCs w:val="20"/>
        </w:rPr>
        <w:t xml:space="preserve">Tasmania Law Reform Institute, ‘Charter of Rights Recommended for Tasmania’, University of Tasmania Media Release, Friday 12 October 2007. As found at </w:t>
      </w:r>
      <w:hyperlink r:id="rId1" w:history="1">
        <w:r w:rsidRPr="00AF136E">
          <w:rPr>
            <w:rStyle w:val="Hyperlink"/>
            <w:rFonts w:ascii="Cambria" w:hAnsi="Cambria"/>
            <w:sz w:val="20"/>
            <w:szCs w:val="20"/>
          </w:rPr>
          <w:t>https://www.utas.edu.au/__data/assets/pdf_file/0005/283730/Human_rightsfinalversion_media.pdf</w:t>
        </w:r>
      </w:hyperlink>
      <w:r w:rsidRPr="00AF136E">
        <w:rPr>
          <w:rFonts w:ascii="Cambria" w:hAnsi="Cambria"/>
          <w:sz w:val="20"/>
          <w:szCs w:val="20"/>
        </w:rPr>
        <w:t xml:space="preserve"> </w:t>
      </w:r>
      <w:r w:rsidRPr="00235532">
        <w:rPr>
          <w:rFonts w:ascii="Cambria" w:hAnsi="Cambria"/>
          <w:color w:val="000000" w:themeColor="text1"/>
          <w:sz w:val="20"/>
          <w:szCs w:val="20"/>
        </w:rPr>
        <w:t xml:space="preserve">(Accessed 20 November 2020). </w:t>
      </w:r>
      <w:r w:rsidRPr="00235532">
        <w:rPr>
          <w:rFonts w:ascii="Cambria" w:hAnsi="Cambria"/>
          <w:color w:val="000000" w:themeColor="text1"/>
        </w:rPr>
        <w:t xml:space="preserve">  </w:t>
      </w:r>
    </w:p>
  </w:footnote>
  <w:footnote w:id="3">
    <w:p w:rsidR="00DE2C54" w:rsidRPr="00AF136E" w:rsidRDefault="00DE2C54">
      <w:pPr>
        <w:pStyle w:val="FootnoteText"/>
        <w:rPr>
          <w:rFonts w:ascii="Cambria" w:hAnsi="Cambria"/>
        </w:rPr>
      </w:pPr>
      <w:r w:rsidRPr="00235532">
        <w:rPr>
          <w:rStyle w:val="FootnoteReference"/>
          <w:rFonts w:ascii="Cambria" w:hAnsi="Cambria"/>
          <w:color w:val="000000" w:themeColor="text1"/>
        </w:rPr>
        <w:footnoteRef/>
      </w:r>
      <w:r w:rsidRPr="00235532">
        <w:rPr>
          <w:rFonts w:ascii="Cambria" w:hAnsi="Cambria"/>
          <w:color w:val="000000" w:themeColor="text1"/>
        </w:rPr>
        <w:t xml:space="preserve"> </w:t>
      </w:r>
      <w:r w:rsidRPr="00235532">
        <w:rPr>
          <w:rFonts w:ascii="Cambria" w:hAnsi="Cambria"/>
          <w:color w:val="000000" w:themeColor="text1"/>
          <w:sz w:val="20"/>
          <w:szCs w:val="20"/>
        </w:rPr>
        <w:t xml:space="preserve">Tasmania Law Reform Institute, </w:t>
      </w:r>
      <w:r w:rsidRPr="00235532">
        <w:rPr>
          <w:rFonts w:ascii="Cambria" w:hAnsi="Cambria"/>
          <w:i/>
          <w:iCs/>
          <w:color w:val="000000" w:themeColor="text1"/>
          <w:sz w:val="20"/>
          <w:szCs w:val="20"/>
        </w:rPr>
        <w:t>A Charter of Rights for Tasmania</w:t>
      </w:r>
      <w:r w:rsidRPr="00235532">
        <w:rPr>
          <w:rFonts w:ascii="Cambria" w:hAnsi="Cambria"/>
          <w:color w:val="000000" w:themeColor="text1"/>
          <w:sz w:val="20"/>
          <w:szCs w:val="20"/>
        </w:rPr>
        <w:t xml:space="preserve"> (Final Report No. 10: October 2007) at 16.</w:t>
      </w:r>
      <w:r w:rsidRPr="00235532">
        <w:rPr>
          <w:rFonts w:ascii="Cambria" w:hAnsi="Cambria"/>
          <w:color w:val="000000" w:themeColor="text1"/>
        </w:rPr>
        <w:t xml:space="preserve"> </w:t>
      </w:r>
    </w:p>
  </w:footnote>
  <w:footnote w:id="4">
    <w:p w:rsidR="00E30699" w:rsidRPr="00235532" w:rsidRDefault="00E30699" w:rsidP="00E30699">
      <w:pPr>
        <w:pStyle w:val="FootnoteText"/>
        <w:rPr>
          <w:rFonts w:ascii="Cambria" w:hAnsi="Cambria"/>
          <w:color w:val="000000" w:themeColor="text1"/>
        </w:rPr>
      </w:pPr>
      <w:r w:rsidRPr="00235532">
        <w:rPr>
          <w:rStyle w:val="FootnoteReference"/>
          <w:rFonts w:ascii="Cambria" w:hAnsi="Cambria"/>
          <w:color w:val="000000" w:themeColor="text1"/>
        </w:rPr>
        <w:footnoteRef/>
      </w:r>
      <w:r w:rsidRPr="00235532">
        <w:rPr>
          <w:rFonts w:ascii="Cambria" w:hAnsi="Cambria"/>
          <w:color w:val="000000" w:themeColor="text1"/>
        </w:rPr>
        <w:t xml:space="preserve"> </w:t>
      </w:r>
      <w:r w:rsidRPr="00235532">
        <w:rPr>
          <w:rFonts w:ascii="Cambria" w:hAnsi="Cambria"/>
          <w:color w:val="000000" w:themeColor="text1"/>
          <w:sz w:val="20"/>
          <w:szCs w:val="20"/>
        </w:rPr>
        <w:t xml:space="preserve">Ibid.  </w:t>
      </w:r>
      <w:r w:rsidRPr="00235532">
        <w:rPr>
          <w:rFonts w:ascii="Cambria" w:hAnsi="Cambria"/>
          <w:color w:val="000000" w:themeColor="text1"/>
        </w:rPr>
        <w:t xml:space="preserve">  </w:t>
      </w:r>
    </w:p>
  </w:footnote>
  <w:footnote w:id="5">
    <w:p w:rsidR="00DE2C54" w:rsidRPr="00235532" w:rsidRDefault="00DE2C54">
      <w:pPr>
        <w:pStyle w:val="FootnoteText"/>
        <w:rPr>
          <w:rFonts w:ascii="Cambria" w:hAnsi="Cambria"/>
          <w:color w:val="000000" w:themeColor="text1"/>
        </w:rPr>
      </w:pPr>
      <w:r w:rsidRPr="00235532">
        <w:rPr>
          <w:rStyle w:val="FootnoteReference"/>
          <w:rFonts w:ascii="Cambria" w:hAnsi="Cambria"/>
          <w:color w:val="000000" w:themeColor="text1"/>
        </w:rPr>
        <w:footnoteRef/>
      </w:r>
      <w:r w:rsidRPr="00235532">
        <w:rPr>
          <w:rFonts w:ascii="Cambria" w:hAnsi="Cambria"/>
          <w:color w:val="000000" w:themeColor="text1"/>
        </w:rPr>
        <w:t xml:space="preserve"> </w:t>
      </w:r>
      <w:r w:rsidRPr="00235532">
        <w:rPr>
          <w:rFonts w:ascii="Cambria" w:hAnsi="Cambria"/>
          <w:color w:val="000000" w:themeColor="text1"/>
          <w:sz w:val="20"/>
          <w:szCs w:val="20"/>
        </w:rPr>
        <w:t xml:space="preserve">Tasmania Law Reform Institute, </w:t>
      </w:r>
      <w:r w:rsidRPr="00235532">
        <w:rPr>
          <w:rFonts w:ascii="Cambria" w:hAnsi="Cambria"/>
          <w:i/>
          <w:iCs/>
          <w:color w:val="000000" w:themeColor="text1"/>
          <w:sz w:val="20"/>
          <w:szCs w:val="20"/>
        </w:rPr>
        <w:t>A Charter of Rights for Tasmania</w:t>
      </w:r>
      <w:r w:rsidRPr="00235532">
        <w:rPr>
          <w:rFonts w:ascii="Cambria" w:hAnsi="Cambria"/>
          <w:color w:val="000000" w:themeColor="text1"/>
          <w:sz w:val="20"/>
          <w:szCs w:val="20"/>
        </w:rPr>
        <w:t xml:space="preserve"> (Final Report No. 10: October 2007) at 55.</w:t>
      </w:r>
    </w:p>
  </w:footnote>
  <w:footnote w:id="6">
    <w:p w:rsidR="00351D35" w:rsidRPr="00235532" w:rsidRDefault="00351D35">
      <w:pPr>
        <w:pStyle w:val="FootnoteText"/>
        <w:rPr>
          <w:rFonts w:ascii="Cambria" w:hAnsi="Cambria"/>
          <w:color w:val="000000" w:themeColor="text1"/>
        </w:rPr>
      </w:pPr>
      <w:r w:rsidRPr="00235532">
        <w:rPr>
          <w:rStyle w:val="FootnoteReference"/>
          <w:rFonts w:ascii="Cambria" w:hAnsi="Cambria"/>
          <w:color w:val="000000" w:themeColor="text1"/>
        </w:rPr>
        <w:footnoteRef/>
      </w:r>
      <w:r w:rsidRPr="00235532">
        <w:rPr>
          <w:rFonts w:ascii="Cambria" w:hAnsi="Cambria"/>
          <w:color w:val="000000" w:themeColor="text1"/>
        </w:rPr>
        <w:t xml:space="preserve"> </w:t>
      </w:r>
      <w:r w:rsidR="0088083C">
        <w:rPr>
          <w:rFonts w:ascii="Cambria" w:hAnsi="Cambria"/>
          <w:color w:val="000000" w:themeColor="text1"/>
          <w:sz w:val="20"/>
          <w:szCs w:val="20"/>
        </w:rPr>
        <w:t>Ibid</w:t>
      </w:r>
      <w:r w:rsidRPr="00235532">
        <w:rPr>
          <w:rFonts w:ascii="Cambria" w:hAnsi="Cambria"/>
          <w:color w:val="000000" w:themeColor="text1"/>
          <w:sz w:val="20"/>
          <w:szCs w:val="20"/>
        </w:rPr>
        <w:t>.</w:t>
      </w:r>
    </w:p>
  </w:footnote>
  <w:footnote w:id="7">
    <w:p w:rsidR="002C74C8" w:rsidRPr="00235532" w:rsidRDefault="002C74C8" w:rsidP="002C74C8">
      <w:pPr>
        <w:rPr>
          <w:rFonts w:ascii="Cambria" w:hAnsi="Cambria"/>
          <w:color w:val="000000" w:themeColor="text1"/>
        </w:rPr>
      </w:pPr>
      <w:r w:rsidRPr="00235532">
        <w:rPr>
          <w:rStyle w:val="FootnoteReference"/>
          <w:rFonts w:ascii="Cambria" w:hAnsi="Cambria"/>
          <w:color w:val="000000" w:themeColor="text1"/>
        </w:rPr>
        <w:footnoteRef/>
      </w:r>
      <w:r w:rsidRPr="00235532">
        <w:rPr>
          <w:rFonts w:ascii="Cambria" w:hAnsi="Cambria"/>
          <w:color w:val="000000" w:themeColor="text1"/>
        </w:rPr>
        <w:t xml:space="preserve"> </w:t>
      </w:r>
      <w:r w:rsidRPr="00235532">
        <w:rPr>
          <w:rFonts w:ascii="Cambria" w:hAnsi="Cambria"/>
          <w:color w:val="000000" w:themeColor="text1"/>
          <w:sz w:val="20"/>
          <w:szCs w:val="20"/>
        </w:rPr>
        <w:t xml:space="preserve">Article 26 of the </w:t>
      </w:r>
      <w:r w:rsidRPr="00235532">
        <w:rPr>
          <w:rFonts w:ascii="Cambria" w:hAnsi="Cambria"/>
          <w:i/>
          <w:iCs/>
          <w:color w:val="000000" w:themeColor="text1"/>
          <w:sz w:val="20"/>
          <w:szCs w:val="20"/>
        </w:rPr>
        <w:t>International Covenant on Civil and Political Rights</w:t>
      </w:r>
      <w:r w:rsidRPr="00235532">
        <w:rPr>
          <w:rFonts w:ascii="Cambria" w:hAnsi="Cambria"/>
          <w:color w:val="000000" w:themeColor="text1"/>
          <w:sz w:val="20"/>
          <w:szCs w:val="20"/>
        </w:rPr>
        <w:t xml:space="preserve"> provides that no person shall be discriminated against on the grounds of sexual orientation. </w:t>
      </w:r>
      <w:r w:rsidR="0088083C">
        <w:rPr>
          <w:rFonts w:ascii="Cambria" w:hAnsi="Cambria"/>
          <w:color w:val="000000" w:themeColor="text1"/>
          <w:sz w:val="20"/>
          <w:szCs w:val="20"/>
        </w:rPr>
        <w:t xml:space="preserve">In </w:t>
      </w:r>
      <w:r w:rsidRPr="00235532">
        <w:rPr>
          <w:rFonts w:ascii="Cambria" w:hAnsi="Cambria"/>
          <w:color w:val="000000" w:themeColor="text1"/>
          <w:sz w:val="20"/>
          <w:szCs w:val="20"/>
          <w:shd w:val="clear" w:color="auto" w:fill="FFFFFF"/>
        </w:rPr>
        <w:t>Tasmania</w:t>
      </w:r>
      <w:r w:rsidR="0088083C">
        <w:rPr>
          <w:rFonts w:ascii="Cambria" w:hAnsi="Cambria"/>
          <w:color w:val="000000" w:themeColor="text1"/>
          <w:sz w:val="20"/>
          <w:szCs w:val="20"/>
          <w:shd w:val="clear" w:color="auto" w:fill="FFFFFF"/>
        </w:rPr>
        <w:t xml:space="preserve"> see </w:t>
      </w:r>
      <w:r w:rsidRPr="00235532">
        <w:rPr>
          <w:rFonts w:ascii="Cambria" w:hAnsi="Cambria"/>
          <w:color w:val="000000" w:themeColor="text1"/>
          <w:sz w:val="20"/>
          <w:szCs w:val="20"/>
        </w:rPr>
        <w:t xml:space="preserve">the Anti-Discrimination Commissioner, </w:t>
      </w:r>
      <w:r w:rsidRPr="00235532">
        <w:rPr>
          <w:rFonts w:ascii="Cambria" w:hAnsi="Cambria"/>
          <w:i/>
          <w:iCs/>
          <w:color w:val="000000" w:themeColor="text1"/>
          <w:sz w:val="20"/>
          <w:szCs w:val="20"/>
        </w:rPr>
        <w:t>Treatment of historic criminal records for consensual homosexual sexual activity and related conduct</w:t>
      </w:r>
      <w:r w:rsidRPr="00235532">
        <w:rPr>
          <w:rFonts w:ascii="Cambria" w:hAnsi="Cambria"/>
          <w:color w:val="000000" w:themeColor="text1"/>
          <w:sz w:val="20"/>
          <w:szCs w:val="20"/>
        </w:rPr>
        <w:t xml:space="preserve"> (April 2015) and</w:t>
      </w:r>
      <w:r w:rsidR="0088083C">
        <w:rPr>
          <w:rFonts w:ascii="Cambria" w:hAnsi="Cambria"/>
          <w:color w:val="000000" w:themeColor="text1"/>
          <w:sz w:val="20"/>
          <w:szCs w:val="20"/>
        </w:rPr>
        <w:t xml:space="preserve"> </w:t>
      </w:r>
      <w:r w:rsidRPr="00235532">
        <w:rPr>
          <w:rFonts w:ascii="Cambria" w:hAnsi="Cambria"/>
          <w:color w:val="000000" w:themeColor="text1"/>
          <w:sz w:val="20"/>
          <w:szCs w:val="20"/>
        </w:rPr>
        <w:t xml:space="preserve">the </w:t>
      </w:r>
      <w:r w:rsidRPr="00235532">
        <w:rPr>
          <w:rStyle w:val="Emphasis"/>
          <w:rFonts w:ascii="Cambria" w:hAnsi="Cambria"/>
          <w:color w:val="000000" w:themeColor="text1"/>
          <w:sz w:val="20"/>
          <w:szCs w:val="20"/>
          <w:shd w:val="clear" w:color="auto" w:fill="FFFFFF"/>
        </w:rPr>
        <w:t>Expungement of Historical Offences Bill 2017</w:t>
      </w:r>
      <w:r w:rsidRPr="00235532">
        <w:rPr>
          <w:rFonts w:ascii="Cambria" w:hAnsi="Cambria"/>
          <w:color w:val="000000" w:themeColor="text1"/>
          <w:sz w:val="20"/>
          <w:szCs w:val="20"/>
          <w:shd w:val="clear" w:color="auto" w:fill="FFFFFF"/>
        </w:rPr>
        <w:t xml:space="preserve"> (Tas). </w:t>
      </w:r>
      <w:r w:rsidRPr="00235532">
        <w:rPr>
          <w:rFonts w:ascii="Cambria" w:hAnsi="Cambria"/>
          <w:color w:val="000000" w:themeColor="text1"/>
        </w:rPr>
        <w:t xml:space="preserve"> </w:t>
      </w:r>
    </w:p>
  </w:footnote>
  <w:footnote w:id="8">
    <w:p w:rsidR="002C74C8" w:rsidRPr="00AF136E" w:rsidRDefault="002C74C8" w:rsidP="002C74C8">
      <w:pPr>
        <w:rPr>
          <w:rFonts w:ascii="Cambria" w:hAnsi="Cambria"/>
        </w:rPr>
      </w:pPr>
      <w:r w:rsidRPr="00235532">
        <w:rPr>
          <w:rStyle w:val="FootnoteReference"/>
          <w:rFonts w:ascii="Cambria" w:hAnsi="Cambria"/>
          <w:color w:val="000000" w:themeColor="text1"/>
        </w:rPr>
        <w:footnoteRef/>
      </w:r>
      <w:r w:rsidRPr="00235532">
        <w:rPr>
          <w:rFonts w:ascii="Cambria" w:hAnsi="Cambria"/>
          <w:color w:val="000000" w:themeColor="text1"/>
        </w:rPr>
        <w:t xml:space="preserve"> </w:t>
      </w:r>
      <w:r w:rsidRPr="00235532">
        <w:rPr>
          <w:rFonts w:ascii="Cambria" w:hAnsi="Cambria"/>
          <w:color w:val="000000" w:themeColor="text1"/>
          <w:sz w:val="20"/>
          <w:szCs w:val="20"/>
        </w:rPr>
        <w:t xml:space="preserve">Article 10(3) of the </w:t>
      </w:r>
      <w:r w:rsidRPr="00235532">
        <w:rPr>
          <w:rFonts w:ascii="Cambria" w:hAnsi="Cambria"/>
          <w:i/>
          <w:iCs/>
          <w:color w:val="000000" w:themeColor="text1"/>
          <w:sz w:val="20"/>
          <w:szCs w:val="20"/>
        </w:rPr>
        <w:t>International Covenant on Civil and Political Rights</w:t>
      </w:r>
      <w:r w:rsidRPr="00235532">
        <w:rPr>
          <w:rFonts w:ascii="Cambria" w:hAnsi="Cambria"/>
          <w:color w:val="000000" w:themeColor="text1"/>
          <w:sz w:val="20"/>
          <w:szCs w:val="20"/>
        </w:rPr>
        <w:t xml:space="preserve"> provides that “[t]</w:t>
      </w:r>
      <w:r w:rsidRPr="00235532">
        <w:rPr>
          <w:rFonts w:ascii="Cambria" w:hAnsi="Cambria"/>
          <w:color w:val="000000" w:themeColor="text1"/>
          <w:sz w:val="20"/>
          <w:szCs w:val="20"/>
          <w:shd w:val="clear" w:color="auto" w:fill="FFFFFF"/>
        </w:rPr>
        <w:t xml:space="preserve">he penitentiary system shall comprise treatment of prisoners the essential aim of which shall be their reformation and social rehabilitation”. </w:t>
      </w:r>
      <w:r w:rsidR="009F1CD7">
        <w:rPr>
          <w:rFonts w:ascii="Cambria" w:hAnsi="Cambria"/>
          <w:color w:val="000000" w:themeColor="text1"/>
          <w:sz w:val="20"/>
          <w:szCs w:val="20"/>
          <w:shd w:val="clear" w:color="auto" w:fill="FFFFFF"/>
        </w:rPr>
        <w:t xml:space="preserve">In </w:t>
      </w:r>
      <w:r w:rsidRPr="00235532">
        <w:rPr>
          <w:rFonts w:ascii="Cambria" w:hAnsi="Cambria"/>
          <w:color w:val="000000" w:themeColor="text1"/>
          <w:sz w:val="20"/>
          <w:szCs w:val="20"/>
          <w:shd w:val="clear" w:color="auto" w:fill="FFFFFF"/>
        </w:rPr>
        <w:t xml:space="preserve">Tasmania </w:t>
      </w:r>
      <w:r w:rsidR="009F1CD7">
        <w:rPr>
          <w:rFonts w:ascii="Cambria" w:hAnsi="Cambria"/>
          <w:color w:val="000000" w:themeColor="text1"/>
          <w:sz w:val="20"/>
          <w:szCs w:val="20"/>
          <w:shd w:val="clear" w:color="auto" w:fill="FFFFFF"/>
        </w:rPr>
        <w:t>see</w:t>
      </w:r>
      <w:r w:rsidRPr="00235532">
        <w:rPr>
          <w:rFonts w:ascii="Cambria" w:hAnsi="Cambria"/>
          <w:color w:val="000000" w:themeColor="text1"/>
          <w:sz w:val="20"/>
          <w:szCs w:val="20"/>
          <w:shd w:val="clear" w:color="auto" w:fill="FFFFFF"/>
        </w:rPr>
        <w:t xml:space="preserve"> the Sentencing Advisory Council, </w:t>
      </w:r>
      <w:r w:rsidRPr="00235532">
        <w:rPr>
          <w:rStyle w:val="Emphasis"/>
          <w:rFonts w:ascii="Cambria" w:hAnsi="Cambria"/>
          <w:color w:val="000000" w:themeColor="text1"/>
          <w:sz w:val="20"/>
          <w:szCs w:val="20"/>
          <w:shd w:val="clear" w:color="auto" w:fill="FFFFFF"/>
        </w:rPr>
        <w:t>Phasing out Suspended Sentences</w:t>
      </w:r>
      <w:r w:rsidRPr="00235532">
        <w:rPr>
          <w:rFonts w:ascii="Cambria" w:hAnsi="Cambria"/>
          <w:color w:val="000000" w:themeColor="text1"/>
          <w:sz w:val="20"/>
          <w:szCs w:val="20"/>
          <w:shd w:val="clear" w:color="auto" w:fill="FFFFFF"/>
        </w:rPr>
        <w:t> Final Report (March 2016) and</w:t>
      </w:r>
      <w:r w:rsidR="009F1CD7">
        <w:rPr>
          <w:rFonts w:ascii="Cambria" w:hAnsi="Cambria"/>
          <w:color w:val="000000" w:themeColor="text1"/>
          <w:sz w:val="20"/>
          <w:szCs w:val="20"/>
          <w:shd w:val="clear" w:color="auto" w:fill="FFFFFF"/>
        </w:rPr>
        <w:t xml:space="preserve"> </w:t>
      </w:r>
      <w:r w:rsidRPr="00235532">
        <w:rPr>
          <w:rFonts w:ascii="Cambria" w:hAnsi="Cambria"/>
          <w:color w:val="000000" w:themeColor="text1"/>
          <w:sz w:val="20"/>
          <w:szCs w:val="20"/>
          <w:shd w:val="clear" w:color="auto" w:fill="FFFFFF"/>
        </w:rPr>
        <w:t xml:space="preserve">the </w:t>
      </w:r>
      <w:r w:rsidRPr="00235532">
        <w:rPr>
          <w:rFonts w:ascii="Cambria" w:hAnsi="Cambria"/>
          <w:i/>
          <w:iCs/>
          <w:color w:val="000000" w:themeColor="text1"/>
          <w:sz w:val="20"/>
          <w:szCs w:val="20"/>
          <w:shd w:val="clear" w:color="auto" w:fill="FFFFFF"/>
        </w:rPr>
        <w:t>Sentencing Legislation Amendment Bill 2016</w:t>
      </w:r>
      <w:r w:rsidRPr="00235532">
        <w:rPr>
          <w:rFonts w:ascii="Cambria" w:hAnsi="Cambria"/>
          <w:color w:val="000000" w:themeColor="text1"/>
          <w:sz w:val="20"/>
          <w:szCs w:val="20"/>
          <w:shd w:val="clear" w:color="auto" w:fill="FFFFFF"/>
        </w:rPr>
        <w:t xml:space="preserve"> (Tas).   </w:t>
      </w:r>
    </w:p>
  </w:footnote>
  <w:footnote w:id="9">
    <w:p w:rsidR="002C74C8" w:rsidRPr="00AF136E" w:rsidRDefault="002C74C8" w:rsidP="002C74C8">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color w:val="000000" w:themeColor="text1"/>
          <w:sz w:val="20"/>
          <w:szCs w:val="20"/>
        </w:rPr>
        <w:t xml:space="preserve">Article 3 of the </w:t>
      </w:r>
      <w:r w:rsidRPr="00AF136E">
        <w:rPr>
          <w:rFonts w:ascii="Cambria" w:hAnsi="Cambria"/>
          <w:i/>
          <w:iCs/>
          <w:color w:val="000000" w:themeColor="text1"/>
          <w:sz w:val="20"/>
          <w:szCs w:val="20"/>
        </w:rPr>
        <w:t>International Covenant on Civil and Political Rights</w:t>
      </w:r>
      <w:r w:rsidRPr="00AF136E">
        <w:rPr>
          <w:rFonts w:ascii="Cambria" w:hAnsi="Cambria"/>
          <w:color w:val="000000" w:themeColor="text1"/>
          <w:sz w:val="20"/>
          <w:szCs w:val="20"/>
        </w:rPr>
        <w:t xml:space="preserve"> provides that “everyone has the right to life”. Also see the </w:t>
      </w:r>
      <w:r w:rsidRPr="00AF136E">
        <w:rPr>
          <w:rFonts w:ascii="Cambria" w:hAnsi="Cambria" w:cs="Arial"/>
          <w:i/>
          <w:iCs/>
          <w:color w:val="000000" w:themeColor="text1"/>
          <w:sz w:val="20"/>
          <w:szCs w:val="20"/>
        </w:rPr>
        <w:t>Police Offences Amendment (Repeal of Begging) Bill 2019</w:t>
      </w:r>
      <w:r w:rsidRPr="00AF136E">
        <w:rPr>
          <w:rFonts w:ascii="Cambria" w:hAnsi="Cambria" w:cs="Arial"/>
          <w:color w:val="000000" w:themeColor="text1"/>
          <w:sz w:val="20"/>
          <w:szCs w:val="20"/>
        </w:rPr>
        <w:t xml:space="preserve"> (Tas).</w:t>
      </w:r>
      <w:r w:rsidRPr="00AF136E">
        <w:rPr>
          <w:rFonts w:ascii="Cambria" w:hAnsi="Cambria" w:cs="Arial"/>
          <w:color w:val="000000" w:themeColor="text1"/>
        </w:rPr>
        <w:t xml:space="preserve"> </w:t>
      </w:r>
    </w:p>
  </w:footnote>
  <w:footnote w:id="10">
    <w:p w:rsidR="002C74C8" w:rsidRPr="00AF136E" w:rsidRDefault="002C74C8" w:rsidP="002C74C8">
      <w:pPr>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color w:val="000000" w:themeColor="text1"/>
          <w:sz w:val="20"/>
          <w:szCs w:val="20"/>
        </w:rPr>
        <w:t xml:space="preserve">Principle 1 of the </w:t>
      </w:r>
      <w:r w:rsidRPr="00AF136E">
        <w:rPr>
          <w:rFonts w:ascii="Cambria" w:hAnsi="Cambria"/>
          <w:i/>
          <w:color w:val="000000" w:themeColor="text1"/>
          <w:sz w:val="20"/>
          <w:szCs w:val="20"/>
        </w:rPr>
        <w:t>Yogyakarta Principles</w:t>
      </w:r>
      <w:r w:rsidRPr="00AF136E">
        <w:rPr>
          <w:rFonts w:ascii="Cambria" w:hAnsi="Cambria"/>
          <w:color w:val="000000" w:themeColor="text1"/>
          <w:sz w:val="20"/>
          <w:szCs w:val="20"/>
        </w:rPr>
        <w:t xml:space="preserve"> </w:t>
      </w:r>
      <w:r w:rsidRPr="00AF136E">
        <w:rPr>
          <w:rFonts w:ascii="Cambria" w:hAnsi="Cambria"/>
          <w:i/>
          <w:color w:val="000000" w:themeColor="text1"/>
          <w:sz w:val="20"/>
          <w:szCs w:val="20"/>
        </w:rPr>
        <w:t>on the application of international human rights law in relation to sexual orientation and gender identity</w:t>
      </w:r>
      <w:r w:rsidRPr="00AF136E">
        <w:rPr>
          <w:rFonts w:ascii="Cambria" w:hAnsi="Cambria"/>
          <w:color w:val="000000" w:themeColor="text1"/>
          <w:sz w:val="20"/>
          <w:szCs w:val="20"/>
        </w:rPr>
        <w:t xml:space="preserve"> provides that “</w:t>
      </w:r>
      <w:r w:rsidRPr="00AF136E">
        <w:rPr>
          <w:rFonts w:ascii="Cambria" w:hAnsi="Cambria"/>
          <w:color w:val="000000" w:themeColor="text1"/>
          <w:sz w:val="20"/>
          <w:szCs w:val="20"/>
          <w:shd w:val="clear" w:color="auto" w:fill="FFFFFF"/>
        </w:rPr>
        <w:t>All human beings are born free and equal in dignity and rights. Human beings of all sexual orientations and gender identities are entitled to the full enjoyment of all human rights.</w:t>
      </w:r>
      <w:r w:rsidRPr="00AF136E">
        <w:rPr>
          <w:rFonts w:ascii="Cambria" w:hAnsi="Cambria"/>
          <w:color w:val="000000" w:themeColor="text1"/>
          <w:sz w:val="20"/>
          <w:szCs w:val="20"/>
        </w:rPr>
        <w:t xml:space="preserve">”. </w:t>
      </w:r>
      <w:r w:rsidR="009F1CD7">
        <w:rPr>
          <w:rFonts w:ascii="Cambria" w:hAnsi="Cambria"/>
          <w:color w:val="000000" w:themeColor="text1"/>
          <w:sz w:val="20"/>
          <w:szCs w:val="20"/>
        </w:rPr>
        <w:t>In Tasmania</w:t>
      </w:r>
      <w:r w:rsidRPr="00AF136E">
        <w:rPr>
          <w:rFonts w:ascii="Cambria" w:hAnsi="Cambria"/>
          <w:color w:val="000000" w:themeColor="text1"/>
          <w:sz w:val="20"/>
          <w:szCs w:val="20"/>
        </w:rPr>
        <w:t xml:space="preserve"> </w:t>
      </w:r>
      <w:r w:rsidR="009F1CD7">
        <w:rPr>
          <w:rFonts w:ascii="Cambria" w:hAnsi="Cambria"/>
          <w:color w:val="000000" w:themeColor="text1"/>
          <w:sz w:val="20"/>
          <w:szCs w:val="20"/>
        </w:rPr>
        <w:t xml:space="preserve">see </w:t>
      </w:r>
      <w:r w:rsidRPr="00AF136E">
        <w:rPr>
          <w:rFonts w:ascii="Cambria" w:hAnsi="Cambria"/>
          <w:color w:val="000000" w:themeColor="text1"/>
          <w:sz w:val="20"/>
          <w:szCs w:val="20"/>
        </w:rPr>
        <w:t xml:space="preserve">the Anti-Discrimination Commissioner, </w:t>
      </w:r>
      <w:r w:rsidRPr="00AF136E">
        <w:rPr>
          <w:rFonts w:ascii="Cambria" w:hAnsi="Cambria"/>
          <w:i/>
          <w:iCs/>
          <w:color w:val="000000" w:themeColor="text1"/>
          <w:sz w:val="20"/>
          <w:szCs w:val="20"/>
        </w:rPr>
        <w:t xml:space="preserve">Legal recognition of sex and gender diversity in Tasmania: Options for amendments to the Births, Deaths and Marriages Registration Act 1999 </w:t>
      </w:r>
      <w:r w:rsidRPr="00AF136E">
        <w:rPr>
          <w:rFonts w:ascii="Cambria" w:hAnsi="Cambria"/>
          <w:color w:val="000000" w:themeColor="text1"/>
          <w:sz w:val="20"/>
          <w:szCs w:val="20"/>
        </w:rPr>
        <w:t>(February 2016) and the</w:t>
      </w:r>
      <w:r w:rsidR="009F1CD7">
        <w:rPr>
          <w:rFonts w:ascii="Cambria" w:hAnsi="Cambria"/>
          <w:color w:val="000000" w:themeColor="text1"/>
          <w:sz w:val="20"/>
          <w:szCs w:val="20"/>
        </w:rPr>
        <w:t xml:space="preserve"> </w:t>
      </w:r>
      <w:r w:rsidRPr="00AF136E">
        <w:rPr>
          <w:rStyle w:val="Emphasis"/>
          <w:rFonts w:ascii="Cambria" w:hAnsi="Cambria"/>
          <w:color w:val="000000" w:themeColor="text1"/>
          <w:sz w:val="20"/>
          <w:szCs w:val="20"/>
          <w:shd w:val="clear" w:color="auto" w:fill="FFFFFF"/>
        </w:rPr>
        <w:t>Justice and Related Legislation (Marriage and Gender Amendments) Bill 2019</w:t>
      </w:r>
      <w:r w:rsidRPr="00AF136E">
        <w:rPr>
          <w:rFonts w:ascii="Cambria" w:hAnsi="Cambria"/>
          <w:color w:val="000000" w:themeColor="text1"/>
          <w:sz w:val="20"/>
          <w:szCs w:val="20"/>
          <w:shd w:val="clear" w:color="auto" w:fill="FFFFFF"/>
        </w:rPr>
        <w:t xml:space="preserve"> (Tas). </w:t>
      </w:r>
      <w:r w:rsidRPr="00AF136E">
        <w:rPr>
          <w:rFonts w:ascii="Cambria" w:hAnsi="Cambria"/>
          <w:color w:val="000000" w:themeColor="text1"/>
        </w:rPr>
        <w:t xml:space="preserve"> </w:t>
      </w:r>
    </w:p>
  </w:footnote>
  <w:footnote w:id="11">
    <w:p w:rsidR="002C74C8" w:rsidRPr="00AF136E" w:rsidRDefault="002C74C8" w:rsidP="002C74C8">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color w:val="000000" w:themeColor="text1"/>
          <w:sz w:val="20"/>
          <w:szCs w:val="20"/>
        </w:rPr>
        <w:t xml:space="preserve">Articles 19, 21 and 22 of the </w:t>
      </w:r>
      <w:r w:rsidRPr="00AF136E">
        <w:rPr>
          <w:rFonts w:ascii="Cambria" w:hAnsi="Cambria"/>
          <w:i/>
          <w:iCs/>
          <w:color w:val="000000" w:themeColor="text1"/>
          <w:sz w:val="20"/>
          <w:szCs w:val="20"/>
        </w:rPr>
        <w:t>International Covenant on Civil and Political Rights</w:t>
      </w:r>
      <w:r w:rsidRPr="00AF136E">
        <w:rPr>
          <w:rFonts w:ascii="Cambria" w:hAnsi="Cambria"/>
          <w:color w:val="000000" w:themeColor="text1"/>
          <w:sz w:val="20"/>
          <w:szCs w:val="20"/>
        </w:rPr>
        <w:t xml:space="preserve"> guarantee the right to freedom of expression, freedom of peaceful assembly and freedom of association. </w:t>
      </w:r>
      <w:r w:rsidR="009F1CD7">
        <w:rPr>
          <w:rFonts w:ascii="Cambria" w:hAnsi="Cambria"/>
          <w:color w:val="000000" w:themeColor="text1"/>
          <w:sz w:val="20"/>
          <w:szCs w:val="20"/>
        </w:rPr>
        <w:t>In Tasmania</w:t>
      </w:r>
      <w:r w:rsidR="009F1CD7">
        <w:rPr>
          <w:rFonts w:ascii="Cambria" w:hAnsi="Cambria"/>
          <w:color w:val="000000" w:themeColor="text1"/>
          <w:sz w:val="20"/>
          <w:szCs w:val="20"/>
          <w:shd w:val="clear" w:color="auto" w:fill="FFFFFF"/>
        </w:rPr>
        <w:t xml:space="preserve"> see </w:t>
      </w:r>
      <w:r w:rsidRPr="00AF136E">
        <w:rPr>
          <w:rFonts w:ascii="Cambria" w:hAnsi="Cambria"/>
          <w:color w:val="000000" w:themeColor="text1"/>
          <w:sz w:val="20"/>
          <w:szCs w:val="20"/>
        </w:rPr>
        <w:t xml:space="preserve">the </w:t>
      </w:r>
      <w:r w:rsidRPr="00AF136E">
        <w:rPr>
          <w:rFonts w:ascii="Cambria" w:hAnsi="Cambria"/>
          <w:i/>
          <w:iCs/>
          <w:sz w:val="20"/>
          <w:szCs w:val="20"/>
        </w:rPr>
        <w:t>Workplaces (Protection from Protestors) Act</w:t>
      </w:r>
      <w:r w:rsidRPr="00AF136E">
        <w:rPr>
          <w:rFonts w:ascii="Cambria" w:hAnsi="Cambria"/>
          <w:sz w:val="20"/>
          <w:szCs w:val="20"/>
        </w:rPr>
        <w:t xml:space="preserve"> 2014 (Tas); </w:t>
      </w:r>
      <w:r w:rsidRPr="00AF136E">
        <w:rPr>
          <w:rFonts w:ascii="Cambria" w:hAnsi="Cambria"/>
          <w:i/>
          <w:iCs/>
          <w:sz w:val="20"/>
          <w:szCs w:val="20"/>
        </w:rPr>
        <w:t>Workplaces (Protection from Protestors) Amendment Bill 2019</w:t>
      </w:r>
      <w:r w:rsidRPr="00AF136E">
        <w:rPr>
          <w:rFonts w:ascii="Cambria" w:hAnsi="Cambria"/>
          <w:sz w:val="20"/>
          <w:szCs w:val="20"/>
        </w:rPr>
        <w:t xml:space="preserve"> (Tas). </w:t>
      </w:r>
      <w:r w:rsidRPr="00AF136E">
        <w:rPr>
          <w:rFonts w:ascii="Cambria" w:hAnsi="Cambria"/>
        </w:rPr>
        <w:t xml:space="preserve"> </w:t>
      </w:r>
      <w:r w:rsidRPr="00AF136E">
        <w:rPr>
          <w:rFonts w:ascii="Cambria" w:hAnsi="Cambria"/>
          <w:color w:val="000000" w:themeColor="text1"/>
          <w:sz w:val="20"/>
          <w:szCs w:val="20"/>
        </w:rPr>
        <w:t xml:space="preserve">   </w:t>
      </w:r>
    </w:p>
  </w:footnote>
  <w:footnote w:id="12">
    <w:p w:rsidR="002C74C8" w:rsidRPr="00AF136E" w:rsidRDefault="002C74C8" w:rsidP="002C74C8">
      <w:pPr>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color w:val="000000" w:themeColor="text1"/>
          <w:sz w:val="20"/>
          <w:szCs w:val="20"/>
        </w:rPr>
        <w:t xml:space="preserve">Article 7 of the </w:t>
      </w:r>
      <w:r w:rsidRPr="00AF136E">
        <w:rPr>
          <w:rFonts w:ascii="Cambria" w:hAnsi="Cambria"/>
          <w:i/>
          <w:iCs/>
          <w:color w:val="000000" w:themeColor="text1"/>
          <w:sz w:val="20"/>
          <w:szCs w:val="20"/>
        </w:rPr>
        <w:t>International Covenant on Civil and Political Rights</w:t>
      </w:r>
      <w:r w:rsidRPr="00AF136E">
        <w:rPr>
          <w:rFonts w:ascii="Cambria" w:hAnsi="Cambria"/>
          <w:color w:val="000000" w:themeColor="text1"/>
          <w:sz w:val="20"/>
          <w:szCs w:val="20"/>
        </w:rPr>
        <w:t xml:space="preserve"> notes that “</w:t>
      </w:r>
      <w:r w:rsidRPr="00AF136E">
        <w:rPr>
          <w:rFonts w:ascii="Cambria" w:hAnsi="Cambria"/>
          <w:color w:val="000000"/>
          <w:sz w:val="20"/>
          <w:szCs w:val="20"/>
          <w:shd w:val="clear" w:color="auto" w:fill="FFFFFF"/>
        </w:rPr>
        <w:t xml:space="preserve">No one shall be subjected to cruel, inhuman or degrading treatment or punishment” and has been interpreted as requiring proportionality in sentencing. </w:t>
      </w:r>
      <w:r w:rsidR="009F1CD7">
        <w:rPr>
          <w:rFonts w:ascii="Cambria" w:hAnsi="Cambria"/>
          <w:color w:val="000000"/>
          <w:sz w:val="20"/>
          <w:szCs w:val="20"/>
          <w:shd w:val="clear" w:color="auto" w:fill="FFFFFF"/>
        </w:rPr>
        <w:t xml:space="preserve">In </w:t>
      </w:r>
      <w:r w:rsidRPr="00AF136E">
        <w:rPr>
          <w:rFonts w:ascii="Cambria" w:hAnsi="Cambria"/>
          <w:color w:val="000000"/>
          <w:sz w:val="20"/>
          <w:szCs w:val="20"/>
          <w:shd w:val="clear" w:color="auto" w:fill="FFFFFF"/>
        </w:rPr>
        <w:t>Tasmania</w:t>
      </w:r>
      <w:r w:rsidR="009F1CD7">
        <w:rPr>
          <w:rFonts w:ascii="Cambria" w:hAnsi="Cambria"/>
          <w:color w:val="000000"/>
          <w:sz w:val="20"/>
          <w:szCs w:val="20"/>
          <w:shd w:val="clear" w:color="auto" w:fill="FFFFFF"/>
        </w:rPr>
        <w:t xml:space="preserve"> </w:t>
      </w:r>
      <w:r w:rsidRPr="00AF136E">
        <w:rPr>
          <w:rFonts w:ascii="Cambria" w:hAnsi="Cambria"/>
          <w:sz w:val="20"/>
          <w:szCs w:val="20"/>
        </w:rPr>
        <w:t xml:space="preserve">see the </w:t>
      </w:r>
      <w:r w:rsidRPr="00AF136E">
        <w:rPr>
          <w:rFonts w:ascii="Cambria" w:hAnsi="Cambria"/>
          <w:i/>
          <w:iCs/>
          <w:sz w:val="20"/>
          <w:szCs w:val="20"/>
        </w:rPr>
        <w:t>Justice Legislation (Mandatory Sentencing) Bill 2019</w:t>
      </w:r>
      <w:r w:rsidRPr="00AF136E">
        <w:rPr>
          <w:rFonts w:ascii="Cambria" w:hAnsi="Cambria"/>
          <w:sz w:val="20"/>
          <w:szCs w:val="20"/>
        </w:rPr>
        <w:t xml:space="preserve"> (Tas) that intends to introduce mandatory minimum sentences of imprisonment for serious sexual crimes perpetrated against children. Or the </w:t>
      </w:r>
      <w:r w:rsidRPr="00AF136E">
        <w:rPr>
          <w:rFonts w:ascii="Cambria" w:hAnsi="Cambria"/>
          <w:i/>
          <w:iCs/>
          <w:sz w:val="20"/>
          <w:szCs w:val="20"/>
        </w:rPr>
        <w:t>Sentencing Amendment (Assaults on Frontline Workers) Bill 2016</w:t>
      </w:r>
      <w:r w:rsidRPr="00AF136E">
        <w:rPr>
          <w:rFonts w:ascii="Cambria" w:hAnsi="Cambria"/>
          <w:sz w:val="20"/>
          <w:szCs w:val="20"/>
        </w:rPr>
        <w:t xml:space="preserve"> that sought to impose mandatory minimum sentences of imprisonment for assaults on emergency workers.</w:t>
      </w:r>
    </w:p>
  </w:footnote>
  <w:footnote w:id="13">
    <w:p w:rsidR="002C74C8" w:rsidRPr="00AF136E" w:rsidRDefault="002C74C8" w:rsidP="002C74C8">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Tasmania Law Reform Institute, </w:t>
      </w:r>
      <w:r w:rsidRPr="00AF136E">
        <w:rPr>
          <w:rFonts w:ascii="Cambria" w:hAnsi="Cambria"/>
          <w:i/>
          <w:iCs/>
          <w:sz w:val="20"/>
          <w:szCs w:val="20"/>
        </w:rPr>
        <w:t>A Charter of Rights for Tasmania</w:t>
      </w:r>
      <w:r w:rsidRPr="00AF136E">
        <w:rPr>
          <w:rFonts w:ascii="Cambria" w:hAnsi="Cambria"/>
          <w:sz w:val="20"/>
          <w:szCs w:val="20"/>
        </w:rPr>
        <w:t xml:space="preserve"> (Final Report No. 10: October 2007) at 55.</w:t>
      </w:r>
    </w:p>
  </w:footnote>
  <w:footnote w:id="14">
    <w:p w:rsidR="00414CC2" w:rsidRPr="00AF136E" w:rsidRDefault="00414CC2" w:rsidP="00414CC2">
      <w:pPr>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The ACT Human Rights Act Research Project, </w:t>
      </w:r>
      <w:r w:rsidRPr="00AF136E">
        <w:rPr>
          <w:rFonts w:ascii="Cambria" w:hAnsi="Cambria"/>
          <w:i/>
          <w:iCs/>
          <w:sz w:val="20"/>
          <w:szCs w:val="20"/>
        </w:rPr>
        <w:t xml:space="preserve">The Human Rights Act 2004 (ACT): The First Five Years of Operation: A Report to the Department of Justice and Community Safety </w:t>
      </w:r>
      <w:r w:rsidRPr="00AF136E">
        <w:rPr>
          <w:rFonts w:ascii="Cambria" w:hAnsi="Cambria"/>
          <w:sz w:val="20"/>
          <w:szCs w:val="20"/>
        </w:rPr>
        <w:t>(2009) at 6.</w:t>
      </w:r>
    </w:p>
  </w:footnote>
  <w:footnote w:id="15">
    <w:p w:rsidR="007A5C39" w:rsidRPr="00AF136E" w:rsidRDefault="007A5C39" w:rsidP="007A5C39">
      <w:pPr>
        <w:rPr>
          <w:rFonts w:ascii="Cambria" w:hAnsi="Cambria"/>
          <w:sz w:val="20"/>
          <w:szCs w:val="20"/>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Michael Young, </w:t>
      </w:r>
      <w:r w:rsidRPr="00AF136E">
        <w:rPr>
          <w:rFonts w:ascii="Cambria" w:hAnsi="Cambria"/>
          <w:i/>
          <w:iCs/>
          <w:sz w:val="20"/>
          <w:szCs w:val="20"/>
        </w:rPr>
        <w:t xml:space="preserve">From Commitment to Culture, The 2015 Review of the Charter of Human Rights and Responsibilities 2006 </w:t>
      </w:r>
      <w:r w:rsidRPr="00AF136E">
        <w:rPr>
          <w:rFonts w:ascii="Cambria" w:hAnsi="Cambria"/>
          <w:sz w:val="20"/>
          <w:szCs w:val="20"/>
        </w:rPr>
        <w:t xml:space="preserve">(September 2015) at 22. As found at </w:t>
      </w:r>
    </w:p>
    <w:p w:rsidR="007A5C39" w:rsidRPr="00AF136E" w:rsidRDefault="00C75130" w:rsidP="007A5C39">
      <w:pPr>
        <w:pStyle w:val="FootnoteText"/>
        <w:rPr>
          <w:rFonts w:ascii="Cambria" w:hAnsi="Cambria"/>
        </w:rPr>
      </w:pPr>
      <w:hyperlink r:id="rId2" w:history="1">
        <w:r w:rsidR="007A5C39" w:rsidRPr="00AF136E">
          <w:rPr>
            <w:rStyle w:val="Hyperlink"/>
            <w:rFonts w:ascii="Cambria" w:hAnsi="Cambria"/>
            <w:sz w:val="20"/>
            <w:szCs w:val="20"/>
          </w:rPr>
          <w:t>https://www.justice.vic.gov.au/sites/default/files/embridge_cache/emshare/original/public/2020/06/51/e2941ae24/report_final_charter_review_2015.pdf</w:t>
        </w:r>
      </w:hyperlink>
      <w:r w:rsidR="007A5C39" w:rsidRPr="00AF136E">
        <w:rPr>
          <w:rFonts w:ascii="Cambria" w:hAnsi="Cambria"/>
          <w:sz w:val="20"/>
          <w:szCs w:val="20"/>
        </w:rPr>
        <w:t xml:space="preserve"> (Accessed 20 November 2020).</w:t>
      </w:r>
      <w:r w:rsidR="007A5C39" w:rsidRPr="00AF136E">
        <w:rPr>
          <w:rFonts w:ascii="Cambria" w:hAnsi="Cambria"/>
        </w:rPr>
        <w:t xml:space="preserve">  </w:t>
      </w:r>
    </w:p>
  </w:footnote>
  <w:footnote w:id="16">
    <w:p w:rsidR="00BA000D" w:rsidRPr="00AF136E" w:rsidRDefault="00BA000D">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Tasmania Law Reform Institute, </w:t>
      </w:r>
      <w:r w:rsidRPr="00AF136E">
        <w:rPr>
          <w:rFonts w:ascii="Cambria" w:hAnsi="Cambria"/>
          <w:i/>
          <w:iCs/>
          <w:sz w:val="20"/>
          <w:szCs w:val="20"/>
        </w:rPr>
        <w:t>A Charter of Rights for Tasmania</w:t>
      </w:r>
      <w:r w:rsidRPr="00AF136E">
        <w:rPr>
          <w:rFonts w:ascii="Cambria" w:hAnsi="Cambria"/>
          <w:sz w:val="20"/>
          <w:szCs w:val="20"/>
        </w:rPr>
        <w:t xml:space="preserve"> (Final Report No. 10: October 2007) at 5. </w:t>
      </w:r>
    </w:p>
  </w:footnote>
  <w:footnote w:id="17">
    <w:p w:rsidR="00EE40F8" w:rsidRPr="00AF136E" w:rsidRDefault="00EE40F8" w:rsidP="00EE40F8">
      <w:pPr>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i/>
          <w:iCs/>
          <w:sz w:val="20"/>
          <w:szCs w:val="20"/>
        </w:rPr>
        <w:t xml:space="preserve">Metro West v </w:t>
      </w:r>
      <w:proofErr w:type="spellStart"/>
      <w:r w:rsidRPr="00AF136E">
        <w:rPr>
          <w:rFonts w:ascii="Cambria" w:hAnsi="Cambria"/>
          <w:i/>
          <w:iCs/>
          <w:sz w:val="20"/>
          <w:szCs w:val="20"/>
        </w:rPr>
        <w:t>Sudi</w:t>
      </w:r>
      <w:proofErr w:type="spellEnd"/>
      <w:r w:rsidRPr="00AF136E">
        <w:rPr>
          <w:rFonts w:ascii="Cambria" w:hAnsi="Cambria"/>
          <w:sz w:val="20"/>
          <w:szCs w:val="20"/>
        </w:rPr>
        <w:t xml:space="preserve"> [2009] VCAT 2025 (9 October 2009) at para. 123.</w:t>
      </w:r>
    </w:p>
  </w:footnote>
  <w:footnote w:id="18">
    <w:p w:rsidR="00BA000D" w:rsidRPr="00AF136E" w:rsidRDefault="00BA000D">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Tasmania Law Reform Institute, </w:t>
      </w:r>
      <w:r w:rsidRPr="00AF136E">
        <w:rPr>
          <w:rFonts w:ascii="Cambria" w:hAnsi="Cambria"/>
          <w:i/>
          <w:iCs/>
          <w:sz w:val="20"/>
          <w:szCs w:val="20"/>
        </w:rPr>
        <w:t>A Charter of Rights for Tasmania</w:t>
      </w:r>
      <w:r w:rsidRPr="00AF136E">
        <w:rPr>
          <w:rFonts w:ascii="Cambria" w:hAnsi="Cambria"/>
          <w:sz w:val="20"/>
          <w:szCs w:val="20"/>
        </w:rPr>
        <w:t xml:space="preserve"> (Final Report No. 10: October 2007) at 5.</w:t>
      </w:r>
    </w:p>
  </w:footnote>
  <w:footnote w:id="19">
    <w:p w:rsidR="00DB12BE" w:rsidRPr="00AF136E" w:rsidRDefault="00DB12BE" w:rsidP="00DB12BE">
      <w:pPr>
        <w:rPr>
          <w:rFonts w:ascii="Cambria" w:hAnsi="Cambria"/>
          <w:sz w:val="20"/>
          <w:szCs w:val="20"/>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Michael Young, </w:t>
      </w:r>
      <w:r w:rsidRPr="00AF136E">
        <w:rPr>
          <w:rFonts w:ascii="Cambria" w:hAnsi="Cambria"/>
          <w:i/>
          <w:iCs/>
          <w:sz w:val="20"/>
          <w:szCs w:val="20"/>
        </w:rPr>
        <w:t xml:space="preserve">From Commitment to Culture, The 2015 Review of the Charter of Human Rights and Responsibilities 2006 </w:t>
      </w:r>
      <w:r w:rsidRPr="00AF136E">
        <w:rPr>
          <w:rFonts w:ascii="Cambria" w:hAnsi="Cambria"/>
          <w:sz w:val="20"/>
          <w:szCs w:val="20"/>
        </w:rPr>
        <w:t xml:space="preserve">(September 2015). </w:t>
      </w:r>
    </w:p>
    <w:p w:rsidR="00DB12BE" w:rsidRPr="00AF136E" w:rsidRDefault="00C75130" w:rsidP="00DB12BE">
      <w:pPr>
        <w:rPr>
          <w:rFonts w:ascii="Cambria" w:hAnsi="Cambria"/>
        </w:rPr>
      </w:pPr>
      <w:hyperlink r:id="rId3" w:history="1">
        <w:r w:rsidR="00DB12BE" w:rsidRPr="00AF136E">
          <w:rPr>
            <w:rStyle w:val="Hyperlink"/>
            <w:rFonts w:ascii="Cambria" w:hAnsi="Cambria"/>
            <w:sz w:val="20"/>
            <w:szCs w:val="20"/>
          </w:rPr>
          <w:t>https://www.justice.vic.gov.au/sites/default/files/embridge_cache/emshare/original/public/2020/06/51/e2941ae24/report_final_charter_review_2015.pdf</w:t>
        </w:r>
      </w:hyperlink>
      <w:r w:rsidR="00DB12BE" w:rsidRPr="00AF136E">
        <w:rPr>
          <w:rFonts w:ascii="Cambria" w:hAnsi="Cambria"/>
          <w:sz w:val="20"/>
          <w:szCs w:val="20"/>
        </w:rPr>
        <w:t xml:space="preserve"> (Accessed 20 November 2020).</w:t>
      </w:r>
      <w:r w:rsidR="00DB12BE" w:rsidRPr="00AF136E">
        <w:rPr>
          <w:rFonts w:ascii="Cambria" w:hAnsi="Cambria"/>
        </w:rPr>
        <w:t xml:space="preserve">  </w:t>
      </w:r>
    </w:p>
  </w:footnote>
  <w:footnote w:id="20">
    <w:p w:rsidR="00A73B42" w:rsidRPr="00AF136E" w:rsidRDefault="00A73B42" w:rsidP="00A73B42">
      <w:pPr>
        <w:rPr>
          <w:rFonts w:ascii="Cambria" w:hAnsi="Cambria"/>
          <w:sz w:val="20"/>
          <w:szCs w:val="20"/>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Michael Young, </w:t>
      </w:r>
      <w:r w:rsidRPr="00AF136E">
        <w:rPr>
          <w:rFonts w:ascii="Cambria" w:hAnsi="Cambria"/>
          <w:i/>
          <w:iCs/>
          <w:sz w:val="20"/>
          <w:szCs w:val="20"/>
        </w:rPr>
        <w:t>From Commitment to Culture, The 2015 Review of the Charter of Human Rights and Responsibilities 2006</w:t>
      </w:r>
      <w:r w:rsidRPr="00AF136E">
        <w:rPr>
          <w:rFonts w:ascii="Cambria" w:hAnsi="Cambria"/>
          <w:sz w:val="20"/>
          <w:szCs w:val="20"/>
        </w:rPr>
        <w:t xml:space="preserve"> (September 2015) at 62. As found at </w:t>
      </w:r>
    </w:p>
    <w:p w:rsidR="00A73B42" w:rsidRPr="00AF136E" w:rsidRDefault="00C75130" w:rsidP="00A73B42">
      <w:pPr>
        <w:pStyle w:val="FootnoteText"/>
        <w:rPr>
          <w:rFonts w:ascii="Cambria" w:hAnsi="Cambria"/>
        </w:rPr>
      </w:pPr>
      <w:hyperlink r:id="rId4" w:history="1">
        <w:r w:rsidR="00A73B42" w:rsidRPr="00AF136E">
          <w:rPr>
            <w:rStyle w:val="Hyperlink"/>
            <w:rFonts w:ascii="Cambria" w:hAnsi="Cambria"/>
            <w:sz w:val="20"/>
            <w:szCs w:val="20"/>
          </w:rPr>
          <w:t>https://www.justice.vic.gov.au/sites/default/files/embridge_cache/emshare/original/public/2020/06/51/e2941ae24/report_final_charter_review_2015.pdf</w:t>
        </w:r>
      </w:hyperlink>
      <w:r w:rsidR="00A73B42" w:rsidRPr="00AF136E">
        <w:rPr>
          <w:rStyle w:val="Hyperlink"/>
          <w:rFonts w:ascii="Cambria" w:hAnsi="Cambria"/>
          <w:sz w:val="20"/>
          <w:szCs w:val="20"/>
          <w:u w:val="none"/>
        </w:rPr>
        <w:t xml:space="preserve"> </w:t>
      </w:r>
      <w:r w:rsidR="00A73B42" w:rsidRPr="00AF136E">
        <w:rPr>
          <w:rFonts w:ascii="Cambria" w:hAnsi="Cambria"/>
          <w:sz w:val="20"/>
          <w:szCs w:val="20"/>
        </w:rPr>
        <w:t>(Accessed 20 November 2020).</w:t>
      </w:r>
      <w:r w:rsidR="00A73B42" w:rsidRPr="00AF136E">
        <w:rPr>
          <w:rFonts w:ascii="Cambria" w:hAnsi="Cambria"/>
        </w:rPr>
        <w:t xml:space="preserve">  </w:t>
      </w:r>
    </w:p>
  </w:footnote>
  <w:footnote w:id="21">
    <w:p w:rsidR="00CA2241" w:rsidRPr="00AF136E" w:rsidRDefault="00CA2241" w:rsidP="009F1CD7">
      <w:pPr>
        <w:rPr>
          <w:rFonts w:ascii="Cambria" w:hAnsi="Cambria"/>
        </w:rPr>
      </w:pPr>
      <w:r w:rsidRPr="00AF136E">
        <w:rPr>
          <w:rStyle w:val="FootnoteReference"/>
          <w:rFonts w:ascii="Cambria" w:hAnsi="Cambria"/>
        </w:rPr>
        <w:footnoteRef/>
      </w:r>
      <w:r w:rsidRPr="00AF136E">
        <w:rPr>
          <w:rFonts w:ascii="Cambria" w:hAnsi="Cambria"/>
        </w:rPr>
        <w:t xml:space="preserve"> </w:t>
      </w:r>
      <w:r w:rsidR="009F1CD7">
        <w:rPr>
          <w:rFonts w:ascii="Cambria" w:hAnsi="Cambria"/>
          <w:sz w:val="20"/>
          <w:szCs w:val="20"/>
        </w:rPr>
        <w:t>Ibid</w:t>
      </w:r>
      <w:r w:rsidRPr="00AF136E">
        <w:rPr>
          <w:rFonts w:ascii="Cambria" w:hAnsi="Cambria"/>
          <w:sz w:val="20"/>
          <w:szCs w:val="20"/>
        </w:rPr>
        <w:t xml:space="preserve"> at 65. </w:t>
      </w:r>
    </w:p>
  </w:footnote>
  <w:footnote w:id="22">
    <w:p w:rsidR="005C7827" w:rsidRPr="00AF136E" w:rsidRDefault="005C7827" w:rsidP="005C7827">
      <w:pPr>
        <w:pStyle w:val="FootnoteText"/>
        <w:rPr>
          <w:rFonts w:ascii="Cambria" w:hAnsi="Cambria"/>
          <w:sz w:val="20"/>
          <w:szCs w:val="20"/>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Also see section 31 of the </w:t>
      </w:r>
      <w:r w:rsidRPr="00AF136E">
        <w:rPr>
          <w:rFonts w:ascii="Cambria" w:hAnsi="Cambria"/>
          <w:i/>
          <w:iCs/>
          <w:sz w:val="20"/>
          <w:szCs w:val="20"/>
        </w:rPr>
        <w:t>Human Rights Act 2004</w:t>
      </w:r>
      <w:r w:rsidRPr="00AF136E">
        <w:rPr>
          <w:rFonts w:ascii="Cambria" w:hAnsi="Cambria"/>
          <w:sz w:val="20"/>
          <w:szCs w:val="20"/>
        </w:rPr>
        <w:t xml:space="preserve"> (ACT). </w:t>
      </w:r>
    </w:p>
  </w:footnote>
  <w:footnote w:id="23">
    <w:p w:rsidR="005C7827" w:rsidRPr="00AF136E" w:rsidRDefault="005C7827" w:rsidP="005C7827">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[2010] VSC 219.</w:t>
      </w:r>
      <w:r w:rsidRPr="00AF136E">
        <w:rPr>
          <w:rFonts w:ascii="Cambria" w:hAnsi="Cambria"/>
        </w:rPr>
        <w:t xml:space="preserve"> </w:t>
      </w:r>
    </w:p>
  </w:footnote>
  <w:footnote w:id="24">
    <w:p w:rsidR="005C7827" w:rsidRPr="00AF136E" w:rsidRDefault="005C7827" w:rsidP="005C7827">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Section 13(a) of the </w:t>
      </w:r>
      <w:r w:rsidRPr="00AF136E">
        <w:rPr>
          <w:rFonts w:ascii="Cambria" w:hAnsi="Cambria"/>
          <w:i/>
          <w:iCs/>
          <w:sz w:val="20"/>
          <w:szCs w:val="20"/>
        </w:rPr>
        <w:t>Charter of Human Rights and Responsibilities 2006</w:t>
      </w:r>
      <w:r w:rsidRPr="00AF136E">
        <w:rPr>
          <w:rFonts w:ascii="Cambria" w:hAnsi="Cambria"/>
          <w:sz w:val="20"/>
          <w:szCs w:val="20"/>
        </w:rPr>
        <w:t xml:space="preserve"> (Vic).</w:t>
      </w:r>
      <w:r w:rsidRPr="00AF136E">
        <w:rPr>
          <w:rFonts w:ascii="Cambria" w:hAnsi="Cambria"/>
        </w:rPr>
        <w:t xml:space="preserve"> </w:t>
      </w:r>
    </w:p>
  </w:footnote>
  <w:footnote w:id="25">
    <w:p w:rsidR="005C7827" w:rsidRPr="00AF136E" w:rsidRDefault="005C7827" w:rsidP="005C7827">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[2010] VSC 219 at para. [57]. </w:t>
      </w:r>
    </w:p>
  </w:footnote>
  <w:footnote w:id="26">
    <w:p w:rsidR="005C7827" w:rsidRPr="00AF136E" w:rsidRDefault="005C7827" w:rsidP="005C7827">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General Comment 16 (32), Doc CCPR/C/21/Rev 1 (19 May 1989) para. 4. </w:t>
      </w:r>
    </w:p>
  </w:footnote>
  <w:footnote w:id="27">
    <w:p w:rsidR="005C7827" w:rsidRPr="00AF136E" w:rsidRDefault="005C7827" w:rsidP="005C7827">
      <w:pPr>
        <w:jc w:val="both"/>
        <w:rPr>
          <w:rFonts w:ascii="Cambria" w:hAnsi="Cambria"/>
          <w:color w:val="000000" w:themeColor="text1"/>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See, f</w:t>
      </w:r>
      <w:r w:rsidRPr="00AF136E">
        <w:rPr>
          <w:rFonts w:ascii="Cambria" w:hAnsi="Cambria"/>
          <w:color w:val="000000" w:themeColor="text1"/>
          <w:sz w:val="20"/>
          <w:szCs w:val="20"/>
        </w:rPr>
        <w:t xml:space="preserve">or example, the case of </w:t>
      </w:r>
      <w:r w:rsidRPr="00AF136E">
        <w:rPr>
          <w:rFonts w:ascii="Cambria" w:hAnsi="Cambria"/>
          <w:i/>
          <w:iCs/>
          <w:color w:val="000000" w:themeColor="text1"/>
          <w:sz w:val="20"/>
          <w:szCs w:val="20"/>
        </w:rPr>
        <w:t xml:space="preserve">Castles v Secretary to the Department of Justice &amp; </w:t>
      </w:r>
      <w:proofErr w:type="spellStart"/>
      <w:r w:rsidRPr="00AF136E">
        <w:rPr>
          <w:rFonts w:ascii="Cambria" w:hAnsi="Cambria"/>
          <w:i/>
          <w:iCs/>
          <w:color w:val="000000" w:themeColor="text1"/>
          <w:sz w:val="20"/>
          <w:szCs w:val="20"/>
        </w:rPr>
        <w:t>Ors</w:t>
      </w:r>
      <w:proofErr w:type="spellEnd"/>
      <w:r w:rsidRPr="00AF136E">
        <w:rPr>
          <w:rFonts w:ascii="Cambria" w:hAnsi="Cambria"/>
          <w:sz w:val="20"/>
          <w:szCs w:val="20"/>
        </w:rPr>
        <w:t xml:space="preserve"> [2010] VSC 310 at para. 70 in which </w:t>
      </w:r>
      <w:r w:rsidRPr="00AF136E">
        <w:rPr>
          <w:rFonts w:ascii="Cambria" w:hAnsi="Cambria"/>
          <w:color w:val="000000" w:themeColor="text1"/>
          <w:sz w:val="20"/>
          <w:szCs w:val="20"/>
        </w:rPr>
        <w:t>her Honour Emerton J held that the consideration of</w:t>
      </w:r>
      <w:r w:rsidRPr="00AF136E">
        <w:rPr>
          <w:rFonts w:ascii="Cambria" w:hAnsi="Cambria"/>
          <w:color w:val="000000" w:themeColor="text1"/>
          <w:sz w:val="20"/>
          <w:szCs w:val="20"/>
          <w:shd w:val="clear" w:color="auto" w:fill="FFFFFF"/>
        </w:rPr>
        <w:t> international law and the judgments of foreign and international courts and tribunals “is a good thing, as it will expose Victorian jurisprudence to relevant jurisprudence from other parts of the world and, indeed, make Victorian jurisprudence more relevant in an international context”.</w:t>
      </w:r>
    </w:p>
  </w:footnote>
  <w:footnote w:id="28">
    <w:p w:rsidR="00A3684D" w:rsidRPr="00AF136E" w:rsidRDefault="00A3684D" w:rsidP="00A3684D">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Tasmania Law Reform Institute, </w:t>
      </w:r>
      <w:r w:rsidRPr="00AF136E">
        <w:rPr>
          <w:rFonts w:ascii="Cambria" w:hAnsi="Cambria"/>
          <w:i/>
          <w:iCs/>
          <w:sz w:val="20"/>
          <w:szCs w:val="20"/>
        </w:rPr>
        <w:t>A Charter of Rights for Tasmania</w:t>
      </w:r>
      <w:r w:rsidRPr="00AF136E">
        <w:rPr>
          <w:rFonts w:ascii="Cambria" w:hAnsi="Cambria"/>
          <w:sz w:val="20"/>
          <w:szCs w:val="20"/>
        </w:rPr>
        <w:t xml:space="preserve"> (Final Report No. 10: October 2007) at 51.</w:t>
      </w:r>
    </w:p>
  </w:footnote>
  <w:footnote w:id="29">
    <w:p w:rsidR="00A3684D" w:rsidRPr="00AF136E" w:rsidRDefault="00A3684D" w:rsidP="001E5031">
      <w:pPr>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ACT Human Rights and Discrimination Commissioner, </w:t>
      </w:r>
      <w:r w:rsidRPr="00AF136E">
        <w:rPr>
          <w:rFonts w:ascii="Cambria" w:hAnsi="Cambria"/>
          <w:i/>
          <w:iCs/>
          <w:sz w:val="20"/>
          <w:szCs w:val="20"/>
        </w:rPr>
        <w:t>Look who’s talking – A snapshot of ten years of dialogue under the Human Rights Act 2004</w:t>
      </w:r>
      <w:r w:rsidR="001E5031" w:rsidRPr="00AF136E">
        <w:rPr>
          <w:rFonts w:ascii="Cambria" w:hAnsi="Cambria"/>
          <w:sz w:val="20"/>
          <w:szCs w:val="20"/>
        </w:rPr>
        <w:t xml:space="preserve"> at 5. </w:t>
      </w:r>
      <w:r w:rsidRPr="00AF136E">
        <w:rPr>
          <w:rFonts w:ascii="Cambria" w:hAnsi="Cambria"/>
          <w:sz w:val="20"/>
          <w:szCs w:val="20"/>
        </w:rPr>
        <w:t xml:space="preserve">As found at </w:t>
      </w:r>
      <w:hyperlink r:id="rId5" w:history="1">
        <w:r w:rsidRPr="00AF136E">
          <w:rPr>
            <w:rStyle w:val="Hyperlink"/>
            <w:rFonts w:ascii="Cambria" w:hAnsi="Cambria"/>
            <w:sz w:val="20"/>
            <w:szCs w:val="20"/>
          </w:rPr>
          <w:t>https://hrc.act.gov.au/wp-content/uploads/2015/03/HRA-10-yr-snapshot-HRDC-webversion.pdf</w:t>
        </w:r>
      </w:hyperlink>
      <w:r w:rsidRPr="00AF136E">
        <w:rPr>
          <w:rFonts w:ascii="Cambria" w:hAnsi="Cambria"/>
          <w:sz w:val="20"/>
          <w:szCs w:val="20"/>
        </w:rPr>
        <w:t xml:space="preserve"> (Accessed 20 November 2020).</w:t>
      </w:r>
      <w:r w:rsidRPr="00AF136E">
        <w:rPr>
          <w:rFonts w:ascii="Cambria" w:hAnsi="Cambria"/>
        </w:rPr>
        <w:t xml:space="preserve">  </w:t>
      </w:r>
    </w:p>
  </w:footnote>
  <w:footnote w:id="30">
    <w:p w:rsidR="001E5031" w:rsidRPr="00AF136E" w:rsidRDefault="001E5031">
      <w:pPr>
        <w:pStyle w:val="FootnoteText"/>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ACT Supreme Court Chief Justice Helen Murrell, ‘The judiciary and human rights’, paper presented at </w:t>
      </w:r>
      <w:r w:rsidRPr="00AF136E">
        <w:rPr>
          <w:rFonts w:ascii="Cambria" w:hAnsi="Cambria"/>
          <w:i/>
          <w:iCs/>
          <w:sz w:val="20"/>
          <w:szCs w:val="20"/>
        </w:rPr>
        <w:t>Ten Years of the ACT Human Rights Act: Continuing the Dialogue Conference</w:t>
      </w:r>
      <w:r w:rsidRPr="00AF136E">
        <w:rPr>
          <w:rFonts w:ascii="Cambria" w:hAnsi="Cambria"/>
          <w:sz w:val="20"/>
          <w:szCs w:val="20"/>
        </w:rPr>
        <w:t>, A</w:t>
      </w:r>
      <w:r w:rsidR="00925E38" w:rsidRPr="00AF136E">
        <w:rPr>
          <w:rFonts w:ascii="Cambria" w:hAnsi="Cambria"/>
          <w:sz w:val="20"/>
          <w:szCs w:val="20"/>
        </w:rPr>
        <w:t xml:space="preserve">ustralian </w:t>
      </w:r>
      <w:r w:rsidRPr="00AF136E">
        <w:rPr>
          <w:rFonts w:ascii="Cambria" w:hAnsi="Cambria"/>
          <w:sz w:val="20"/>
          <w:szCs w:val="20"/>
        </w:rPr>
        <w:t>N</w:t>
      </w:r>
      <w:r w:rsidR="00925E38" w:rsidRPr="00AF136E">
        <w:rPr>
          <w:rFonts w:ascii="Cambria" w:hAnsi="Cambria"/>
          <w:sz w:val="20"/>
          <w:szCs w:val="20"/>
        </w:rPr>
        <w:t xml:space="preserve">ational </w:t>
      </w:r>
      <w:r w:rsidRPr="00AF136E">
        <w:rPr>
          <w:rFonts w:ascii="Cambria" w:hAnsi="Cambria"/>
          <w:sz w:val="20"/>
          <w:szCs w:val="20"/>
        </w:rPr>
        <w:t>U</w:t>
      </w:r>
      <w:r w:rsidR="00925E38" w:rsidRPr="00AF136E">
        <w:rPr>
          <w:rFonts w:ascii="Cambria" w:hAnsi="Cambria"/>
          <w:sz w:val="20"/>
          <w:szCs w:val="20"/>
        </w:rPr>
        <w:t>niversity</w:t>
      </w:r>
      <w:r w:rsidRPr="00AF136E">
        <w:rPr>
          <w:rFonts w:ascii="Cambria" w:hAnsi="Cambria"/>
          <w:sz w:val="20"/>
          <w:szCs w:val="20"/>
        </w:rPr>
        <w:t>, 1 July 2014</w:t>
      </w:r>
      <w:r w:rsidR="00925E38" w:rsidRPr="00AF136E">
        <w:rPr>
          <w:rFonts w:ascii="Cambria" w:hAnsi="Cambria"/>
          <w:sz w:val="20"/>
          <w:szCs w:val="20"/>
        </w:rPr>
        <w:t xml:space="preserve">. As found at </w:t>
      </w:r>
      <w:r w:rsidRPr="00AF136E">
        <w:rPr>
          <w:rFonts w:ascii="Cambria" w:hAnsi="Cambria"/>
          <w:sz w:val="20"/>
          <w:szCs w:val="20"/>
        </w:rPr>
        <w:t xml:space="preserve"> </w:t>
      </w:r>
      <w:hyperlink r:id="rId6" w:history="1">
        <w:r w:rsidR="00925E38" w:rsidRPr="00AF136E">
          <w:rPr>
            <w:rStyle w:val="Hyperlink"/>
            <w:rFonts w:ascii="Cambria" w:hAnsi="Cambria"/>
            <w:sz w:val="20"/>
            <w:szCs w:val="20"/>
          </w:rPr>
          <w:t>http://www.hrc.act.gov.au/content.php/content.view/id/385</w:t>
        </w:r>
      </w:hyperlink>
      <w:r w:rsidR="00925E38" w:rsidRPr="00AF136E">
        <w:rPr>
          <w:rFonts w:ascii="Cambria" w:hAnsi="Cambria"/>
          <w:sz w:val="20"/>
          <w:szCs w:val="20"/>
        </w:rPr>
        <w:t xml:space="preserve"> (Accessed 20 November 2020).</w:t>
      </w:r>
      <w:r w:rsidR="00925E38" w:rsidRPr="00AF136E">
        <w:rPr>
          <w:rFonts w:ascii="Cambria" w:hAnsi="Cambria"/>
        </w:rPr>
        <w:t xml:space="preserve"> </w:t>
      </w:r>
    </w:p>
  </w:footnote>
  <w:footnote w:id="31">
    <w:p w:rsidR="007938CA" w:rsidRPr="00AF136E" w:rsidRDefault="007938CA" w:rsidP="007938CA">
      <w:pPr>
        <w:rPr>
          <w:rFonts w:ascii="Cambria" w:hAnsi="Cambria"/>
        </w:rPr>
      </w:pPr>
      <w:r w:rsidRPr="00AF136E">
        <w:rPr>
          <w:rStyle w:val="FootnoteReference"/>
          <w:rFonts w:ascii="Cambria" w:hAnsi="Cambria"/>
        </w:rPr>
        <w:footnoteRef/>
      </w:r>
      <w:r w:rsidRPr="00AF136E">
        <w:rPr>
          <w:rFonts w:ascii="Cambria" w:hAnsi="Cambria"/>
        </w:rPr>
        <w:t xml:space="preserve"> </w:t>
      </w:r>
      <w:r w:rsidRPr="00AF136E">
        <w:rPr>
          <w:rFonts w:ascii="Cambria" w:hAnsi="Cambria"/>
          <w:sz w:val="20"/>
          <w:szCs w:val="20"/>
        </w:rPr>
        <w:t xml:space="preserve">Human Rights Law Centre submission to the Inquiry and Review of the Charter of Human Rights and Responsibilities Act 2006 at </w:t>
      </w:r>
      <w:r w:rsidR="005C508F" w:rsidRPr="00AF136E">
        <w:rPr>
          <w:rFonts w:ascii="Cambria" w:hAnsi="Cambria"/>
          <w:sz w:val="20"/>
          <w:szCs w:val="20"/>
        </w:rPr>
        <w:t>33</w:t>
      </w:r>
      <w:r w:rsidRPr="00AF136E">
        <w:rPr>
          <w:rFonts w:ascii="Cambria" w:hAnsi="Cambria"/>
          <w:sz w:val="20"/>
          <w:szCs w:val="20"/>
        </w:rPr>
        <w:t xml:space="preserve">. As found at </w:t>
      </w:r>
      <w:hyperlink r:id="rId7" w:history="1">
        <w:r w:rsidRPr="00AF136E">
          <w:rPr>
            <w:rStyle w:val="Hyperlink"/>
            <w:rFonts w:ascii="Cambria" w:hAnsi="Cambria"/>
            <w:sz w:val="20"/>
            <w:szCs w:val="20"/>
          </w:rPr>
          <w:t>https://www.parliament.vic.gov.au/images/stories/committees/sarc/charter_review/submissions/263_Human_Rights_Law_Centre.pdf</w:t>
        </w:r>
      </w:hyperlink>
      <w:r w:rsidRPr="00AF136E">
        <w:rPr>
          <w:rStyle w:val="Hyperlink"/>
          <w:rFonts w:ascii="Cambria" w:hAnsi="Cambria"/>
          <w:color w:val="000000" w:themeColor="text1"/>
          <w:sz w:val="20"/>
          <w:szCs w:val="20"/>
          <w:u w:val="none"/>
        </w:rPr>
        <w:t xml:space="preserve"> (Accessed 20 November 2020).</w:t>
      </w:r>
      <w:r w:rsidRPr="00AF136E">
        <w:rPr>
          <w:rStyle w:val="Hyperlink"/>
          <w:rFonts w:ascii="Cambria" w:hAnsi="Cambria"/>
          <w:color w:val="000000" w:themeColor="text1"/>
        </w:rPr>
        <w:t xml:space="preserve"> </w:t>
      </w:r>
      <w:r w:rsidRPr="00AF136E">
        <w:rPr>
          <w:rFonts w:ascii="Cambria" w:hAnsi="Cambria"/>
          <w:color w:val="000000" w:themeColor="text1"/>
        </w:rPr>
        <w:t xml:space="preserve"> </w:t>
      </w:r>
    </w:p>
  </w:footnote>
  <w:footnote w:id="32">
    <w:p w:rsidR="005C508F" w:rsidRDefault="005C508F">
      <w:pPr>
        <w:pStyle w:val="FootnoteText"/>
      </w:pPr>
      <w:r w:rsidRPr="00AF136E">
        <w:rPr>
          <w:rStyle w:val="FootnoteReference"/>
          <w:rFonts w:ascii="Cambria" w:hAnsi="Cambria"/>
        </w:rPr>
        <w:footnoteRef/>
      </w:r>
      <w:r w:rsidRPr="00AF136E">
        <w:rPr>
          <w:rFonts w:ascii="Cambria" w:hAnsi="Cambria"/>
        </w:rPr>
        <w:t xml:space="preserve"> </w:t>
      </w:r>
      <w:r w:rsidR="009F1CD7">
        <w:rPr>
          <w:rFonts w:ascii="Cambria" w:hAnsi="Cambria"/>
          <w:sz w:val="20"/>
          <w:szCs w:val="20"/>
        </w:rPr>
        <w:t>Ibid</w:t>
      </w:r>
      <w:r w:rsidRPr="00AF136E">
        <w:rPr>
          <w:rFonts w:ascii="Cambria" w:hAnsi="Cambria"/>
          <w:sz w:val="20"/>
          <w:szCs w:val="20"/>
        </w:rPr>
        <w:t xml:space="preserve"> at 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EA0"/>
    <w:multiLevelType w:val="multilevel"/>
    <w:tmpl w:val="1CDA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92424"/>
    <w:multiLevelType w:val="hybridMultilevel"/>
    <w:tmpl w:val="76F05416"/>
    <w:lvl w:ilvl="0" w:tplc="46DE1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0257A"/>
    <w:multiLevelType w:val="hybridMultilevel"/>
    <w:tmpl w:val="0434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952D7"/>
    <w:multiLevelType w:val="multilevel"/>
    <w:tmpl w:val="1808666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073D6F"/>
    <w:multiLevelType w:val="hybridMultilevel"/>
    <w:tmpl w:val="F0EC204C"/>
    <w:lvl w:ilvl="0" w:tplc="35E040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40F04"/>
    <w:multiLevelType w:val="hybridMultilevel"/>
    <w:tmpl w:val="CBBED164"/>
    <w:lvl w:ilvl="0" w:tplc="A140AC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145D5B"/>
    <w:multiLevelType w:val="hybridMultilevel"/>
    <w:tmpl w:val="9B30FA76"/>
    <w:lvl w:ilvl="0" w:tplc="9E6E7CD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04039"/>
    <w:multiLevelType w:val="hybridMultilevel"/>
    <w:tmpl w:val="3D1E0D8A"/>
    <w:lvl w:ilvl="0" w:tplc="50E6176E">
      <w:start w:val="9"/>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737D1"/>
    <w:multiLevelType w:val="hybridMultilevel"/>
    <w:tmpl w:val="E70EBC60"/>
    <w:lvl w:ilvl="0" w:tplc="606A18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7513A"/>
    <w:multiLevelType w:val="hybridMultilevel"/>
    <w:tmpl w:val="85CA38A4"/>
    <w:lvl w:ilvl="0" w:tplc="2C7E51E0">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F3029"/>
    <w:multiLevelType w:val="hybridMultilevel"/>
    <w:tmpl w:val="4C5CC3F2"/>
    <w:lvl w:ilvl="0" w:tplc="63FE8080">
      <w:start w:val="12"/>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93177"/>
    <w:multiLevelType w:val="hybridMultilevel"/>
    <w:tmpl w:val="51221130"/>
    <w:lvl w:ilvl="0" w:tplc="4184B0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175C8"/>
    <w:multiLevelType w:val="hybridMultilevel"/>
    <w:tmpl w:val="42369562"/>
    <w:lvl w:ilvl="0" w:tplc="E85465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9A03AB"/>
    <w:multiLevelType w:val="hybridMultilevel"/>
    <w:tmpl w:val="DE169FDC"/>
    <w:lvl w:ilvl="0" w:tplc="35E040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144F07"/>
    <w:multiLevelType w:val="hybridMultilevel"/>
    <w:tmpl w:val="41B0717C"/>
    <w:lvl w:ilvl="0" w:tplc="5090220A">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BB20D4"/>
    <w:multiLevelType w:val="hybridMultilevel"/>
    <w:tmpl w:val="6D7A5674"/>
    <w:lvl w:ilvl="0" w:tplc="F73C4D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5855CA"/>
    <w:multiLevelType w:val="hybridMultilevel"/>
    <w:tmpl w:val="B6F0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01900"/>
    <w:multiLevelType w:val="hybridMultilevel"/>
    <w:tmpl w:val="C9A677B6"/>
    <w:lvl w:ilvl="0" w:tplc="F2A427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403658"/>
    <w:multiLevelType w:val="hybridMultilevel"/>
    <w:tmpl w:val="7558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60F3F"/>
    <w:multiLevelType w:val="hybridMultilevel"/>
    <w:tmpl w:val="11A2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B595F"/>
    <w:multiLevelType w:val="hybridMultilevel"/>
    <w:tmpl w:val="8C2031DA"/>
    <w:lvl w:ilvl="0" w:tplc="35E040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BB6868"/>
    <w:multiLevelType w:val="hybridMultilevel"/>
    <w:tmpl w:val="271E0800"/>
    <w:lvl w:ilvl="0" w:tplc="36F25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486820"/>
    <w:multiLevelType w:val="hybridMultilevel"/>
    <w:tmpl w:val="C308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B2D21"/>
    <w:multiLevelType w:val="hybridMultilevel"/>
    <w:tmpl w:val="083C5A8C"/>
    <w:lvl w:ilvl="0" w:tplc="35E040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895564"/>
    <w:multiLevelType w:val="multilevel"/>
    <w:tmpl w:val="1808666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lvlOverride w:ilvl="0">
      <w:startOverride w:val="2"/>
    </w:lvlOverride>
  </w:num>
  <w:num w:numId="2">
    <w:abstractNumId w:val="3"/>
  </w:num>
  <w:num w:numId="3">
    <w:abstractNumId w:val="0"/>
  </w:num>
  <w:num w:numId="4">
    <w:abstractNumId w:val="7"/>
  </w:num>
  <w:num w:numId="5">
    <w:abstractNumId w:val="10"/>
  </w:num>
  <w:num w:numId="6">
    <w:abstractNumId w:val="18"/>
  </w:num>
  <w:num w:numId="7">
    <w:abstractNumId w:val="2"/>
  </w:num>
  <w:num w:numId="8">
    <w:abstractNumId w:val="19"/>
  </w:num>
  <w:num w:numId="9">
    <w:abstractNumId w:val="22"/>
  </w:num>
  <w:num w:numId="10">
    <w:abstractNumId w:val="1"/>
  </w:num>
  <w:num w:numId="11">
    <w:abstractNumId w:val="14"/>
  </w:num>
  <w:num w:numId="12">
    <w:abstractNumId w:val="6"/>
  </w:num>
  <w:num w:numId="13">
    <w:abstractNumId w:val="16"/>
  </w:num>
  <w:num w:numId="14">
    <w:abstractNumId w:val="15"/>
  </w:num>
  <w:num w:numId="15">
    <w:abstractNumId w:val="8"/>
  </w:num>
  <w:num w:numId="16">
    <w:abstractNumId w:val="11"/>
  </w:num>
  <w:num w:numId="17">
    <w:abstractNumId w:val="21"/>
  </w:num>
  <w:num w:numId="18">
    <w:abstractNumId w:val="5"/>
  </w:num>
  <w:num w:numId="19">
    <w:abstractNumId w:val="20"/>
  </w:num>
  <w:num w:numId="20">
    <w:abstractNumId w:val="13"/>
  </w:num>
  <w:num w:numId="21">
    <w:abstractNumId w:val="4"/>
  </w:num>
  <w:num w:numId="22">
    <w:abstractNumId w:val="17"/>
  </w:num>
  <w:num w:numId="23">
    <w:abstractNumId w:val="23"/>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1B"/>
    <w:rsid w:val="00003ADA"/>
    <w:rsid w:val="000848B7"/>
    <w:rsid w:val="000B5427"/>
    <w:rsid w:val="000F7A24"/>
    <w:rsid w:val="001019C9"/>
    <w:rsid w:val="0017151D"/>
    <w:rsid w:val="0019783C"/>
    <w:rsid w:val="001A487F"/>
    <w:rsid w:val="001B4CAB"/>
    <w:rsid w:val="001E5031"/>
    <w:rsid w:val="00222F1D"/>
    <w:rsid w:val="00235532"/>
    <w:rsid w:val="002B4F23"/>
    <w:rsid w:val="002C74C8"/>
    <w:rsid w:val="00314A6C"/>
    <w:rsid w:val="00351D35"/>
    <w:rsid w:val="00394305"/>
    <w:rsid w:val="003B3CD1"/>
    <w:rsid w:val="003B6F9F"/>
    <w:rsid w:val="003C4F11"/>
    <w:rsid w:val="003D695C"/>
    <w:rsid w:val="003E56B0"/>
    <w:rsid w:val="00414CC2"/>
    <w:rsid w:val="00467466"/>
    <w:rsid w:val="0046751B"/>
    <w:rsid w:val="004A074A"/>
    <w:rsid w:val="004C62EC"/>
    <w:rsid w:val="00503D57"/>
    <w:rsid w:val="00516E36"/>
    <w:rsid w:val="005359B5"/>
    <w:rsid w:val="00556AAE"/>
    <w:rsid w:val="00580D7E"/>
    <w:rsid w:val="00592F00"/>
    <w:rsid w:val="005C508F"/>
    <w:rsid w:val="005C557C"/>
    <w:rsid w:val="005C7827"/>
    <w:rsid w:val="005E2652"/>
    <w:rsid w:val="005F6402"/>
    <w:rsid w:val="00626EA0"/>
    <w:rsid w:val="00635B5C"/>
    <w:rsid w:val="006A1F22"/>
    <w:rsid w:val="006A7B1B"/>
    <w:rsid w:val="006D4614"/>
    <w:rsid w:val="007339B1"/>
    <w:rsid w:val="007938CA"/>
    <w:rsid w:val="007A5C39"/>
    <w:rsid w:val="007A6E5F"/>
    <w:rsid w:val="007E00FD"/>
    <w:rsid w:val="008319EB"/>
    <w:rsid w:val="008413F8"/>
    <w:rsid w:val="0086160E"/>
    <w:rsid w:val="0088083C"/>
    <w:rsid w:val="00881208"/>
    <w:rsid w:val="00895AC8"/>
    <w:rsid w:val="008C7158"/>
    <w:rsid w:val="00925E38"/>
    <w:rsid w:val="0094639F"/>
    <w:rsid w:val="00956E5C"/>
    <w:rsid w:val="0099493D"/>
    <w:rsid w:val="009A36FC"/>
    <w:rsid w:val="009C5E09"/>
    <w:rsid w:val="009F1CD7"/>
    <w:rsid w:val="00A30122"/>
    <w:rsid w:val="00A3684D"/>
    <w:rsid w:val="00A63B15"/>
    <w:rsid w:val="00A73B42"/>
    <w:rsid w:val="00AE2E52"/>
    <w:rsid w:val="00AE32F6"/>
    <w:rsid w:val="00AF136E"/>
    <w:rsid w:val="00B027B0"/>
    <w:rsid w:val="00B21937"/>
    <w:rsid w:val="00B4038A"/>
    <w:rsid w:val="00B417D9"/>
    <w:rsid w:val="00B53DFC"/>
    <w:rsid w:val="00B85D4D"/>
    <w:rsid w:val="00BA000D"/>
    <w:rsid w:val="00BD5E47"/>
    <w:rsid w:val="00BE1883"/>
    <w:rsid w:val="00C61B2E"/>
    <w:rsid w:val="00C72F6D"/>
    <w:rsid w:val="00C75130"/>
    <w:rsid w:val="00C865C8"/>
    <w:rsid w:val="00CA2241"/>
    <w:rsid w:val="00CD5B90"/>
    <w:rsid w:val="00D85C78"/>
    <w:rsid w:val="00D92B05"/>
    <w:rsid w:val="00DB12BE"/>
    <w:rsid w:val="00DE2C54"/>
    <w:rsid w:val="00DF735B"/>
    <w:rsid w:val="00E173E5"/>
    <w:rsid w:val="00E30699"/>
    <w:rsid w:val="00E74A7A"/>
    <w:rsid w:val="00E82F6B"/>
    <w:rsid w:val="00E94AA3"/>
    <w:rsid w:val="00E959AB"/>
    <w:rsid w:val="00EE40F8"/>
    <w:rsid w:val="00F823DE"/>
    <w:rsid w:val="00FA199F"/>
    <w:rsid w:val="00FD2B3F"/>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265559"/>
  <w15:chartTrackingRefBased/>
  <w15:docId w15:val="{527F39A5-FFDD-7142-B502-53A3BF64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08F"/>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9A36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E36"/>
    <w:rPr>
      <w:color w:val="0563C1" w:themeColor="hyperlink"/>
      <w:u w:val="single"/>
    </w:rPr>
  </w:style>
  <w:style w:type="paragraph" w:styleId="ListParagraph">
    <w:name w:val="List Paragraph"/>
    <w:basedOn w:val="Normal"/>
    <w:uiPriority w:val="34"/>
    <w:qFormat/>
    <w:rsid w:val="00E74A7A"/>
    <w:pPr>
      <w:ind w:left="720"/>
      <w:contextualSpacing/>
    </w:pPr>
  </w:style>
  <w:style w:type="character" w:styleId="UnresolvedMention">
    <w:name w:val="Unresolved Mention"/>
    <w:basedOn w:val="DefaultParagraphFont"/>
    <w:uiPriority w:val="99"/>
    <w:semiHidden/>
    <w:unhideWhenUsed/>
    <w:rsid w:val="001B4CAB"/>
    <w:rPr>
      <w:color w:val="605E5C"/>
      <w:shd w:val="clear" w:color="auto" w:fill="E1DFDD"/>
    </w:rPr>
  </w:style>
  <w:style w:type="character" w:customStyle="1" w:styleId="markhc12kkwxd">
    <w:name w:val="markhc12kkwxd"/>
    <w:basedOn w:val="DefaultParagraphFont"/>
    <w:rsid w:val="000F7A24"/>
  </w:style>
  <w:style w:type="paragraph" w:styleId="NormalWeb">
    <w:name w:val="Normal (Web)"/>
    <w:basedOn w:val="Normal"/>
    <w:uiPriority w:val="99"/>
    <w:unhideWhenUsed/>
    <w:rsid w:val="000F7A24"/>
    <w:pPr>
      <w:spacing w:before="100" w:beforeAutospacing="1" w:after="100" w:afterAutospacing="1"/>
    </w:pPr>
  </w:style>
  <w:style w:type="paragraph" w:styleId="BalloonText">
    <w:name w:val="Balloon Text"/>
    <w:basedOn w:val="Normal"/>
    <w:link w:val="BalloonTextChar"/>
    <w:uiPriority w:val="99"/>
    <w:semiHidden/>
    <w:unhideWhenUsed/>
    <w:rsid w:val="00881208"/>
    <w:rPr>
      <w:sz w:val="18"/>
      <w:szCs w:val="18"/>
    </w:rPr>
  </w:style>
  <w:style w:type="character" w:customStyle="1" w:styleId="BalloonTextChar">
    <w:name w:val="Balloon Text Char"/>
    <w:basedOn w:val="DefaultParagraphFont"/>
    <w:link w:val="BalloonText"/>
    <w:uiPriority w:val="99"/>
    <w:semiHidden/>
    <w:rsid w:val="00881208"/>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uiPriority w:val="9"/>
    <w:rsid w:val="009A36FC"/>
    <w:rPr>
      <w:rFonts w:asciiTheme="majorHAnsi" w:eastAsiaTheme="majorEastAsia" w:hAnsiTheme="majorHAnsi" w:cstheme="majorBidi"/>
      <w:color w:val="2F5496" w:themeColor="accent1" w:themeShade="BF"/>
      <w:sz w:val="26"/>
      <w:szCs w:val="26"/>
      <w:lang w:eastAsia="en-GB"/>
    </w:r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9A36FC"/>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9A36FC"/>
    <w:rPr>
      <w:rFonts w:ascii="Times New Roman" w:eastAsia="Times New Roman" w:hAnsi="Times New Roman" w:cs="Times New Roman"/>
      <w:lang w:eastAsia="en-GB"/>
    </w:rPr>
  </w:style>
  <w:style w:type="character" w:styleId="FootnoteReference">
    <w:name w:val="footnote reference"/>
    <w:aliases w:val="Footnotes refss"/>
    <w:basedOn w:val="DefaultParagraphFont"/>
    <w:uiPriority w:val="99"/>
    <w:unhideWhenUsed/>
    <w:rsid w:val="009A36FC"/>
    <w:rPr>
      <w:vertAlign w:val="superscript"/>
    </w:rPr>
  </w:style>
  <w:style w:type="paragraph" w:styleId="NoSpacing">
    <w:name w:val="No Spacing"/>
    <w:uiPriority w:val="1"/>
    <w:qFormat/>
    <w:rsid w:val="009A36FC"/>
    <w:rPr>
      <w:rFonts w:ascii="Times New Roman" w:hAnsi="Times New Roman" w:cs="Times New Roman"/>
      <w:lang w:eastAsia="en-AU"/>
    </w:rPr>
  </w:style>
  <w:style w:type="character" w:styleId="Strong">
    <w:name w:val="Strong"/>
    <w:basedOn w:val="DefaultParagraphFont"/>
    <w:uiPriority w:val="22"/>
    <w:qFormat/>
    <w:rsid w:val="009A36FC"/>
    <w:rPr>
      <w:b/>
      <w:bCs/>
    </w:rPr>
  </w:style>
  <w:style w:type="character" w:styleId="Emphasis">
    <w:name w:val="Emphasis"/>
    <w:basedOn w:val="DefaultParagraphFont"/>
    <w:uiPriority w:val="20"/>
    <w:qFormat/>
    <w:rsid w:val="00351D35"/>
    <w:rPr>
      <w:i/>
      <w:iCs/>
    </w:rPr>
  </w:style>
  <w:style w:type="paragraph" w:customStyle="1" w:styleId="DraftHeading2">
    <w:name w:val="Draft Heading 2"/>
    <w:basedOn w:val="Normal"/>
    <w:next w:val="Normal"/>
    <w:rsid w:val="00414CC2"/>
    <w:pPr>
      <w:overflowPunct w:val="0"/>
      <w:autoSpaceDE w:val="0"/>
      <w:autoSpaceDN w:val="0"/>
      <w:adjustRightInd w:val="0"/>
      <w:spacing w:before="120"/>
      <w:textAlignment w:val="baseline"/>
    </w:pPr>
    <w:rPr>
      <w:szCs w:val="20"/>
      <w:lang w:eastAsia="en-US"/>
    </w:rPr>
  </w:style>
  <w:style w:type="paragraph" w:customStyle="1" w:styleId="DraftHeading3">
    <w:name w:val="Draft Heading 3"/>
    <w:basedOn w:val="Normal"/>
    <w:next w:val="Normal"/>
    <w:rsid w:val="00414CC2"/>
    <w:pPr>
      <w:overflowPunct w:val="0"/>
      <w:autoSpaceDE w:val="0"/>
      <w:autoSpaceDN w:val="0"/>
      <w:adjustRightInd w:val="0"/>
      <w:spacing w:before="120"/>
      <w:textAlignment w:val="baseline"/>
    </w:pPr>
    <w:rPr>
      <w:szCs w:val="20"/>
      <w:lang w:eastAsia="en-US"/>
    </w:rPr>
  </w:style>
  <w:style w:type="paragraph" w:customStyle="1" w:styleId="Heading-DIVISION">
    <w:name w:val="Heading - DIVISION"/>
    <w:next w:val="Normal"/>
    <w:rsid w:val="00414CC2"/>
    <w:pPr>
      <w:overflowPunct w:val="0"/>
      <w:autoSpaceDE w:val="0"/>
      <w:autoSpaceDN w:val="0"/>
      <w:adjustRightInd w:val="0"/>
      <w:spacing w:before="240" w:after="120"/>
      <w:jc w:val="center"/>
      <w:textAlignment w:val="baseline"/>
      <w:outlineLvl w:val="3"/>
    </w:pPr>
    <w:rPr>
      <w:rFonts w:ascii="Times New Roman" w:eastAsia="Times New Roman" w:hAnsi="Times New Roman" w:cs="Times New Roman"/>
      <w:b/>
      <w:szCs w:val="20"/>
    </w:rPr>
  </w:style>
  <w:style w:type="paragraph" w:customStyle="1" w:styleId="DraftHeading1">
    <w:name w:val="Draft Heading 1"/>
    <w:basedOn w:val="Normal"/>
    <w:next w:val="Normal"/>
    <w:rsid w:val="00414CC2"/>
    <w:pPr>
      <w:overflowPunct w:val="0"/>
      <w:autoSpaceDE w:val="0"/>
      <w:autoSpaceDN w:val="0"/>
      <w:adjustRightInd w:val="0"/>
      <w:spacing w:before="120"/>
      <w:textAlignment w:val="baseline"/>
      <w:outlineLvl w:val="2"/>
    </w:pPr>
    <w:rPr>
      <w:b/>
      <w:lang w:eastAsia="en-US"/>
    </w:rPr>
  </w:style>
  <w:style w:type="paragraph" w:styleId="Footer">
    <w:name w:val="footer"/>
    <w:basedOn w:val="Normal"/>
    <w:link w:val="FooterChar"/>
    <w:uiPriority w:val="99"/>
    <w:unhideWhenUsed/>
    <w:rsid w:val="00956E5C"/>
    <w:pPr>
      <w:tabs>
        <w:tab w:val="center" w:pos="4513"/>
        <w:tab w:val="right" w:pos="9026"/>
      </w:tabs>
    </w:pPr>
  </w:style>
  <w:style w:type="character" w:customStyle="1" w:styleId="FooterChar">
    <w:name w:val="Footer Char"/>
    <w:basedOn w:val="DefaultParagraphFont"/>
    <w:link w:val="Footer"/>
    <w:uiPriority w:val="99"/>
    <w:rsid w:val="00956E5C"/>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5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5946">
      <w:bodyDiv w:val="1"/>
      <w:marLeft w:val="0"/>
      <w:marRight w:val="0"/>
      <w:marTop w:val="0"/>
      <w:marBottom w:val="0"/>
      <w:divBdr>
        <w:top w:val="none" w:sz="0" w:space="0" w:color="auto"/>
        <w:left w:val="none" w:sz="0" w:space="0" w:color="auto"/>
        <w:bottom w:val="none" w:sz="0" w:space="0" w:color="auto"/>
        <w:right w:val="none" w:sz="0" w:space="0" w:color="auto"/>
      </w:divBdr>
    </w:div>
    <w:div w:id="57750429">
      <w:bodyDiv w:val="1"/>
      <w:marLeft w:val="0"/>
      <w:marRight w:val="0"/>
      <w:marTop w:val="0"/>
      <w:marBottom w:val="0"/>
      <w:divBdr>
        <w:top w:val="none" w:sz="0" w:space="0" w:color="auto"/>
        <w:left w:val="none" w:sz="0" w:space="0" w:color="auto"/>
        <w:bottom w:val="none" w:sz="0" w:space="0" w:color="auto"/>
        <w:right w:val="none" w:sz="0" w:space="0" w:color="auto"/>
      </w:divBdr>
    </w:div>
    <w:div w:id="63187059">
      <w:bodyDiv w:val="1"/>
      <w:marLeft w:val="0"/>
      <w:marRight w:val="0"/>
      <w:marTop w:val="0"/>
      <w:marBottom w:val="0"/>
      <w:divBdr>
        <w:top w:val="none" w:sz="0" w:space="0" w:color="auto"/>
        <w:left w:val="none" w:sz="0" w:space="0" w:color="auto"/>
        <w:bottom w:val="none" w:sz="0" w:space="0" w:color="auto"/>
        <w:right w:val="none" w:sz="0" w:space="0" w:color="auto"/>
      </w:divBdr>
    </w:div>
    <w:div w:id="70010685">
      <w:bodyDiv w:val="1"/>
      <w:marLeft w:val="0"/>
      <w:marRight w:val="0"/>
      <w:marTop w:val="0"/>
      <w:marBottom w:val="0"/>
      <w:divBdr>
        <w:top w:val="none" w:sz="0" w:space="0" w:color="auto"/>
        <w:left w:val="none" w:sz="0" w:space="0" w:color="auto"/>
        <w:bottom w:val="none" w:sz="0" w:space="0" w:color="auto"/>
        <w:right w:val="none" w:sz="0" w:space="0" w:color="auto"/>
      </w:divBdr>
    </w:div>
    <w:div w:id="98304913">
      <w:bodyDiv w:val="1"/>
      <w:marLeft w:val="0"/>
      <w:marRight w:val="0"/>
      <w:marTop w:val="0"/>
      <w:marBottom w:val="0"/>
      <w:divBdr>
        <w:top w:val="none" w:sz="0" w:space="0" w:color="auto"/>
        <w:left w:val="none" w:sz="0" w:space="0" w:color="auto"/>
        <w:bottom w:val="none" w:sz="0" w:space="0" w:color="auto"/>
        <w:right w:val="none" w:sz="0" w:space="0" w:color="auto"/>
      </w:divBdr>
      <w:divsChild>
        <w:div w:id="1726836443">
          <w:marLeft w:val="0"/>
          <w:marRight w:val="0"/>
          <w:marTop w:val="0"/>
          <w:marBottom w:val="0"/>
          <w:divBdr>
            <w:top w:val="none" w:sz="0" w:space="0" w:color="auto"/>
            <w:left w:val="none" w:sz="0" w:space="0" w:color="auto"/>
            <w:bottom w:val="none" w:sz="0" w:space="0" w:color="auto"/>
            <w:right w:val="none" w:sz="0" w:space="0" w:color="auto"/>
          </w:divBdr>
          <w:divsChild>
            <w:div w:id="863901388">
              <w:marLeft w:val="0"/>
              <w:marRight w:val="0"/>
              <w:marTop w:val="0"/>
              <w:marBottom w:val="0"/>
              <w:divBdr>
                <w:top w:val="none" w:sz="0" w:space="0" w:color="auto"/>
                <w:left w:val="none" w:sz="0" w:space="0" w:color="auto"/>
                <w:bottom w:val="none" w:sz="0" w:space="0" w:color="auto"/>
                <w:right w:val="none" w:sz="0" w:space="0" w:color="auto"/>
              </w:divBdr>
            </w:div>
            <w:div w:id="792404746">
              <w:marLeft w:val="0"/>
              <w:marRight w:val="0"/>
              <w:marTop w:val="0"/>
              <w:marBottom w:val="0"/>
              <w:divBdr>
                <w:top w:val="none" w:sz="0" w:space="0" w:color="auto"/>
                <w:left w:val="none" w:sz="0" w:space="0" w:color="auto"/>
                <w:bottom w:val="none" w:sz="0" w:space="0" w:color="auto"/>
                <w:right w:val="none" w:sz="0" w:space="0" w:color="auto"/>
              </w:divBdr>
            </w:div>
            <w:div w:id="1319576225">
              <w:marLeft w:val="0"/>
              <w:marRight w:val="0"/>
              <w:marTop w:val="0"/>
              <w:marBottom w:val="0"/>
              <w:divBdr>
                <w:top w:val="none" w:sz="0" w:space="0" w:color="auto"/>
                <w:left w:val="none" w:sz="0" w:space="0" w:color="auto"/>
                <w:bottom w:val="none" w:sz="0" w:space="0" w:color="auto"/>
                <w:right w:val="none" w:sz="0" w:space="0" w:color="auto"/>
              </w:divBdr>
            </w:div>
            <w:div w:id="316110611">
              <w:marLeft w:val="0"/>
              <w:marRight w:val="0"/>
              <w:marTop w:val="0"/>
              <w:marBottom w:val="0"/>
              <w:divBdr>
                <w:top w:val="none" w:sz="0" w:space="0" w:color="auto"/>
                <w:left w:val="none" w:sz="0" w:space="0" w:color="auto"/>
                <w:bottom w:val="none" w:sz="0" w:space="0" w:color="auto"/>
                <w:right w:val="none" w:sz="0" w:space="0" w:color="auto"/>
              </w:divBdr>
            </w:div>
            <w:div w:id="1260408960">
              <w:marLeft w:val="0"/>
              <w:marRight w:val="0"/>
              <w:marTop w:val="0"/>
              <w:marBottom w:val="0"/>
              <w:divBdr>
                <w:top w:val="none" w:sz="0" w:space="0" w:color="auto"/>
                <w:left w:val="none" w:sz="0" w:space="0" w:color="auto"/>
                <w:bottom w:val="none" w:sz="0" w:space="0" w:color="auto"/>
                <w:right w:val="none" w:sz="0" w:space="0" w:color="auto"/>
              </w:divBdr>
            </w:div>
            <w:div w:id="1620070651">
              <w:marLeft w:val="0"/>
              <w:marRight w:val="0"/>
              <w:marTop w:val="0"/>
              <w:marBottom w:val="0"/>
              <w:divBdr>
                <w:top w:val="none" w:sz="0" w:space="0" w:color="auto"/>
                <w:left w:val="none" w:sz="0" w:space="0" w:color="auto"/>
                <w:bottom w:val="none" w:sz="0" w:space="0" w:color="auto"/>
                <w:right w:val="none" w:sz="0" w:space="0" w:color="auto"/>
              </w:divBdr>
            </w:div>
            <w:div w:id="1613440730">
              <w:marLeft w:val="0"/>
              <w:marRight w:val="0"/>
              <w:marTop w:val="0"/>
              <w:marBottom w:val="0"/>
              <w:divBdr>
                <w:top w:val="none" w:sz="0" w:space="0" w:color="auto"/>
                <w:left w:val="none" w:sz="0" w:space="0" w:color="auto"/>
                <w:bottom w:val="none" w:sz="0" w:space="0" w:color="auto"/>
                <w:right w:val="none" w:sz="0" w:space="0" w:color="auto"/>
              </w:divBdr>
            </w:div>
            <w:div w:id="144704351">
              <w:marLeft w:val="0"/>
              <w:marRight w:val="0"/>
              <w:marTop w:val="0"/>
              <w:marBottom w:val="0"/>
              <w:divBdr>
                <w:top w:val="none" w:sz="0" w:space="0" w:color="auto"/>
                <w:left w:val="none" w:sz="0" w:space="0" w:color="auto"/>
                <w:bottom w:val="none" w:sz="0" w:space="0" w:color="auto"/>
                <w:right w:val="none" w:sz="0" w:space="0" w:color="auto"/>
              </w:divBdr>
            </w:div>
            <w:div w:id="1723093975">
              <w:marLeft w:val="0"/>
              <w:marRight w:val="0"/>
              <w:marTop w:val="0"/>
              <w:marBottom w:val="0"/>
              <w:divBdr>
                <w:top w:val="none" w:sz="0" w:space="0" w:color="auto"/>
                <w:left w:val="none" w:sz="0" w:space="0" w:color="auto"/>
                <w:bottom w:val="none" w:sz="0" w:space="0" w:color="auto"/>
                <w:right w:val="none" w:sz="0" w:space="0" w:color="auto"/>
              </w:divBdr>
            </w:div>
            <w:div w:id="203100416">
              <w:marLeft w:val="0"/>
              <w:marRight w:val="0"/>
              <w:marTop w:val="0"/>
              <w:marBottom w:val="0"/>
              <w:divBdr>
                <w:top w:val="none" w:sz="0" w:space="0" w:color="auto"/>
                <w:left w:val="none" w:sz="0" w:space="0" w:color="auto"/>
                <w:bottom w:val="none" w:sz="0" w:space="0" w:color="auto"/>
                <w:right w:val="none" w:sz="0" w:space="0" w:color="auto"/>
              </w:divBdr>
            </w:div>
            <w:div w:id="663826323">
              <w:marLeft w:val="0"/>
              <w:marRight w:val="0"/>
              <w:marTop w:val="0"/>
              <w:marBottom w:val="0"/>
              <w:divBdr>
                <w:top w:val="none" w:sz="0" w:space="0" w:color="auto"/>
                <w:left w:val="none" w:sz="0" w:space="0" w:color="auto"/>
                <w:bottom w:val="none" w:sz="0" w:space="0" w:color="auto"/>
                <w:right w:val="none" w:sz="0" w:space="0" w:color="auto"/>
              </w:divBdr>
            </w:div>
            <w:div w:id="740491943">
              <w:marLeft w:val="0"/>
              <w:marRight w:val="0"/>
              <w:marTop w:val="0"/>
              <w:marBottom w:val="0"/>
              <w:divBdr>
                <w:top w:val="none" w:sz="0" w:space="0" w:color="auto"/>
                <w:left w:val="none" w:sz="0" w:space="0" w:color="auto"/>
                <w:bottom w:val="none" w:sz="0" w:space="0" w:color="auto"/>
                <w:right w:val="none" w:sz="0" w:space="0" w:color="auto"/>
              </w:divBdr>
            </w:div>
            <w:div w:id="1356736229">
              <w:marLeft w:val="0"/>
              <w:marRight w:val="0"/>
              <w:marTop w:val="0"/>
              <w:marBottom w:val="0"/>
              <w:divBdr>
                <w:top w:val="none" w:sz="0" w:space="0" w:color="auto"/>
                <w:left w:val="none" w:sz="0" w:space="0" w:color="auto"/>
                <w:bottom w:val="none" w:sz="0" w:space="0" w:color="auto"/>
                <w:right w:val="none" w:sz="0" w:space="0" w:color="auto"/>
              </w:divBdr>
            </w:div>
            <w:div w:id="539248874">
              <w:marLeft w:val="0"/>
              <w:marRight w:val="0"/>
              <w:marTop w:val="0"/>
              <w:marBottom w:val="0"/>
              <w:divBdr>
                <w:top w:val="none" w:sz="0" w:space="0" w:color="auto"/>
                <w:left w:val="none" w:sz="0" w:space="0" w:color="auto"/>
                <w:bottom w:val="none" w:sz="0" w:space="0" w:color="auto"/>
                <w:right w:val="none" w:sz="0" w:space="0" w:color="auto"/>
              </w:divBdr>
            </w:div>
            <w:div w:id="1171221310">
              <w:marLeft w:val="0"/>
              <w:marRight w:val="0"/>
              <w:marTop w:val="0"/>
              <w:marBottom w:val="0"/>
              <w:divBdr>
                <w:top w:val="none" w:sz="0" w:space="0" w:color="auto"/>
                <w:left w:val="none" w:sz="0" w:space="0" w:color="auto"/>
                <w:bottom w:val="none" w:sz="0" w:space="0" w:color="auto"/>
                <w:right w:val="none" w:sz="0" w:space="0" w:color="auto"/>
              </w:divBdr>
            </w:div>
            <w:div w:id="1108425986">
              <w:marLeft w:val="0"/>
              <w:marRight w:val="0"/>
              <w:marTop w:val="0"/>
              <w:marBottom w:val="0"/>
              <w:divBdr>
                <w:top w:val="none" w:sz="0" w:space="0" w:color="auto"/>
                <w:left w:val="none" w:sz="0" w:space="0" w:color="auto"/>
                <w:bottom w:val="none" w:sz="0" w:space="0" w:color="auto"/>
                <w:right w:val="none" w:sz="0" w:space="0" w:color="auto"/>
              </w:divBdr>
            </w:div>
            <w:div w:id="89859597">
              <w:marLeft w:val="0"/>
              <w:marRight w:val="0"/>
              <w:marTop w:val="0"/>
              <w:marBottom w:val="0"/>
              <w:divBdr>
                <w:top w:val="none" w:sz="0" w:space="0" w:color="auto"/>
                <w:left w:val="none" w:sz="0" w:space="0" w:color="auto"/>
                <w:bottom w:val="none" w:sz="0" w:space="0" w:color="auto"/>
                <w:right w:val="none" w:sz="0" w:space="0" w:color="auto"/>
              </w:divBdr>
            </w:div>
            <w:div w:id="1389106121">
              <w:marLeft w:val="0"/>
              <w:marRight w:val="0"/>
              <w:marTop w:val="0"/>
              <w:marBottom w:val="0"/>
              <w:divBdr>
                <w:top w:val="none" w:sz="0" w:space="0" w:color="auto"/>
                <w:left w:val="none" w:sz="0" w:space="0" w:color="auto"/>
                <w:bottom w:val="none" w:sz="0" w:space="0" w:color="auto"/>
                <w:right w:val="none" w:sz="0" w:space="0" w:color="auto"/>
              </w:divBdr>
            </w:div>
            <w:div w:id="417874669">
              <w:marLeft w:val="0"/>
              <w:marRight w:val="0"/>
              <w:marTop w:val="0"/>
              <w:marBottom w:val="0"/>
              <w:divBdr>
                <w:top w:val="none" w:sz="0" w:space="0" w:color="auto"/>
                <w:left w:val="none" w:sz="0" w:space="0" w:color="auto"/>
                <w:bottom w:val="none" w:sz="0" w:space="0" w:color="auto"/>
                <w:right w:val="none" w:sz="0" w:space="0" w:color="auto"/>
              </w:divBdr>
            </w:div>
            <w:div w:id="329721237">
              <w:marLeft w:val="0"/>
              <w:marRight w:val="0"/>
              <w:marTop w:val="0"/>
              <w:marBottom w:val="0"/>
              <w:divBdr>
                <w:top w:val="none" w:sz="0" w:space="0" w:color="auto"/>
                <w:left w:val="none" w:sz="0" w:space="0" w:color="auto"/>
                <w:bottom w:val="none" w:sz="0" w:space="0" w:color="auto"/>
                <w:right w:val="none" w:sz="0" w:space="0" w:color="auto"/>
              </w:divBdr>
            </w:div>
            <w:div w:id="1236936124">
              <w:marLeft w:val="0"/>
              <w:marRight w:val="0"/>
              <w:marTop w:val="0"/>
              <w:marBottom w:val="0"/>
              <w:divBdr>
                <w:top w:val="none" w:sz="0" w:space="0" w:color="auto"/>
                <w:left w:val="none" w:sz="0" w:space="0" w:color="auto"/>
                <w:bottom w:val="none" w:sz="0" w:space="0" w:color="auto"/>
                <w:right w:val="none" w:sz="0" w:space="0" w:color="auto"/>
              </w:divBdr>
            </w:div>
            <w:div w:id="1134640011">
              <w:marLeft w:val="0"/>
              <w:marRight w:val="0"/>
              <w:marTop w:val="0"/>
              <w:marBottom w:val="0"/>
              <w:divBdr>
                <w:top w:val="none" w:sz="0" w:space="0" w:color="auto"/>
                <w:left w:val="none" w:sz="0" w:space="0" w:color="auto"/>
                <w:bottom w:val="none" w:sz="0" w:space="0" w:color="auto"/>
                <w:right w:val="none" w:sz="0" w:space="0" w:color="auto"/>
              </w:divBdr>
            </w:div>
          </w:divsChild>
        </w:div>
        <w:div w:id="1829203389">
          <w:marLeft w:val="0"/>
          <w:marRight w:val="0"/>
          <w:marTop w:val="0"/>
          <w:marBottom w:val="0"/>
          <w:divBdr>
            <w:top w:val="none" w:sz="0" w:space="0" w:color="auto"/>
            <w:left w:val="none" w:sz="0" w:space="0" w:color="auto"/>
            <w:bottom w:val="none" w:sz="0" w:space="0" w:color="auto"/>
            <w:right w:val="none" w:sz="0" w:space="0" w:color="auto"/>
          </w:divBdr>
        </w:div>
      </w:divsChild>
    </w:div>
    <w:div w:id="117337620">
      <w:bodyDiv w:val="1"/>
      <w:marLeft w:val="0"/>
      <w:marRight w:val="0"/>
      <w:marTop w:val="0"/>
      <w:marBottom w:val="0"/>
      <w:divBdr>
        <w:top w:val="none" w:sz="0" w:space="0" w:color="auto"/>
        <w:left w:val="none" w:sz="0" w:space="0" w:color="auto"/>
        <w:bottom w:val="none" w:sz="0" w:space="0" w:color="auto"/>
        <w:right w:val="none" w:sz="0" w:space="0" w:color="auto"/>
      </w:divBdr>
    </w:div>
    <w:div w:id="180168419">
      <w:bodyDiv w:val="1"/>
      <w:marLeft w:val="0"/>
      <w:marRight w:val="0"/>
      <w:marTop w:val="0"/>
      <w:marBottom w:val="0"/>
      <w:divBdr>
        <w:top w:val="none" w:sz="0" w:space="0" w:color="auto"/>
        <w:left w:val="none" w:sz="0" w:space="0" w:color="auto"/>
        <w:bottom w:val="none" w:sz="0" w:space="0" w:color="auto"/>
        <w:right w:val="none" w:sz="0" w:space="0" w:color="auto"/>
      </w:divBdr>
    </w:div>
    <w:div w:id="200362770">
      <w:bodyDiv w:val="1"/>
      <w:marLeft w:val="0"/>
      <w:marRight w:val="0"/>
      <w:marTop w:val="0"/>
      <w:marBottom w:val="0"/>
      <w:divBdr>
        <w:top w:val="none" w:sz="0" w:space="0" w:color="auto"/>
        <w:left w:val="none" w:sz="0" w:space="0" w:color="auto"/>
        <w:bottom w:val="none" w:sz="0" w:space="0" w:color="auto"/>
        <w:right w:val="none" w:sz="0" w:space="0" w:color="auto"/>
      </w:divBdr>
    </w:div>
    <w:div w:id="217056635">
      <w:bodyDiv w:val="1"/>
      <w:marLeft w:val="0"/>
      <w:marRight w:val="0"/>
      <w:marTop w:val="0"/>
      <w:marBottom w:val="0"/>
      <w:divBdr>
        <w:top w:val="none" w:sz="0" w:space="0" w:color="auto"/>
        <w:left w:val="none" w:sz="0" w:space="0" w:color="auto"/>
        <w:bottom w:val="none" w:sz="0" w:space="0" w:color="auto"/>
        <w:right w:val="none" w:sz="0" w:space="0" w:color="auto"/>
      </w:divBdr>
    </w:div>
    <w:div w:id="249706800">
      <w:bodyDiv w:val="1"/>
      <w:marLeft w:val="0"/>
      <w:marRight w:val="0"/>
      <w:marTop w:val="0"/>
      <w:marBottom w:val="0"/>
      <w:divBdr>
        <w:top w:val="none" w:sz="0" w:space="0" w:color="auto"/>
        <w:left w:val="none" w:sz="0" w:space="0" w:color="auto"/>
        <w:bottom w:val="none" w:sz="0" w:space="0" w:color="auto"/>
        <w:right w:val="none" w:sz="0" w:space="0" w:color="auto"/>
      </w:divBdr>
    </w:div>
    <w:div w:id="283972946">
      <w:bodyDiv w:val="1"/>
      <w:marLeft w:val="0"/>
      <w:marRight w:val="0"/>
      <w:marTop w:val="0"/>
      <w:marBottom w:val="0"/>
      <w:divBdr>
        <w:top w:val="none" w:sz="0" w:space="0" w:color="auto"/>
        <w:left w:val="none" w:sz="0" w:space="0" w:color="auto"/>
        <w:bottom w:val="none" w:sz="0" w:space="0" w:color="auto"/>
        <w:right w:val="none" w:sz="0" w:space="0" w:color="auto"/>
      </w:divBdr>
    </w:div>
    <w:div w:id="289362296">
      <w:bodyDiv w:val="1"/>
      <w:marLeft w:val="0"/>
      <w:marRight w:val="0"/>
      <w:marTop w:val="0"/>
      <w:marBottom w:val="0"/>
      <w:divBdr>
        <w:top w:val="none" w:sz="0" w:space="0" w:color="auto"/>
        <w:left w:val="none" w:sz="0" w:space="0" w:color="auto"/>
        <w:bottom w:val="none" w:sz="0" w:space="0" w:color="auto"/>
        <w:right w:val="none" w:sz="0" w:space="0" w:color="auto"/>
      </w:divBdr>
    </w:div>
    <w:div w:id="369305680">
      <w:bodyDiv w:val="1"/>
      <w:marLeft w:val="0"/>
      <w:marRight w:val="0"/>
      <w:marTop w:val="0"/>
      <w:marBottom w:val="0"/>
      <w:divBdr>
        <w:top w:val="none" w:sz="0" w:space="0" w:color="auto"/>
        <w:left w:val="none" w:sz="0" w:space="0" w:color="auto"/>
        <w:bottom w:val="none" w:sz="0" w:space="0" w:color="auto"/>
        <w:right w:val="none" w:sz="0" w:space="0" w:color="auto"/>
      </w:divBdr>
    </w:div>
    <w:div w:id="370884934">
      <w:bodyDiv w:val="1"/>
      <w:marLeft w:val="0"/>
      <w:marRight w:val="0"/>
      <w:marTop w:val="0"/>
      <w:marBottom w:val="0"/>
      <w:divBdr>
        <w:top w:val="none" w:sz="0" w:space="0" w:color="auto"/>
        <w:left w:val="none" w:sz="0" w:space="0" w:color="auto"/>
        <w:bottom w:val="none" w:sz="0" w:space="0" w:color="auto"/>
        <w:right w:val="none" w:sz="0" w:space="0" w:color="auto"/>
      </w:divBdr>
    </w:div>
    <w:div w:id="372274029">
      <w:bodyDiv w:val="1"/>
      <w:marLeft w:val="0"/>
      <w:marRight w:val="0"/>
      <w:marTop w:val="0"/>
      <w:marBottom w:val="0"/>
      <w:divBdr>
        <w:top w:val="none" w:sz="0" w:space="0" w:color="auto"/>
        <w:left w:val="none" w:sz="0" w:space="0" w:color="auto"/>
        <w:bottom w:val="none" w:sz="0" w:space="0" w:color="auto"/>
        <w:right w:val="none" w:sz="0" w:space="0" w:color="auto"/>
      </w:divBdr>
    </w:div>
    <w:div w:id="379935785">
      <w:bodyDiv w:val="1"/>
      <w:marLeft w:val="0"/>
      <w:marRight w:val="0"/>
      <w:marTop w:val="0"/>
      <w:marBottom w:val="0"/>
      <w:divBdr>
        <w:top w:val="none" w:sz="0" w:space="0" w:color="auto"/>
        <w:left w:val="none" w:sz="0" w:space="0" w:color="auto"/>
        <w:bottom w:val="none" w:sz="0" w:space="0" w:color="auto"/>
        <w:right w:val="none" w:sz="0" w:space="0" w:color="auto"/>
      </w:divBdr>
    </w:div>
    <w:div w:id="397554238">
      <w:bodyDiv w:val="1"/>
      <w:marLeft w:val="0"/>
      <w:marRight w:val="0"/>
      <w:marTop w:val="0"/>
      <w:marBottom w:val="0"/>
      <w:divBdr>
        <w:top w:val="none" w:sz="0" w:space="0" w:color="auto"/>
        <w:left w:val="none" w:sz="0" w:space="0" w:color="auto"/>
        <w:bottom w:val="none" w:sz="0" w:space="0" w:color="auto"/>
        <w:right w:val="none" w:sz="0" w:space="0" w:color="auto"/>
      </w:divBdr>
    </w:div>
    <w:div w:id="406851986">
      <w:bodyDiv w:val="1"/>
      <w:marLeft w:val="0"/>
      <w:marRight w:val="0"/>
      <w:marTop w:val="0"/>
      <w:marBottom w:val="0"/>
      <w:divBdr>
        <w:top w:val="none" w:sz="0" w:space="0" w:color="auto"/>
        <w:left w:val="none" w:sz="0" w:space="0" w:color="auto"/>
        <w:bottom w:val="none" w:sz="0" w:space="0" w:color="auto"/>
        <w:right w:val="none" w:sz="0" w:space="0" w:color="auto"/>
      </w:divBdr>
    </w:div>
    <w:div w:id="416564366">
      <w:bodyDiv w:val="1"/>
      <w:marLeft w:val="0"/>
      <w:marRight w:val="0"/>
      <w:marTop w:val="0"/>
      <w:marBottom w:val="0"/>
      <w:divBdr>
        <w:top w:val="none" w:sz="0" w:space="0" w:color="auto"/>
        <w:left w:val="none" w:sz="0" w:space="0" w:color="auto"/>
        <w:bottom w:val="none" w:sz="0" w:space="0" w:color="auto"/>
        <w:right w:val="none" w:sz="0" w:space="0" w:color="auto"/>
      </w:divBdr>
    </w:div>
    <w:div w:id="430013232">
      <w:bodyDiv w:val="1"/>
      <w:marLeft w:val="0"/>
      <w:marRight w:val="0"/>
      <w:marTop w:val="0"/>
      <w:marBottom w:val="0"/>
      <w:divBdr>
        <w:top w:val="none" w:sz="0" w:space="0" w:color="auto"/>
        <w:left w:val="none" w:sz="0" w:space="0" w:color="auto"/>
        <w:bottom w:val="none" w:sz="0" w:space="0" w:color="auto"/>
        <w:right w:val="none" w:sz="0" w:space="0" w:color="auto"/>
      </w:divBdr>
    </w:div>
    <w:div w:id="435950938">
      <w:bodyDiv w:val="1"/>
      <w:marLeft w:val="0"/>
      <w:marRight w:val="0"/>
      <w:marTop w:val="0"/>
      <w:marBottom w:val="0"/>
      <w:divBdr>
        <w:top w:val="none" w:sz="0" w:space="0" w:color="auto"/>
        <w:left w:val="none" w:sz="0" w:space="0" w:color="auto"/>
        <w:bottom w:val="none" w:sz="0" w:space="0" w:color="auto"/>
        <w:right w:val="none" w:sz="0" w:space="0" w:color="auto"/>
      </w:divBdr>
    </w:div>
    <w:div w:id="475072264">
      <w:bodyDiv w:val="1"/>
      <w:marLeft w:val="0"/>
      <w:marRight w:val="0"/>
      <w:marTop w:val="0"/>
      <w:marBottom w:val="0"/>
      <w:divBdr>
        <w:top w:val="none" w:sz="0" w:space="0" w:color="auto"/>
        <w:left w:val="none" w:sz="0" w:space="0" w:color="auto"/>
        <w:bottom w:val="none" w:sz="0" w:space="0" w:color="auto"/>
        <w:right w:val="none" w:sz="0" w:space="0" w:color="auto"/>
      </w:divBdr>
    </w:div>
    <w:div w:id="600145463">
      <w:bodyDiv w:val="1"/>
      <w:marLeft w:val="0"/>
      <w:marRight w:val="0"/>
      <w:marTop w:val="0"/>
      <w:marBottom w:val="0"/>
      <w:divBdr>
        <w:top w:val="none" w:sz="0" w:space="0" w:color="auto"/>
        <w:left w:val="none" w:sz="0" w:space="0" w:color="auto"/>
        <w:bottom w:val="none" w:sz="0" w:space="0" w:color="auto"/>
        <w:right w:val="none" w:sz="0" w:space="0" w:color="auto"/>
      </w:divBdr>
    </w:div>
    <w:div w:id="632639599">
      <w:bodyDiv w:val="1"/>
      <w:marLeft w:val="0"/>
      <w:marRight w:val="0"/>
      <w:marTop w:val="0"/>
      <w:marBottom w:val="0"/>
      <w:divBdr>
        <w:top w:val="none" w:sz="0" w:space="0" w:color="auto"/>
        <w:left w:val="none" w:sz="0" w:space="0" w:color="auto"/>
        <w:bottom w:val="none" w:sz="0" w:space="0" w:color="auto"/>
        <w:right w:val="none" w:sz="0" w:space="0" w:color="auto"/>
      </w:divBdr>
    </w:div>
    <w:div w:id="645091059">
      <w:bodyDiv w:val="1"/>
      <w:marLeft w:val="0"/>
      <w:marRight w:val="0"/>
      <w:marTop w:val="0"/>
      <w:marBottom w:val="0"/>
      <w:divBdr>
        <w:top w:val="none" w:sz="0" w:space="0" w:color="auto"/>
        <w:left w:val="none" w:sz="0" w:space="0" w:color="auto"/>
        <w:bottom w:val="none" w:sz="0" w:space="0" w:color="auto"/>
        <w:right w:val="none" w:sz="0" w:space="0" w:color="auto"/>
      </w:divBdr>
    </w:div>
    <w:div w:id="650257261">
      <w:bodyDiv w:val="1"/>
      <w:marLeft w:val="0"/>
      <w:marRight w:val="0"/>
      <w:marTop w:val="0"/>
      <w:marBottom w:val="0"/>
      <w:divBdr>
        <w:top w:val="none" w:sz="0" w:space="0" w:color="auto"/>
        <w:left w:val="none" w:sz="0" w:space="0" w:color="auto"/>
        <w:bottom w:val="none" w:sz="0" w:space="0" w:color="auto"/>
        <w:right w:val="none" w:sz="0" w:space="0" w:color="auto"/>
      </w:divBdr>
    </w:div>
    <w:div w:id="713426670">
      <w:bodyDiv w:val="1"/>
      <w:marLeft w:val="0"/>
      <w:marRight w:val="0"/>
      <w:marTop w:val="0"/>
      <w:marBottom w:val="0"/>
      <w:divBdr>
        <w:top w:val="none" w:sz="0" w:space="0" w:color="auto"/>
        <w:left w:val="none" w:sz="0" w:space="0" w:color="auto"/>
        <w:bottom w:val="none" w:sz="0" w:space="0" w:color="auto"/>
        <w:right w:val="none" w:sz="0" w:space="0" w:color="auto"/>
      </w:divBdr>
    </w:div>
    <w:div w:id="738557867">
      <w:bodyDiv w:val="1"/>
      <w:marLeft w:val="0"/>
      <w:marRight w:val="0"/>
      <w:marTop w:val="0"/>
      <w:marBottom w:val="0"/>
      <w:divBdr>
        <w:top w:val="none" w:sz="0" w:space="0" w:color="auto"/>
        <w:left w:val="none" w:sz="0" w:space="0" w:color="auto"/>
        <w:bottom w:val="none" w:sz="0" w:space="0" w:color="auto"/>
        <w:right w:val="none" w:sz="0" w:space="0" w:color="auto"/>
      </w:divBdr>
    </w:div>
    <w:div w:id="753673458">
      <w:bodyDiv w:val="1"/>
      <w:marLeft w:val="0"/>
      <w:marRight w:val="0"/>
      <w:marTop w:val="0"/>
      <w:marBottom w:val="0"/>
      <w:divBdr>
        <w:top w:val="none" w:sz="0" w:space="0" w:color="auto"/>
        <w:left w:val="none" w:sz="0" w:space="0" w:color="auto"/>
        <w:bottom w:val="none" w:sz="0" w:space="0" w:color="auto"/>
        <w:right w:val="none" w:sz="0" w:space="0" w:color="auto"/>
      </w:divBdr>
    </w:div>
    <w:div w:id="783574854">
      <w:bodyDiv w:val="1"/>
      <w:marLeft w:val="0"/>
      <w:marRight w:val="0"/>
      <w:marTop w:val="0"/>
      <w:marBottom w:val="0"/>
      <w:divBdr>
        <w:top w:val="none" w:sz="0" w:space="0" w:color="auto"/>
        <w:left w:val="none" w:sz="0" w:space="0" w:color="auto"/>
        <w:bottom w:val="none" w:sz="0" w:space="0" w:color="auto"/>
        <w:right w:val="none" w:sz="0" w:space="0" w:color="auto"/>
      </w:divBdr>
    </w:div>
    <w:div w:id="788469855">
      <w:bodyDiv w:val="1"/>
      <w:marLeft w:val="0"/>
      <w:marRight w:val="0"/>
      <w:marTop w:val="0"/>
      <w:marBottom w:val="0"/>
      <w:divBdr>
        <w:top w:val="none" w:sz="0" w:space="0" w:color="auto"/>
        <w:left w:val="none" w:sz="0" w:space="0" w:color="auto"/>
        <w:bottom w:val="none" w:sz="0" w:space="0" w:color="auto"/>
        <w:right w:val="none" w:sz="0" w:space="0" w:color="auto"/>
      </w:divBdr>
    </w:div>
    <w:div w:id="797265320">
      <w:bodyDiv w:val="1"/>
      <w:marLeft w:val="0"/>
      <w:marRight w:val="0"/>
      <w:marTop w:val="0"/>
      <w:marBottom w:val="0"/>
      <w:divBdr>
        <w:top w:val="none" w:sz="0" w:space="0" w:color="auto"/>
        <w:left w:val="none" w:sz="0" w:space="0" w:color="auto"/>
        <w:bottom w:val="none" w:sz="0" w:space="0" w:color="auto"/>
        <w:right w:val="none" w:sz="0" w:space="0" w:color="auto"/>
      </w:divBdr>
    </w:div>
    <w:div w:id="798962828">
      <w:bodyDiv w:val="1"/>
      <w:marLeft w:val="0"/>
      <w:marRight w:val="0"/>
      <w:marTop w:val="0"/>
      <w:marBottom w:val="0"/>
      <w:divBdr>
        <w:top w:val="none" w:sz="0" w:space="0" w:color="auto"/>
        <w:left w:val="none" w:sz="0" w:space="0" w:color="auto"/>
        <w:bottom w:val="none" w:sz="0" w:space="0" w:color="auto"/>
        <w:right w:val="none" w:sz="0" w:space="0" w:color="auto"/>
      </w:divBdr>
    </w:div>
    <w:div w:id="805201534">
      <w:bodyDiv w:val="1"/>
      <w:marLeft w:val="0"/>
      <w:marRight w:val="0"/>
      <w:marTop w:val="0"/>
      <w:marBottom w:val="0"/>
      <w:divBdr>
        <w:top w:val="none" w:sz="0" w:space="0" w:color="auto"/>
        <w:left w:val="none" w:sz="0" w:space="0" w:color="auto"/>
        <w:bottom w:val="none" w:sz="0" w:space="0" w:color="auto"/>
        <w:right w:val="none" w:sz="0" w:space="0" w:color="auto"/>
      </w:divBdr>
    </w:div>
    <w:div w:id="808716081">
      <w:bodyDiv w:val="1"/>
      <w:marLeft w:val="0"/>
      <w:marRight w:val="0"/>
      <w:marTop w:val="0"/>
      <w:marBottom w:val="0"/>
      <w:divBdr>
        <w:top w:val="none" w:sz="0" w:space="0" w:color="auto"/>
        <w:left w:val="none" w:sz="0" w:space="0" w:color="auto"/>
        <w:bottom w:val="none" w:sz="0" w:space="0" w:color="auto"/>
        <w:right w:val="none" w:sz="0" w:space="0" w:color="auto"/>
      </w:divBdr>
    </w:div>
    <w:div w:id="809052391">
      <w:bodyDiv w:val="1"/>
      <w:marLeft w:val="0"/>
      <w:marRight w:val="0"/>
      <w:marTop w:val="0"/>
      <w:marBottom w:val="0"/>
      <w:divBdr>
        <w:top w:val="none" w:sz="0" w:space="0" w:color="auto"/>
        <w:left w:val="none" w:sz="0" w:space="0" w:color="auto"/>
        <w:bottom w:val="none" w:sz="0" w:space="0" w:color="auto"/>
        <w:right w:val="none" w:sz="0" w:space="0" w:color="auto"/>
      </w:divBdr>
    </w:div>
    <w:div w:id="819927758">
      <w:bodyDiv w:val="1"/>
      <w:marLeft w:val="0"/>
      <w:marRight w:val="0"/>
      <w:marTop w:val="0"/>
      <w:marBottom w:val="0"/>
      <w:divBdr>
        <w:top w:val="none" w:sz="0" w:space="0" w:color="auto"/>
        <w:left w:val="none" w:sz="0" w:space="0" w:color="auto"/>
        <w:bottom w:val="none" w:sz="0" w:space="0" w:color="auto"/>
        <w:right w:val="none" w:sz="0" w:space="0" w:color="auto"/>
      </w:divBdr>
    </w:div>
    <w:div w:id="834760212">
      <w:bodyDiv w:val="1"/>
      <w:marLeft w:val="0"/>
      <w:marRight w:val="0"/>
      <w:marTop w:val="0"/>
      <w:marBottom w:val="0"/>
      <w:divBdr>
        <w:top w:val="none" w:sz="0" w:space="0" w:color="auto"/>
        <w:left w:val="none" w:sz="0" w:space="0" w:color="auto"/>
        <w:bottom w:val="none" w:sz="0" w:space="0" w:color="auto"/>
        <w:right w:val="none" w:sz="0" w:space="0" w:color="auto"/>
      </w:divBdr>
    </w:div>
    <w:div w:id="847057734">
      <w:bodyDiv w:val="1"/>
      <w:marLeft w:val="0"/>
      <w:marRight w:val="0"/>
      <w:marTop w:val="0"/>
      <w:marBottom w:val="0"/>
      <w:divBdr>
        <w:top w:val="none" w:sz="0" w:space="0" w:color="auto"/>
        <w:left w:val="none" w:sz="0" w:space="0" w:color="auto"/>
        <w:bottom w:val="none" w:sz="0" w:space="0" w:color="auto"/>
        <w:right w:val="none" w:sz="0" w:space="0" w:color="auto"/>
      </w:divBdr>
    </w:div>
    <w:div w:id="861280578">
      <w:bodyDiv w:val="1"/>
      <w:marLeft w:val="0"/>
      <w:marRight w:val="0"/>
      <w:marTop w:val="0"/>
      <w:marBottom w:val="0"/>
      <w:divBdr>
        <w:top w:val="none" w:sz="0" w:space="0" w:color="auto"/>
        <w:left w:val="none" w:sz="0" w:space="0" w:color="auto"/>
        <w:bottom w:val="none" w:sz="0" w:space="0" w:color="auto"/>
        <w:right w:val="none" w:sz="0" w:space="0" w:color="auto"/>
      </w:divBdr>
    </w:div>
    <w:div w:id="897283173">
      <w:bodyDiv w:val="1"/>
      <w:marLeft w:val="0"/>
      <w:marRight w:val="0"/>
      <w:marTop w:val="0"/>
      <w:marBottom w:val="0"/>
      <w:divBdr>
        <w:top w:val="none" w:sz="0" w:space="0" w:color="auto"/>
        <w:left w:val="none" w:sz="0" w:space="0" w:color="auto"/>
        <w:bottom w:val="none" w:sz="0" w:space="0" w:color="auto"/>
        <w:right w:val="none" w:sz="0" w:space="0" w:color="auto"/>
      </w:divBdr>
    </w:div>
    <w:div w:id="914558718">
      <w:bodyDiv w:val="1"/>
      <w:marLeft w:val="0"/>
      <w:marRight w:val="0"/>
      <w:marTop w:val="0"/>
      <w:marBottom w:val="0"/>
      <w:divBdr>
        <w:top w:val="none" w:sz="0" w:space="0" w:color="auto"/>
        <w:left w:val="none" w:sz="0" w:space="0" w:color="auto"/>
        <w:bottom w:val="none" w:sz="0" w:space="0" w:color="auto"/>
        <w:right w:val="none" w:sz="0" w:space="0" w:color="auto"/>
      </w:divBdr>
    </w:div>
    <w:div w:id="934020899">
      <w:bodyDiv w:val="1"/>
      <w:marLeft w:val="0"/>
      <w:marRight w:val="0"/>
      <w:marTop w:val="0"/>
      <w:marBottom w:val="0"/>
      <w:divBdr>
        <w:top w:val="none" w:sz="0" w:space="0" w:color="auto"/>
        <w:left w:val="none" w:sz="0" w:space="0" w:color="auto"/>
        <w:bottom w:val="none" w:sz="0" w:space="0" w:color="auto"/>
        <w:right w:val="none" w:sz="0" w:space="0" w:color="auto"/>
      </w:divBdr>
    </w:div>
    <w:div w:id="947080317">
      <w:bodyDiv w:val="1"/>
      <w:marLeft w:val="0"/>
      <w:marRight w:val="0"/>
      <w:marTop w:val="0"/>
      <w:marBottom w:val="0"/>
      <w:divBdr>
        <w:top w:val="none" w:sz="0" w:space="0" w:color="auto"/>
        <w:left w:val="none" w:sz="0" w:space="0" w:color="auto"/>
        <w:bottom w:val="none" w:sz="0" w:space="0" w:color="auto"/>
        <w:right w:val="none" w:sz="0" w:space="0" w:color="auto"/>
      </w:divBdr>
    </w:div>
    <w:div w:id="948124638">
      <w:bodyDiv w:val="1"/>
      <w:marLeft w:val="0"/>
      <w:marRight w:val="0"/>
      <w:marTop w:val="0"/>
      <w:marBottom w:val="0"/>
      <w:divBdr>
        <w:top w:val="none" w:sz="0" w:space="0" w:color="auto"/>
        <w:left w:val="none" w:sz="0" w:space="0" w:color="auto"/>
        <w:bottom w:val="none" w:sz="0" w:space="0" w:color="auto"/>
        <w:right w:val="none" w:sz="0" w:space="0" w:color="auto"/>
      </w:divBdr>
    </w:div>
    <w:div w:id="961764845">
      <w:bodyDiv w:val="1"/>
      <w:marLeft w:val="0"/>
      <w:marRight w:val="0"/>
      <w:marTop w:val="0"/>
      <w:marBottom w:val="0"/>
      <w:divBdr>
        <w:top w:val="none" w:sz="0" w:space="0" w:color="auto"/>
        <w:left w:val="none" w:sz="0" w:space="0" w:color="auto"/>
        <w:bottom w:val="none" w:sz="0" w:space="0" w:color="auto"/>
        <w:right w:val="none" w:sz="0" w:space="0" w:color="auto"/>
      </w:divBdr>
    </w:div>
    <w:div w:id="966089226">
      <w:bodyDiv w:val="1"/>
      <w:marLeft w:val="0"/>
      <w:marRight w:val="0"/>
      <w:marTop w:val="0"/>
      <w:marBottom w:val="0"/>
      <w:divBdr>
        <w:top w:val="none" w:sz="0" w:space="0" w:color="auto"/>
        <w:left w:val="none" w:sz="0" w:space="0" w:color="auto"/>
        <w:bottom w:val="none" w:sz="0" w:space="0" w:color="auto"/>
        <w:right w:val="none" w:sz="0" w:space="0" w:color="auto"/>
      </w:divBdr>
    </w:div>
    <w:div w:id="981883428">
      <w:bodyDiv w:val="1"/>
      <w:marLeft w:val="0"/>
      <w:marRight w:val="0"/>
      <w:marTop w:val="0"/>
      <w:marBottom w:val="0"/>
      <w:divBdr>
        <w:top w:val="none" w:sz="0" w:space="0" w:color="auto"/>
        <w:left w:val="none" w:sz="0" w:space="0" w:color="auto"/>
        <w:bottom w:val="none" w:sz="0" w:space="0" w:color="auto"/>
        <w:right w:val="none" w:sz="0" w:space="0" w:color="auto"/>
      </w:divBdr>
    </w:div>
    <w:div w:id="1003700869">
      <w:bodyDiv w:val="1"/>
      <w:marLeft w:val="0"/>
      <w:marRight w:val="0"/>
      <w:marTop w:val="0"/>
      <w:marBottom w:val="0"/>
      <w:divBdr>
        <w:top w:val="none" w:sz="0" w:space="0" w:color="auto"/>
        <w:left w:val="none" w:sz="0" w:space="0" w:color="auto"/>
        <w:bottom w:val="none" w:sz="0" w:space="0" w:color="auto"/>
        <w:right w:val="none" w:sz="0" w:space="0" w:color="auto"/>
      </w:divBdr>
    </w:div>
    <w:div w:id="1033532453">
      <w:bodyDiv w:val="1"/>
      <w:marLeft w:val="0"/>
      <w:marRight w:val="0"/>
      <w:marTop w:val="0"/>
      <w:marBottom w:val="0"/>
      <w:divBdr>
        <w:top w:val="none" w:sz="0" w:space="0" w:color="auto"/>
        <w:left w:val="none" w:sz="0" w:space="0" w:color="auto"/>
        <w:bottom w:val="none" w:sz="0" w:space="0" w:color="auto"/>
        <w:right w:val="none" w:sz="0" w:space="0" w:color="auto"/>
      </w:divBdr>
    </w:div>
    <w:div w:id="1036272951">
      <w:bodyDiv w:val="1"/>
      <w:marLeft w:val="0"/>
      <w:marRight w:val="0"/>
      <w:marTop w:val="0"/>
      <w:marBottom w:val="0"/>
      <w:divBdr>
        <w:top w:val="none" w:sz="0" w:space="0" w:color="auto"/>
        <w:left w:val="none" w:sz="0" w:space="0" w:color="auto"/>
        <w:bottom w:val="none" w:sz="0" w:space="0" w:color="auto"/>
        <w:right w:val="none" w:sz="0" w:space="0" w:color="auto"/>
      </w:divBdr>
    </w:div>
    <w:div w:id="1077286645">
      <w:bodyDiv w:val="1"/>
      <w:marLeft w:val="0"/>
      <w:marRight w:val="0"/>
      <w:marTop w:val="0"/>
      <w:marBottom w:val="0"/>
      <w:divBdr>
        <w:top w:val="none" w:sz="0" w:space="0" w:color="auto"/>
        <w:left w:val="none" w:sz="0" w:space="0" w:color="auto"/>
        <w:bottom w:val="none" w:sz="0" w:space="0" w:color="auto"/>
        <w:right w:val="none" w:sz="0" w:space="0" w:color="auto"/>
      </w:divBdr>
    </w:div>
    <w:div w:id="1085034626">
      <w:bodyDiv w:val="1"/>
      <w:marLeft w:val="0"/>
      <w:marRight w:val="0"/>
      <w:marTop w:val="0"/>
      <w:marBottom w:val="0"/>
      <w:divBdr>
        <w:top w:val="none" w:sz="0" w:space="0" w:color="auto"/>
        <w:left w:val="none" w:sz="0" w:space="0" w:color="auto"/>
        <w:bottom w:val="none" w:sz="0" w:space="0" w:color="auto"/>
        <w:right w:val="none" w:sz="0" w:space="0" w:color="auto"/>
      </w:divBdr>
    </w:div>
    <w:div w:id="1101099124">
      <w:bodyDiv w:val="1"/>
      <w:marLeft w:val="0"/>
      <w:marRight w:val="0"/>
      <w:marTop w:val="0"/>
      <w:marBottom w:val="0"/>
      <w:divBdr>
        <w:top w:val="none" w:sz="0" w:space="0" w:color="auto"/>
        <w:left w:val="none" w:sz="0" w:space="0" w:color="auto"/>
        <w:bottom w:val="none" w:sz="0" w:space="0" w:color="auto"/>
        <w:right w:val="none" w:sz="0" w:space="0" w:color="auto"/>
      </w:divBdr>
    </w:div>
    <w:div w:id="1108348725">
      <w:bodyDiv w:val="1"/>
      <w:marLeft w:val="0"/>
      <w:marRight w:val="0"/>
      <w:marTop w:val="0"/>
      <w:marBottom w:val="0"/>
      <w:divBdr>
        <w:top w:val="none" w:sz="0" w:space="0" w:color="auto"/>
        <w:left w:val="none" w:sz="0" w:space="0" w:color="auto"/>
        <w:bottom w:val="none" w:sz="0" w:space="0" w:color="auto"/>
        <w:right w:val="none" w:sz="0" w:space="0" w:color="auto"/>
      </w:divBdr>
      <w:divsChild>
        <w:div w:id="100986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87473">
              <w:marLeft w:val="0"/>
              <w:marRight w:val="0"/>
              <w:marTop w:val="0"/>
              <w:marBottom w:val="0"/>
              <w:divBdr>
                <w:top w:val="none" w:sz="0" w:space="0" w:color="auto"/>
                <w:left w:val="none" w:sz="0" w:space="0" w:color="auto"/>
                <w:bottom w:val="none" w:sz="0" w:space="0" w:color="auto"/>
                <w:right w:val="none" w:sz="0" w:space="0" w:color="auto"/>
              </w:divBdr>
              <w:divsChild>
                <w:div w:id="1996033153">
                  <w:marLeft w:val="0"/>
                  <w:marRight w:val="0"/>
                  <w:marTop w:val="0"/>
                  <w:marBottom w:val="0"/>
                  <w:divBdr>
                    <w:top w:val="none" w:sz="0" w:space="0" w:color="auto"/>
                    <w:left w:val="none" w:sz="0" w:space="0" w:color="auto"/>
                    <w:bottom w:val="none" w:sz="0" w:space="0" w:color="auto"/>
                    <w:right w:val="none" w:sz="0" w:space="0" w:color="auto"/>
                  </w:divBdr>
                </w:div>
                <w:div w:id="951859570">
                  <w:marLeft w:val="0"/>
                  <w:marRight w:val="0"/>
                  <w:marTop w:val="0"/>
                  <w:marBottom w:val="0"/>
                  <w:divBdr>
                    <w:top w:val="none" w:sz="0" w:space="0" w:color="auto"/>
                    <w:left w:val="none" w:sz="0" w:space="0" w:color="auto"/>
                    <w:bottom w:val="none" w:sz="0" w:space="0" w:color="auto"/>
                    <w:right w:val="none" w:sz="0" w:space="0" w:color="auto"/>
                  </w:divBdr>
                </w:div>
                <w:div w:id="1911845938">
                  <w:marLeft w:val="0"/>
                  <w:marRight w:val="0"/>
                  <w:marTop w:val="0"/>
                  <w:marBottom w:val="0"/>
                  <w:divBdr>
                    <w:top w:val="none" w:sz="0" w:space="0" w:color="auto"/>
                    <w:left w:val="none" w:sz="0" w:space="0" w:color="auto"/>
                    <w:bottom w:val="none" w:sz="0" w:space="0" w:color="auto"/>
                    <w:right w:val="none" w:sz="0" w:space="0" w:color="auto"/>
                  </w:divBdr>
                </w:div>
                <w:div w:id="981083719">
                  <w:marLeft w:val="0"/>
                  <w:marRight w:val="0"/>
                  <w:marTop w:val="0"/>
                  <w:marBottom w:val="0"/>
                  <w:divBdr>
                    <w:top w:val="none" w:sz="0" w:space="0" w:color="auto"/>
                    <w:left w:val="none" w:sz="0" w:space="0" w:color="auto"/>
                    <w:bottom w:val="none" w:sz="0" w:space="0" w:color="auto"/>
                    <w:right w:val="none" w:sz="0" w:space="0" w:color="auto"/>
                  </w:divBdr>
                </w:div>
                <w:div w:id="109666693">
                  <w:marLeft w:val="0"/>
                  <w:marRight w:val="0"/>
                  <w:marTop w:val="0"/>
                  <w:marBottom w:val="0"/>
                  <w:divBdr>
                    <w:top w:val="none" w:sz="0" w:space="0" w:color="auto"/>
                    <w:left w:val="none" w:sz="0" w:space="0" w:color="auto"/>
                    <w:bottom w:val="none" w:sz="0" w:space="0" w:color="auto"/>
                    <w:right w:val="none" w:sz="0" w:space="0" w:color="auto"/>
                  </w:divBdr>
                </w:div>
                <w:div w:id="1160579217">
                  <w:marLeft w:val="0"/>
                  <w:marRight w:val="0"/>
                  <w:marTop w:val="0"/>
                  <w:marBottom w:val="0"/>
                  <w:divBdr>
                    <w:top w:val="none" w:sz="0" w:space="0" w:color="auto"/>
                    <w:left w:val="none" w:sz="0" w:space="0" w:color="auto"/>
                    <w:bottom w:val="none" w:sz="0" w:space="0" w:color="auto"/>
                    <w:right w:val="none" w:sz="0" w:space="0" w:color="auto"/>
                  </w:divBdr>
                </w:div>
                <w:div w:id="10736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7406">
      <w:bodyDiv w:val="1"/>
      <w:marLeft w:val="0"/>
      <w:marRight w:val="0"/>
      <w:marTop w:val="0"/>
      <w:marBottom w:val="0"/>
      <w:divBdr>
        <w:top w:val="none" w:sz="0" w:space="0" w:color="auto"/>
        <w:left w:val="none" w:sz="0" w:space="0" w:color="auto"/>
        <w:bottom w:val="none" w:sz="0" w:space="0" w:color="auto"/>
        <w:right w:val="none" w:sz="0" w:space="0" w:color="auto"/>
      </w:divBdr>
    </w:div>
    <w:div w:id="1219704832">
      <w:bodyDiv w:val="1"/>
      <w:marLeft w:val="0"/>
      <w:marRight w:val="0"/>
      <w:marTop w:val="0"/>
      <w:marBottom w:val="0"/>
      <w:divBdr>
        <w:top w:val="none" w:sz="0" w:space="0" w:color="auto"/>
        <w:left w:val="none" w:sz="0" w:space="0" w:color="auto"/>
        <w:bottom w:val="none" w:sz="0" w:space="0" w:color="auto"/>
        <w:right w:val="none" w:sz="0" w:space="0" w:color="auto"/>
      </w:divBdr>
    </w:div>
    <w:div w:id="1232234869">
      <w:bodyDiv w:val="1"/>
      <w:marLeft w:val="0"/>
      <w:marRight w:val="0"/>
      <w:marTop w:val="0"/>
      <w:marBottom w:val="0"/>
      <w:divBdr>
        <w:top w:val="none" w:sz="0" w:space="0" w:color="auto"/>
        <w:left w:val="none" w:sz="0" w:space="0" w:color="auto"/>
        <w:bottom w:val="none" w:sz="0" w:space="0" w:color="auto"/>
        <w:right w:val="none" w:sz="0" w:space="0" w:color="auto"/>
      </w:divBdr>
    </w:div>
    <w:div w:id="1253273370">
      <w:bodyDiv w:val="1"/>
      <w:marLeft w:val="0"/>
      <w:marRight w:val="0"/>
      <w:marTop w:val="0"/>
      <w:marBottom w:val="0"/>
      <w:divBdr>
        <w:top w:val="none" w:sz="0" w:space="0" w:color="auto"/>
        <w:left w:val="none" w:sz="0" w:space="0" w:color="auto"/>
        <w:bottom w:val="none" w:sz="0" w:space="0" w:color="auto"/>
        <w:right w:val="none" w:sz="0" w:space="0" w:color="auto"/>
      </w:divBdr>
    </w:div>
    <w:div w:id="1256481192">
      <w:bodyDiv w:val="1"/>
      <w:marLeft w:val="0"/>
      <w:marRight w:val="0"/>
      <w:marTop w:val="0"/>
      <w:marBottom w:val="0"/>
      <w:divBdr>
        <w:top w:val="none" w:sz="0" w:space="0" w:color="auto"/>
        <w:left w:val="none" w:sz="0" w:space="0" w:color="auto"/>
        <w:bottom w:val="none" w:sz="0" w:space="0" w:color="auto"/>
        <w:right w:val="none" w:sz="0" w:space="0" w:color="auto"/>
      </w:divBdr>
    </w:div>
    <w:div w:id="1269115710">
      <w:bodyDiv w:val="1"/>
      <w:marLeft w:val="0"/>
      <w:marRight w:val="0"/>
      <w:marTop w:val="0"/>
      <w:marBottom w:val="0"/>
      <w:divBdr>
        <w:top w:val="none" w:sz="0" w:space="0" w:color="auto"/>
        <w:left w:val="none" w:sz="0" w:space="0" w:color="auto"/>
        <w:bottom w:val="none" w:sz="0" w:space="0" w:color="auto"/>
        <w:right w:val="none" w:sz="0" w:space="0" w:color="auto"/>
      </w:divBdr>
    </w:div>
    <w:div w:id="1341275367">
      <w:bodyDiv w:val="1"/>
      <w:marLeft w:val="0"/>
      <w:marRight w:val="0"/>
      <w:marTop w:val="0"/>
      <w:marBottom w:val="0"/>
      <w:divBdr>
        <w:top w:val="none" w:sz="0" w:space="0" w:color="auto"/>
        <w:left w:val="none" w:sz="0" w:space="0" w:color="auto"/>
        <w:bottom w:val="none" w:sz="0" w:space="0" w:color="auto"/>
        <w:right w:val="none" w:sz="0" w:space="0" w:color="auto"/>
      </w:divBdr>
    </w:div>
    <w:div w:id="1395469805">
      <w:bodyDiv w:val="1"/>
      <w:marLeft w:val="0"/>
      <w:marRight w:val="0"/>
      <w:marTop w:val="0"/>
      <w:marBottom w:val="0"/>
      <w:divBdr>
        <w:top w:val="none" w:sz="0" w:space="0" w:color="auto"/>
        <w:left w:val="none" w:sz="0" w:space="0" w:color="auto"/>
        <w:bottom w:val="none" w:sz="0" w:space="0" w:color="auto"/>
        <w:right w:val="none" w:sz="0" w:space="0" w:color="auto"/>
      </w:divBdr>
    </w:div>
    <w:div w:id="1420176828">
      <w:bodyDiv w:val="1"/>
      <w:marLeft w:val="0"/>
      <w:marRight w:val="0"/>
      <w:marTop w:val="0"/>
      <w:marBottom w:val="0"/>
      <w:divBdr>
        <w:top w:val="none" w:sz="0" w:space="0" w:color="auto"/>
        <w:left w:val="none" w:sz="0" w:space="0" w:color="auto"/>
        <w:bottom w:val="none" w:sz="0" w:space="0" w:color="auto"/>
        <w:right w:val="none" w:sz="0" w:space="0" w:color="auto"/>
      </w:divBdr>
    </w:div>
    <w:div w:id="1453092698">
      <w:bodyDiv w:val="1"/>
      <w:marLeft w:val="0"/>
      <w:marRight w:val="0"/>
      <w:marTop w:val="0"/>
      <w:marBottom w:val="0"/>
      <w:divBdr>
        <w:top w:val="none" w:sz="0" w:space="0" w:color="auto"/>
        <w:left w:val="none" w:sz="0" w:space="0" w:color="auto"/>
        <w:bottom w:val="none" w:sz="0" w:space="0" w:color="auto"/>
        <w:right w:val="none" w:sz="0" w:space="0" w:color="auto"/>
      </w:divBdr>
    </w:div>
    <w:div w:id="1469712179">
      <w:bodyDiv w:val="1"/>
      <w:marLeft w:val="0"/>
      <w:marRight w:val="0"/>
      <w:marTop w:val="0"/>
      <w:marBottom w:val="0"/>
      <w:divBdr>
        <w:top w:val="none" w:sz="0" w:space="0" w:color="auto"/>
        <w:left w:val="none" w:sz="0" w:space="0" w:color="auto"/>
        <w:bottom w:val="none" w:sz="0" w:space="0" w:color="auto"/>
        <w:right w:val="none" w:sz="0" w:space="0" w:color="auto"/>
      </w:divBdr>
    </w:div>
    <w:div w:id="1472165529">
      <w:bodyDiv w:val="1"/>
      <w:marLeft w:val="0"/>
      <w:marRight w:val="0"/>
      <w:marTop w:val="0"/>
      <w:marBottom w:val="0"/>
      <w:divBdr>
        <w:top w:val="none" w:sz="0" w:space="0" w:color="auto"/>
        <w:left w:val="none" w:sz="0" w:space="0" w:color="auto"/>
        <w:bottom w:val="none" w:sz="0" w:space="0" w:color="auto"/>
        <w:right w:val="none" w:sz="0" w:space="0" w:color="auto"/>
      </w:divBdr>
    </w:div>
    <w:div w:id="1515607750">
      <w:bodyDiv w:val="1"/>
      <w:marLeft w:val="0"/>
      <w:marRight w:val="0"/>
      <w:marTop w:val="0"/>
      <w:marBottom w:val="0"/>
      <w:divBdr>
        <w:top w:val="none" w:sz="0" w:space="0" w:color="auto"/>
        <w:left w:val="none" w:sz="0" w:space="0" w:color="auto"/>
        <w:bottom w:val="none" w:sz="0" w:space="0" w:color="auto"/>
        <w:right w:val="none" w:sz="0" w:space="0" w:color="auto"/>
      </w:divBdr>
    </w:div>
    <w:div w:id="1533688470">
      <w:bodyDiv w:val="1"/>
      <w:marLeft w:val="0"/>
      <w:marRight w:val="0"/>
      <w:marTop w:val="0"/>
      <w:marBottom w:val="0"/>
      <w:divBdr>
        <w:top w:val="none" w:sz="0" w:space="0" w:color="auto"/>
        <w:left w:val="none" w:sz="0" w:space="0" w:color="auto"/>
        <w:bottom w:val="none" w:sz="0" w:space="0" w:color="auto"/>
        <w:right w:val="none" w:sz="0" w:space="0" w:color="auto"/>
      </w:divBdr>
    </w:div>
    <w:div w:id="1535457719">
      <w:bodyDiv w:val="1"/>
      <w:marLeft w:val="0"/>
      <w:marRight w:val="0"/>
      <w:marTop w:val="0"/>
      <w:marBottom w:val="0"/>
      <w:divBdr>
        <w:top w:val="none" w:sz="0" w:space="0" w:color="auto"/>
        <w:left w:val="none" w:sz="0" w:space="0" w:color="auto"/>
        <w:bottom w:val="none" w:sz="0" w:space="0" w:color="auto"/>
        <w:right w:val="none" w:sz="0" w:space="0" w:color="auto"/>
      </w:divBdr>
    </w:div>
    <w:div w:id="1544249140">
      <w:bodyDiv w:val="1"/>
      <w:marLeft w:val="0"/>
      <w:marRight w:val="0"/>
      <w:marTop w:val="0"/>
      <w:marBottom w:val="0"/>
      <w:divBdr>
        <w:top w:val="none" w:sz="0" w:space="0" w:color="auto"/>
        <w:left w:val="none" w:sz="0" w:space="0" w:color="auto"/>
        <w:bottom w:val="none" w:sz="0" w:space="0" w:color="auto"/>
        <w:right w:val="none" w:sz="0" w:space="0" w:color="auto"/>
      </w:divBdr>
    </w:div>
    <w:div w:id="1593396723">
      <w:bodyDiv w:val="1"/>
      <w:marLeft w:val="0"/>
      <w:marRight w:val="0"/>
      <w:marTop w:val="0"/>
      <w:marBottom w:val="0"/>
      <w:divBdr>
        <w:top w:val="none" w:sz="0" w:space="0" w:color="auto"/>
        <w:left w:val="none" w:sz="0" w:space="0" w:color="auto"/>
        <w:bottom w:val="none" w:sz="0" w:space="0" w:color="auto"/>
        <w:right w:val="none" w:sz="0" w:space="0" w:color="auto"/>
      </w:divBdr>
    </w:div>
    <w:div w:id="1641690041">
      <w:bodyDiv w:val="1"/>
      <w:marLeft w:val="0"/>
      <w:marRight w:val="0"/>
      <w:marTop w:val="0"/>
      <w:marBottom w:val="0"/>
      <w:divBdr>
        <w:top w:val="none" w:sz="0" w:space="0" w:color="auto"/>
        <w:left w:val="none" w:sz="0" w:space="0" w:color="auto"/>
        <w:bottom w:val="none" w:sz="0" w:space="0" w:color="auto"/>
        <w:right w:val="none" w:sz="0" w:space="0" w:color="auto"/>
      </w:divBdr>
    </w:div>
    <w:div w:id="1669551402">
      <w:bodyDiv w:val="1"/>
      <w:marLeft w:val="0"/>
      <w:marRight w:val="0"/>
      <w:marTop w:val="0"/>
      <w:marBottom w:val="0"/>
      <w:divBdr>
        <w:top w:val="none" w:sz="0" w:space="0" w:color="auto"/>
        <w:left w:val="none" w:sz="0" w:space="0" w:color="auto"/>
        <w:bottom w:val="none" w:sz="0" w:space="0" w:color="auto"/>
        <w:right w:val="none" w:sz="0" w:space="0" w:color="auto"/>
      </w:divBdr>
    </w:div>
    <w:div w:id="1672219529">
      <w:bodyDiv w:val="1"/>
      <w:marLeft w:val="0"/>
      <w:marRight w:val="0"/>
      <w:marTop w:val="0"/>
      <w:marBottom w:val="0"/>
      <w:divBdr>
        <w:top w:val="none" w:sz="0" w:space="0" w:color="auto"/>
        <w:left w:val="none" w:sz="0" w:space="0" w:color="auto"/>
        <w:bottom w:val="none" w:sz="0" w:space="0" w:color="auto"/>
        <w:right w:val="none" w:sz="0" w:space="0" w:color="auto"/>
      </w:divBdr>
    </w:div>
    <w:div w:id="1677656077">
      <w:bodyDiv w:val="1"/>
      <w:marLeft w:val="0"/>
      <w:marRight w:val="0"/>
      <w:marTop w:val="0"/>
      <w:marBottom w:val="0"/>
      <w:divBdr>
        <w:top w:val="none" w:sz="0" w:space="0" w:color="auto"/>
        <w:left w:val="none" w:sz="0" w:space="0" w:color="auto"/>
        <w:bottom w:val="none" w:sz="0" w:space="0" w:color="auto"/>
        <w:right w:val="none" w:sz="0" w:space="0" w:color="auto"/>
      </w:divBdr>
    </w:div>
    <w:div w:id="1679962049">
      <w:bodyDiv w:val="1"/>
      <w:marLeft w:val="0"/>
      <w:marRight w:val="0"/>
      <w:marTop w:val="0"/>
      <w:marBottom w:val="0"/>
      <w:divBdr>
        <w:top w:val="none" w:sz="0" w:space="0" w:color="auto"/>
        <w:left w:val="none" w:sz="0" w:space="0" w:color="auto"/>
        <w:bottom w:val="none" w:sz="0" w:space="0" w:color="auto"/>
        <w:right w:val="none" w:sz="0" w:space="0" w:color="auto"/>
      </w:divBdr>
    </w:div>
    <w:div w:id="1725330968">
      <w:bodyDiv w:val="1"/>
      <w:marLeft w:val="0"/>
      <w:marRight w:val="0"/>
      <w:marTop w:val="0"/>
      <w:marBottom w:val="0"/>
      <w:divBdr>
        <w:top w:val="none" w:sz="0" w:space="0" w:color="auto"/>
        <w:left w:val="none" w:sz="0" w:space="0" w:color="auto"/>
        <w:bottom w:val="none" w:sz="0" w:space="0" w:color="auto"/>
        <w:right w:val="none" w:sz="0" w:space="0" w:color="auto"/>
      </w:divBdr>
    </w:div>
    <w:div w:id="1782723594">
      <w:bodyDiv w:val="1"/>
      <w:marLeft w:val="0"/>
      <w:marRight w:val="0"/>
      <w:marTop w:val="0"/>
      <w:marBottom w:val="0"/>
      <w:divBdr>
        <w:top w:val="none" w:sz="0" w:space="0" w:color="auto"/>
        <w:left w:val="none" w:sz="0" w:space="0" w:color="auto"/>
        <w:bottom w:val="none" w:sz="0" w:space="0" w:color="auto"/>
        <w:right w:val="none" w:sz="0" w:space="0" w:color="auto"/>
      </w:divBdr>
    </w:div>
    <w:div w:id="1804611706">
      <w:bodyDiv w:val="1"/>
      <w:marLeft w:val="0"/>
      <w:marRight w:val="0"/>
      <w:marTop w:val="0"/>
      <w:marBottom w:val="0"/>
      <w:divBdr>
        <w:top w:val="none" w:sz="0" w:space="0" w:color="auto"/>
        <w:left w:val="none" w:sz="0" w:space="0" w:color="auto"/>
        <w:bottom w:val="none" w:sz="0" w:space="0" w:color="auto"/>
        <w:right w:val="none" w:sz="0" w:space="0" w:color="auto"/>
      </w:divBdr>
    </w:div>
    <w:div w:id="1828283037">
      <w:bodyDiv w:val="1"/>
      <w:marLeft w:val="0"/>
      <w:marRight w:val="0"/>
      <w:marTop w:val="0"/>
      <w:marBottom w:val="0"/>
      <w:divBdr>
        <w:top w:val="none" w:sz="0" w:space="0" w:color="auto"/>
        <w:left w:val="none" w:sz="0" w:space="0" w:color="auto"/>
        <w:bottom w:val="none" w:sz="0" w:space="0" w:color="auto"/>
        <w:right w:val="none" w:sz="0" w:space="0" w:color="auto"/>
      </w:divBdr>
    </w:div>
    <w:div w:id="1847665945">
      <w:bodyDiv w:val="1"/>
      <w:marLeft w:val="0"/>
      <w:marRight w:val="0"/>
      <w:marTop w:val="0"/>
      <w:marBottom w:val="0"/>
      <w:divBdr>
        <w:top w:val="none" w:sz="0" w:space="0" w:color="auto"/>
        <w:left w:val="none" w:sz="0" w:space="0" w:color="auto"/>
        <w:bottom w:val="none" w:sz="0" w:space="0" w:color="auto"/>
        <w:right w:val="none" w:sz="0" w:space="0" w:color="auto"/>
      </w:divBdr>
    </w:div>
    <w:div w:id="1871215386">
      <w:bodyDiv w:val="1"/>
      <w:marLeft w:val="0"/>
      <w:marRight w:val="0"/>
      <w:marTop w:val="0"/>
      <w:marBottom w:val="0"/>
      <w:divBdr>
        <w:top w:val="none" w:sz="0" w:space="0" w:color="auto"/>
        <w:left w:val="none" w:sz="0" w:space="0" w:color="auto"/>
        <w:bottom w:val="none" w:sz="0" w:space="0" w:color="auto"/>
        <w:right w:val="none" w:sz="0" w:space="0" w:color="auto"/>
      </w:divBdr>
    </w:div>
    <w:div w:id="1872259639">
      <w:bodyDiv w:val="1"/>
      <w:marLeft w:val="0"/>
      <w:marRight w:val="0"/>
      <w:marTop w:val="0"/>
      <w:marBottom w:val="0"/>
      <w:divBdr>
        <w:top w:val="none" w:sz="0" w:space="0" w:color="auto"/>
        <w:left w:val="none" w:sz="0" w:space="0" w:color="auto"/>
        <w:bottom w:val="none" w:sz="0" w:space="0" w:color="auto"/>
        <w:right w:val="none" w:sz="0" w:space="0" w:color="auto"/>
      </w:divBdr>
    </w:div>
    <w:div w:id="1881361162">
      <w:bodyDiv w:val="1"/>
      <w:marLeft w:val="0"/>
      <w:marRight w:val="0"/>
      <w:marTop w:val="0"/>
      <w:marBottom w:val="0"/>
      <w:divBdr>
        <w:top w:val="none" w:sz="0" w:space="0" w:color="auto"/>
        <w:left w:val="none" w:sz="0" w:space="0" w:color="auto"/>
        <w:bottom w:val="none" w:sz="0" w:space="0" w:color="auto"/>
        <w:right w:val="none" w:sz="0" w:space="0" w:color="auto"/>
      </w:divBdr>
    </w:div>
    <w:div w:id="1883636022">
      <w:bodyDiv w:val="1"/>
      <w:marLeft w:val="0"/>
      <w:marRight w:val="0"/>
      <w:marTop w:val="0"/>
      <w:marBottom w:val="0"/>
      <w:divBdr>
        <w:top w:val="none" w:sz="0" w:space="0" w:color="auto"/>
        <w:left w:val="none" w:sz="0" w:space="0" w:color="auto"/>
        <w:bottom w:val="none" w:sz="0" w:space="0" w:color="auto"/>
        <w:right w:val="none" w:sz="0" w:space="0" w:color="auto"/>
      </w:divBdr>
    </w:div>
    <w:div w:id="1909463952">
      <w:bodyDiv w:val="1"/>
      <w:marLeft w:val="0"/>
      <w:marRight w:val="0"/>
      <w:marTop w:val="0"/>
      <w:marBottom w:val="0"/>
      <w:divBdr>
        <w:top w:val="none" w:sz="0" w:space="0" w:color="auto"/>
        <w:left w:val="none" w:sz="0" w:space="0" w:color="auto"/>
        <w:bottom w:val="none" w:sz="0" w:space="0" w:color="auto"/>
        <w:right w:val="none" w:sz="0" w:space="0" w:color="auto"/>
      </w:divBdr>
    </w:div>
    <w:div w:id="1910379465">
      <w:bodyDiv w:val="1"/>
      <w:marLeft w:val="0"/>
      <w:marRight w:val="0"/>
      <w:marTop w:val="0"/>
      <w:marBottom w:val="0"/>
      <w:divBdr>
        <w:top w:val="none" w:sz="0" w:space="0" w:color="auto"/>
        <w:left w:val="none" w:sz="0" w:space="0" w:color="auto"/>
        <w:bottom w:val="none" w:sz="0" w:space="0" w:color="auto"/>
        <w:right w:val="none" w:sz="0" w:space="0" w:color="auto"/>
      </w:divBdr>
    </w:div>
    <w:div w:id="1989892014">
      <w:bodyDiv w:val="1"/>
      <w:marLeft w:val="0"/>
      <w:marRight w:val="0"/>
      <w:marTop w:val="0"/>
      <w:marBottom w:val="0"/>
      <w:divBdr>
        <w:top w:val="none" w:sz="0" w:space="0" w:color="auto"/>
        <w:left w:val="none" w:sz="0" w:space="0" w:color="auto"/>
        <w:bottom w:val="none" w:sz="0" w:space="0" w:color="auto"/>
        <w:right w:val="none" w:sz="0" w:space="0" w:color="auto"/>
      </w:divBdr>
    </w:div>
    <w:div w:id="2000304031">
      <w:bodyDiv w:val="1"/>
      <w:marLeft w:val="0"/>
      <w:marRight w:val="0"/>
      <w:marTop w:val="0"/>
      <w:marBottom w:val="0"/>
      <w:divBdr>
        <w:top w:val="none" w:sz="0" w:space="0" w:color="auto"/>
        <w:left w:val="none" w:sz="0" w:space="0" w:color="auto"/>
        <w:bottom w:val="none" w:sz="0" w:space="0" w:color="auto"/>
        <w:right w:val="none" w:sz="0" w:space="0" w:color="auto"/>
      </w:divBdr>
    </w:div>
    <w:div w:id="2030838477">
      <w:bodyDiv w:val="1"/>
      <w:marLeft w:val="0"/>
      <w:marRight w:val="0"/>
      <w:marTop w:val="0"/>
      <w:marBottom w:val="0"/>
      <w:divBdr>
        <w:top w:val="none" w:sz="0" w:space="0" w:color="auto"/>
        <w:left w:val="none" w:sz="0" w:space="0" w:color="auto"/>
        <w:bottom w:val="none" w:sz="0" w:space="0" w:color="auto"/>
        <w:right w:val="none" w:sz="0" w:space="0" w:color="auto"/>
      </w:divBdr>
    </w:div>
    <w:div w:id="2038193045">
      <w:bodyDiv w:val="1"/>
      <w:marLeft w:val="0"/>
      <w:marRight w:val="0"/>
      <w:marTop w:val="0"/>
      <w:marBottom w:val="0"/>
      <w:divBdr>
        <w:top w:val="none" w:sz="0" w:space="0" w:color="auto"/>
        <w:left w:val="none" w:sz="0" w:space="0" w:color="auto"/>
        <w:bottom w:val="none" w:sz="0" w:space="0" w:color="auto"/>
        <w:right w:val="none" w:sz="0" w:space="0" w:color="auto"/>
      </w:divBdr>
    </w:div>
    <w:div w:id="2051612062">
      <w:bodyDiv w:val="1"/>
      <w:marLeft w:val="0"/>
      <w:marRight w:val="0"/>
      <w:marTop w:val="0"/>
      <w:marBottom w:val="0"/>
      <w:divBdr>
        <w:top w:val="none" w:sz="0" w:space="0" w:color="auto"/>
        <w:left w:val="none" w:sz="0" w:space="0" w:color="auto"/>
        <w:bottom w:val="none" w:sz="0" w:space="0" w:color="auto"/>
        <w:right w:val="none" w:sz="0" w:space="0" w:color="auto"/>
      </w:divBdr>
    </w:div>
    <w:div w:id="2068020343">
      <w:bodyDiv w:val="1"/>
      <w:marLeft w:val="0"/>
      <w:marRight w:val="0"/>
      <w:marTop w:val="0"/>
      <w:marBottom w:val="0"/>
      <w:divBdr>
        <w:top w:val="none" w:sz="0" w:space="0" w:color="auto"/>
        <w:left w:val="none" w:sz="0" w:space="0" w:color="auto"/>
        <w:bottom w:val="none" w:sz="0" w:space="0" w:color="auto"/>
        <w:right w:val="none" w:sz="0" w:space="0" w:color="auto"/>
      </w:divBdr>
    </w:div>
    <w:div w:id="2102606370">
      <w:bodyDiv w:val="1"/>
      <w:marLeft w:val="0"/>
      <w:marRight w:val="0"/>
      <w:marTop w:val="0"/>
      <w:marBottom w:val="0"/>
      <w:divBdr>
        <w:top w:val="none" w:sz="0" w:space="0" w:color="auto"/>
        <w:left w:val="none" w:sz="0" w:space="0" w:color="auto"/>
        <w:bottom w:val="none" w:sz="0" w:space="0" w:color="auto"/>
        <w:right w:val="none" w:sz="0" w:space="0" w:color="auto"/>
      </w:divBdr>
    </w:div>
    <w:div w:id="21347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reform@utas.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lctas.org.au/what/refor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vic.gov.au/sites/default/files/embridge_cache/emshare/original/public/2020/06/51/e2941ae24/report_final_charter_review_2015.pdf" TargetMode="External"/><Relationship Id="rId7" Type="http://schemas.openxmlformats.org/officeDocument/2006/relationships/hyperlink" Target="https://www.parliament.vic.gov.au/images/stories/committees/sarc/charter_review/submissions/263_Human_Rights_Law_Centre.pdf" TargetMode="External"/><Relationship Id="rId2" Type="http://schemas.openxmlformats.org/officeDocument/2006/relationships/hyperlink" Target="https://www.justice.vic.gov.au/sites/default/files/embridge_cache/emshare/original/public/2020/06/51/e2941ae24/report_final_charter_review_2015.pdf" TargetMode="External"/><Relationship Id="rId1" Type="http://schemas.openxmlformats.org/officeDocument/2006/relationships/hyperlink" Target="https://www.utas.edu.au/__data/assets/pdf_file/0005/283730/Human_rightsfinalversion_media.pdf" TargetMode="External"/><Relationship Id="rId6" Type="http://schemas.openxmlformats.org/officeDocument/2006/relationships/hyperlink" Target="http://www.hrc.act.gov.au/content.php/content.view/id/385" TargetMode="External"/><Relationship Id="rId5" Type="http://schemas.openxmlformats.org/officeDocument/2006/relationships/hyperlink" Target="https://hrc.act.gov.au/wp-content/uploads/2015/03/HRA-10-yr-snapshot-HRDC-webversion.pdf" TargetMode="External"/><Relationship Id="rId4" Type="http://schemas.openxmlformats.org/officeDocument/2006/relationships/hyperlink" Target="https://www.justice.vic.gov.au/sites/default/files/embridge_cache/emshare/original/public/2020/06/51/e2941ae24/report_final_charter_review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2020-11-23T21:08:00Z</cp:lastPrinted>
  <dcterms:created xsi:type="dcterms:W3CDTF">2020-11-23T21:08:00Z</dcterms:created>
  <dcterms:modified xsi:type="dcterms:W3CDTF">2020-11-25T04:34:00Z</dcterms:modified>
</cp:coreProperties>
</file>