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9F7D2" w14:textId="77777777" w:rsidR="00D16A1B" w:rsidRPr="00BC0D6B" w:rsidRDefault="00D16A1B" w:rsidP="004F0C45">
      <w:pPr>
        <w:ind w:right="-347"/>
        <w:jc w:val="center"/>
        <w:rPr>
          <w:rFonts w:asciiTheme="minorHAnsi" w:hAnsiTheme="minorHAnsi"/>
        </w:rPr>
      </w:pPr>
      <w:r w:rsidRPr="00BC0D6B">
        <w:rPr>
          <w:rFonts w:asciiTheme="minorHAnsi" w:hAnsiTheme="minorHAnsi"/>
          <w:noProof/>
          <w:sz w:val="20"/>
          <w:szCs w:val="20"/>
          <w:lang w:val="en-US" w:eastAsia="en-US"/>
        </w:rPr>
        <w:drawing>
          <wp:inline distT="0" distB="0" distL="0" distR="0" wp14:anchorId="4495FE60" wp14:editId="494C74C7">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69150A0E" w14:textId="77777777" w:rsidR="00D16A1B" w:rsidRPr="00BC0D6B" w:rsidRDefault="00D16A1B" w:rsidP="00D16A1B">
      <w:pPr>
        <w:ind w:right="-347"/>
        <w:jc w:val="both"/>
        <w:rPr>
          <w:rFonts w:asciiTheme="minorHAnsi" w:hAnsiTheme="minorHAnsi"/>
          <w:color w:val="000000" w:themeColor="text1"/>
        </w:rPr>
      </w:pPr>
    </w:p>
    <w:p w14:paraId="1FA9CF83" w14:textId="651D4373" w:rsidR="00D16A1B" w:rsidRPr="00BC0D6B" w:rsidRDefault="0058576F" w:rsidP="00D16A1B">
      <w:pPr>
        <w:ind w:right="-205"/>
        <w:jc w:val="both"/>
        <w:rPr>
          <w:rFonts w:asciiTheme="minorHAnsi" w:hAnsiTheme="minorHAnsi"/>
          <w:color w:val="000000" w:themeColor="text1"/>
        </w:rPr>
      </w:pPr>
      <w:r>
        <w:rPr>
          <w:rFonts w:asciiTheme="minorHAnsi" w:hAnsiTheme="minorHAnsi"/>
          <w:color w:val="000000" w:themeColor="text1"/>
        </w:rPr>
        <w:t>2</w:t>
      </w:r>
      <w:r w:rsidR="001C3CEE">
        <w:rPr>
          <w:rFonts w:asciiTheme="minorHAnsi" w:hAnsiTheme="minorHAnsi"/>
          <w:color w:val="000000" w:themeColor="text1"/>
        </w:rPr>
        <w:t>8</w:t>
      </w:r>
      <w:r w:rsidR="00D16A1B">
        <w:rPr>
          <w:rFonts w:asciiTheme="minorHAnsi" w:hAnsiTheme="minorHAnsi"/>
          <w:color w:val="000000" w:themeColor="text1"/>
        </w:rPr>
        <w:t xml:space="preserve"> October</w:t>
      </w:r>
      <w:r>
        <w:rPr>
          <w:rFonts w:asciiTheme="minorHAnsi" w:hAnsiTheme="minorHAnsi"/>
          <w:color w:val="000000" w:themeColor="text1"/>
        </w:rPr>
        <w:t xml:space="preserve"> 2020</w:t>
      </w:r>
    </w:p>
    <w:p w14:paraId="508AA164" w14:textId="77777777" w:rsidR="00D16A1B" w:rsidRPr="00BC0D6B" w:rsidRDefault="00D16A1B" w:rsidP="00D16A1B">
      <w:pPr>
        <w:ind w:right="-205"/>
        <w:jc w:val="both"/>
        <w:rPr>
          <w:rFonts w:asciiTheme="minorHAnsi" w:hAnsiTheme="minorHAnsi"/>
          <w:color w:val="000000" w:themeColor="text1"/>
        </w:rPr>
      </w:pPr>
    </w:p>
    <w:p w14:paraId="4DA7541D" w14:textId="08F55E88" w:rsidR="00525CB5" w:rsidRPr="00525CB5" w:rsidRDefault="00525CB5" w:rsidP="00D16A1B">
      <w:pPr>
        <w:rPr>
          <w:rFonts w:asciiTheme="minorHAnsi" w:hAnsiTheme="minorHAnsi"/>
          <w:bCs/>
          <w:iCs/>
          <w:color w:val="000000" w:themeColor="text1"/>
        </w:rPr>
      </w:pPr>
      <w:r w:rsidRPr="00525CB5">
        <w:rPr>
          <w:rFonts w:asciiTheme="minorHAnsi" w:hAnsiTheme="minorHAnsi"/>
          <w:bCs/>
          <w:iCs/>
          <w:color w:val="000000" w:themeColor="text1"/>
        </w:rPr>
        <w:t>Department of Justice</w:t>
      </w:r>
    </w:p>
    <w:p w14:paraId="48384F6A" w14:textId="7406E7D3" w:rsidR="00525CB5" w:rsidRPr="00525CB5" w:rsidRDefault="00525CB5" w:rsidP="00D16A1B">
      <w:pPr>
        <w:rPr>
          <w:rFonts w:asciiTheme="minorHAnsi" w:hAnsiTheme="minorHAnsi"/>
          <w:bCs/>
          <w:iCs/>
          <w:color w:val="000000" w:themeColor="text1"/>
        </w:rPr>
      </w:pPr>
      <w:r w:rsidRPr="00525CB5">
        <w:rPr>
          <w:rFonts w:asciiTheme="minorHAnsi" w:hAnsiTheme="minorHAnsi"/>
          <w:bCs/>
          <w:iCs/>
          <w:color w:val="000000" w:themeColor="text1"/>
        </w:rPr>
        <w:t>Office of the Secretary</w:t>
      </w:r>
    </w:p>
    <w:p w14:paraId="47F88F40" w14:textId="73C4BBC4" w:rsidR="00525CB5" w:rsidRPr="00525CB5" w:rsidRDefault="00525CB5" w:rsidP="00D16A1B">
      <w:pPr>
        <w:rPr>
          <w:rFonts w:asciiTheme="minorHAnsi" w:hAnsiTheme="minorHAnsi"/>
          <w:bCs/>
          <w:iCs/>
          <w:color w:val="000000" w:themeColor="text1"/>
        </w:rPr>
      </w:pPr>
      <w:r w:rsidRPr="00525CB5">
        <w:rPr>
          <w:rFonts w:asciiTheme="minorHAnsi" w:hAnsiTheme="minorHAnsi"/>
          <w:bCs/>
          <w:iCs/>
          <w:color w:val="000000" w:themeColor="text1"/>
        </w:rPr>
        <w:t>GPO Box 825</w:t>
      </w:r>
    </w:p>
    <w:p w14:paraId="221C34CE" w14:textId="34DC2055" w:rsidR="00525CB5" w:rsidRPr="00525CB5" w:rsidRDefault="00525CB5" w:rsidP="00D16A1B">
      <w:pPr>
        <w:rPr>
          <w:rFonts w:asciiTheme="minorHAnsi" w:hAnsiTheme="minorHAnsi"/>
          <w:bCs/>
          <w:iCs/>
          <w:color w:val="000000" w:themeColor="text1"/>
        </w:rPr>
      </w:pPr>
      <w:r w:rsidRPr="00525CB5">
        <w:rPr>
          <w:rFonts w:asciiTheme="minorHAnsi" w:hAnsiTheme="minorHAnsi"/>
          <w:bCs/>
          <w:iCs/>
          <w:color w:val="000000" w:themeColor="text1"/>
        </w:rPr>
        <w:t>Hobart TAS 7001</w:t>
      </w:r>
    </w:p>
    <w:p w14:paraId="2010F1DA" w14:textId="77777777" w:rsidR="00525CB5" w:rsidRDefault="00525CB5" w:rsidP="00525CB5">
      <w:pPr>
        <w:ind w:left="720" w:firstLine="720"/>
        <w:rPr>
          <w:rFonts w:asciiTheme="minorHAnsi" w:hAnsiTheme="minorHAnsi"/>
          <w:b/>
          <w:i/>
          <w:color w:val="000000" w:themeColor="text1"/>
        </w:rPr>
      </w:pPr>
    </w:p>
    <w:p w14:paraId="715E5A22" w14:textId="7BD11B4A" w:rsidR="00D16A1B" w:rsidRPr="00525CB5" w:rsidRDefault="00525CB5" w:rsidP="00525CB5">
      <w:pPr>
        <w:ind w:left="720" w:firstLine="720"/>
        <w:rPr>
          <w:rFonts w:asciiTheme="minorHAnsi" w:eastAsia="Times New Roman" w:hAnsiTheme="minorHAnsi"/>
          <w:i/>
          <w:color w:val="000000" w:themeColor="text1"/>
        </w:rPr>
      </w:pPr>
      <w:r w:rsidRPr="00525CB5">
        <w:rPr>
          <w:rFonts w:asciiTheme="minorHAnsi" w:hAnsiTheme="minorHAnsi"/>
          <w:b/>
          <w:i/>
          <w:color w:val="000000" w:themeColor="text1"/>
        </w:rPr>
        <w:t>v</w:t>
      </w:r>
      <w:r w:rsidR="0058576F" w:rsidRPr="00525CB5">
        <w:rPr>
          <w:rFonts w:asciiTheme="minorHAnsi" w:hAnsiTheme="minorHAnsi"/>
          <w:b/>
          <w:i/>
          <w:color w:val="000000" w:themeColor="text1"/>
        </w:rPr>
        <w:t>ia</w:t>
      </w:r>
      <w:r w:rsidR="00D16A1B" w:rsidRPr="00525CB5">
        <w:rPr>
          <w:rFonts w:asciiTheme="minorHAnsi" w:hAnsiTheme="minorHAnsi"/>
          <w:b/>
          <w:i/>
          <w:color w:val="000000" w:themeColor="text1"/>
        </w:rPr>
        <w:t xml:space="preserve"> email: </w:t>
      </w:r>
      <w:hyperlink r:id="rId9" w:history="1">
        <w:r w:rsidRPr="00525CB5">
          <w:rPr>
            <w:rStyle w:val="Hyperlink"/>
            <w:rFonts w:asciiTheme="minorHAnsi" w:hAnsiTheme="minorHAnsi"/>
            <w:b/>
            <w:i/>
            <w:u w:val="none"/>
          </w:rPr>
          <w:t>haveyoursay@justice.tas.gov.au</w:t>
        </w:r>
      </w:hyperlink>
      <w:r w:rsidRPr="00525CB5">
        <w:rPr>
          <w:rFonts w:asciiTheme="minorHAnsi" w:hAnsiTheme="minorHAnsi"/>
          <w:b/>
          <w:i/>
          <w:color w:val="000000" w:themeColor="text1"/>
        </w:rPr>
        <w:t xml:space="preserve"> </w:t>
      </w:r>
    </w:p>
    <w:p w14:paraId="4BB4BE44" w14:textId="77777777" w:rsidR="00D16A1B" w:rsidRPr="00BC0D6B" w:rsidRDefault="00D16A1B" w:rsidP="00D16A1B">
      <w:pPr>
        <w:ind w:right="-205"/>
        <w:jc w:val="both"/>
        <w:rPr>
          <w:rFonts w:asciiTheme="minorHAnsi" w:hAnsiTheme="minorHAnsi"/>
          <w:b/>
          <w:i/>
          <w:color w:val="000000" w:themeColor="text1"/>
        </w:rPr>
      </w:pPr>
    </w:p>
    <w:p w14:paraId="6FF4108A" w14:textId="1FC290B4" w:rsidR="00D16A1B" w:rsidRPr="00BC0D6B" w:rsidRDefault="00D16A1B" w:rsidP="00D16A1B">
      <w:pPr>
        <w:ind w:right="-64"/>
        <w:jc w:val="both"/>
        <w:rPr>
          <w:rFonts w:asciiTheme="minorHAnsi" w:hAnsiTheme="minorHAnsi"/>
          <w:color w:val="000000" w:themeColor="text1"/>
        </w:rPr>
      </w:pPr>
      <w:r w:rsidRPr="00BC0D6B">
        <w:rPr>
          <w:rFonts w:asciiTheme="minorHAnsi" w:hAnsiTheme="minorHAnsi"/>
          <w:color w:val="000000" w:themeColor="text1"/>
        </w:rPr>
        <w:t>To the</w:t>
      </w:r>
      <w:r w:rsidR="00525CB5">
        <w:rPr>
          <w:rFonts w:asciiTheme="minorHAnsi" w:hAnsiTheme="minorHAnsi"/>
          <w:color w:val="000000" w:themeColor="text1"/>
        </w:rPr>
        <w:t xml:space="preserve"> Department of Justice</w:t>
      </w:r>
      <w:r w:rsidRPr="00BC0D6B">
        <w:rPr>
          <w:rFonts w:asciiTheme="minorHAnsi" w:hAnsiTheme="minorHAnsi"/>
          <w:color w:val="000000" w:themeColor="text1"/>
        </w:rPr>
        <w:t>,</w:t>
      </w:r>
    </w:p>
    <w:p w14:paraId="012B762C" w14:textId="77777777" w:rsidR="00D16A1B" w:rsidRPr="00BC0D6B" w:rsidRDefault="00D16A1B" w:rsidP="00D16A1B">
      <w:pPr>
        <w:pBdr>
          <w:bottom w:val="single" w:sz="6" w:space="1" w:color="auto"/>
        </w:pBdr>
        <w:jc w:val="both"/>
        <w:rPr>
          <w:rFonts w:asciiTheme="minorHAnsi" w:hAnsiTheme="minorHAnsi"/>
          <w:b/>
          <w:color w:val="000000" w:themeColor="text1"/>
        </w:rPr>
      </w:pPr>
      <w:r w:rsidRPr="00BC0D6B">
        <w:rPr>
          <w:rFonts w:asciiTheme="minorHAnsi" w:hAnsiTheme="minorHAnsi"/>
          <w:b/>
          <w:color w:val="000000" w:themeColor="text1"/>
        </w:rPr>
        <w:t xml:space="preserve">Re: </w:t>
      </w:r>
      <w:r w:rsidR="0058576F" w:rsidRPr="00525CB5">
        <w:rPr>
          <w:rFonts w:asciiTheme="minorHAnsi" w:hAnsiTheme="minorHAnsi"/>
          <w:b/>
          <w:i/>
          <w:iCs/>
          <w:color w:val="000000" w:themeColor="text1"/>
        </w:rPr>
        <w:t>Youth Justice Amendment (Searches in Custody) Bill 2020</w:t>
      </w:r>
    </w:p>
    <w:p w14:paraId="7B612928" w14:textId="77777777" w:rsidR="00D16A1B" w:rsidRPr="00BC0D6B" w:rsidRDefault="00D16A1B" w:rsidP="00D16A1B">
      <w:pPr>
        <w:ind w:right="-64"/>
        <w:jc w:val="both"/>
        <w:rPr>
          <w:rFonts w:asciiTheme="minorHAnsi" w:hAnsiTheme="minorHAnsi"/>
          <w:color w:val="000000" w:themeColor="text1"/>
        </w:rPr>
      </w:pPr>
      <w:r w:rsidRPr="00BC0D6B">
        <w:rPr>
          <w:rFonts w:asciiTheme="minorHAnsi" w:hAnsiTheme="minorHAnsi"/>
          <w:color w:val="000000" w:themeColor="text1"/>
        </w:rPr>
        <w:t xml:space="preserve"> </w:t>
      </w:r>
    </w:p>
    <w:p w14:paraId="6EDAF6AA" w14:textId="77777777" w:rsidR="007C12B3" w:rsidRDefault="00D16A1B" w:rsidP="00D47938">
      <w:pPr>
        <w:ind w:right="-347"/>
        <w:jc w:val="both"/>
        <w:rPr>
          <w:rFonts w:asciiTheme="minorHAnsi" w:hAnsiTheme="minorHAnsi"/>
          <w:color w:val="000000" w:themeColor="text1"/>
        </w:rPr>
      </w:pPr>
      <w:r w:rsidRPr="00BC0D6B">
        <w:rPr>
          <w:rFonts w:asciiTheme="minorHAnsi" w:hAnsiTheme="minorHAnsi" w:cs="Calibri"/>
          <w:color w:val="000000" w:themeColor="text1"/>
        </w:rPr>
        <w:t>Community Legal Centres Tasmania (CLC Tas)</w:t>
      </w:r>
      <w:r w:rsidRPr="00BC0D6B">
        <w:rPr>
          <w:rFonts w:asciiTheme="minorHAnsi" w:hAnsiTheme="minorHAnsi"/>
          <w:color w:val="000000" w:themeColor="text1"/>
        </w:rPr>
        <w:t xml:space="preserve"> welcomes the opportunity to provide comment on the</w:t>
      </w:r>
      <w:r w:rsidR="00525CB5">
        <w:rPr>
          <w:rFonts w:asciiTheme="minorHAnsi" w:hAnsiTheme="minorHAnsi"/>
          <w:color w:val="000000" w:themeColor="text1"/>
        </w:rPr>
        <w:t xml:space="preserve"> </w:t>
      </w:r>
      <w:r w:rsidR="0058576F">
        <w:rPr>
          <w:rFonts w:asciiTheme="minorHAnsi" w:hAnsiTheme="minorHAnsi"/>
          <w:i/>
          <w:color w:val="000000" w:themeColor="text1"/>
        </w:rPr>
        <w:t>Youth Justice Amendment (Searches in Custody) Bill 2020</w:t>
      </w:r>
      <w:r w:rsidR="00525CB5">
        <w:rPr>
          <w:rFonts w:asciiTheme="minorHAnsi" w:hAnsiTheme="minorHAnsi"/>
          <w:i/>
          <w:color w:val="000000" w:themeColor="text1"/>
        </w:rPr>
        <w:t xml:space="preserve"> </w:t>
      </w:r>
      <w:r w:rsidR="00525CB5" w:rsidRPr="00525CB5">
        <w:rPr>
          <w:rFonts w:asciiTheme="minorHAnsi" w:hAnsiTheme="minorHAnsi"/>
          <w:iCs/>
          <w:color w:val="000000" w:themeColor="text1"/>
        </w:rPr>
        <w:t>(‘the Bill’)</w:t>
      </w:r>
      <w:r w:rsidR="00FD26A7" w:rsidRPr="00525CB5">
        <w:rPr>
          <w:rFonts w:asciiTheme="minorHAnsi" w:hAnsiTheme="minorHAnsi"/>
          <w:iCs/>
          <w:color w:val="000000" w:themeColor="text1"/>
        </w:rPr>
        <w:t>.</w:t>
      </w:r>
      <w:r w:rsidR="004E2182">
        <w:rPr>
          <w:rStyle w:val="FootnoteReference"/>
          <w:rFonts w:asciiTheme="minorHAnsi" w:hAnsiTheme="minorHAnsi"/>
          <w:iCs/>
          <w:color w:val="000000" w:themeColor="text1"/>
        </w:rPr>
        <w:footnoteReference w:id="1"/>
      </w:r>
    </w:p>
    <w:p w14:paraId="65132D51" w14:textId="77777777" w:rsidR="007C12B3" w:rsidRDefault="007C12B3" w:rsidP="00D47938">
      <w:pPr>
        <w:ind w:right="-347"/>
        <w:jc w:val="both"/>
        <w:rPr>
          <w:rFonts w:asciiTheme="minorHAnsi" w:hAnsiTheme="minorHAnsi"/>
          <w:color w:val="000000" w:themeColor="text1"/>
        </w:rPr>
      </w:pPr>
    </w:p>
    <w:p w14:paraId="2E3157B3" w14:textId="6135B950" w:rsidR="00525CB5" w:rsidRDefault="00D16A1B" w:rsidP="00D47938">
      <w:pPr>
        <w:ind w:right="-347"/>
        <w:jc w:val="both"/>
        <w:rPr>
          <w:rFonts w:asciiTheme="minorHAnsi" w:hAnsiTheme="minorHAnsi"/>
          <w:color w:val="000000" w:themeColor="text1"/>
        </w:rPr>
      </w:pPr>
      <w:r w:rsidRPr="00BC0D6B">
        <w:rPr>
          <w:rFonts w:asciiTheme="minorHAnsi" w:eastAsia="Times New Roman" w:hAnsiTheme="minorHAnsi" w:cs="Arial"/>
          <w:color w:val="000000" w:themeColor="text1"/>
        </w:rPr>
        <w:t xml:space="preserve">CLC Tas </w:t>
      </w:r>
      <w:r w:rsidRPr="00BC0D6B">
        <w:rPr>
          <w:rFonts w:asciiTheme="minorHAnsi" w:hAnsiTheme="minorHAnsi"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7729208B" w14:textId="77777777" w:rsidR="00525CB5" w:rsidRDefault="00525CB5" w:rsidP="00D47938">
      <w:pPr>
        <w:ind w:right="-347"/>
        <w:jc w:val="both"/>
        <w:rPr>
          <w:rFonts w:asciiTheme="minorHAnsi" w:hAnsiTheme="minorHAnsi"/>
          <w:color w:val="000000" w:themeColor="text1"/>
        </w:rPr>
      </w:pPr>
    </w:p>
    <w:p w14:paraId="605967A7" w14:textId="67F9A79F" w:rsidR="00230923" w:rsidRPr="009C1B71" w:rsidRDefault="00230923" w:rsidP="00D47938">
      <w:pPr>
        <w:ind w:right="-347"/>
        <w:jc w:val="both"/>
        <w:rPr>
          <w:rFonts w:asciiTheme="minorHAnsi" w:hAnsiTheme="minorHAnsi" w:cstheme="minorBidi"/>
          <w:iCs/>
          <w:color w:val="000000" w:themeColor="text1"/>
        </w:rPr>
      </w:pPr>
      <w:r>
        <w:rPr>
          <w:rFonts w:asciiTheme="minorHAnsi" w:hAnsiTheme="minorHAnsi" w:cstheme="minorBidi"/>
          <w:color w:val="000000" w:themeColor="text1"/>
        </w:rPr>
        <w:t xml:space="preserve">The failure </w:t>
      </w:r>
      <w:r w:rsidR="004E2182">
        <w:rPr>
          <w:rFonts w:asciiTheme="minorHAnsi" w:hAnsiTheme="minorHAnsi" w:cstheme="minorBidi"/>
          <w:color w:val="000000" w:themeColor="text1"/>
        </w:rPr>
        <w:t xml:space="preserve">of the Tasmanian Statute Book </w:t>
      </w:r>
      <w:r>
        <w:rPr>
          <w:rFonts w:asciiTheme="minorHAnsi" w:hAnsiTheme="minorHAnsi" w:cstheme="minorBidi"/>
          <w:color w:val="000000" w:themeColor="text1"/>
        </w:rPr>
        <w:t xml:space="preserve">to clearly </w:t>
      </w:r>
      <w:r w:rsidR="009C1B71">
        <w:rPr>
          <w:rFonts w:asciiTheme="minorHAnsi" w:hAnsiTheme="minorHAnsi" w:cstheme="minorBidi"/>
          <w:color w:val="000000" w:themeColor="text1"/>
        </w:rPr>
        <w:t xml:space="preserve">and concisely </w:t>
      </w:r>
      <w:r>
        <w:rPr>
          <w:rFonts w:asciiTheme="minorHAnsi" w:hAnsiTheme="minorHAnsi" w:cstheme="minorBidi"/>
          <w:color w:val="000000" w:themeColor="text1"/>
        </w:rPr>
        <w:t>define the powers of police</w:t>
      </w:r>
      <w:r w:rsidR="00B8015A">
        <w:rPr>
          <w:rFonts w:asciiTheme="minorHAnsi" w:hAnsiTheme="minorHAnsi" w:cstheme="minorBidi"/>
          <w:color w:val="000000" w:themeColor="text1"/>
        </w:rPr>
        <w:t xml:space="preserve">, </w:t>
      </w:r>
      <w:r>
        <w:rPr>
          <w:rFonts w:asciiTheme="minorHAnsi" w:hAnsiTheme="minorHAnsi" w:cstheme="minorBidi"/>
          <w:color w:val="000000" w:themeColor="text1"/>
        </w:rPr>
        <w:t xml:space="preserve">correctional </w:t>
      </w:r>
      <w:r w:rsidR="00B8015A">
        <w:rPr>
          <w:rFonts w:asciiTheme="minorHAnsi" w:hAnsiTheme="minorHAnsi" w:cstheme="minorBidi"/>
          <w:color w:val="000000" w:themeColor="text1"/>
        </w:rPr>
        <w:t xml:space="preserve">and authorised </w:t>
      </w:r>
      <w:r>
        <w:rPr>
          <w:rFonts w:asciiTheme="minorHAnsi" w:hAnsiTheme="minorHAnsi" w:cstheme="minorBidi"/>
          <w:color w:val="000000" w:themeColor="text1"/>
        </w:rPr>
        <w:t xml:space="preserve">officers </w:t>
      </w:r>
      <w:r w:rsidR="004E2182">
        <w:rPr>
          <w:rFonts w:asciiTheme="minorHAnsi" w:hAnsiTheme="minorHAnsi" w:cstheme="minorBidi"/>
          <w:color w:val="000000" w:themeColor="text1"/>
        </w:rPr>
        <w:t>when conducting searches of children and young people means that unlawful searches may be carried out.</w:t>
      </w:r>
      <w:r w:rsidR="00B8015A">
        <w:rPr>
          <w:rFonts w:asciiTheme="minorHAnsi" w:hAnsiTheme="minorHAnsi" w:cstheme="minorBidi"/>
          <w:color w:val="000000" w:themeColor="text1"/>
        </w:rPr>
        <w:t xml:space="preserve"> In our opinion,</w:t>
      </w:r>
      <w:r w:rsidR="009C1B71">
        <w:rPr>
          <w:rFonts w:asciiTheme="minorHAnsi" w:hAnsiTheme="minorHAnsi" w:cstheme="minorBidi"/>
          <w:color w:val="000000" w:themeColor="text1"/>
        </w:rPr>
        <w:t xml:space="preserve"> the requirements that apply to the strip searching of children</w:t>
      </w:r>
      <w:r w:rsidR="00053FF7">
        <w:rPr>
          <w:rFonts w:asciiTheme="minorHAnsi" w:hAnsiTheme="minorHAnsi" w:cstheme="minorBidi"/>
          <w:color w:val="000000" w:themeColor="text1"/>
        </w:rPr>
        <w:t xml:space="preserve"> under other Acts of Parliament</w:t>
      </w:r>
      <w:r w:rsidR="00053FF7">
        <w:rPr>
          <w:rStyle w:val="FootnoteReference"/>
          <w:rFonts w:asciiTheme="minorHAnsi" w:hAnsiTheme="minorHAnsi" w:cstheme="minorBidi"/>
          <w:color w:val="000000" w:themeColor="text1"/>
        </w:rPr>
        <w:footnoteReference w:id="2"/>
      </w:r>
      <w:r w:rsidR="00053FF7">
        <w:rPr>
          <w:rFonts w:asciiTheme="minorHAnsi" w:hAnsiTheme="minorHAnsi" w:cstheme="minorBidi"/>
          <w:color w:val="000000" w:themeColor="text1"/>
        </w:rPr>
        <w:t xml:space="preserve"> </w:t>
      </w:r>
      <w:r w:rsidR="009C1B71">
        <w:rPr>
          <w:rFonts w:asciiTheme="minorHAnsi" w:hAnsiTheme="minorHAnsi" w:cstheme="minorBidi"/>
          <w:color w:val="000000" w:themeColor="text1"/>
        </w:rPr>
        <w:t xml:space="preserve">should be the same as those that apply in the </w:t>
      </w:r>
      <w:r w:rsidR="009C1B71">
        <w:rPr>
          <w:rFonts w:asciiTheme="minorHAnsi" w:hAnsiTheme="minorHAnsi"/>
          <w:i/>
          <w:color w:val="000000" w:themeColor="text1"/>
        </w:rPr>
        <w:t xml:space="preserve">Youth Justice Amendment (Searches in Custody) Bill 2020. </w:t>
      </w:r>
      <w:r w:rsidR="009C1B71">
        <w:rPr>
          <w:rFonts w:asciiTheme="minorHAnsi" w:hAnsiTheme="minorHAnsi"/>
          <w:iCs/>
          <w:color w:val="000000" w:themeColor="text1"/>
        </w:rPr>
        <w:t xml:space="preserve">Nevertheless, we strongly support the intent of the Bill </w:t>
      </w:r>
      <w:r w:rsidR="00525CB5">
        <w:rPr>
          <w:rFonts w:asciiTheme="minorHAnsi" w:hAnsiTheme="minorHAnsi" w:cstheme="minorBidi"/>
          <w:color w:val="000000" w:themeColor="text1"/>
        </w:rPr>
        <w:t xml:space="preserve">which </w:t>
      </w:r>
      <w:r w:rsidR="00D47938">
        <w:rPr>
          <w:rFonts w:asciiTheme="minorHAnsi" w:hAnsiTheme="minorHAnsi"/>
          <w:color w:val="000000" w:themeColor="text1"/>
        </w:rPr>
        <w:t>will</w:t>
      </w:r>
      <w:r w:rsidR="00E41E78">
        <w:rPr>
          <w:rFonts w:asciiTheme="minorHAnsi" w:hAnsiTheme="minorHAnsi"/>
          <w:color w:val="000000" w:themeColor="text1"/>
        </w:rPr>
        <w:t xml:space="preserve"> </w:t>
      </w:r>
      <w:r w:rsidR="00D47938">
        <w:rPr>
          <w:rFonts w:asciiTheme="minorHAnsi" w:hAnsiTheme="minorHAnsi"/>
          <w:color w:val="000000" w:themeColor="text1"/>
        </w:rPr>
        <w:t xml:space="preserve">establish a </w:t>
      </w:r>
      <w:r w:rsidR="009C1B71">
        <w:rPr>
          <w:rFonts w:asciiTheme="minorHAnsi" w:hAnsiTheme="minorHAnsi"/>
          <w:color w:val="000000" w:themeColor="text1"/>
        </w:rPr>
        <w:t xml:space="preserve">more </w:t>
      </w:r>
      <w:r w:rsidR="00D47938">
        <w:rPr>
          <w:rFonts w:asciiTheme="minorHAnsi" w:hAnsiTheme="minorHAnsi"/>
          <w:color w:val="000000" w:themeColor="text1"/>
        </w:rPr>
        <w:t xml:space="preserve">consistent </w:t>
      </w:r>
      <w:r>
        <w:rPr>
          <w:rFonts w:asciiTheme="minorHAnsi" w:hAnsiTheme="minorHAnsi"/>
          <w:color w:val="000000" w:themeColor="text1"/>
        </w:rPr>
        <w:t xml:space="preserve">approach to the search </w:t>
      </w:r>
      <w:r w:rsidR="00247BCB">
        <w:rPr>
          <w:rFonts w:asciiTheme="minorHAnsi" w:hAnsiTheme="minorHAnsi"/>
          <w:color w:val="000000" w:themeColor="text1"/>
        </w:rPr>
        <w:t>of youth in custodial facilities</w:t>
      </w:r>
      <w:r>
        <w:rPr>
          <w:rFonts w:asciiTheme="minorHAnsi" w:hAnsiTheme="minorHAnsi"/>
          <w:color w:val="000000" w:themeColor="text1"/>
        </w:rPr>
        <w:t xml:space="preserve">.  </w:t>
      </w:r>
    </w:p>
    <w:p w14:paraId="7386530B" w14:textId="77777777" w:rsidR="00D47938" w:rsidRDefault="00D47938" w:rsidP="00D47938">
      <w:pPr>
        <w:ind w:right="-347"/>
        <w:jc w:val="both"/>
        <w:rPr>
          <w:rFonts w:asciiTheme="minorHAnsi" w:hAnsiTheme="minorHAnsi"/>
          <w:color w:val="000000" w:themeColor="text1"/>
        </w:rPr>
      </w:pPr>
    </w:p>
    <w:p w14:paraId="4A615496" w14:textId="77777777" w:rsidR="00156F45" w:rsidRDefault="00156F45" w:rsidP="00156F45">
      <w:pPr>
        <w:ind w:right="-347"/>
        <w:jc w:val="both"/>
        <w:rPr>
          <w:rFonts w:asciiTheme="minorHAnsi" w:hAnsiTheme="minorHAnsi" w:cstheme="minorBidi"/>
          <w:b/>
          <w:bCs/>
          <w:color w:val="000000" w:themeColor="text1"/>
        </w:rPr>
      </w:pPr>
      <w:r w:rsidRPr="00156F45">
        <w:rPr>
          <w:rFonts w:asciiTheme="minorHAnsi" w:hAnsiTheme="minorHAnsi" w:cstheme="minorBidi"/>
          <w:b/>
          <w:bCs/>
          <w:color w:val="000000" w:themeColor="text1"/>
        </w:rPr>
        <w:t xml:space="preserve">Searches and compliance with Human Rights </w:t>
      </w:r>
    </w:p>
    <w:p w14:paraId="5601D2D8" w14:textId="77777777" w:rsidR="0016262F" w:rsidRDefault="0016262F" w:rsidP="00156F45">
      <w:pPr>
        <w:ind w:right="-347"/>
        <w:jc w:val="both"/>
        <w:rPr>
          <w:rFonts w:asciiTheme="minorHAnsi" w:hAnsiTheme="minorHAnsi" w:cstheme="minorBidi"/>
          <w:b/>
          <w:bCs/>
          <w:color w:val="000000" w:themeColor="text1"/>
        </w:rPr>
      </w:pPr>
      <w:r>
        <w:rPr>
          <w:rFonts w:asciiTheme="minorHAnsi" w:hAnsiTheme="minorHAnsi" w:cstheme="minorBidi"/>
          <w:color w:val="000000" w:themeColor="text1"/>
        </w:rPr>
        <w:t>There are a large</w:t>
      </w:r>
      <w:r w:rsidR="00156F45" w:rsidRPr="00156F45">
        <w:rPr>
          <w:rFonts w:asciiTheme="minorHAnsi" w:hAnsiTheme="minorHAnsi" w:cstheme="minorBidi"/>
          <w:color w:val="000000" w:themeColor="text1"/>
        </w:rPr>
        <w:t xml:space="preserve"> number of human rights instruments</w:t>
      </w:r>
      <w:r>
        <w:rPr>
          <w:rFonts w:asciiTheme="minorHAnsi" w:hAnsiTheme="minorHAnsi" w:cstheme="minorBidi"/>
          <w:color w:val="000000" w:themeColor="text1"/>
        </w:rPr>
        <w:t xml:space="preserve"> </w:t>
      </w:r>
      <w:r w:rsidR="00156F45" w:rsidRPr="00156F45">
        <w:rPr>
          <w:rFonts w:asciiTheme="minorHAnsi" w:hAnsiTheme="minorHAnsi" w:cstheme="minorBidi"/>
          <w:color w:val="000000" w:themeColor="text1"/>
        </w:rPr>
        <w:t xml:space="preserve">concerned with the search of children and young people. These include </w:t>
      </w:r>
      <w:r w:rsidR="00156F45" w:rsidRPr="00156F45">
        <w:rPr>
          <w:rFonts w:asciiTheme="minorHAnsi" w:hAnsiTheme="minorHAnsi" w:cs="Arial"/>
        </w:rPr>
        <w:t xml:space="preserve">the United Nations </w:t>
      </w:r>
      <w:r w:rsidR="00156F45" w:rsidRPr="00156F45">
        <w:rPr>
          <w:rFonts w:asciiTheme="minorHAnsi" w:hAnsiTheme="minorHAnsi"/>
          <w:i/>
          <w:iCs/>
        </w:rPr>
        <w:t>Convention on the Rights of the Child</w:t>
      </w:r>
      <w:r w:rsidR="00156F45" w:rsidRPr="00156F45">
        <w:rPr>
          <w:rFonts w:asciiTheme="minorHAnsi" w:hAnsiTheme="minorHAnsi" w:cs="Arial"/>
        </w:rPr>
        <w:t xml:space="preserve">, the United Nations </w:t>
      </w:r>
      <w:r w:rsidR="00156F45" w:rsidRPr="00156F45">
        <w:rPr>
          <w:rFonts w:asciiTheme="minorHAnsi" w:hAnsiTheme="minorHAnsi"/>
          <w:i/>
          <w:iCs/>
        </w:rPr>
        <w:t>Rules for the Protection of Juveniles Deprived of their Liberty</w:t>
      </w:r>
      <w:r w:rsidR="00156F45" w:rsidRPr="00156F45">
        <w:rPr>
          <w:rFonts w:asciiTheme="minorHAnsi" w:hAnsiTheme="minorHAnsi"/>
        </w:rPr>
        <w:t xml:space="preserve"> </w:t>
      </w:r>
      <w:r w:rsidR="00156F45" w:rsidRPr="00156F45">
        <w:rPr>
          <w:rFonts w:asciiTheme="minorHAnsi" w:hAnsiTheme="minorHAnsi" w:cs="Arial"/>
        </w:rPr>
        <w:t xml:space="preserve">(the Havana Rules), the United Nations </w:t>
      </w:r>
      <w:r w:rsidR="00156F45" w:rsidRPr="00156F45">
        <w:rPr>
          <w:rFonts w:asciiTheme="minorHAnsi" w:hAnsiTheme="minorHAnsi"/>
          <w:i/>
          <w:iCs/>
        </w:rPr>
        <w:t>Standard Minimum Rules for the Administration of Juvenile Justice</w:t>
      </w:r>
      <w:r w:rsidR="00156F45" w:rsidRPr="00156F45">
        <w:rPr>
          <w:rFonts w:asciiTheme="minorHAnsi" w:hAnsiTheme="minorHAnsi"/>
        </w:rPr>
        <w:t xml:space="preserve"> </w:t>
      </w:r>
      <w:r w:rsidR="00156F45" w:rsidRPr="00156F45">
        <w:rPr>
          <w:rFonts w:asciiTheme="minorHAnsi" w:hAnsiTheme="minorHAnsi" w:cs="Arial"/>
        </w:rPr>
        <w:t xml:space="preserve">(the Beijing Rules) and the United Nations </w:t>
      </w:r>
      <w:r w:rsidR="00156F45" w:rsidRPr="00156F45">
        <w:rPr>
          <w:rFonts w:asciiTheme="minorHAnsi" w:hAnsiTheme="minorHAnsi"/>
          <w:i/>
          <w:iCs/>
        </w:rPr>
        <w:t>Standard Minimum Rules for the Treatment of Prisoners</w:t>
      </w:r>
      <w:r w:rsidR="00156F45" w:rsidRPr="00156F45">
        <w:rPr>
          <w:rFonts w:asciiTheme="minorHAnsi" w:hAnsiTheme="minorHAnsi"/>
        </w:rPr>
        <w:t xml:space="preserve"> </w:t>
      </w:r>
      <w:r w:rsidR="00156F45" w:rsidRPr="00156F45">
        <w:rPr>
          <w:rFonts w:asciiTheme="minorHAnsi" w:hAnsiTheme="minorHAnsi" w:cs="Arial"/>
        </w:rPr>
        <w:t xml:space="preserve">(the Nelson Mandela Rules). </w:t>
      </w:r>
    </w:p>
    <w:p w14:paraId="3F001A5A" w14:textId="77777777" w:rsidR="0016262F" w:rsidRDefault="0016262F" w:rsidP="00156F45">
      <w:pPr>
        <w:ind w:right="-347"/>
        <w:jc w:val="both"/>
        <w:rPr>
          <w:rFonts w:asciiTheme="minorHAnsi" w:hAnsiTheme="minorHAnsi" w:cstheme="minorBidi"/>
          <w:b/>
          <w:bCs/>
          <w:color w:val="000000" w:themeColor="text1"/>
        </w:rPr>
      </w:pPr>
    </w:p>
    <w:p w14:paraId="7B3CC2EE" w14:textId="1F5584E6" w:rsidR="00156F45" w:rsidRPr="0016262F" w:rsidRDefault="00156F45" w:rsidP="00156F45">
      <w:pPr>
        <w:ind w:right="-347"/>
        <w:jc w:val="both"/>
        <w:rPr>
          <w:rFonts w:asciiTheme="minorHAnsi" w:hAnsiTheme="minorHAnsi" w:cstheme="minorBidi"/>
          <w:b/>
          <w:bCs/>
          <w:color w:val="000000" w:themeColor="text1"/>
        </w:rPr>
      </w:pPr>
      <w:r>
        <w:rPr>
          <w:rFonts w:asciiTheme="minorHAnsi" w:hAnsiTheme="minorHAnsi" w:cstheme="minorBidi"/>
          <w:color w:val="000000" w:themeColor="text1"/>
        </w:rPr>
        <w:t>For example, p</w:t>
      </w:r>
      <w:r w:rsidR="001E75FB">
        <w:rPr>
          <w:rFonts w:asciiTheme="minorHAnsi" w:hAnsiTheme="minorHAnsi" w:cstheme="minorBidi"/>
          <w:color w:val="000000" w:themeColor="text1"/>
        </w:rPr>
        <w:t>ursuant to</w:t>
      </w:r>
      <w:r w:rsidR="00C7540C">
        <w:rPr>
          <w:rFonts w:asciiTheme="minorHAnsi" w:hAnsiTheme="minorHAnsi" w:cstheme="minorBidi"/>
          <w:color w:val="000000" w:themeColor="text1"/>
        </w:rPr>
        <w:t xml:space="preserve"> rule </w:t>
      </w:r>
      <w:r w:rsidR="00F27DFE">
        <w:rPr>
          <w:rFonts w:asciiTheme="minorHAnsi" w:hAnsiTheme="minorHAnsi" w:cstheme="minorBidi"/>
          <w:color w:val="000000" w:themeColor="text1"/>
        </w:rPr>
        <w:t xml:space="preserve">1 </w:t>
      </w:r>
      <w:r w:rsidR="00C7540C">
        <w:rPr>
          <w:rFonts w:asciiTheme="minorHAnsi" w:hAnsiTheme="minorHAnsi" w:cstheme="minorBidi"/>
          <w:color w:val="000000" w:themeColor="text1"/>
        </w:rPr>
        <w:t xml:space="preserve">of the </w:t>
      </w:r>
      <w:r w:rsidR="00F27DFE" w:rsidRPr="00156F45">
        <w:rPr>
          <w:rFonts w:asciiTheme="minorHAnsi" w:hAnsiTheme="minorHAnsi" w:cstheme="minorBidi"/>
          <w:iCs/>
          <w:color w:val="000000" w:themeColor="text1"/>
        </w:rPr>
        <w:t>United Nations</w:t>
      </w:r>
      <w:r w:rsidR="00F27DFE" w:rsidRPr="00F27DFE">
        <w:rPr>
          <w:rFonts w:asciiTheme="minorHAnsi" w:hAnsiTheme="minorHAnsi" w:cstheme="minorBidi"/>
          <w:i/>
          <w:color w:val="000000" w:themeColor="text1"/>
        </w:rPr>
        <w:t xml:space="preserve"> Standard Minimum Rules for the Treatment of Prisoners</w:t>
      </w:r>
      <w:r w:rsidR="00F27DFE">
        <w:rPr>
          <w:rFonts w:asciiTheme="minorHAnsi" w:hAnsiTheme="minorHAnsi" w:cstheme="minorBidi"/>
          <w:color w:val="000000" w:themeColor="text1"/>
        </w:rPr>
        <w:t>, all prisoners shall be treated with respect due to their inherent dignity and value as human beings.</w:t>
      </w:r>
      <w:r w:rsidR="0016262F">
        <w:rPr>
          <w:rFonts w:asciiTheme="minorHAnsi" w:hAnsiTheme="minorHAnsi" w:cstheme="minorBidi"/>
          <w:color w:val="000000" w:themeColor="text1"/>
        </w:rPr>
        <w:t xml:space="preserve"> Whilst</w:t>
      </w:r>
      <w:r w:rsidR="00F27DFE">
        <w:rPr>
          <w:rFonts w:asciiTheme="minorHAnsi" w:hAnsiTheme="minorHAnsi" w:cstheme="minorBidi"/>
          <w:color w:val="000000" w:themeColor="text1"/>
        </w:rPr>
        <w:t xml:space="preserve"> rule </w:t>
      </w:r>
      <w:r>
        <w:rPr>
          <w:rFonts w:asciiTheme="minorHAnsi" w:hAnsiTheme="minorHAnsi" w:cstheme="minorBidi"/>
          <w:color w:val="000000" w:themeColor="text1"/>
        </w:rPr>
        <w:t>52 expressly provides:</w:t>
      </w:r>
    </w:p>
    <w:p w14:paraId="6F34FCA6" w14:textId="77777777" w:rsidR="009C1B71" w:rsidRDefault="009C1B71" w:rsidP="00156F45">
      <w:pPr>
        <w:ind w:left="720" w:right="-347"/>
        <w:jc w:val="both"/>
        <w:rPr>
          <w:rFonts w:asciiTheme="minorHAnsi" w:hAnsiTheme="minorHAnsi"/>
          <w:i/>
          <w:iCs/>
        </w:rPr>
      </w:pPr>
    </w:p>
    <w:p w14:paraId="310DA266" w14:textId="7A2EC47E" w:rsidR="00156F45" w:rsidRPr="00156F45" w:rsidRDefault="00156F45" w:rsidP="00156F45">
      <w:pPr>
        <w:ind w:left="720" w:right="-347"/>
        <w:jc w:val="both"/>
        <w:rPr>
          <w:rFonts w:asciiTheme="minorHAnsi" w:hAnsiTheme="minorHAnsi" w:cstheme="minorBidi"/>
          <w:i/>
          <w:iCs/>
          <w:color w:val="000000" w:themeColor="text1"/>
        </w:rPr>
      </w:pPr>
      <w:r w:rsidRPr="00156F45">
        <w:rPr>
          <w:rFonts w:asciiTheme="minorHAnsi" w:hAnsiTheme="minorHAnsi"/>
          <w:i/>
          <w:iCs/>
        </w:rPr>
        <w:t xml:space="preserve">Intrusive searches, including strip and body cavity searches, should be undertaken only if absolutely necessary. Prison administrations shall be encouraged to develop and use appropriate alternatives to intrusive searches... </w:t>
      </w:r>
    </w:p>
    <w:p w14:paraId="7C4FF420" w14:textId="12788936" w:rsidR="00156F45" w:rsidRDefault="00156F45" w:rsidP="00556ED3">
      <w:pPr>
        <w:ind w:right="-347"/>
        <w:jc w:val="both"/>
        <w:rPr>
          <w:rFonts w:asciiTheme="minorHAnsi" w:hAnsiTheme="minorHAnsi" w:cstheme="minorBidi"/>
          <w:color w:val="000000" w:themeColor="text1"/>
        </w:rPr>
      </w:pPr>
    </w:p>
    <w:p w14:paraId="1AA45F68" w14:textId="594ABA1F" w:rsidR="00AF14C2" w:rsidRDefault="0016262F" w:rsidP="00AF14C2">
      <w:pPr>
        <w:ind w:right="-347"/>
        <w:jc w:val="both"/>
        <w:rPr>
          <w:rFonts w:asciiTheme="minorHAnsi" w:hAnsiTheme="minorHAnsi" w:cstheme="minorBidi"/>
          <w:color w:val="000000" w:themeColor="text1"/>
        </w:rPr>
      </w:pPr>
      <w:r>
        <w:rPr>
          <w:rFonts w:asciiTheme="minorHAnsi" w:hAnsiTheme="minorHAnsi" w:cstheme="minorBidi"/>
          <w:color w:val="000000" w:themeColor="text1"/>
        </w:rPr>
        <w:t>A</w:t>
      </w:r>
      <w:r w:rsidR="001C2F32">
        <w:rPr>
          <w:rFonts w:asciiTheme="minorHAnsi" w:hAnsiTheme="minorHAnsi" w:cstheme="minorBidi"/>
          <w:color w:val="000000" w:themeColor="text1"/>
        </w:rPr>
        <w:t xml:space="preserve">fter reviewing </w:t>
      </w:r>
      <w:r w:rsidR="005D06E1">
        <w:rPr>
          <w:rFonts w:asciiTheme="minorHAnsi" w:hAnsiTheme="minorHAnsi" w:cstheme="minorBidi"/>
          <w:color w:val="000000" w:themeColor="text1"/>
        </w:rPr>
        <w:t xml:space="preserve">all of the </w:t>
      </w:r>
      <w:r w:rsidR="001C2F32">
        <w:rPr>
          <w:rFonts w:asciiTheme="minorHAnsi" w:hAnsiTheme="minorHAnsi" w:cstheme="minorBidi"/>
          <w:color w:val="000000" w:themeColor="text1"/>
        </w:rPr>
        <w:t>relevant human rights standards,</w:t>
      </w:r>
      <w:r>
        <w:rPr>
          <w:rFonts w:asciiTheme="minorHAnsi" w:hAnsiTheme="minorHAnsi" w:cstheme="minorBidi"/>
          <w:color w:val="000000" w:themeColor="text1"/>
        </w:rPr>
        <w:t xml:space="preserve"> the </w:t>
      </w:r>
      <w:r w:rsidR="001C2F32">
        <w:rPr>
          <w:rFonts w:asciiTheme="minorHAnsi" w:hAnsiTheme="minorHAnsi" w:cstheme="minorBidi"/>
          <w:color w:val="000000" w:themeColor="text1"/>
        </w:rPr>
        <w:t>Australian Children’s Commissioners and Guardians</w:t>
      </w:r>
      <w:r>
        <w:rPr>
          <w:rFonts w:asciiTheme="minorHAnsi" w:hAnsiTheme="minorHAnsi" w:cstheme="minorBidi"/>
          <w:color w:val="000000" w:themeColor="text1"/>
        </w:rPr>
        <w:t xml:space="preserve"> </w:t>
      </w:r>
      <w:r w:rsidR="001C2F32">
        <w:rPr>
          <w:rFonts w:asciiTheme="minorHAnsi" w:hAnsiTheme="minorHAnsi" w:cstheme="minorBidi"/>
          <w:color w:val="000000" w:themeColor="text1"/>
        </w:rPr>
        <w:t>concluded</w:t>
      </w:r>
      <w:r>
        <w:rPr>
          <w:rFonts w:asciiTheme="minorHAnsi" w:hAnsiTheme="minorHAnsi" w:cstheme="minorBidi"/>
          <w:color w:val="000000" w:themeColor="text1"/>
        </w:rPr>
        <w:t xml:space="preserve"> “searches of a child or young person in youth justice detention should be conducted only when reasonable, necessary and proportionate to a legitimate aim”.</w:t>
      </w:r>
      <w:r>
        <w:rPr>
          <w:rStyle w:val="FootnoteReference"/>
          <w:rFonts w:asciiTheme="minorHAnsi" w:hAnsiTheme="minorHAnsi" w:cstheme="minorBidi"/>
          <w:color w:val="000000" w:themeColor="text1"/>
        </w:rPr>
        <w:footnoteReference w:id="3"/>
      </w:r>
      <w:r>
        <w:rPr>
          <w:rFonts w:asciiTheme="minorHAnsi" w:hAnsiTheme="minorHAnsi" w:cstheme="minorBidi"/>
          <w:color w:val="000000" w:themeColor="text1"/>
        </w:rPr>
        <w:t xml:space="preserve"> </w:t>
      </w:r>
      <w:r w:rsidR="001C2F32">
        <w:rPr>
          <w:rFonts w:asciiTheme="minorHAnsi" w:hAnsiTheme="minorHAnsi" w:cstheme="minorBidi"/>
          <w:color w:val="000000" w:themeColor="text1"/>
        </w:rPr>
        <w:t xml:space="preserve">These principles are particularly important when it is </w:t>
      </w:r>
      <w:r w:rsidR="009C1B71">
        <w:rPr>
          <w:rFonts w:asciiTheme="minorHAnsi" w:hAnsiTheme="minorHAnsi" w:cstheme="minorBidi"/>
          <w:color w:val="000000" w:themeColor="text1"/>
        </w:rPr>
        <w:t xml:space="preserve">acknowledged </w:t>
      </w:r>
      <w:r w:rsidR="00556ED3">
        <w:rPr>
          <w:rFonts w:asciiTheme="minorHAnsi" w:hAnsiTheme="minorHAnsi" w:cstheme="minorBidi"/>
          <w:color w:val="000000" w:themeColor="text1"/>
        </w:rPr>
        <w:t>that</w:t>
      </w:r>
      <w:r w:rsidR="00DB6DD5">
        <w:rPr>
          <w:rFonts w:asciiTheme="minorHAnsi" w:hAnsiTheme="minorHAnsi" w:cstheme="minorBidi"/>
          <w:color w:val="000000" w:themeColor="text1"/>
        </w:rPr>
        <w:t xml:space="preserve"> </w:t>
      </w:r>
      <w:r w:rsidR="00D243DA">
        <w:rPr>
          <w:rFonts w:asciiTheme="minorHAnsi" w:hAnsiTheme="minorHAnsi" w:cstheme="minorBidi"/>
          <w:color w:val="000000" w:themeColor="text1"/>
        </w:rPr>
        <w:t xml:space="preserve">in Tasmania </w:t>
      </w:r>
      <w:r w:rsidR="00556ED3">
        <w:rPr>
          <w:rFonts w:asciiTheme="minorHAnsi" w:hAnsiTheme="minorHAnsi" w:cstheme="minorBidi"/>
          <w:color w:val="000000" w:themeColor="text1"/>
        </w:rPr>
        <w:t xml:space="preserve">203 </w:t>
      </w:r>
      <w:r w:rsidR="005D06E1">
        <w:rPr>
          <w:rFonts w:asciiTheme="minorHAnsi" w:hAnsiTheme="minorHAnsi" w:cstheme="minorBidi"/>
          <w:color w:val="000000" w:themeColor="text1"/>
        </w:rPr>
        <w:t>children and young people were strip searched at the Ashley Detention Centre in 2018 but</w:t>
      </w:r>
      <w:r w:rsidR="00556ED3">
        <w:rPr>
          <w:rFonts w:asciiTheme="minorHAnsi" w:hAnsiTheme="minorHAnsi" w:cstheme="minorBidi"/>
          <w:color w:val="000000" w:themeColor="text1"/>
        </w:rPr>
        <w:t xml:space="preserve"> no contraband was found.</w:t>
      </w:r>
      <w:r w:rsidR="00C53850">
        <w:rPr>
          <w:rStyle w:val="FootnoteReference"/>
          <w:rFonts w:asciiTheme="minorHAnsi" w:hAnsiTheme="minorHAnsi" w:cstheme="minorBidi"/>
          <w:color w:val="000000" w:themeColor="text1"/>
        </w:rPr>
        <w:footnoteReference w:id="4"/>
      </w:r>
      <w:r w:rsidR="00556ED3">
        <w:rPr>
          <w:rFonts w:asciiTheme="minorHAnsi" w:hAnsiTheme="minorHAnsi" w:cstheme="minorBidi"/>
          <w:color w:val="000000" w:themeColor="text1"/>
        </w:rPr>
        <w:t xml:space="preserve"> </w:t>
      </w:r>
      <w:r w:rsidR="00DB6DD5">
        <w:rPr>
          <w:rFonts w:asciiTheme="minorHAnsi" w:hAnsiTheme="minorHAnsi" w:cstheme="minorBidi"/>
          <w:color w:val="000000" w:themeColor="text1"/>
        </w:rPr>
        <w:t xml:space="preserve">Or, that </w:t>
      </w:r>
      <w:r w:rsidR="00AF14C2">
        <w:rPr>
          <w:rFonts w:asciiTheme="minorHAnsi" w:hAnsiTheme="minorHAnsi" w:cstheme="minorBidi"/>
          <w:color w:val="000000" w:themeColor="text1"/>
        </w:rPr>
        <w:t>the same data found that a disproportionate 55 per cent of all children and young people strip searched were indigenous</w:t>
      </w:r>
      <w:r w:rsidR="00AF14C2">
        <w:rPr>
          <w:rStyle w:val="FootnoteReference"/>
          <w:rFonts w:asciiTheme="minorHAnsi" w:hAnsiTheme="minorHAnsi" w:cstheme="minorBidi"/>
          <w:color w:val="000000" w:themeColor="text1"/>
        </w:rPr>
        <w:footnoteReference w:id="5"/>
      </w:r>
      <w:r w:rsidR="00AF14C2">
        <w:rPr>
          <w:rFonts w:asciiTheme="minorHAnsi" w:hAnsiTheme="minorHAnsi" w:cstheme="minorBidi"/>
          <w:color w:val="000000" w:themeColor="text1"/>
        </w:rPr>
        <w:t xml:space="preserve"> despite the Aboriginal and Torres Strait Islander population making up only 4.6 per cent of the broader Tasmanian community.</w:t>
      </w:r>
      <w:r w:rsidR="00AF14C2">
        <w:rPr>
          <w:rStyle w:val="FootnoteReference"/>
          <w:rFonts w:asciiTheme="minorHAnsi" w:hAnsiTheme="minorHAnsi" w:cstheme="minorBidi"/>
          <w:color w:val="000000" w:themeColor="text1"/>
        </w:rPr>
        <w:footnoteReference w:id="6"/>
      </w:r>
      <w:r w:rsidR="00AF14C2">
        <w:rPr>
          <w:rFonts w:asciiTheme="minorHAnsi" w:hAnsiTheme="minorHAnsi" w:cstheme="minorBidi"/>
          <w:color w:val="000000" w:themeColor="text1"/>
        </w:rPr>
        <w:t xml:space="preserve"> </w:t>
      </w:r>
    </w:p>
    <w:p w14:paraId="22D32FE6" w14:textId="0F39999B" w:rsidR="00A22899" w:rsidRDefault="00A22899" w:rsidP="00AF14C2">
      <w:pPr>
        <w:ind w:right="-347"/>
        <w:jc w:val="both"/>
        <w:rPr>
          <w:rFonts w:asciiTheme="minorHAnsi" w:hAnsiTheme="minorHAnsi" w:cstheme="minorBidi"/>
          <w:color w:val="000000" w:themeColor="text1"/>
        </w:rPr>
      </w:pPr>
    </w:p>
    <w:p w14:paraId="22E09325" w14:textId="5D090FAF" w:rsidR="00A22899" w:rsidRPr="001C3CEE" w:rsidRDefault="00A22899" w:rsidP="00A22899">
      <w:pPr>
        <w:pStyle w:val="ListParagraph"/>
        <w:numPr>
          <w:ilvl w:val="0"/>
          <w:numId w:val="5"/>
        </w:numPr>
        <w:ind w:right="-347"/>
        <w:jc w:val="both"/>
        <w:rPr>
          <w:rFonts w:asciiTheme="minorHAnsi" w:hAnsiTheme="minorHAnsi" w:cstheme="minorBidi"/>
          <w:b/>
          <w:bCs/>
          <w:i/>
          <w:iCs/>
          <w:color w:val="000000" w:themeColor="text1"/>
        </w:rPr>
      </w:pPr>
      <w:r w:rsidRPr="001C3CEE">
        <w:rPr>
          <w:rFonts w:asciiTheme="minorHAnsi" w:hAnsiTheme="minorHAnsi" w:cstheme="minorBidi"/>
          <w:b/>
          <w:bCs/>
          <w:i/>
          <w:iCs/>
          <w:color w:val="000000" w:themeColor="text1"/>
        </w:rPr>
        <w:t>Support for less intrusive search methods</w:t>
      </w:r>
    </w:p>
    <w:p w14:paraId="1556580D" w14:textId="77777777" w:rsidR="001C3CEE" w:rsidRDefault="00A22899" w:rsidP="00A22899">
      <w:pPr>
        <w:ind w:right="-347"/>
        <w:jc w:val="both"/>
        <w:rPr>
          <w:rFonts w:asciiTheme="minorHAnsi" w:hAnsiTheme="minorHAnsi" w:cstheme="minorBidi"/>
          <w:color w:val="000000" w:themeColor="text1"/>
        </w:rPr>
      </w:pPr>
      <w:r>
        <w:rPr>
          <w:rFonts w:asciiTheme="minorHAnsi" w:hAnsiTheme="minorHAnsi" w:cstheme="minorBidi"/>
          <w:color w:val="000000" w:themeColor="text1"/>
        </w:rPr>
        <w:t>We strongly support the proposed section 25A(6)(a)-(c) and its emphasis on least intrusive search methods and ensuring the privacy of the youth being searched. Many youth in custodial facilities have suffered from past physical or sexual abuse and/or trauma.</w:t>
      </w:r>
      <w:r>
        <w:rPr>
          <w:rStyle w:val="FootnoteReference"/>
          <w:rFonts w:asciiTheme="minorHAnsi" w:hAnsiTheme="minorHAnsi" w:cstheme="minorBidi"/>
          <w:color w:val="000000" w:themeColor="text1"/>
        </w:rPr>
        <w:footnoteReference w:id="7"/>
      </w:r>
      <w:r>
        <w:rPr>
          <w:rFonts w:asciiTheme="minorHAnsi" w:hAnsiTheme="minorHAnsi" w:cstheme="minorBidi"/>
          <w:color w:val="000000" w:themeColor="text1"/>
        </w:rPr>
        <w:t xml:space="preserve"> The experience of being strip-searched can be humiliating, frightening and embarrassing, and may lead to re-traumatising of children who have experienced prior abuse. Providing reasonable privacy and limiting instances of intrusiveness ensures that young people in custody can still maintain a sense of dignity, autonomy and power.</w:t>
      </w:r>
    </w:p>
    <w:p w14:paraId="3303389D" w14:textId="77777777" w:rsidR="001C3CEE" w:rsidRDefault="001C3CEE" w:rsidP="00A22899">
      <w:pPr>
        <w:ind w:right="-347"/>
        <w:jc w:val="both"/>
        <w:rPr>
          <w:rFonts w:asciiTheme="minorHAnsi" w:hAnsiTheme="minorHAnsi" w:cstheme="minorBidi"/>
          <w:color w:val="000000" w:themeColor="text1"/>
        </w:rPr>
      </w:pPr>
    </w:p>
    <w:p w14:paraId="0FA487AB" w14:textId="0753FBCB" w:rsidR="001C3CEE" w:rsidRPr="001C3CEE" w:rsidRDefault="001C3CEE" w:rsidP="001C3CEE">
      <w:pPr>
        <w:pStyle w:val="ListParagraph"/>
        <w:numPr>
          <w:ilvl w:val="0"/>
          <w:numId w:val="5"/>
        </w:numPr>
        <w:ind w:right="-347"/>
        <w:jc w:val="both"/>
        <w:rPr>
          <w:rFonts w:asciiTheme="minorHAnsi" w:hAnsiTheme="minorHAnsi" w:cstheme="minorBidi"/>
          <w:b/>
          <w:bCs/>
          <w:i/>
          <w:iCs/>
          <w:color w:val="000000" w:themeColor="text1"/>
        </w:rPr>
      </w:pPr>
      <w:r w:rsidRPr="001C3CEE">
        <w:rPr>
          <w:rFonts w:asciiTheme="minorHAnsi" w:hAnsiTheme="minorHAnsi" w:cstheme="minorBidi"/>
          <w:b/>
          <w:bCs/>
          <w:i/>
          <w:iCs/>
          <w:color w:val="000000" w:themeColor="text1"/>
        </w:rPr>
        <w:t>Recognition that searches be undertaken by members of same gender</w:t>
      </w:r>
    </w:p>
    <w:p w14:paraId="3CE9AB01" w14:textId="5CADA315" w:rsidR="00A22899" w:rsidRPr="001C3CEE" w:rsidRDefault="001C3CEE" w:rsidP="00A22899">
      <w:pPr>
        <w:ind w:right="-347"/>
        <w:jc w:val="both"/>
        <w:rPr>
          <w:rFonts w:asciiTheme="minorHAnsi" w:hAnsiTheme="minorHAnsi" w:cstheme="minorBidi"/>
          <w:color w:val="000000" w:themeColor="text1"/>
        </w:rPr>
      </w:pPr>
      <w:r>
        <w:rPr>
          <w:rFonts w:asciiTheme="minorHAnsi" w:hAnsiTheme="minorHAnsi" w:cstheme="minorBidi"/>
          <w:color w:val="000000" w:themeColor="text1"/>
        </w:rPr>
        <w:lastRenderedPageBreak/>
        <w:t xml:space="preserve">We </w:t>
      </w:r>
      <w:r w:rsidR="00A22899">
        <w:rPr>
          <w:rFonts w:asciiTheme="minorHAnsi" w:hAnsiTheme="minorHAnsi" w:cstheme="minorBidi"/>
          <w:color w:val="000000" w:themeColor="text1"/>
        </w:rPr>
        <w:t>also strongly support</w:t>
      </w:r>
      <w:r>
        <w:rPr>
          <w:rFonts w:asciiTheme="minorHAnsi" w:hAnsiTheme="minorHAnsi" w:cstheme="minorBidi"/>
          <w:color w:val="000000" w:themeColor="text1"/>
        </w:rPr>
        <w:t xml:space="preserve"> the proposed section 25A(7)(a) and its requirement that</w:t>
      </w:r>
      <w:r w:rsidR="00A22899">
        <w:rPr>
          <w:rFonts w:asciiTheme="minorHAnsi" w:hAnsiTheme="minorHAnsi" w:cstheme="minorBidi"/>
          <w:color w:val="000000" w:themeColor="text1"/>
        </w:rPr>
        <w:t xml:space="preserve"> authorised officer</w:t>
      </w:r>
      <w:r>
        <w:rPr>
          <w:rFonts w:asciiTheme="minorHAnsi" w:hAnsiTheme="minorHAnsi" w:cstheme="minorBidi"/>
          <w:color w:val="000000" w:themeColor="text1"/>
        </w:rPr>
        <w:t>s</w:t>
      </w:r>
      <w:r w:rsidR="00A22899">
        <w:rPr>
          <w:rFonts w:asciiTheme="minorHAnsi" w:hAnsiTheme="minorHAnsi" w:cstheme="minorBidi"/>
          <w:color w:val="000000" w:themeColor="text1"/>
        </w:rPr>
        <w:t xml:space="preserve"> be the same gender </w:t>
      </w:r>
      <w:r>
        <w:rPr>
          <w:rFonts w:asciiTheme="minorHAnsi" w:hAnsiTheme="minorHAnsi" w:cstheme="minorBidi"/>
          <w:color w:val="000000" w:themeColor="text1"/>
        </w:rPr>
        <w:t>as</w:t>
      </w:r>
      <w:r w:rsidR="00A22899">
        <w:rPr>
          <w:rFonts w:asciiTheme="minorHAnsi" w:hAnsiTheme="minorHAnsi" w:cstheme="minorBidi"/>
          <w:color w:val="000000" w:themeColor="text1"/>
        </w:rPr>
        <w:t xml:space="preserve"> the youth they</w:t>
      </w:r>
      <w:r>
        <w:rPr>
          <w:rFonts w:asciiTheme="minorHAnsi" w:hAnsiTheme="minorHAnsi" w:cstheme="minorBidi"/>
          <w:color w:val="000000" w:themeColor="text1"/>
        </w:rPr>
        <w:t xml:space="preserve"> intend to</w:t>
      </w:r>
      <w:r w:rsidR="00A22899">
        <w:rPr>
          <w:rFonts w:asciiTheme="minorHAnsi" w:hAnsiTheme="minorHAnsi" w:cstheme="minorBidi"/>
          <w:color w:val="000000" w:themeColor="text1"/>
        </w:rPr>
        <w:t xml:space="preserve"> searc</w:t>
      </w:r>
      <w:r>
        <w:rPr>
          <w:rFonts w:asciiTheme="minorHAnsi" w:hAnsiTheme="minorHAnsi" w:cstheme="minorBidi"/>
          <w:color w:val="000000" w:themeColor="text1"/>
        </w:rPr>
        <w:t>h</w:t>
      </w:r>
      <w:r w:rsidR="00A22899">
        <w:rPr>
          <w:rFonts w:asciiTheme="minorHAnsi" w:hAnsiTheme="minorHAnsi" w:cstheme="minorBidi"/>
          <w:color w:val="000000" w:themeColor="text1"/>
        </w:rPr>
        <w:t>. This is</w:t>
      </w:r>
      <w:r>
        <w:rPr>
          <w:rFonts w:asciiTheme="minorHAnsi" w:hAnsiTheme="minorHAnsi" w:cstheme="minorBidi"/>
          <w:color w:val="000000" w:themeColor="text1"/>
        </w:rPr>
        <w:t xml:space="preserve"> an importance protective measure</w:t>
      </w:r>
      <w:r w:rsidR="00A22899">
        <w:rPr>
          <w:rFonts w:asciiTheme="minorHAnsi" w:hAnsiTheme="minorHAnsi" w:cstheme="minorBidi"/>
          <w:color w:val="000000" w:themeColor="text1"/>
        </w:rPr>
        <w:t xml:space="preserve"> for youth who </w:t>
      </w:r>
      <w:r>
        <w:rPr>
          <w:rFonts w:asciiTheme="minorHAnsi" w:hAnsiTheme="minorHAnsi" w:cstheme="minorBidi"/>
          <w:color w:val="000000" w:themeColor="text1"/>
        </w:rPr>
        <w:t xml:space="preserve">may </w:t>
      </w:r>
      <w:r w:rsidR="00A22899">
        <w:rPr>
          <w:rFonts w:asciiTheme="minorHAnsi" w:hAnsiTheme="minorHAnsi" w:cstheme="minorBidi"/>
          <w:color w:val="000000" w:themeColor="text1"/>
        </w:rPr>
        <w:t>ha</w:t>
      </w:r>
      <w:r>
        <w:rPr>
          <w:rFonts w:asciiTheme="minorHAnsi" w:hAnsiTheme="minorHAnsi" w:cstheme="minorBidi"/>
          <w:color w:val="000000" w:themeColor="text1"/>
        </w:rPr>
        <w:t xml:space="preserve">ve </w:t>
      </w:r>
      <w:r w:rsidR="00A22899">
        <w:rPr>
          <w:rFonts w:asciiTheme="minorHAnsi" w:hAnsiTheme="minorHAnsi" w:cstheme="minorBidi"/>
          <w:color w:val="000000" w:themeColor="text1"/>
        </w:rPr>
        <w:t>experienced past sexual assault</w:t>
      </w:r>
      <w:r>
        <w:rPr>
          <w:rFonts w:asciiTheme="minorHAnsi" w:hAnsiTheme="minorHAnsi" w:cstheme="minorBidi"/>
          <w:color w:val="000000" w:themeColor="text1"/>
        </w:rPr>
        <w:t xml:space="preserve"> and </w:t>
      </w:r>
      <w:r w:rsidR="00A22899">
        <w:rPr>
          <w:rFonts w:asciiTheme="minorHAnsi" w:hAnsiTheme="minorHAnsi" w:cstheme="minorBidi"/>
          <w:color w:val="000000" w:themeColor="text1"/>
        </w:rPr>
        <w:t xml:space="preserve">to prevent additional traumas. We also </w:t>
      </w:r>
      <w:r>
        <w:rPr>
          <w:rFonts w:asciiTheme="minorHAnsi" w:hAnsiTheme="minorHAnsi" w:cstheme="minorBidi"/>
          <w:color w:val="000000" w:themeColor="text1"/>
        </w:rPr>
        <w:t>welcome</w:t>
      </w:r>
      <w:r w:rsidR="00A22899">
        <w:rPr>
          <w:rFonts w:asciiTheme="minorHAnsi" w:hAnsiTheme="minorHAnsi" w:cstheme="minorBidi"/>
          <w:color w:val="000000" w:themeColor="text1"/>
        </w:rPr>
        <w:t xml:space="preserve"> the inclus</w:t>
      </w:r>
      <w:r>
        <w:rPr>
          <w:rFonts w:asciiTheme="minorHAnsi" w:hAnsiTheme="minorHAnsi" w:cstheme="minorBidi"/>
          <w:color w:val="000000" w:themeColor="text1"/>
        </w:rPr>
        <w:t xml:space="preserve">iveness of the Bill and its express recognition in subsection 25A(7)(b) </w:t>
      </w:r>
      <w:r w:rsidR="00A22899">
        <w:rPr>
          <w:rFonts w:asciiTheme="minorHAnsi" w:hAnsiTheme="minorHAnsi" w:cstheme="minorBidi"/>
          <w:color w:val="000000" w:themeColor="text1"/>
        </w:rPr>
        <w:t xml:space="preserve">of the rights of transsexual, transgender and intersex persons. This </w:t>
      </w:r>
      <w:r>
        <w:rPr>
          <w:rFonts w:asciiTheme="minorHAnsi" w:hAnsiTheme="minorHAnsi" w:cstheme="minorBidi"/>
          <w:color w:val="000000" w:themeColor="text1"/>
        </w:rPr>
        <w:t xml:space="preserve">inclusiveness </w:t>
      </w:r>
      <w:r w:rsidR="00A22899">
        <w:rPr>
          <w:rFonts w:asciiTheme="minorHAnsi" w:hAnsiTheme="minorHAnsi" w:cstheme="minorBidi"/>
          <w:color w:val="000000" w:themeColor="text1"/>
        </w:rPr>
        <w:t xml:space="preserve">promotes self-autonomy and can assist in providing and upholding feelings of comfort and dignity of the </w:t>
      </w:r>
      <w:r w:rsidR="00753B5E">
        <w:rPr>
          <w:rFonts w:asciiTheme="minorHAnsi" w:hAnsiTheme="minorHAnsi" w:cstheme="minorBidi"/>
          <w:color w:val="000000" w:themeColor="text1"/>
        </w:rPr>
        <w:t>child or young person</w:t>
      </w:r>
      <w:r>
        <w:rPr>
          <w:rFonts w:asciiTheme="minorHAnsi" w:hAnsiTheme="minorHAnsi" w:cstheme="minorBidi"/>
          <w:color w:val="000000" w:themeColor="text1"/>
        </w:rPr>
        <w:t xml:space="preserve"> being searched</w:t>
      </w:r>
      <w:r w:rsidR="00A22899">
        <w:rPr>
          <w:rFonts w:asciiTheme="minorHAnsi" w:hAnsiTheme="minorHAnsi" w:cstheme="minorBidi"/>
          <w:color w:val="000000" w:themeColor="text1"/>
        </w:rPr>
        <w:t xml:space="preserve">. </w:t>
      </w:r>
    </w:p>
    <w:p w14:paraId="6024D148" w14:textId="099B214D" w:rsidR="00445D5A" w:rsidRDefault="00445D5A" w:rsidP="00F27DFE">
      <w:pPr>
        <w:ind w:right="-347"/>
        <w:jc w:val="both"/>
        <w:rPr>
          <w:rFonts w:asciiTheme="minorHAnsi" w:hAnsiTheme="minorHAnsi" w:cstheme="minorBidi"/>
          <w:color w:val="000000" w:themeColor="text1"/>
        </w:rPr>
      </w:pPr>
    </w:p>
    <w:p w14:paraId="315FB12B" w14:textId="77777777" w:rsidR="00AF14C2" w:rsidRDefault="009C1B71" w:rsidP="00AF14C2">
      <w:pPr>
        <w:pStyle w:val="ListParagraph"/>
        <w:numPr>
          <w:ilvl w:val="0"/>
          <w:numId w:val="3"/>
        </w:numPr>
        <w:ind w:right="-347"/>
        <w:jc w:val="both"/>
        <w:rPr>
          <w:rFonts w:asciiTheme="minorHAnsi" w:hAnsiTheme="minorHAnsi" w:cstheme="minorBidi"/>
          <w:b/>
          <w:bCs/>
          <w:i/>
          <w:iCs/>
          <w:color w:val="000000" w:themeColor="text1"/>
        </w:rPr>
      </w:pPr>
      <w:r w:rsidRPr="00AF14C2">
        <w:rPr>
          <w:rFonts w:asciiTheme="minorHAnsi" w:hAnsiTheme="minorHAnsi" w:cstheme="minorBidi"/>
          <w:b/>
          <w:bCs/>
          <w:i/>
          <w:iCs/>
          <w:color w:val="000000" w:themeColor="text1"/>
        </w:rPr>
        <w:t>The use of force</w:t>
      </w:r>
    </w:p>
    <w:p w14:paraId="4DA01BF5" w14:textId="77777777" w:rsidR="001E6AEA" w:rsidRDefault="00AF14C2" w:rsidP="00445D5A">
      <w:pPr>
        <w:ind w:right="-347"/>
        <w:jc w:val="both"/>
        <w:rPr>
          <w:rFonts w:ascii="Cambria" w:hAnsi="Cambria"/>
        </w:rPr>
      </w:pPr>
      <w:r w:rsidRPr="00AF14C2">
        <w:rPr>
          <w:rFonts w:ascii="Cambria" w:hAnsi="Cambria" w:cstheme="minorBidi"/>
          <w:color w:val="000000" w:themeColor="text1"/>
        </w:rPr>
        <w:t xml:space="preserve">To ensure compliance with international human rights standards, we strongly believe that the use of force should be prohibited </w:t>
      </w:r>
      <w:r w:rsidRPr="00AF14C2">
        <w:rPr>
          <w:rFonts w:ascii="Cambria" w:hAnsi="Cambria"/>
        </w:rPr>
        <w:t>except when necessary to prevent an imminent and serious threat of injury to the child or others, and only when all other means of control have been exhausted.</w:t>
      </w:r>
      <w:r>
        <w:rPr>
          <w:rStyle w:val="FootnoteReference"/>
          <w:rFonts w:ascii="Cambria" w:hAnsi="Cambria"/>
        </w:rPr>
        <w:footnoteReference w:id="8"/>
      </w:r>
      <w:r w:rsidRPr="00AF14C2">
        <w:rPr>
          <w:rFonts w:ascii="Cambria" w:hAnsi="Cambria"/>
        </w:rPr>
        <w:t xml:space="preserve"> </w:t>
      </w:r>
      <w:r w:rsidR="00725EF2">
        <w:rPr>
          <w:rFonts w:ascii="Cambria" w:hAnsi="Cambria"/>
        </w:rPr>
        <w:t>In short, the use of force should be limited to circumstances of last resort.</w:t>
      </w:r>
    </w:p>
    <w:p w14:paraId="258E57FC" w14:textId="77777777" w:rsidR="001E6AEA" w:rsidRDefault="001E6AEA" w:rsidP="00445D5A">
      <w:pPr>
        <w:ind w:right="-347"/>
        <w:jc w:val="both"/>
        <w:rPr>
          <w:rFonts w:ascii="Cambria" w:hAnsi="Cambria"/>
        </w:rPr>
      </w:pPr>
    </w:p>
    <w:p w14:paraId="7CD294BC" w14:textId="125D6F95" w:rsidR="00445D5A" w:rsidRDefault="00725EF2" w:rsidP="00445D5A">
      <w:pPr>
        <w:ind w:right="-347"/>
        <w:jc w:val="both"/>
        <w:rPr>
          <w:rFonts w:ascii="Cambria" w:hAnsi="Cambria"/>
        </w:rPr>
      </w:pPr>
      <w:r>
        <w:rPr>
          <w:rFonts w:ascii="Cambria" w:hAnsi="Cambria"/>
        </w:rPr>
        <w:t>As it currently reads, the proposed section 25A(8)</w:t>
      </w:r>
      <w:r w:rsidR="00AF14C2">
        <w:rPr>
          <w:rFonts w:ascii="Cambria" w:hAnsi="Cambria"/>
        </w:rPr>
        <w:t xml:space="preserve"> </w:t>
      </w:r>
      <w:r>
        <w:rPr>
          <w:rFonts w:ascii="Cambria" w:hAnsi="Cambria"/>
        </w:rPr>
        <w:t>makes clear that the use of force</w:t>
      </w:r>
      <w:r w:rsidR="00C9201F">
        <w:rPr>
          <w:rFonts w:ascii="Cambria" w:hAnsi="Cambria"/>
        </w:rPr>
        <w:t xml:space="preserve"> “may be reasonable and necessary in the circumstances”. In our opinion, this is inconsistent with our obligations under human rights law that the use of force be of last resort. It is also inconsistent with the treatment of prisoners and detainees pursuant to the </w:t>
      </w:r>
      <w:r w:rsidR="00C9201F" w:rsidRPr="00C9201F">
        <w:rPr>
          <w:rFonts w:ascii="Cambria" w:hAnsi="Cambria"/>
          <w:i/>
          <w:iCs/>
        </w:rPr>
        <w:t>Corrections Act 1997</w:t>
      </w:r>
      <w:r w:rsidR="00C9201F">
        <w:rPr>
          <w:rFonts w:ascii="Cambria" w:hAnsi="Cambria"/>
        </w:rPr>
        <w:t xml:space="preserve"> (Tas) which mandates that the use of force must be </w:t>
      </w:r>
      <w:r w:rsidR="00445D5A">
        <w:rPr>
          <w:rFonts w:ascii="Cambria" w:hAnsi="Cambria"/>
        </w:rPr>
        <w:t>of</w:t>
      </w:r>
      <w:r w:rsidR="00C9201F">
        <w:rPr>
          <w:rFonts w:ascii="Cambria" w:hAnsi="Cambria"/>
        </w:rPr>
        <w:t xml:space="preserve"> last resort.</w:t>
      </w:r>
      <w:r w:rsidR="00C9201F">
        <w:rPr>
          <w:rStyle w:val="FootnoteReference"/>
          <w:rFonts w:ascii="Cambria" w:hAnsi="Cambria"/>
        </w:rPr>
        <w:footnoteReference w:id="9"/>
      </w:r>
      <w:r w:rsidR="00C9201F">
        <w:rPr>
          <w:rFonts w:ascii="Cambria" w:hAnsi="Cambria"/>
        </w:rPr>
        <w:t xml:space="preserve">  We </w:t>
      </w:r>
      <w:r w:rsidR="00445D5A">
        <w:rPr>
          <w:rFonts w:ascii="Cambria" w:hAnsi="Cambria"/>
        </w:rPr>
        <w:t>therefore recommend that the use of force in subsection (8) of the Bill be reasonable and necessary but also make clear that it is of last resort. Finally, we believe that the use of force should be mandatory rather than discretionary.</w:t>
      </w:r>
      <w:r w:rsidR="00445D5A" w:rsidRPr="00445D5A">
        <w:rPr>
          <w:rFonts w:ascii="Cambria" w:eastAsia="Times New Roman" w:hAnsi="Cambria"/>
          <w:color w:val="000000"/>
        </w:rPr>
        <w:t xml:space="preserve"> </w:t>
      </w:r>
      <w:r w:rsidR="00445D5A" w:rsidRPr="00CE6E40">
        <w:rPr>
          <w:rFonts w:ascii="Cambria" w:eastAsia="Times New Roman" w:hAnsi="Cambria"/>
          <w:color w:val="000000"/>
        </w:rPr>
        <w:t>We therefore prefer the use of the words ‘is to’</w:t>
      </w:r>
      <w:r w:rsidR="00445D5A">
        <w:rPr>
          <w:rFonts w:ascii="Cambria" w:eastAsia="Times New Roman" w:hAnsi="Cambria"/>
          <w:color w:val="000000"/>
        </w:rPr>
        <w:t xml:space="preserve"> in place of ‘may’:</w:t>
      </w:r>
      <w:r w:rsidR="00445D5A">
        <w:rPr>
          <w:rStyle w:val="FootnoteReference"/>
          <w:rFonts w:ascii="Cambria" w:eastAsia="Times New Roman" w:hAnsi="Cambria"/>
          <w:color w:val="000000"/>
        </w:rPr>
        <w:footnoteReference w:id="10"/>
      </w:r>
    </w:p>
    <w:p w14:paraId="76F595C0" w14:textId="77777777" w:rsidR="00445D5A" w:rsidRDefault="00445D5A" w:rsidP="00445D5A">
      <w:pPr>
        <w:ind w:right="-347"/>
        <w:jc w:val="both"/>
        <w:rPr>
          <w:rFonts w:ascii="Cambria" w:hAnsi="Cambria"/>
        </w:rPr>
      </w:pPr>
    </w:p>
    <w:p w14:paraId="186C6492" w14:textId="54F3A5D7" w:rsidR="00445D5A" w:rsidRPr="004771B0" w:rsidRDefault="00445D5A" w:rsidP="004771B0">
      <w:pPr>
        <w:pStyle w:val="NoSpacing"/>
        <w:ind w:left="720"/>
        <w:rPr>
          <w:lang w:eastAsia="en-GB"/>
        </w:rPr>
      </w:pPr>
      <w:r>
        <w:rPr>
          <w:lang w:eastAsia="en-GB"/>
        </w:rPr>
        <w:t>(</w:t>
      </w:r>
      <w:r w:rsidRPr="00445D5A">
        <w:rPr>
          <w:lang w:eastAsia="en-GB"/>
        </w:rPr>
        <w:t>8)</w:t>
      </w:r>
      <w:r>
        <w:rPr>
          <w:lang w:eastAsia="en-GB"/>
        </w:rPr>
        <w:t xml:space="preserve"> </w:t>
      </w:r>
      <w:r w:rsidRPr="00445D5A">
        <w:rPr>
          <w:lang w:eastAsia="en-GB"/>
        </w:rPr>
        <w:t xml:space="preserve">An authorised officer conducting a search to which this section applies </w:t>
      </w:r>
      <w:r w:rsidRPr="00445D5A">
        <w:rPr>
          <w:strike/>
          <w:lang w:eastAsia="en-GB"/>
        </w:rPr>
        <w:t>may</w:t>
      </w:r>
      <w:r w:rsidRPr="00445D5A">
        <w:rPr>
          <w:lang w:eastAsia="en-GB"/>
        </w:rPr>
        <w:t xml:space="preserve"> </w:t>
      </w:r>
      <w:r w:rsidRPr="00445D5A">
        <w:rPr>
          <w:color w:val="FF0000"/>
          <w:lang w:eastAsia="en-GB"/>
        </w:rPr>
        <w:t xml:space="preserve">is to </w:t>
      </w:r>
      <w:r w:rsidRPr="00445D5A">
        <w:rPr>
          <w:lang w:eastAsia="en-GB"/>
        </w:rPr>
        <w:t xml:space="preserve">use the force that is reasonable and necessary </w:t>
      </w:r>
      <w:r w:rsidR="004771B0" w:rsidRPr="004771B0">
        <w:rPr>
          <w:color w:val="FF0000"/>
          <w:lang w:eastAsia="en-GB"/>
        </w:rPr>
        <w:t xml:space="preserve">and </w:t>
      </w:r>
      <w:r w:rsidR="004771B0">
        <w:rPr>
          <w:color w:val="FF0000"/>
          <w:lang w:eastAsia="en-GB"/>
        </w:rPr>
        <w:t>limited to</w:t>
      </w:r>
      <w:r w:rsidR="004771B0">
        <w:rPr>
          <w:lang w:eastAsia="en-GB"/>
        </w:rPr>
        <w:t xml:space="preserve"> </w:t>
      </w:r>
      <w:r w:rsidRPr="00445D5A">
        <w:rPr>
          <w:strike/>
          <w:lang w:eastAsia="en-GB"/>
        </w:rPr>
        <w:t>in the</w:t>
      </w:r>
      <w:r w:rsidRPr="00445D5A">
        <w:rPr>
          <w:lang w:eastAsia="en-GB"/>
        </w:rPr>
        <w:t xml:space="preserve"> circumstances </w:t>
      </w:r>
      <w:r w:rsidR="004771B0" w:rsidRPr="004771B0">
        <w:rPr>
          <w:color w:val="FF0000"/>
          <w:lang w:eastAsia="en-GB"/>
        </w:rPr>
        <w:t xml:space="preserve">of last resort </w:t>
      </w:r>
      <w:r w:rsidRPr="00445D5A">
        <w:rPr>
          <w:lang w:eastAsia="en-GB"/>
        </w:rPr>
        <w:t xml:space="preserve">to conduct the search. </w:t>
      </w:r>
    </w:p>
    <w:p w14:paraId="36BDEAB5" w14:textId="77777777" w:rsidR="00C171BB" w:rsidRDefault="00C171BB" w:rsidP="00D10729">
      <w:pPr>
        <w:ind w:right="-347"/>
        <w:jc w:val="both"/>
        <w:rPr>
          <w:rFonts w:asciiTheme="minorHAnsi" w:hAnsiTheme="minorHAnsi" w:cstheme="minorBidi"/>
          <w:color w:val="000000" w:themeColor="text1"/>
        </w:rPr>
      </w:pPr>
    </w:p>
    <w:p w14:paraId="1A81AC14" w14:textId="150F6ABC" w:rsidR="002428EE" w:rsidRPr="002428EE" w:rsidRDefault="002428EE" w:rsidP="002428EE">
      <w:pPr>
        <w:pStyle w:val="ListParagraph"/>
        <w:numPr>
          <w:ilvl w:val="0"/>
          <w:numId w:val="3"/>
        </w:numPr>
        <w:ind w:right="-347"/>
        <w:jc w:val="both"/>
        <w:rPr>
          <w:rFonts w:asciiTheme="minorHAnsi" w:hAnsiTheme="minorHAnsi" w:cstheme="minorBidi"/>
          <w:b/>
          <w:bCs/>
          <w:i/>
          <w:iCs/>
          <w:color w:val="000000" w:themeColor="text1"/>
        </w:rPr>
      </w:pPr>
      <w:r w:rsidRPr="002428EE">
        <w:rPr>
          <w:rFonts w:asciiTheme="minorHAnsi" w:hAnsiTheme="minorHAnsi" w:cstheme="minorBidi"/>
          <w:b/>
          <w:bCs/>
          <w:i/>
          <w:iCs/>
          <w:color w:val="000000" w:themeColor="text1"/>
        </w:rPr>
        <w:t>Greater Transparency</w:t>
      </w:r>
    </w:p>
    <w:p w14:paraId="77827AC8" w14:textId="0115FF8F" w:rsidR="002428EE" w:rsidRDefault="002428EE" w:rsidP="00D10729">
      <w:pPr>
        <w:ind w:right="-347"/>
        <w:jc w:val="both"/>
        <w:rPr>
          <w:rFonts w:asciiTheme="minorHAnsi" w:hAnsiTheme="minorHAnsi" w:cstheme="minorBidi"/>
          <w:color w:val="000000" w:themeColor="text1"/>
        </w:rPr>
      </w:pPr>
      <w:r>
        <w:rPr>
          <w:rFonts w:asciiTheme="minorHAnsi" w:hAnsiTheme="minorHAnsi" w:cstheme="minorBidi"/>
          <w:color w:val="000000" w:themeColor="text1"/>
        </w:rPr>
        <w:t xml:space="preserve">It is of concern that the proposed subsection 25B(1) provides that regulations ‘may’ prescribe requirements for the establishment and maintenance of registers in which details of the conduct of some or all of the searches to which section 25A applies are to be recorded. Again, we strongly recommend that the discretionary ‘may’ is replaced with ‘is to’ to ensure greater transparency of the circumstances in which searches take place.  </w:t>
      </w:r>
    </w:p>
    <w:p w14:paraId="070A0F1C" w14:textId="77777777" w:rsidR="002428EE" w:rsidRDefault="002428EE" w:rsidP="00D10729">
      <w:pPr>
        <w:ind w:right="-347"/>
        <w:jc w:val="both"/>
        <w:rPr>
          <w:rFonts w:asciiTheme="minorHAnsi" w:hAnsiTheme="minorHAnsi" w:cstheme="minorBidi"/>
          <w:color w:val="000000" w:themeColor="text1"/>
        </w:rPr>
      </w:pPr>
    </w:p>
    <w:p w14:paraId="3478B070" w14:textId="68A4B6DB" w:rsidR="002428EE" w:rsidRDefault="002428EE" w:rsidP="00D10729">
      <w:pPr>
        <w:ind w:right="-347"/>
        <w:jc w:val="both"/>
        <w:rPr>
          <w:rFonts w:asciiTheme="minorHAnsi" w:hAnsiTheme="minorHAnsi" w:cstheme="minorBidi"/>
          <w:color w:val="000000" w:themeColor="text1"/>
        </w:rPr>
      </w:pPr>
      <w:r>
        <w:rPr>
          <w:rFonts w:asciiTheme="minorHAnsi" w:hAnsiTheme="minorHAnsi" w:cstheme="minorBidi"/>
          <w:color w:val="000000" w:themeColor="text1"/>
        </w:rPr>
        <w:t xml:space="preserve">We would also note that some regulations relevant to searches are not publicly available. For example, the Director of Corrective Services’ Standing Orders (DSOs) </w:t>
      </w:r>
      <w:r>
        <w:rPr>
          <w:rFonts w:asciiTheme="minorHAnsi" w:hAnsiTheme="minorHAnsi" w:cstheme="minorBidi"/>
          <w:color w:val="000000" w:themeColor="text1"/>
        </w:rPr>
        <w:lastRenderedPageBreak/>
        <w:t>in relation to searches in custodial settings are not publicly available.</w:t>
      </w:r>
      <w:r>
        <w:rPr>
          <w:rStyle w:val="FootnoteReference"/>
          <w:rFonts w:asciiTheme="minorHAnsi" w:hAnsiTheme="minorHAnsi" w:cstheme="minorBidi"/>
          <w:color w:val="000000" w:themeColor="text1"/>
        </w:rPr>
        <w:footnoteReference w:id="11"/>
      </w:r>
      <w:r>
        <w:rPr>
          <w:rFonts w:asciiTheme="minorHAnsi" w:hAnsiTheme="minorHAnsi" w:cstheme="minorBidi"/>
          <w:color w:val="000000" w:themeColor="text1"/>
        </w:rPr>
        <w:t xml:space="preserve"> The failure to publicise the circumstances in which searches may take place is likely to result in  an inconsistency of practice across custodial settings and therefore more likely to lead to misuse of search powers. A lack of transparency also means that in some situations, complainants will be unable to ascertain whether there has been a misuse of search powers. In our opinion, subsections 25A(8)-(9) and the requirement that authorised officers act with authorisation “under a provision of an Act or an instrument made under an Act” is meaningless if </w:t>
      </w:r>
      <w:r w:rsidR="00357AF5">
        <w:rPr>
          <w:rFonts w:asciiTheme="minorHAnsi" w:hAnsiTheme="minorHAnsi" w:cstheme="minorBidi"/>
          <w:color w:val="000000" w:themeColor="text1"/>
        </w:rPr>
        <w:t>we do</w:t>
      </w:r>
      <w:r>
        <w:rPr>
          <w:rFonts w:asciiTheme="minorHAnsi" w:hAnsiTheme="minorHAnsi" w:cstheme="minorBidi"/>
          <w:color w:val="000000" w:themeColor="text1"/>
        </w:rPr>
        <w:t xml:space="preserve"> not have access to a complete and consolidated set of search powers.   </w:t>
      </w:r>
    </w:p>
    <w:p w14:paraId="601F0EC8" w14:textId="77777777" w:rsidR="002428EE" w:rsidRDefault="002428EE" w:rsidP="00D10729">
      <w:pPr>
        <w:ind w:right="-347"/>
        <w:jc w:val="both"/>
        <w:rPr>
          <w:rFonts w:asciiTheme="minorHAnsi" w:hAnsiTheme="minorHAnsi" w:cstheme="minorBidi"/>
          <w:color w:val="000000" w:themeColor="text1"/>
        </w:rPr>
      </w:pPr>
    </w:p>
    <w:p w14:paraId="2EE1E364" w14:textId="1F8F8647" w:rsidR="00C171BB" w:rsidRDefault="001E6AEA" w:rsidP="00D10729">
      <w:pPr>
        <w:ind w:right="-347"/>
        <w:jc w:val="both"/>
        <w:rPr>
          <w:rFonts w:asciiTheme="minorHAnsi" w:hAnsiTheme="minorHAnsi" w:cstheme="minorBidi"/>
          <w:color w:val="000000" w:themeColor="text1"/>
        </w:rPr>
      </w:pPr>
      <w:r>
        <w:rPr>
          <w:rFonts w:asciiTheme="minorHAnsi" w:hAnsiTheme="minorHAnsi" w:cstheme="minorBidi"/>
          <w:color w:val="000000" w:themeColor="text1"/>
        </w:rPr>
        <w:t xml:space="preserve">In summary, although there is no good policy reason for limiting legislative search powers to the </w:t>
      </w:r>
      <w:r w:rsidRPr="001E6AEA">
        <w:rPr>
          <w:rFonts w:asciiTheme="minorHAnsi" w:hAnsiTheme="minorHAnsi" w:cstheme="minorBidi"/>
          <w:i/>
          <w:iCs/>
          <w:color w:val="000000" w:themeColor="text1"/>
        </w:rPr>
        <w:t>Youth Justices Act 1997</w:t>
      </w:r>
      <w:r>
        <w:rPr>
          <w:rFonts w:asciiTheme="minorHAnsi" w:hAnsiTheme="minorHAnsi" w:cstheme="minorBidi"/>
          <w:color w:val="000000" w:themeColor="text1"/>
        </w:rPr>
        <w:t xml:space="preserve"> (Tas), we support the intent of the Bill to make searches in a custodial setting more transparent and accountable.</w:t>
      </w:r>
    </w:p>
    <w:p w14:paraId="5D9112ED" w14:textId="77777777" w:rsidR="00556ED3" w:rsidRPr="00BC0D6B" w:rsidRDefault="00556ED3" w:rsidP="00D16A1B">
      <w:pPr>
        <w:shd w:val="clear" w:color="auto" w:fill="FFFFFF"/>
        <w:ind w:right="-347"/>
        <w:jc w:val="both"/>
        <w:rPr>
          <w:rFonts w:asciiTheme="minorHAnsi" w:eastAsia="Times New Roman" w:hAnsiTheme="minorHAnsi"/>
          <w:bCs/>
          <w:color w:val="000000" w:themeColor="text1"/>
        </w:rPr>
      </w:pPr>
    </w:p>
    <w:p w14:paraId="39179F35" w14:textId="77777777" w:rsidR="00D16A1B" w:rsidRPr="00BC0D6B" w:rsidRDefault="00D16A1B" w:rsidP="00D16A1B">
      <w:pPr>
        <w:shd w:val="clear" w:color="auto" w:fill="FFFFFF"/>
        <w:ind w:right="-347"/>
        <w:jc w:val="both"/>
        <w:rPr>
          <w:rFonts w:asciiTheme="minorHAnsi" w:eastAsia="Times New Roman" w:hAnsiTheme="minorHAnsi"/>
          <w:bCs/>
          <w:color w:val="000000" w:themeColor="text1"/>
        </w:rPr>
      </w:pPr>
      <w:r w:rsidRPr="00BC0D6B">
        <w:rPr>
          <w:rFonts w:asciiTheme="minorHAnsi" w:eastAsia="Times New Roman" w:hAnsiTheme="minorHAnsi"/>
          <w:bCs/>
          <w:color w:val="000000" w:themeColor="text1"/>
        </w:rPr>
        <w:t>Yours faithfully,</w:t>
      </w:r>
    </w:p>
    <w:p w14:paraId="5A4399B5" w14:textId="77777777" w:rsidR="00D16A1B" w:rsidRPr="00BC0D6B" w:rsidRDefault="00D16A1B" w:rsidP="00D16A1B">
      <w:pPr>
        <w:shd w:val="clear" w:color="auto" w:fill="FFFFFF"/>
        <w:ind w:right="-347"/>
        <w:jc w:val="both"/>
        <w:rPr>
          <w:rFonts w:asciiTheme="minorHAnsi" w:eastAsia="Times New Roman" w:hAnsiTheme="minorHAnsi"/>
          <w:bCs/>
          <w:color w:val="000000" w:themeColor="text1"/>
        </w:rPr>
      </w:pPr>
    </w:p>
    <w:p w14:paraId="6E6C8C58" w14:textId="77777777" w:rsidR="00D16A1B" w:rsidRPr="00BC0D6B" w:rsidRDefault="00D16A1B" w:rsidP="00D16A1B">
      <w:pPr>
        <w:shd w:val="clear" w:color="auto" w:fill="FFFFFF"/>
        <w:ind w:right="-347"/>
        <w:jc w:val="both"/>
        <w:rPr>
          <w:rFonts w:asciiTheme="minorHAnsi" w:eastAsia="Times New Roman" w:hAnsiTheme="minorHAnsi"/>
          <w:bCs/>
          <w:color w:val="000000" w:themeColor="text1"/>
        </w:rPr>
      </w:pPr>
    </w:p>
    <w:p w14:paraId="5550F2C5" w14:textId="77777777" w:rsidR="00D16A1B" w:rsidRPr="00BC0D6B" w:rsidRDefault="00D16A1B" w:rsidP="00D16A1B">
      <w:pPr>
        <w:shd w:val="clear" w:color="auto" w:fill="FFFFFF"/>
        <w:ind w:right="-347"/>
        <w:jc w:val="both"/>
        <w:rPr>
          <w:rFonts w:asciiTheme="minorHAnsi" w:eastAsia="Times New Roman" w:hAnsiTheme="minorHAnsi"/>
          <w:bCs/>
          <w:color w:val="000000" w:themeColor="text1"/>
        </w:rPr>
      </w:pPr>
    </w:p>
    <w:p w14:paraId="1D7E5180" w14:textId="77777777" w:rsidR="00D16A1B" w:rsidRPr="00BC0D6B" w:rsidRDefault="00D16A1B" w:rsidP="00D16A1B">
      <w:pPr>
        <w:shd w:val="clear" w:color="auto" w:fill="FFFFFF"/>
        <w:ind w:right="-347"/>
        <w:jc w:val="both"/>
        <w:rPr>
          <w:rFonts w:asciiTheme="minorHAnsi" w:eastAsia="Times New Roman" w:hAnsiTheme="minorHAnsi"/>
          <w:bCs/>
          <w:color w:val="000000" w:themeColor="text1"/>
        </w:rPr>
      </w:pPr>
      <w:r w:rsidRPr="00BC0D6B">
        <w:rPr>
          <w:rFonts w:asciiTheme="minorHAnsi" w:eastAsia="Times New Roman" w:hAnsiTheme="minorHAnsi"/>
          <w:bCs/>
          <w:color w:val="000000" w:themeColor="text1"/>
        </w:rPr>
        <w:t xml:space="preserve">Benedict </w:t>
      </w:r>
      <w:proofErr w:type="spellStart"/>
      <w:r w:rsidRPr="00BC0D6B">
        <w:rPr>
          <w:rFonts w:asciiTheme="minorHAnsi" w:eastAsia="Times New Roman" w:hAnsiTheme="minorHAnsi"/>
          <w:bCs/>
          <w:color w:val="000000" w:themeColor="text1"/>
        </w:rPr>
        <w:t>Bartl</w:t>
      </w:r>
      <w:proofErr w:type="spellEnd"/>
    </w:p>
    <w:p w14:paraId="12095E7D" w14:textId="77777777" w:rsidR="00D16A1B" w:rsidRPr="00BC0D6B" w:rsidRDefault="00D16A1B" w:rsidP="00D16A1B">
      <w:pPr>
        <w:shd w:val="clear" w:color="auto" w:fill="FFFFFF"/>
        <w:ind w:right="-347"/>
        <w:jc w:val="both"/>
        <w:rPr>
          <w:rFonts w:asciiTheme="minorHAnsi" w:eastAsia="Times New Roman" w:hAnsiTheme="minorHAnsi"/>
          <w:bCs/>
          <w:color w:val="000000" w:themeColor="text1"/>
        </w:rPr>
      </w:pPr>
      <w:r w:rsidRPr="00BC0D6B">
        <w:rPr>
          <w:rFonts w:asciiTheme="minorHAnsi" w:eastAsia="Times New Roman" w:hAnsiTheme="minorHAnsi"/>
          <w:bCs/>
          <w:color w:val="000000" w:themeColor="text1"/>
        </w:rPr>
        <w:t>Policy Officer</w:t>
      </w:r>
    </w:p>
    <w:p w14:paraId="0C7AA3BA" w14:textId="77777777" w:rsidR="00D16A1B" w:rsidRPr="00BC0D6B" w:rsidRDefault="00D16A1B" w:rsidP="00D16A1B">
      <w:pPr>
        <w:pBdr>
          <w:bottom w:val="single" w:sz="6" w:space="1" w:color="auto"/>
        </w:pBdr>
        <w:shd w:val="clear" w:color="auto" w:fill="FFFFFF"/>
        <w:ind w:right="-347"/>
        <w:jc w:val="both"/>
        <w:rPr>
          <w:rFonts w:asciiTheme="minorHAnsi" w:eastAsia="Times New Roman" w:hAnsiTheme="minorHAnsi"/>
          <w:b/>
          <w:bCs/>
          <w:color w:val="000000" w:themeColor="text1"/>
        </w:rPr>
      </w:pPr>
      <w:r w:rsidRPr="00BC0D6B">
        <w:rPr>
          <w:rFonts w:asciiTheme="minorHAnsi" w:eastAsia="Times New Roman" w:hAnsiTheme="minorHAnsi"/>
          <w:b/>
          <w:bCs/>
          <w:color w:val="000000" w:themeColor="text1"/>
        </w:rPr>
        <w:t>Community Legal Centres Tasmania</w:t>
      </w:r>
    </w:p>
    <w:p w14:paraId="57E7C087" w14:textId="77777777" w:rsidR="00D16A1B" w:rsidRPr="00BC0D6B" w:rsidRDefault="00D16A1B" w:rsidP="00D16A1B">
      <w:pPr>
        <w:jc w:val="both"/>
        <w:rPr>
          <w:rFonts w:asciiTheme="minorHAnsi" w:hAnsiTheme="minorHAnsi"/>
        </w:rPr>
      </w:pPr>
    </w:p>
    <w:p w14:paraId="26F657FA" w14:textId="2D0993B5" w:rsidR="007C12B3" w:rsidRDefault="007C12B3" w:rsidP="007C12B3"/>
    <w:sectPr w:rsidR="007C12B3" w:rsidSect="00D1072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E1CE5" w14:textId="77777777" w:rsidR="00C71253" w:rsidRDefault="00C71253" w:rsidP="00D16A1B">
      <w:r>
        <w:separator/>
      </w:r>
    </w:p>
  </w:endnote>
  <w:endnote w:type="continuationSeparator" w:id="0">
    <w:p w14:paraId="3179D475" w14:textId="77777777" w:rsidR="00C71253" w:rsidRDefault="00C71253" w:rsidP="00D1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16F9" w14:textId="77777777" w:rsidR="00556ED3" w:rsidRDefault="00556ED3" w:rsidP="00D107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D834BC" w14:textId="77777777" w:rsidR="00556ED3" w:rsidRDefault="00556ED3" w:rsidP="00D10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8F665" w14:textId="77777777" w:rsidR="00556ED3" w:rsidRDefault="00556ED3" w:rsidP="00D107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614A">
      <w:rPr>
        <w:rStyle w:val="PageNumber"/>
        <w:noProof/>
      </w:rPr>
      <w:t>1</w:t>
    </w:r>
    <w:r>
      <w:rPr>
        <w:rStyle w:val="PageNumber"/>
      </w:rPr>
      <w:fldChar w:fldCharType="end"/>
    </w:r>
  </w:p>
  <w:p w14:paraId="070166BF" w14:textId="77777777" w:rsidR="00556ED3" w:rsidRDefault="00556ED3" w:rsidP="00D107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6701F" w14:textId="77777777" w:rsidR="00C71253" w:rsidRDefault="00C71253" w:rsidP="00D16A1B">
      <w:r>
        <w:separator/>
      </w:r>
    </w:p>
  </w:footnote>
  <w:footnote w:type="continuationSeparator" w:id="0">
    <w:p w14:paraId="2363DAAC" w14:textId="77777777" w:rsidR="00C71253" w:rsidRDefault="00C71253" w:rsidP="00D16A1B">
      <w:r>
        <w:continuationSeparator/>
      </w:r>
    </w:p>
  </w:footnote>
  <w:footnote w:id="1">
    <w:p w14:paraId="150FDFCE" w14:textId="4478A238" w:rsidR="004E2182" w:rsidRPr="00B30538" w:rsidRDefault="004E2182" w:rsidP="00A276BC">
      <w:pPr>
        <w:pStyle w:val="FootnoteText"/>
        <w:rPr>
          <w:rFonts w:asciiTheme="minorHAnsi" w:hAnsiTheme="minorHAnsi"/>
        </w:rPr>
      </w:pPr>
      <w:r w:rsidRPr="00B30538">
        <w:rPr>
          <w:rStyle w:val="FootnoteReference"/>
          <w:rFonts w:asciiTheme="minorHAnsi" w:hAnsiTheme="minorHAnsi"/>
        </w:rPr>
        <w:footnoteRef/>
      </w:r>
      <w:r w:rsidR="00B30538">
        <w:rPr>
          <w:rFonts w:asciiTheme="minorHAnsi" w:hAnsiTheme="minorHAnsi"/>
        </w:rPr>
        <w:t xml:space="preserve"> </w:t>
      </w:r>
      <w:r w:rsidRPr="00B30538">
        <w:rPr>
          <w:rFonts w:asciiTheme="minorHAnsi" w:hAnsiTheme="minorHAnsi"/>
          <w:sz w:val="20"/>
          <w:szCs w:val="20"/>
        </w:rPr>
        <w:t>CLC Tas would like to acknowledge Katherine Sproule who assisted in the preparation of this response.</w:t>
      </w:r>
      <w:r w:rsidRPr="00B30538">
        <w:rPr>
          <w:rFonts w:asciiTheme="minorHAnsi" w:hAnsiTheme="minorHAnsi"/>
        </w:rPr>
        <w:t xml:space="preserve"> </w:t>
      </w:r>
    </w:p>
  </w:footnote>
  <w:footnote w:id="2">
    <w:p w14:paraId="17F33189" w14:textId="242956F7" w:rsidR="00053FF7" w:rsidRPr="00B30538" w:rsidRDefault="00053FF7" w:rsidP="00A276BC">
      <w:pPr>
        <w:pStyle w:val="FootnoteText"/>
        <w:rPr>
          <w:rFonts w:asciiTheme="minorHAnsi" w:hAnsiTheme="minorHAnsi"/>
        </w:rPr>
      </w:pPr>
      <w:r w:rsidRPr="00B30538">
        <w:rPr>
          <w:rStyle w:val="FootnoteReference"/>
          <w:rFonts w:asciiTheme="minorHAnsi" w:hAnsiTheme="minorHAnsi"/>
        </w:rPr>
        <w:footnoteRef/>
      </w:r>
      <w:r w:rsidRPr="00B30538">
        <w:rPr>
          <w:rFonts w:asciiTheme="minorHAnsi" w:hAnsiTheme="minorHAnsi"/>
        </w:rPr>
        <w:t xml:space="preserve"> </w:t>
      </w:r>
      <w:r w:rsidRPr="00B30538">
        <w:rPr>
          <w:rFonts w:asciiTheme="minorHAnsi" w:hAnsiTheme="minorHAnsi"/>
          <w:sz w:val="20"/>
          <w:szCs w:val="20"/>
        </w:rPr>
        <w:t>See, for example,</w:t>
      </w:r>
      <w:r w:rsidRPr="00B30538">
        <w:rPr>
          <w:rFonts w:asciiTheme="minorHAnsi" w:hAnsiTheme="minorHAnsi" w:cstheme="minorBidi"/>
          <w:color w:val="000000" w:themeColor="text1"/>
          <w:sz w:val="20"/>
          <w:szCs w:val="20"/>
        </w:rPr>
        <w:t xml:space="preserve"> </w:t>
      </w:r>
      <w:r w:rsidRPr="00B30538">
        <w:rPr>
          <w:rFonts w:asciiTheme="minorHAnsi" w:hAnsiTheme="minorHAnsi" w:cstheme="minorBidi"/>
          <w:i/>
          <w:iCs/>
          <w:color w:val="000000" w:themeColor="text1"/>
          <w:sz w:val="20"/>
          <w:szCs w:val="20"/>
        </w:rPr>
        <w:t>Misuse of Drugs Act 2001</w:t>
      </w:r>
      <w:r w:rsidRPr="00B30538">
        <w:rPr>
          <w:rFonts w:asciiTheme="minorHAnsi" w:hAnsiTheme="minorHAnsi" w:cstheme="minorBidi"/>
          <w:color w:val="000000" w:themeColor="text1"/>
          <w:sz w:val="20"/>
          <w:szCs w:val="20"/>
        </w:rPr>
        <w:t xml:space="preserve"> (Tas); </w:t>
      </w:r>
      <w:r w:rsidRPr="00B30538">
        <w:rPr>
          <w:rFonts w:asciiTheme="minorHAnsi" w:hAnsiTheme="minorHAnsi" w:cstheme="minorBidi"/>
          <w:i/>
          <w:iCs/>
          <w:color w:val="000000" w:themeColor="text1"/>
          <w:sz w:val="20"/>
          <w:szCs w:val="20"/>
        </w:rPr>
        <w:t>Poisons Act 1971</w:t>
      </w:r>
      <w:r w:rsidRPr="00B30538">
        <w:rPr>
          <w:rFonts w:asciiTheme="minorHAnsi" w:hAnsiTheme="minorHAnsi" w:cstheme="minorBidi"/>
          <w:color w:val="000000" w:themeColor="text1"/>
          <w:sz w:val="20"/>
          <w:szCs w:val="20"/>
        </w:rPr>
        <w:t xml:space="preserve"> (Tas); </w:t>
      </w:r>
      <w:r w:rsidRPr="00B30538">
        <w:rPr>
          <w:rFonts w:asciiTheme="minorHAnsi" w:hAnsiTheme="minorHAnsi" w:cstheme="minorBidi"/>
          <w:i/>
          <w:iCs/>
          <w:color w:val="000000" w:themeColor="text1"/>
          <w:sz w:val="20"/>
          <w:szCs w:val="20"/>
        </w:rPr>
        <w:t>Search Warrants Act 1997</w:t>
      </w:r>
      <w:r w:rsidRPr="00B30538">
        <w:rPr>
          <w:rFonts w:asciiTheme="minorHAnsi" w:hAnsiTheme="minorHAnsi" w:cstheme="minorBidi"/>
          <w:color w:val="000000" w:themeColor="text1"/>
          <w:sz w:val="20"/>
          <w:szCs w:val="20"/>
        </w:rPr>
        <w:t xml:space="preserve"> (Tas) and; </w:t>
      </w:r>
      <w:r w:rsidRPr="00B30538">
        <w:rPr>
          <w:rFonts w:asciiTheme="minorHAnsi" w:hAnsiTheme="minorHAnsi" w:cstheme="minorBidi"/>
          <w:i/>
          <w:iCs/>
          <w:color w:val="000000" w:themeColor="text1"/>
          <w:sz w:val="20"/>
          <w:szCs w:val="20"/>
        </w:rPr>
        <w:t xml:space="preserve">Public Powers (Public Safety) Act 2005 </w:t>
      </w:r>
      <w:r w:rsidRPr="00B30538">
        <w:rPr>
          <w:rFonts w:asciiTheme="minorHAnsi" w:hAnsiTheme="minorHAnsi" w:cstheme="minorBidi"/>
          <w:color w:val="000000" w:themeColor="text1"/>
          <w:sz w:val="20"/>
          <w:szCs w:val="20"/>
        </w:rPr>
        <w:t>(Tas).</w:t>
      </w:r>
      <w:r w:rsidRPr="00B30538">
        <w:rPr>
          <w:rFonts w:asciiTheme="minorHAnsi" w:hAnsiTheme="minorHAnsi" w:cstheme="minorBidi"/>
          <w:color w:val="000000" w:themeColor="text1"/>
        </w:rPr>
        <w:t xml:space="preserve"> </w:t>
      </w:r>
    </w:p>
  </w:footnote>
  <w:footnote w:id="3">
    <w:p w14:paraId="27769376" w14:textId="3085E8E3" w:rsidR="0016262F" w:rsidRPr="00B30538" w:rsidRDefault="0016262F" w:rsidP="00B30538">
      <w:pPr>
        <w:pStyle w:val="FootnoteText"/>
        <w:rPr>
          <w:rFonts w:asciiTheme="minorHAnsi" w:hAnsiTheme="minorHAnsi"/>
        </w:rPr>
      </w:pPr>
      <w:r w:rsidRPr="00B30538">
        <w:rPr>
          <w:rStyle w:val="FootnoteReference"/>
          <w:rFonts w:asciiTheme="minorHAnsi" w:hAnsiTheme="minorHAnsi"/>
        </w:rPr>
        <w:footnoteRef/>
      </w:r>
      <w:r w:rsidRPr="00B30538">
        <w:rPr>
          <w:rFonts w:asciiTheme="minorHAnsi" w:hAnsiTheme="minorHAnsi"/>
        </w:rPr>
        <w:t xml:space="preserve"> </w:t>
      </w:r>
      <w:r w:rsidRPr="00B30538">
        <w:rPr>
          <w:rFonts w:asciiTheme="minorHAnsi" w:hAnsiTheme="minorHAnsi" w:cstheme="minorBidi"/>
          <w:color w:val="000000" w:themeColor="text1"/>
          <w:sz w:val="20"/>
          <w:szCs w:val="20"/>
        </w:rPr>
        <w:t xml:space="preserve">Commissioner for Children and Young People, </w:t>
      </w:r>
      <w:r w:rsidRPr="00B30538">
        <w:rPr>
          <w:rFonts w:asciiTheme="minorHAnsi" w:hAnsiTheme="minorHAnsi" w:cstheme="minorBidi"/>
          <w:i/>
          <w:iCs/>
          <w:color w:val="000000" w:themeColor="text1"/>
          <w:sz w:val="20"/>
          <w:szCs w:val="20"/>
        </w:rPr>
        <w:t>Searches of children and young people in correctional facilities in Tasmania - Memorandum of Advice</w:t>
      </w:r>
      <w:r w:rsidRPr="00B30538">
        <w:rPr>
          <w:rFonts w:asciiTheme="minorHAnsi" w:hAnsiTheme="minorHAnsi" w:cstheme="minorBidi"/>
          <w:color w:val="000000" w:themeColor="text1"/>
          <w:sz w:val="20"/>
          <w:szCs w:val="20"/>
        </w:rPr>
        <w:t xml:space="preserve"> (7 May 2019)</w:t>
      </w:r>
      <w:r w:rsidR="00143744" w:rsidRPr="00B30538">
        <w:rPr>
          <w:rFonts w:asciiTheme="minorHAnsi" w:hAnsiTheme="minorHAnsi" w:cstheme="minorBidi"/>
          <w:color w:val="000000" w:themeColor="text1"/>
          <w:sz w:val="20"/>
          <w:szCs w:val="20"/>
        </w:rPr>
        <w:t xml:space="preserve"> at 17</w:t>
      </w:r>
      <w:r w:rsidRPr="00B30538">
        <w:rPr>
          <w:rFonts w:asciiTheme="minorHAnsi" w:hAnsiTheme="minorHAnsi" w:cstheme="minorBidi"/>
          <w:color w:val="000000" w:themeColor="text1"/>
          <w:sz w:val="20"/>
          <w:szCs w:val="20"/>
        </w:rPr>
        <w:t xml:space="preserve">. As found at </w:t>
      </w:r>
      <w:hyperlink r:id="rId1" w:history="1">
        <w:r w:rsidRPr="00B30538">
          <w:rPr>
            <w:rStyle w:val="Hyperlink"/>
            <w:rFonts w:asciiTheme="minorHAnsi" w:hAnsiTheme="minorHAnsi" w:cstheme="minorBidi"/>
            <w:sz w:val="20"/>
            <w:szCs w:val="20"/>
          </w:rPr>
          <w:t>https://www.childcomm.tas.gov.au/wp-content/uploads/2019-05-06-FINAL-Advice-to-Ministers-Searches-of-children-and-young-people-in-custody-in-custodial-facilities.pdf</w:t>
        </w:r>
      </w:hyperlink>
      <w:r w:rsidRPr="00B30538">
        <w:rPr>
          <w:rFonts w:asciiTheme="minorHAnsi" w:hAnsiTheme="minorHAnsi" w:cstheme="minorBidi"/>
          <w:color w:val="000000" w:themeColor="text1"/>
          <w:sz w:val="20"/>
          <w:szCs w:val="20"/>
        </w:rPr>
        <w:t xml:space="preserve"> (Accessed 27 October 2020).</w:t>
      </w:r>
      <w:r w:rsidRPr="00B30538">
        <w:rPr>
          <w:rFonts w:asciiTheme="minorHAnsi" w:hAnsiTheme="minorHAnsi" w:cstheme="minorBidi"/>
          <w:color w:val="000000" w:themeColor="text1"/>
        </w:rPr>
        <w:t xml:space="preserve"> </w:t>
      </w:r>
    </w:p>
  </w:footnote>
  <w:footnote w:id="4">
    <w:p w14:paraId="58E4B892" w14:textId="7ADC3EED" w:rsidR="00C53850" w:rsidRPr="00B30538" w:rsidRDefault="00C53850" w:rsidP="00B30538">
      <w:pPr>
        <w:pStyle w:val="FootnoteText"/>
        <w:rPr>
          <w:rFonts w:asciiTheme="minorHAnsi" w:hAnsiTheme="minorHAnsi"/>
        </w:rPr>
      </w:pPr>
      <w:r w:rsidRPr="00B30538">
        <w:rPr>
          <w:rStyle w:val="FootnoteReference"/>
          <w:rFonts w:asciiTheme="minorHAnsi" w:hAnsiTheme="minorHAnsi"/>
        </w:rPr>
        <w:footnoteRef/>
      </w:r>
      <w:r w:rsidRPr="00B30538">
        <w:rPr>
          <w:rFonts w:asciiTheme="minorHAnsi" w:hAnsiTheme="minorHAnsi"/>
        </w:rPr>
        <w:t xml:space="preserve"> </w:t>
      </w:r>
      <w:r w:rsidR="005D06E1" w:rsidRPr="00B30538">
        <w:rPr>
          <w:rFonts w:asciiTheme="minorHAnsi" w:hAnsiTheme="minorHAnsi"/>
          <w:sz w:val="20"/>
          <w:szCs w:val="20"/>
        </w:rPr>
        <w:t>Department of Communities Tasmania, Right to Information Decision – Public Disclosure Log Right to Information No.: RTI201718-020-CT (21 February 2019)</w:t>
      </w:r>
      <w:r w:rsidR="00AF14C2" w:rsidRPr="00B30538">
        <w:rPr>
          <w:rFonts w:asciiTheme="minorHAnsi" w:hAnsiTheme="minorHAnsi"/>
          <w:sz w:val="20"/>
          <w:szCs w:val="20"/>
        </w:rPr>
        <w:t xml:space="preserve"> at 15</w:t>
      </w:r>
      <w:r w:rsidR="005D06E1" w:rsidRPr="00B30538">
        <w:rPr>
          <w:rFonts w:asciiTheme="minorHAnsi" w:hAnsiTheme="minorHAnsi"/>
          <w:sz w:val="20"/>
          <w:szCs w:val="20"/>
        </w:rPr>
        <w:t xml:space="preserve">. As found at  </w:t>
      </w:r>
      <w:hyperlink r:id="rId2" w:history="1">
        <w:r w:rsidR="005D06E1" w:rsidRPr="00B30538">
          <w:rPr>
            <w:rStyle w:val="Hyperlink"/>
            <w:rFonts w:asciiTheme="minorHAnsi" w:hAnsiTheme="minorHAnsi"/>
            <w:sz w:val="20"/>
            <w:szCs w:val="20"/>
          </w:rPr>
          <w:t>https://www.dhhs.tas.gov.au/__data/assets/pdf_file/0008/366299/RTI201819-020-CT.pdf</w:t>
        </w:r>
      </w:hyperlink>
      <w:r w:rsidR="005D06E1" w:rsidRPr="00B30538">
        <w:rPr>
          <w:rFonts w:asciiTheme="minorHAnsi" w:hAnsiTheme="minorHAnsi"/>
          <w:sz w:val="20"/>
          <w:szCs w:val="20"/>
        </w:rPr>
        <w:t xml:space="preserve"> </w:t>
      </w:r>
      <w:r w:rsidR="005D06E1" w:rsidRPr="00B30538">
        <w:rPr>
          <w:rFonts w:asciiTheme="minorHAnsi" w:hAnsiTheme="minorHAnsi" w:cstheme="minorBidi"/>
          <w:color w:val="000000" w:themeColor="text1"/>
          <w:sz w:val="20"/>
          <w:szCs w:val="20"/>
        </w:rPr>
        <w:t>(Accessed 27 October 2020)</w:t>
      </w:r>
      <w:r w:rsidRPr="00B30538">
        <w:rPr>
          <w:rFonts w:asciiTheme="minorHAnsi" w:hAnsiTheme="minorHAnsi"/>
          <w:sz w:val="20"/>
          <w:szCs w:val="20"/>
          <w:lang w:val="en-US"/>
        </w:rPr>
        <w:t>.</w:t>
      </w:r>
    </w:p>
  </w:footnote>
  <w:footnote w:id="5">
    <w:p w14:paraId="50530FE5" w14:textId="4F9904EB" w:rsidR="00AF14C2" w:rsidRPr="00B30538" w:rsidRDefault="00AF14C2" w:rsidP="00B30538">
      <w:pPr>
        <w:pStyle w:val="FootnoteText"/>
        <w:rPr>
          <w:rFonts w:asciiTheme="minorHAnsi" w:hAnsiTheme="minorHAnsi"/>
        </w:rPr>
      </w:pPr>
      <w:r w:rsidRPr="00B30538">
        <w:rPr>
          <w:rStyle w:val="FootnoteReference"/>
          <w:rFonts w:asciiTheme="minorHAnsi" w:hAnsiTheme="minorHAnsi"/>
        </w:rPr>
        <w:footnoteRef/>
      </w:r>
      <w:r w:rsidRPr="00B30538">
        <w:rPr>
          <w:rFonts w:asciiTheme="minorHAnsi" w:hAnsiTheme="minorHAnsi"/>
        </w:rPr>
        <w:t xml:space="preserve"> </w:t>
      </w:r>
      <w:r w:rsidRPr="00B30538">
        <w:rPr>
          <w:rFonts w:asciiTheme="minorHAnsi" w:hAnsiTheme="minorHAnsi" w:cstheme="minorBidi"/>
          <w:color w:val="000000" w:themeColor="text1"/>
          <w:sz w:val="20"/>
          <w:szCs w:val="20"/>
        </w:rPr>
        <w:t xml:space="preserve">Commissioner for Children and Young People, </w:t>
      </w:r>
      <w:r w:rsidRPr="00B30538">
        <w:rPr>
          <w:rFonts w:asciiTheme="minorHAnsi" w:hAnsiTheme="minorHAnsi" w:cstheme="minorBidi"/>
          <w:i/>
          <w:iCs/>
          <w:color w:val="000000" w:themeColor="text1"/>
          <w:sz w:val="20"/>
          <w:szCs w:val="20"/>
        </w:rPr>
        <w:t>Searches of children and young people in correctional facilities in Tasmania - Memorandum of Advice</w:t>
      </w:r>
      <w:r w:rsidRPr="00B30538">
        <w:rPr>
          <w:rFonts w:asciiTheme="minorHAnsi" w:hAnsiTheme="minorHAnsi" w:cstheme="minorBidi"/>
          <w:color w:val="000000" w:themeColor="text1"/>
          <w:sz w:val="20"/>
          <w:szCs w:val="20"/>
        </w:rPr>
        <w:t xml:space="preserve"> (7 May 2019) at 15.</w:t>
      </w:r>
      <w:r w:rsidRPr="00B30538">
        <w:rPr>
          <w:rFonts w:asciiTheme="minorHAnsi" w:hAnsiTheme="minorHAnsi" w:cstheme="minorBidi"/>
          <w:color w:val="000000" w:themeColor="text1"/>
        </w:rPr>
        <w:t xml:space="preserve"> </w:t>
      </w:r>
    </w:p>
  </w:footnote>
  <w:footnote w:id="6">
    <w:p w14:paraId="1D959C29" w14:textId="77777777" w:rsidR="00AF14C2" w:rsidRPr="00B30538" w:rsidRDefault="00AF14C2" w:rsidP="00B30538">
      <w:pPr>
        <w:pStyle w:val="FootnoteText"/>
        <w:rPr>
          <w:rFonts w:asciiTheme="minorHAnsi" w:hAnsiTheme="minorHAnsi"/>
          <w:sz w:val="20"/>
          <w:szCs w:val="20"/>
        </w:rPr>
      </w:pPr>
      <w:r w:rsidRPr="00B30538">
        <w:rPr>
          <w:rStyle w:val="FootnoteReference"/>
          <w:rFonts w:asciiTheme="minorHAnsi" w:hAnsiTheme="minorHAnsi"/>
        </w:rPr>
        <w:footnoteRef/>
      </w:r>
      <w:r w:rsidRPr="00B30538">
        <w:rPr>
          <w:rFonts w:asciiTheme="minorHAnsi" w:hAnsiTheme="minorHAnsi"/>
        </w:rPr>
        <w:t xml:space="preserve"> </w:t>
      </w:r>
      <w:r w:rsidRPr="00B30538">
        <w:rPr>
          <w:rFonts w:asciiTheme="minorHAnsi" w:hAnsiTheme="minorHAnsi"/>
          <w:sz w:val="20"/>
          <w:szCs w:val="20"/>
        </w:rPr>
        <w:t xml:space="preserve">Australian Bureau of Statistics, </w:t>
      </w:r>
      <w:r w:rsidRPr="00B30538">
        <w:rPr>
          <w:rFonts w:asciiTheme="minorHAnsi" w:hAnsiTheme="minorHAnsi"/>
          <w:i/>
          <w:iCs/>
          <w:sz w:val="20"/>
          <w:szCs w:val="20"/>
        </w:rPr>
        <w:t>2071.0 Aboriginal and Torres Strait Islander Population – Tasmania</w:t>
      </w:r>
      <w:r w:rsidRPr="00B30538">
        <w:rPr>
          <w:rFonts w:asciiTheme="minorHAnsi" w:hAnsiTheme="minorHAnsi"/>
          <w:sz w:val="20"/>
          <w:szCs w:val="20"/>
        </w:rPr>
        <w:t xml:space="preserve">. As found at </w:t>
      </w:r>
      <w:hyperlink r:id="rId3" w:history="1">
        <w:r w:rsidRPr="00B30538">
          <w:rPr>
            <w:rStyle w:val="Hyperlink"/>
            <w:rFonts w:asciiTheme="minorHAnsi" w:hAnsiTheme="minorHAnsi"/>
            <w:sz w:val="20"/>
            <w:szCs w:val="20"/>
          </w:rPr>
          <w:t>https://www.abs.gov.au/ausstats/abs@.nsf/Lookup/by%20Subject/2071.0~2016~Main%20Features~Aboriginal%20and%20Torres%20Strait%20Islander%20Population%20-%20Tasmania~10006</w:t>
        </w:r>
      </w:hyperlink>
      <w:r w:rsidRPr="00B30538">
        <w:rPr>
          <w:rFonts w:asciiTheme="minorHAnsi" w:hAnsiTheme="minorHAnsi"/>
          <w:sz w:val="20"/>
          <w:szCs w:val="20"/>
        </w:rPr>
        <w:t xml:space="preserve"> (Accessed 27 October 2020). </w:t>
      </w:r>
    </w:p>
  </w:footnote>
  <w:footnote w:id="7">
    <w:p w14:paraId="484D1215" w14:textId="73A76D44" w:rsidR="00A22899" w:rsidRPr="00B30538" w:rsidRDefault="00A22899" w:rsidP="00B30538">
      <w:pPr>
        <w:pStyle w:val="FootnoteText"/>
        <w:rPr>
          <w:rFonts w:asciiTheme="minorHAnsi" w:hAnsiTheme="minorHAnsi"/>
        </w:rPr>
      </w:pPr>
      <w:r w:rsidRPr="00B30538">
        <w:rPr>
          <w:rStyle w:val="FootnoteReference"/>
          <w:rFonts w:asciiTheme="minorHAnsi" w:hAnsiTheme="minorHAnsi"/>
        </w:rPr>
        <w:footnoteRef/>
      </w:r>
      <w:r w:rsidRPr="00B30538">
        <w:rPr>
          <w:rFonts w:asciiTheme="minorHAnsi" w:hAnsiTheme="minorHAnsi"/>
        </w:rPr>
        <w:t xml:space="preserve"> </w:t>
      </w:r>
      <w:r w:rsidRPr="00B30538">
        <w:rPr>
          <w:rFonts w:asciiTheme="minorHAnsi" w:hAnsiTheme="minorHAnsi" w:cstheme="minorBidi"/>
          <w:color w:val="000000" w:themeColor="text1"/>
          <w:sz w:val="20"/>
          <w:szCs w:val="20"/>
        </w:rPr>
        <w:t xml:space="preserve">Commissioner for Children and Young People, </w:t>
      </w:r>
      <w:r w:rsidRPr="00B30538">
        <w:rPr>
          <w:rFonts w:asciiTheme="minorHAnsi" w:hAnsiTheme="minorHAnsi" w:cstheme="minorBidi"/>
          <w:i/>
          <w:iCs/>
          <w:color w:val="000000" w:themeColor="text1"/>
          <w:sz w:val="20"/>
          <w:szCs w:val="20"/>
        </w:rPr>
        <w:t>Searches of children and young people in correctional facilities in Tasmania - Memorandum of Advice</w:t>
      </w:r>
      <w:r w:rsidRPr="00B30538">
        <w:rPr>
          <w:rFonts w:asciiTheme="minorHAnsi" w:hAnsiTheme="minorHAnsi" w:cstheme="minorBidi"/>
          <w:color w:val="000000" w:themeColor="text1"/>
          <w:sz w:val="20"/>
          <w:szCs w:val="20"/>
        </w:rPr>
        <w:t xml:space="preserve"> (7 May 2019) at 18.</w:t>
      </w:r>
    </w:p>
  </w:footnote>
  <w:footnote w:id="8">
    <w:p w14:paraId="7660D6F3" w14:textId="60D22281" w:rsidR="00AF14C2" w:rsidRPr="00B30538" w:rsidRDefault="00AF14C2" w:rsidP="00B30538">
      <w:pPr>
        <w:pStyle w:val="NoSpacing"/>
        <w:rPr>
          <w:rFonts w:asciiTheme="minorHAnsi" w:eastAsia="Times New Roman" w:hAnsiTheme="minorHAnsi"/>
          <w:lang w:eastAsia="en-GB"/>
        </w:rPr>
      </w:pPr>
      <w:r w:rsidRPr="00B30538">
        <w:rPr>
          <w:rStyle w:val="FootnoteReference"/>
          <w:rFonts w:asciiTheme="minorHAnsi" w:hAnsiTheme="minorHAnsi"/>
        </w:rPr>
        <w:footnoteRef/>
      </w:r>
      <w:r w:rsidRPr="00B30538">
        <w:rPr>
          <w:rFonts w:asciiTheme="minorHAnsi" w:hAnsiTheme="minorHAnsi"/>
        </w:rPr>
        <w:t xml:space="preserve"> </w:t>
      </w:r>
      <w:r w:rsidRPr="00B30538">
        <w:rPr>
          <w:rFonts w:asciiTheme="minorHAnsi" w:hAnsiTheme="minorHAnsi"/>
          <w:sz w:val="20"/>
          <w:szCs w:val="20"/>
        </w:rPr>
        <w:t xml:space="preserve">Australian Children’s Commissioners and Guardians, </w:t>
      </w:r>
      <w:r w:rsidRPr="00B30538">
        <w:rPr>
          <w:rFonts w:asciiTheme="minorHAnsi" w:hAnsiTheme="minorHAnsi"/>
          <w:i/>
          <w:iCs/>
          <w:sz w:val="20"/>
          <w:szCs w:val="20"/>
        </w:rPr>
        <w:t>Statement on Conditions and Treatment in Youth Justice Detention</w:t>
      </w:r>
      <w:r w:rsidRPr="00B30538">
        <w:rPr>
          <w:rFonts w:asciiTheme="minorHAnsi" w:hAnsiTheme="minorHAnsi"/>
          <w:sz w:val="20"/>
          <w:szCs w:val="20"/>
        </w:rPr>
        <w:t xml:space="preserve">, November 2017 at 18. As found at  </w:t>
      </w:r>
      <w:hyperlink r:id="rId4" w:history="1">
        <w:r w:rsidRPr="00B30538">
          <w:rPr>
            <w:rStyle w:val="Hyperlink"/>
            <w:rFonts w:asciiTheme="minorHAnsi" w:hAnsiTheme="minorHAnsi"/>
            <w:sz w:val="20"/>
            <w:szCs w:val="20"/>
          </w:rPr>
          <w:t>https://www.humanrights.gov.au/sites/default/files/document/publication/ACCG_YouthJusticePositionStatement_24Nov2017.pdf</w:t>
        </w:r>
      </w:hyperlink>
      <w:r w:rsidRPr="00B30538">
        <w:rPr>
          <w:rFonts w:asciiTheme="minorHAnsi" w:hAnsiTheme="minorHAnsi"/>
          <w:sz w:val="20"/>
          <w:szCs w:val="20"/>
        </w:rPr>
        <w:t xml:space="preserve"> (Accessed 27 October 2020).</w:t>
      </w:r>
      <w:r w:rsidRPr="00B30538">
        <w:rPr>
          <w:rFonts w:asciiTheme="minorHAnsi" w:hAnsiTheme="minorHAnsi"/>
        </w:rPr>
        <w:t xml:space="preserve"> </w:t>
      </w:r>
    </w:p>
  </w:footnote>
  <w:footnote w:id="9">
    <w:p w14:paraId="674B395F" w14:textId="0D00B4DE" w:rsidR="00C9201F" w:rsidRPr="00B30538" w:rsidRDefault="00C9201F" w:rsidP="00B30538">
      <w:pPr>
        <w:pStyle w:val="FootnoteText"/>
        <w:rPr>
          <w:rFonts w:asciiTheme="minorHAnsi" w:hAnsiTheme="minorHAnsi"/>
        </w:rPr>
      </w:pPr>
      <w:r w:rsidRPr="00B30538">
        <w:rPr>
          <w:rStyle w:val="FootnoteReference"/>
          <w:rFonts w:asciiTheme="minorHAnsi" w:hAnsiTheme="minorHAnsi"/>
        </w:rPr>
        <w:footnoteRef/>
      </w:r>
      <w:r w:rsidRPr="00B30538">
        <w:rPr>
          <w:rFonts w:asciiTheme="minorHAnsi" w:hAnsiTheme="minorHAnsi"/>
        </w:rPr>
        <w:t xml:space="preserve"> </w:t>
      </w:r>
      <w:r w:rsidRPr="00B30538">
        <w:rPr>
          <w:rFonts w:asciiTheme="minorHAnsi" w:hAnsiTheme="minorHAnsi"/>
          <w:sz w:val="20"/>
          <w:szCs w:val="20"/>
        </w:rPr>
        <w:t xml:space="preserve">Section 34A(a) of the </w:t>
      </w:r>
      <w:r w:rsidRPr="00B30538">
        <w:rPr>
          <w:rFonts w:asciiTheme="minorHAnsi" w:hAnsiTheme="minorHAnsi"/>
          <w:i/>
          <w:iCs/>
          <w:sz w:val="20"/>
          <w:szCs w:val="20"/>
        </w:rPr>
        <w:t>Corrections Act 1997</w:t>
      </w:r>
      <w:r w:rsidRPr="00B30538">
        <w:rPr>
          <w:rFonts w:asciiTheme="minorHAnsi" w:hAnsiTheme="minorHAnsi"/>
          <w:sz w:val="20"/>
          <w:szCs w:val="20"/>
        </w:rPr>
        <w:t xml:space="preserve"> (Tas).</w:t>
      </w:r>
      <w:r w:rsidRPr="00B30538">
        <w:rPr>
          <w:rFonts w:asciiTheme="minorHAnsi" w:hAnsiTheme="minorHAnsi"/>
        </w:rPr>
        <w:t xml:space="preserve">  </w:t>
      </w:r>
    </w:p>
  </w:footnote>
  <w:footnote w:id="10">
    <w:p w14:paraId="44C1AB3E" w14:textId="77777777" w:rsidR="00445D5A" w:rsidRPr="00B30538" w:rsidRDefault="00445D5A" w:rsidP="00B30538">
      <w:pPr>
        <w:pStyle w:val="FootnoteText"/>
        <w:rPr>
          <w:rFonts w:asciiTheme="minorHAnsi" w:hAnsiTheme="minorHAnsi"/>
        </w:rPr>
      </w:pPr>
      <w:r w:rsidRPr="00B30538">
        <w:rPr>
          <w:rStyle w:val="FootnoteReference"/>
          <w:rFonts w:asciiTheme="minorHAnsi" w:hAnsiTheme="minorHAnsi"/>
        </w:rPr>
        <w:footnoteRef/>
      </w:r>
      <w:r w:rsidRPr="00B30538">
        <w:rPr>
          <w:rFonts w:asciiTheme="minorHAnsi" w:hAnsiTheme="minorHAnsi"/>
        </w:rPr>
        <w:t xml:space="preserve"> </w:t>
      </w:r>
      <w:r w:rsidRPr="00B30538">
        <w:rPr>
          <w:rFonts w:asciiTheme="minorHAnsi" w:hAnsiTheme="minorHAnsi"/>
          <w:sz w:val="20"/>
          <w:szCs w:val="20"/>
        </w:rPr>
        <w:t xml:space="preserve">Section 10A of the </w:t>
      </w:r>
      <w:r w:rsidRPr="00B30538">
        <w:rPr>
          <w:rFonts w:asciiTheme="minorHAnsi" w:hAnsiTheme="minorHAnsi"/>
          <w:i/>
          <w:iCs/>
          <w:sz w:val="20"/>
          <w:szCs w:val="20"/>
        </w:rPr>
        <w:t xml:space="preserve">Acts Interpretation Act 1931 </w:t>
      </w:r>
      <w:r w:rsidRPr="00B30538">
        <w:rPr>
          <w:rFonts w:asciiTheme="minorHAnsi" w:hAnsiTheme="minorHAnsi"/>
          <w:sz w:val="20"/>
          <w:szCs w:val="20"/>
        </w:rPr>
        <w:t>(Tas) provides that the words ‘is to’ and ‘are to’ “are to be construed as being directory” whereas ‘may’ “is to be construed as being discretionary or enabling”.</w:t>
      </w:r>
      <w:r w:rsidRPr="00B30538">
        <w:rPr>
          <w:rFonts w:asciiTheme="minorHAnsi" w:hAnsiTheme="minorHAnsi"/>
        </w:rPr>
        <w:t xml:space="preserve">  </w:t>
      </w:r>
    </w:p>
  </w:footnote>
  <w:footnote w:id="11">
    <w:p w14:paraId="48561C6C" w14:textId="7A1259BD" w:rsidR="002428EE" w:rsidRDefault="002428EE">
      <w:pPr>
        <w:pStyle w:val="FootnoteText"/>
      </w:pPr>
      <w:r w:rsidRPr="00B30538">
        <w:rPr>
          <w:rStyle w:val="FootnoteReference"/>
          <w:rFonts w:asciiTheme="minorHAnsi" w:hAnsiTheme="minorHAnsi"/>
        </w:rPr>
        <w:footnoteRef/>
      </w:r>
      <w:r w:rsidRPr="00B30538">
        <w:rPr>
          <w:rFonts w:asciiTheme="minorHAnsi" w:hAnsiTheme="minorHAnsi"/>
        </w:rPr>
        <w:t xml:space="preserve"> </w:t>
      </w:r>
      <w:r w:rsidRPr="00B30538">
        <w:rPr>
          <w:rFonts w:asciiTheme="minorHAnsi" w:hAnsiTheme="minorHAnsi"/>
          <w:sz w:val="20"/>
          <w:szCs w:val="20"/>
        </w:rPr>
        <w:t xml:space="preserve">Department of Justice, Prison Service, Director’s Standing Orders. As found at  </w:t>
      </w:r>
      <w:hyperlink r:id="rId5" w:history="1">
        <w:r w:rsidRPr="00B30538">
          <w:rPr>
            <w:rStyle w:val="Hyperlink"/>
            <w:rFonts w:asciiTheme="minorHAnsi" w:hAnsiTheme="minorHAnsi"/>
            <w:sz w:val="20"/>
            <w:szCs w:val="20"/>
          </w:rPr>
          <w:t>https://www.justice.tas.gov.au/prisonservice/Policies_and_Procedures</w:t>
        </w:r>
      </w:hyperlink>
      <w:r w:rsidRPr="00B30538">
        <w:rPr>
          <w:rFonts w:asciiTheme="minorHAnsi" w:hAnsiTheme="minorHAnsi"/>
          <w:sz w:val="20"/>
          <w:szCs w:val="20"/>
        </w:rPr>
        <w:t xml:space="preserve"> (Accessed 27 October 2020).</w:t>
      </w:r>
      <w:r w:rsidRPr="00B30538">
        <w:rPr>
          <w:rFonts w:asciiTheme="minorHAnsi" w:hAnsi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A3CBB"/>
    <w:multiLevelType w:val="hybridMultilevel"/>
    <w:tmpl w:val="B1688E10"/>
    <w:lvl w:ilvl="0" w:tplc="84CAD988">
      <w:start w:val="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83DA4"/>
    <w:multiLevelType w:val="hybridMultilevel"/>
    <w:tmpl w:val="29A876CC"/>
    <w:lvl w:ilvl="0" w:tplc="A1E6A66C">
      <w:start w:val="27"/>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724C7"/>
    <w:multiLevelType w:val="hybridMultilevel"/>
    <w:tmpl w:val="AA6A3C46"/>
    <w:lvl w:ilvl="0" w:tplc="2FBEE4F2">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504B7"/>
    <w:multiLevelType w:val="hybridMultilevel"/>
    <w:tmpl w:val="4922F0F2"/>
    <w:lvl w:ilvl="0" w:tplc="545CBAFE">
      <w:start w:val="2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14C13"/>
    <w:multiLevelType w:val="multilevel"/>
    <w:tmpl w:val="69A8E3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1B"/>
    <w:rsid w:val="00053FF7"/>
    <w:rsid w:val="00057B14"/>
    <w:rsid w:val="000750A0"/>
    <w:rsid w:val="00143744"/>
    <w:rsid w:val="0015145D"/>
    <w:rsid w:val="00156F45"/>
    <w:rsid w:val="0016262F"/>
    <w:rsid w:val="001C2F32"/>
    <w:rsid w:val="001C3CEE"/>
    <w:rsid w:val="001D13CA"/>
    <w:rsid w:val="001E6116"/>
    <w:rsid w:val="001E6AEA"/>
    <w:rsid w:val="001E75FB"/>
    <w:rsid w:val="00230923"/>
    <w:rsid w:val="0023614A"/>
    <w:rsid w:val="002428EE"/>
    <w:rsid w:val="00247BCB"/>
    <w:rsid w:val="002D4102"/>
    <w:rsid w:val="002D6FB5"/>
    <w:rsid w:val="002F4347"/>
    <w:rsid w:val="003573D5"/>
    <w:rsid w:val="00357AF5"/>
    <w:rsid w:val="00392076"/>
    <w:rsid w:val="00402AB3"/>
    <w:rsid w:val="00445D5A"/>
    <w:rsid w:val="004771B0"/>
    <w:rsid w:val="004E2182"/>
    <w:rsid w:val="004E3950"/>
    <w:rsid w:val="004F0C45"/>
    <w:rsid w:val="00525CB5"/>
    <w:rsid w:val="00556ED3"/>
    <w:rsid w:val="0058275D"/>
    <w:rsid w:val="0058576F"/>
    <w:rsid w:val="005D06E1"/>
    <w:rsid w:val="005D37F5"/>
    <w:rsid w:val="006251B3"/>
    <w:rsid w:val="00725EF2"/>
    <w:rsid w:val="00753B5E"/>
    <w:rsid w:val="007C12B3"/>
    <w:rsid w:val="009303C8"/>
    <w:rsid w:val="009C1B71"/>
    <w:rsid w:val="00A22899"/>
    <w:rsid w:val="00A276BC"/>
    <w:rsid w:val="00A96C4D"/>
    <w:rsid w:val="00AF14C2"/>
    <w:rsid w:val="00B30538"/>
    <w:rsid w:val="00B8015A"/>
    <w:rsid w:val="00B8725C"/>
    <w:rsid w:val="00C10FE1"/>
    <w:rsid w:val="00C171BB"/>
    <w:rsid w:val="00C53850"/>
    <w:rsid w:val="00C71253"/>
    <w:rsid w:val="00C7540C"/>
    <w:rsid w:val="00C9201F"/>
    <w:rsid w:val="00D10729"/>
    <w:rsid w:val="00D16A1B"/>
    <w:rsid w:val="00D243DA"/>
    <w:rsid w:val="00D41D40"/>
    <w:rsid w:val="00D47938"/>
    <w:rsid w:val="00D819B1"/>
    <w:rsid w:val="00DB6DD5"/>
    <w:rsid w:val="00DF7EF6"/>
    <w:rsid w:val="00E41E78"/>
    <w:rsid w:val="00E963D3"/>
    <w:rsid w:val="00F27DFE"/>
    <w:rsid w:val="00FD26A7"/>
    <w:rsid w:val="00FF7D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85142"/>
  <w14:defaultImageDpi w14:val="300"/>
  <w15:docId w15:val="{96FC3D07-AE18-2147-AA14-0ECCF462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A1B"/>
    <w:rPr>
      <w:rFonts w:ascii="Times New Roman" w:eastAsiaTheme="minorHAnsi"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99"/>
    <w:unhideWhenUsed/>
    <w:rsid w:val="00D16A1B"/>
  </w:style>
  <w:style w:type="character" w:customStyle="1" w:styleId="FootnoteTextChar">
    <w:name w:val="Footnote Text Char"/>
    <w:aliases w:val="Footnote Char,Text Char"/>
    <w:basedOn w:val="DefaultParagraphFont"/>
    <w:link w:val="FootnoteText"/>
    <w:uiPriority w:val="99"/>
    <w:rsid w:val="00D16A1B"/>
    <w:rPr>
      <w:rFonts w:ascii="Times New Roman" w:eastAsiaTheme="minorHAnsi" w:hAnsi="Times New Roman" w:cs="Times New Roman"/>
      <w:lang w:eastAsia="en-AU"/>
    </w:rPr>
  </w:style>
  <w:style w:type="character" w:styleId="FootnoteReference">
    <w:name w:val="footnote reference"/>
    <w:basedOn w:val="DefaultParagraphFont"/>
    <w:uiPriority w:val="99"/>
    <w:unhideWhenUsed/>
    <w:rsid w:val="00D16A1B"/>
    <w:rPr>
      <w:vertAlign w:val="superscript"/>
    </w:rPr>
  </w:style>
  <w:style w:type="paragraph" w:styleId="Footer">
    <w:name w:val="footer"/>
    <w:basedOn w:val="Normal"/>
    <w:link w:val="FooterChar"/>
    <w:uiPriority w:val="99"/>
    <w:unhideWhenUsed/>
    <w:rsid w:val="00D16A1B"/>
    <w:pPr>
      <w:tabs>
        <w:tab w:val="center" w:pos="4513"/>
        <w:tab w:val="right" w:pos="9026"/>
      </w:tabs>
    </w:pPr>
  </w:style>
  <w:style w:type="character" w:customStyle="1" w:styleId="FooterChar">
    <w:name w:val="Footer Char"/>
    <w:basedOn w:val="DefaultParagraphFont"/>
    <w:link w:val="Footer"/>
    <w:uiPriority w:val="99"/>
    <w:rsid w:val="00D16A1B"/>
    <w:rPr>
      <w:rFonts w:ascii="Times New Roman" w:eastAsiaTheme="minorHAnsi" w:hAnsi="Times New Roman" w:cs="Times New Roman"/>
      <w:lang w:eastAsia="en-AU"/>
    </w:rPr>
  </w:style>
  <w:style w:type="character" w:styleId="PageNumber">
    <w:name w:val="page number"/>
    <w:basedOn w:val="DefaultParagraphFont"/>
    <w:uiPriority w:val="99"/>
    <w:semiHidden/>
    <w:unhideWhenUsed/>
    <w:rsid w:val="00D16A1B"/>
  </w:style>
  <w:style w:type="paragraph" w:styleId="BalloonText">
    <w:name w:val="Balloon Text"/>
    <w:basedOn w:val="Normal"/>
    <w:link w:val="BalloonTextChar"/>
    <w:uiPriority w:val="99"/>
    <w:semiHidden/>
    <w:unhideWhenUsed/>
    <w:rsid w:val="00D16A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A1B"/>
    <w:rPr>
      <w:rFonts w:ascii="Lucida Grande" w:eastAsiaTheme="minorHAnsi" w:hAnsi="Lucida Grande" w:cs="Lucida Grande"/>
      <w:sz w:val="18"/>
      <w:szCs w:val="18"/>
      <w:lang w:eastAsia="en-AU"/>
    </w:rPr>
  </w:style>
  <w:style w:type="paragraph" w:styleId="ListParagraph">
    <w:name w:val="List Paragraph"/>
    <w:basedOn w:val="Normal"/>
    <w:uiPriority w:val="34"/>
    <w:qFormat/>
    <w:rsid w:val="00E963D3"/>
    <w:pPr>
      <w:ind w:left="720"/>
      <w:contextualSpacing/>
    </w:pPr>
  </w:style>
  <w:style w:type="character" w:styleId="Hyperlink">
    <w:name w:val="Hyperlink"/>
    <w:basedOn w:val="DefaultParagraphFont"/>
    <w:uiPriority w:val="99"/>
    <w:unhideWhenUsed/>
    <w:rsid w:val="00525CB5"/>
    <w:rPr>
      <w:color w:val="0000FF" w:themeColor="hyperlink"/>
      <w:u w:val="single"/>
    </w:rPr>
  </w:style>
  <w:style w:type="character" w:customStyle="1" w:styleId="UnresolvedMention1">
    <w:name w:val="Unresolved Mention1"/>
    <w:basedOn w:val="DefaultParagraphFont"/>
    <w:uiPriority w:val="99"/>
    <w:semiHidden/>
    <w:unhideWhenUsed/>
    <w:rsid w:val="00525CB5"/>
    <w:rPr>
      <w:color w:val="605E5C"/>
      <w:shd w:val="clear" w:color="auto" w:fill="E1DFDD"/>
    </w:rPr>
  </w:style>
  <w:style w:type="paragraph" w:styleId="NormalWeb">
    <w:name w:val="Normal (Web)"/>
    <w:basedOn w:val="Normal"/>
    <w:uiPriority w:val="99"/>
    <w:unhideWhenUsed/>
    <w:rsid w:val="00156F45"/>
    <w:pPr>
      <w:spacing w:before="100" w:beforeAutospacing="1" w:after="100" w:afterAutospacing="1"/>
    </w:pPr>
    <w:rPr>
      <w:rFonts w:eastAsia="Times New Roman"/>
      <w:lang w:eastAsia="en-GB"/>
    </w:rPr>
  </w:style>
  <w:style w:type="paragraph" w:styleId="NoSpacing">
    <w:name w:val="No Spacing"/>
    <w:uiPriority w:val="1"/>
    <w:qFormat/>
    <w:rsid w:val="00156F45"/>
    <w:rPr>
      <w:rFonts w:ascii="Times New Roman" w:eastAsiaTheme="minorHAnsi" w:hAnsi="Times New Roman" w:cs="Times New Roman"/>
      <w:lang w:eastAsia="en-AU"/>
    </w:rPr>
  </w:style>
  <w:style w:type="paragraph" w:customStyle="1" w:styleId="headingparagraph">
    <w:name w:val="headingparagraph"/>
    <w:basedOn w:val="Normal"/>
    <w:rsid w:val="00C9201F"/>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20956">
      <w:bodyDiv w:val="1"/>
      <w:marLeft w:val="0"/>
      <w:marRight w:val="0"/>
      <w:marTop w:val="0"/>
      <w:marBottom w:val="0"/>
      <w:divBdr>
        <w:top w:val="none" w:sz="0" w:space="0" w:color="auto"/>
        <w:left w:val="none" w:sz="0" w:space="0" w:color="auto"/>
        <w:bottom w:val="none" w:sz="0" w:space="0" w:color="auto"/>
        <w:right w:val="none" w:sz="0" w:space="0" w:color="auto"/>
      </w:divBdr>
    </w:div>
    <w:div w:id="95954276">
      <w:bodyDiv w:val="1"/>
      <w:marLeft w:val="0"/>
      <w:marRight w:val="0"/>
      <w:marTop w:val="0"/>
      <w:marBottom w:val="0"/>
      <w:divBdr>
        <w:top w:val="none" w:sz="0" w:space="0" w:color="auto"/>
        <w:left w:val="none" w:sz="0" w:space="0" w:color="auto"/>
        <w:bottom w:val="none" w:sz="0" w:space="0" w:color="auto"/>
        <w:right w:val="none" w:sz="0" w:space="0" w:color="auto"/>
      </w:divBdr>
    </w:div>
    <w:div w:id="488134173">
      <w:bodyDiv w:val="1"/>
      <w:marLeft w:val="0"/>
      <w:marRight w:val="0"/>
      <w:marTop w:val="0"/>
      <w:marBottom w:val="0"/>
      <w:divBdr>
        <w:top w:val="none" w:sz="0" w:space="0" w:color="auto"/>
        <w:left w:val="none" w:sz="0" w:space="0" w:color="auto"/>
        <w:bottom w:val="none" w:sz="0" w:space="0" w:color="auto"/>
        <w:right w:val="none" w:sz="0" w:space="0" w:color="auto"/>
      </w:divBdr>
      <w:divsChild>
        <w:div w:id="1726181688">
          <w:marLeft w:val="0"/>
          <w:marRight w:val="0"/>
          <w:marTop w:val="0"/>
          <w:marBottom w:val="0"/>
          <w:divBdr>
            <w:top w:val="none" w:sz="0" w:space="0" w:color="auto"/>
            <w:left w:val="none" w:sz="0" w:space="0" w:color="auto"/>
            <w:bottom w:val="none" w:sz="0" w:space="0" w:color="auto"/>
            <w:right w:val="none" w:sz="0" w:space="0" w:color="auto"/>
          </w:divBdr>
          <w:divsChild>
            <w:div w:id="1720130077">
              <w:marLeft w:val="0"/>
              <w:marRight w:val="0"/>
              <w:marTop w:val="0"/>
              <w:marBottom w:val="0"/>
              <w:divBdr>
                <w:top w:val="none" w:sz="0" w:space="0" w:color="auto"/>
                <w:left w:val="none" w:sz="0" w:space="0" w:color="auto"/>
                <w:bottom w:val="none" w:sz="0" w:space="0" w:color="auto"/>
                <w:right w:val="none" w:sz="0" w:space="0" w:color="auto"/>
              </w:divBdr>
              <w:divsChild>
                <w:div w:id="20688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95858">
      <w:bodyDiv w:val="1"/>
      <w:marLeft w:val="0"/>
      <w:marRight w:val="0"/>
      <w:marTop w:val="0"/>
      <w:marBottom w:val="0"/>
      <w:divBdr>
        <w:top w:val="none" w:sz="0" w:space="0" w:color="auto"/>
        <w:left w:val="none" w:sz="0" w:space="0" w:color="auto"/>
        <w:bottom w:val="none" w:sz="0" w:space="0" w:color="auto"/>
        <w:right w:val="none" w:sz="0" w:space="0" w:color="auto"/>
      </w:divBdr>
      <w:divsChild>
        <w:div w:id="682823742">
          <w:marLeft w:val="0"/>
          <w:marRight w:val="0"/>
          <w:marTop w:val="0"/>
          <w:marBottom w:val="0"/>
          <w:divBdr>
            <w:top w:val="none" w:sz="0" w:space="0" w:color="auto"/>
            <w:left w:val="none" w:sz="0" w:space="0" w:color="auto"/>
            <w:bottom w:val="none" w:sz="0" w:space="0" w:color="auto"/>
            <w:right w:val="none" w:sz="0" w:space="0" w:color="auto"/>
          </w:divBdr>
          <w:divsChild>
            <w:div w:id="832574390">
              <w:marLeft w:val="0"/>
              <w:marRight w:val="0"/>
              <w:marTop w:val="0"/>
              <w:marBottom w:val="0"/>
              <w:divBdr>
                <w:top w:val="none" w:sz="0" w:space="0" w:color="auto"/>
                <w:left w:val="none" w:sz="0" w:space="0" w:color="auto"/>
                <w:bottom w:val="none" w:sz="0" w:space="0" w:color="auto"/>
                <w:right w:val="none" w:sz="0" w:space="0" w:color="auto"/>
              </w:divBdr>
              <w:divsChild>
                <w:div w:id="4203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77842">
      <w:bodyDiv w:val="1"/>
      <w:marLeft w:val="0"/>
      <w:marRight w:val="0"/>
      <w:marTop w:val="0"/>
      <w:marBottom w:val="0"/>
      <w:divBdr>
        <w:top w:val="none" w:sz="0" w:space="0" w:color="auto"/>
        <w:left w:val="none" w:sz="0" w:space="0" w:color="auto"/>
        <w:bottom w:val="none" w:sz="0" w:space="0" w:color="auto"/>
        <w:right w:val="none" w:sz="0" w:space="0" w:color="auto"/>
      </w:divBdr>
      <w:divsChild>
        <w:div w:id="615603675">
          <w:marLeft w:val="0"/>
          <w:marRight w:val="0"/>
          <w:marTop w:val="0"/>
          <w:marBottom w:val="0"/>
          <w:divBdr>
            <w:top w:val="none" w:sz="0" w:space="0" w:color="auto"/>
            <w:left w:val="none" w:sz="0" w:space="0" w:color="auto"/>
            <w:bottom w:val="none" w:sz="0" w:space="0" w:color="auto"/>
            <w:right w:val="none" w:sz="0" w:space="0" w:color="auto"/>
          </w:divBdr>
          <w:divsChild>
            <w:div w:id="1126581907">
              <w:marLeft w:val="0"/>
              <w:marRight w:val="0"/>
              <w:marTop w:val="0"/>
              <w:marBottom w:val="0"/>
              <w:divBdr>
                <w:top w:val="none" w:sz="0" w:space="0" w:color="auto"/>
                <w:left w:val="none" w:sz="0" w:space="0" w:color="auto"/>
                <w:bottom w:val="none" w:sz="0" w:space="0" w:color="auto"/>
                <w:right w:val="none" w:sz="0" w:space="0" w:color="auto"/>
              </w:divBdr>
              <w:divsChild>
                <w:div w:id="11282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604">
      <w:bodyDiv w:val="1"/>
      <w:marLeft w:val="0"/>
      <w:marRight w:val="0"/>
      <w:marTop w:val="0"/>
      <w:marBottom w:val="0"/>
      <w:divBdr>
        <w:top w:val="none" w:sz="0" w:space="0" w:color="auto"/>
        <w:left w:val="none" w:sz="0" w:space="0" w:color="auto"/>
        <w:bottom w:val="none" w:sz="0" w:space="0" w:color="auto"/>
        <w:right w:val="none" w:sz="0" w:space="0" w:color="auto"/>
      </w:divBdr>
      <w:divsChild>
        <w:div w:id="1024554094">
          <w:marLeft w:val="0"/>
          <w:marRight w:val="0"/>
          <w:marTop w:val="0"/>
          <w:marBottom w:val="0"/>
          <w:divBdr>
            <w:top w:val="none" w:sz="0" w:space="0" w:color="auto"/>
            <w:left w:val="none" w:sz="0" w:space="0" w:color="auto"/>
            <w:bottom w:val="none" w:sz="0" w:space="0" w:color="auto"/>
            <w:right w:val="none" w:sz="0" w:space="0" w:color="auto"/>
          </w:divBdr>
          <w:divsChild>
            <w:div w:id="1193884391">
              <w:marLeft w:val="0"/>
              <w:marRight w:val="0"/>
              <w:marTop w:val="0"/>
              <w:marBottom w:val="0"/>
              <w:divBdr>
                <w:top w:val="none" w:sz="0" w:space="0" w:color="auto"/>
                <w:left w:val="none" w:sz="0" w:space="0" w:color="auto"/>
                <w:bottom w:val="none" w:sz="0" w:space="0" w:color="auto"/>
                <w:right w:val="none" w:sz="0" w:space="0" w:color="auto"/>
              </w:divBdr>
              <w:divsChild>
                <w:div w:id="1505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6118">
      <w:bodyDiv w:val="1"/>
      <w:marLeft w:val="0"/>
      <w:marRight w:val="0"/>
      <w:marTop w:val="0"/>
      <w:marBottom w:val="0"/>
      <w:divBdr>
        <w:top w:val="none" w:sz="0" w:space="0" w:color="auto"/>
        <w:left w:val="none" w:sz="0" w:space="0" w:color="auto"/>
        <w:bottom w:val="none" w:sz="0" w:space="0" w:color="auto"/>
        <w:right w:val="none" w:sz="0" w:space="0" w:color="auto"/>
      </w:divBdr>
      <w:divsChild>
        <w:div w:id="1309357392">
          <w:marLeft w:val="0"/>
          <w:marRight w:val="0"/>
          <w:marTop w:val="0"/>
          <w:marBottom w:val="0"/>
          <w:divBdr>
            <w:top w:val="none" w:sz="0" w:space="0" w:color="auto"/>
            <w:left w:val="none" w:sz="0" w:space="0" w:color="auto"/>
            <w:bottom w:val="none" w:sz="0" w:space="0" w:color="auto"/>
            <w:right w:val="none" w:sz="0" w:space="0" w:color="auto"/>
          </w:divBdr>
          <w:divsChild>
            <w:div w:id="1120612404">
              <w:marLeft w:val="0"/>
              <w:marRight w:val="0"/>
              <w:marTop w:val="0"/>
              <w:marBottom w:val="0"/>
              <w:divBdr>
                <w:top w:val="none" w:sz="0" w:space="0" w:color="auto"/>
                <w:left w:val="none" w:sz="0" w:space="0" w:color="auto"/>
                <w:bottom w:val="none" w:sz="0" w:space="0" w:color="auto"/>
                <w:right w:val="none" w:sz="0" w:space="0" w:color="auto"/>
              </w:divBdr>
              <w:divsChild>
                <w:div w:id="15913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3271">
      <w:bodyDiv w:val="1"/>
      <w:marLeft w:val="0"/>
      <w:marRight w:val="0"/>
      <w:marTop w:val="0"/>
      <w:marBottom w:val="0"/>
      <w:divBdr>
        <w:top w:val="none" w:sz="0" w:space="0" w:color="auto"/>
        <w:left w:val="none" w:sz="0" w:space="0" w:color="auto"/>
        <w:bottom w:val="none" w:sz="0" w:space="0" w:color="auto"/>
        <w:right w:val="none" w:sz="0" w:space="0" w:color="auto"/>
      </w:divBdr>
      <w:divsChild>
        <w:div w:id="1450735484">
          <w:marLeft w:val="0"/>
          <w:marRight w:val="0"/>
          <w:marTop w:val="0"/>
          <w:marBottom w:val="0"/>
          <w:divBdr>
            <w:top w:val="none" w:sz="0" w:space="0" w:color="auto"/>
            <w:left w:val="none" w:sz="0" w:space="0" w:color="auto"/>
            <w:bottom w:val="none" w:sz="0" w:space="0" w:color="auto"/>
            <w:right w:val="none" w:sz="0" w:space="0" w:color="auto"/>
          </w:divBdr>
          <w:divsChild>
            <w:div w:id="649598780">
              <w:marLeft w:val="0"/>
              <w:marRight w:val="0"/>
              <w:marTop w:val="0"/>
              <w:marBottom w:val="0"/>
              <w:divBdr>
                <w:top w:val="none" w:sz="0" w:space="0" w:color="auto"/>
                <w:left w:val="none" w:sz="0" w:space="0" w:color="auto"/>
                <w:bottom w:val="none" w:sz="0" w:space="0" w:color="auto"/>
                <w:right w:val="none" w:sz="0" w:space="0" w:color="auto"/>
              </w:divBdr>
              <w:divsChild>
                <w:div w:id="19986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78493">
      <w:bodyDiv w:val="1"/>
      <w:marLeft w:val="0"/>
      <w:marRight w:val="0"/>
      <w:marTop w:val="0"/>
      <w:marBottom w:val="0"/>
      <w:divBdr>
        <w:top w:val="none" w:sz="0" w:space="0" w:color="auto"/>
        <w:left w:val="none" w:sz="0" w:space="0" w:color="auto"/>
        <w:bottom w:val="none" w:sz="0" w:space="0" w:color="auto"/>
        <w:right w:val="none" w:sz="0" w:space="0" w:color="auto"/>
      </w:divBdr>
      <w:divsChild>
        <w:div w:id="422267745">
          <w:marLeft w:val="0"/>
          <w:marRight w:val="0"/>
          <w:marTop w:val="0"/>
          <w:marBottom w:val="0"/>
          <w:divBdr>
            <w:top w:val="none" w:sz="0" w:space="0" w:color="auto"/>
            <w:left w:val="none" w:sz="0" w:space="0" w:color="auto"/>
            <w:bottom w:val="none" w:sz="0" w:space="0" w:color="auto"/>
            <w:right w:val="none" w:sz="0" w:space="0" w:color="auto"/>
          </w:divBdr>
          <w:divsChild>
            <w:div w:id="1557012259">
              <w:marLeft w:val="0"/>
              <w:marRight w:val="0"/>
              <w:marTop w:val="0"/>
              <w:marBottom w:val="0"/>
              <w:divBdr>
                <w:top w:val="none" w:sz="0" w:space="0" w:color="auto"/>
                <w:left w:val="none" w:sz="0" w:space="0" w:color="auto"/>
                <w:bottom w:val="none" w:sz="0" w:space="0" w:color="auto"/>
                <w:right w:val="none" w:sz="0" w:space="0" w:color="auto"/>
              </w:divBdr>
              <w:divsChild>
                <w:div w:id="1963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veyoursay@justice.ta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ausstats/abs@.nsf/Lookup/by%20Subject/2071.0~2016~Main%20Features~Aboriginal%20and%20Torres%20Strait%20Islander%20Population%20-%20Tasmania~10006" TargetMode="External"/><Relationship Id="rId2" Type="http://schemas.openxmlformats.org/officeDocument/2006/relationships/hyperlink" Target="https://www.dhhs.tas.gov.au/__data/assets/pdf_file/0008/366299/RTI201819-020-CT.pdf" TargetMode="External"/><Relationship Id="rId1" Type="http://schemas.openxmlformats.org/officeDocument/2006/relationships/hyperlink" Target="https://www.childcomm.tas.gov.au/wp-content/uploads/2019-05-06-FINAL-Advice-to-Ministers-Searches-of-children-and-young-people-in-custody-in-custodial-facilities.pdf" TargetMode="External"/><Relationship Id="rId5" Type="http://schemas.openxmlformats.org/officeDocument/2006/relationships/hyperlink" Target="https://www.justice.tas.gov.au/prisonservice/Policies_and_Procedures" TargetMode="External"/><Relationship Id="rId4" Type="http://schemas.openxmlformats.org/officeDocument/2006/relationships/hyperlink" Target="https://www.humanrights.gov.au/sites/default/files/document/publication/ACCG_YouthJusticePositionStatement_24Nov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1741A-1977-BB44-B790-5FF2EFFE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Microsoft Office User</cp:lastModifiedBy>
  <cp:revision>2</cp:revision>
  <dcterms:created xsi:type="dcterms:W3CDTF">2020-10-28T04:45:00Z</dcterms:created>
  <dcterms:modified xsi:type="dcterms:W3CDTF">2020-10-28T04:45:00Z</dcterms:modified>
</cp:coreProperties>
</file>