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60457" w14:textId="77777777" w:rsidR="00327F51" w:rsidRDefault="00327F51" w:rsidP="00327F51">
      <w:pPr>
        <w:pStyle w:val="NoSpacing"/>
        <w:jc w:val="center"/>
        <w:rPr>
          <w:rFonts w:ascii="Cambria" w:hAnsi="Cambria"/>
          <w:sz w:val="24"/>
          <w:szCs w:val="24"/>
        </w:rPr>
      </w:pPr>
      <w:r w:rsidRPr="00BC0D6B">
        <w:rPr>
          <w:noProof/>
          <w:sz w:val="20"/>
          <w:szCs w:val="20"/>
        </w:rPr>
        <w:drawing>
          <wp:inline distT="0" distB="0" distL="0" distR="0" wp14:anchorId="0086D03F" wp14:editId="4EEFB782">
            <wp:extent cx="3235960" cy="1099476"/>
            <wp:effectExtent l="0" t="0" r="0" b="0"/>
            <wp:docPr id="5"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3D715D24" w14:textId="77777777" w:rsidR="00327F51" w:rsidRDefault="00327F51" w:rsidP="00327F51">
      <w:pPr>
        <w:pStyle w:val="NoSpacing"/>
        <w:rPr>
          <w:rFonts w:ascii="Cambria" w:hAnsi="Cambria"/>
          <w:sz w:val="24"/>
          <w:szCs w:val="24"/>
        </w:rPr>
      </w:pPr>
    </w:p>
    <w:p w14:paraId="410EF842" w14:textId="77777777" w:rsidR="00327F51" w:rsidRPr="00206C10" w:rsidRDefault="00327F51" w:rsidP="00327F51">
      <w:pPr>
        <w:pStyle w:val="NoSpacing"/>
        <w:rPr>
          <w:rFonts w:ascii="Cambria" w:hAnsi="Cambria"/>
          <w:sz w:val="24"/>
          <w:szCs w:val="24"/>
        </w:rPr>
      </w:pPr>
    </w:p>
    <w:p w14:paraId="7656CF12" w14:textId="36B93C25" w:rsidR="00327F51" w:rsidRPr="00206C10" w:rsidRDefault="00362364" w:rsidP="00327F51">
      <w:pPr>
        <w:pStyle w:val="NoSpacing"/>
        <w:rPr>
          <w:rFonts w:ascii="Cambria" w:hAnsi="Cambria"/>
          <w:sz w:val="24"/>
          <w:szCs w:val="24"/>
        </w:rPr>
      </w:pPr>
      <w:r>
        <w:rPr>
          <w:rFonts w:ascii="Cambria" w:hAnsi="Cambria"/>
          <w:sz w:val="24"/>
          <w:szCs w:val="24"/>
        </w:rPr>
        <w:t>23 September</w:t>
      </w:r>
      <w:r w:rsidR="00327F51" w:rsidRPr="00206C10">
        <w:rPr>
          <w:rFonts w:ascii="Cambria" w:hAnsi="Cambria"/>
          <w:sz w:val="24"/>
          <w:szCs w:val="24"/>
        </w:rPr>
        <w:t xml:space="preserve"> 2020</w:t>
      </w:r>
    </w:p>
    <w:p w14:paraId="7B52D03C" w14:textId="77777777" w:rsidR="00327F51" w:rsidRPr="00206C10" w:rsidRDefault="00327F51" w:rsidP="00327F51">
      <w:pPr>
        <w:pStyle w:val="NoSpacing"/>
        <w:rPr>
          <w:rFonts w:ascii="Cambria" w:hAnsi="Cambria"/>
          <w:sz w:val="24"/>
          <w:szCs w:val="24"/>
        </w:rPr>
      </w:pPr>
    </w:p>
    <w:p w14:paraId="330B80D0" w14:textId="77777777" w:rsidR="00327F51" w:rsidRPr="00206C10" w:rsidRDefault="00327F51" w:rsidP="00327F51">
      <w:pPr>
        <w:pStyle w:val="NoSpacing"/>
        <w:rPr>
          <w:rFonts w:ascii="Cambria" w:hAnsi="Cambria"/>
          <w:sz w:val="24"/>
          <w:szCs w:val="24"/>
        </w:rPr>
      </w:pPr>
      <w:r w:rsidRPr="00206C10">
        <w:rPr>
          <w:rFonts w:ascii="Cambria" w:hAnsi="Cambria"/>
          <w:sz w:val="24"/>
          <w:szCs w:val="24"/>
        </w:rPr>
        <w:t>Department of Justice</w:t>
      </w:r>
    </w:p>
    <w:p w14:paraId="5B597E82" w14:textId="77777777" w:rsidR="00327F51" w:rsidRPr="00206C10" w:rsidRDefault="00327F51" w:rsidP="00327F51">
      <w:pPr>
        <w:pStyle w:val="NoSpacing"/>
        <w:rPr>
          <w:rFonts w:ascii="Cambria" w:hAnsi="Cambria"/>
          <w:sz w:val="24"/>
          <w:szCs w:val="24"/>
        </w:rPr>
      </w:pPr>
      <w:r w:rsidRPr="00206C10">
        <w:rPr>
          <w:rFonts w:ascii="Cambria" w:hAnsi="Cambria"/>
          <w:sz w:val="24"/>
          <w:szCs w:val="24"/>
        </w:rPr>
        <w:t>Office of the Secretary</w:t>
      </w:r>
    </w:p>
    <w:p w14:paraId="13571DFE" w14:textId="77777777" w:rsidR="00327F51" w:rsidRPr="00206C10" w:rsidRDefault="00327F51" w:rsidP="00327F51">
      <w:pPr>
        <w:pStyle w:val="NoSpacing"/>
        <w:rPr>
          <w:rFonts w:ascii="Cambria" w:hAnsi="Cambria"/>
          <w:sz w:val="24"/>
          <w:szCs w:val="24"/>
        </w:rPr>
      </w:pPr>
      <w:r w:rsidRPr="00206C10">
        <w:rPr>
          <w:rFonts w:ascii="Cambria" w:hAnsi="Cambria"/>
          <w:sz w:val="24"/>
          <w:szCs w:val="24"/>
        </w:rPr>
        <w:t>GPO Box 825</w:t>
      </w:r>
    </w:p>
    <w:p w14:paraId="102647CF" w14:textId="77777777" w:rsidR="00327F51" w:rsidRPr="00206C10" w:rsidRDefault="00327F51" w:rsidP="00327F51">
      <w:pPr>
        <w:pStyle w:val="NoSpacing"/>
        <w:rPr>
          <w:rFonts w:ascii="Cambria" w:hAnsi="Cambria"/>
          <w:sz w:val="24"/>
          <w:szCs w:val="24"/>
        </w:rPr>
      </w:pPr>
      <w:r w:rsidRPr="00206C10">
        <w:rPr>
          <w:rFonts w:ascii="Cambria" w:hAnsi="Cambria"/>
          <w:sz w:val="24"/>
          <w:szCs w:val="24"/>
        </w:rPr>
        <w:t>Hobart TAS 7001</w:t>
      </w:r>
    </w:p>
    <w:p w14:paraId="279D7BF6" w14:textId="4E122ECF" w:rsidR="00327F51" w:rsidRPr="00206C10" w:rsidRDefault="00327F51" w:rsidP="00327F51">
      <w:pPr>
        <w:pStyle w:val="NoSpacing"/>
        <w:rPr>
          <w:rFonts w:ascii="Cambria" w:hAnsi="Cambria"/>
          <w:sz w:val="24"/>
          <w:szCs w:val="24"/>
        </w:rPr>
      </w:pPr>
      <w:proofErr w:type="spellStart"/>
      <w:r w:rsidRPr="00206C10">
        <w:rPr>
          <w:rFonts w:ascii="Cambria" w:hAnsi="Cambria"/>
          <w:sz w:val="24"/>
          <w:szCs w:val="24"/>
        </w:rPr>
        <w:t>attn:</w:t>
      </w:r>
      <w:proofErr w:type="spellEnd"/>
      <w:r w:rsidRPr="00206C10">
        <w:rPr>
          <w:rFonts w:ascii="Cambria" w:hAnsi="Cambria"/>
          <w:sz w:val="24"/>
          <w:szCs w:val="24"/>
        </w:rPr>
        <w:t xml:space="preserve"> </w:t>
      </w:r>
      <w:r w:rsidR="00A82F90">
        <w:rPr>
          <w:rFonts w:ascii="Cambria" w:hAnsi="Cambria"/>
          <w:sz w:val="24"/>
          <w:szCs w:val="24"/>
        </w:rPr>
        <w:t xml:space="preserve">Acting </w:t>
      </w:r>
      <w:r>
        <w:rPr>
          <w:rFonts w:ascii="Cambria" w:hAnsi="Cambria"/>
          <w:sz w:val="24"/>
          <w:szCs w:val="24"/>
        </w:rPr>
        <w:t xml:space="preserve">Director, Strategic Legislation and Policy </w:t>
      </w:r>
    </w:p>
    <w:p w14:paraId="5FA942D7" w14:textId="77777777" w:rsidR="00327F51" w:rsidRDefault="00327F51" w:rsidP="00327F51">
      <w:pPr>
        <w:pStyle w:val="NoSpacing"/>
        <w:rPr>
          <w:rFonts w:ascii="Cambria" w:hAnsi="Cambria"/>
          <w:sz w:val="24"/>
          <w:szCs w:val="24"/>
        </w:rPr>
      </w:pPr>
      <w:r w:rsidRPr="00206C10">
        <w:rPr>
          <w:rFonts w:ascii="Cambria" w:hAnsi="Cambria"/>
          <w:sz w:val="24"/>
          <w:szCs w:val="24"/>
        </w:rPr>
        <w:tab/>
      </w:r>
      <w:r w:rsidRPr="00206C10">
        <w:rPr>
          <w:rFonts w:ascii="Cambria" w:hAnsi="Cambria"/>
          <w:sz w:val="24"/>
          <w:szCs w:val="24"/>
        </w:rPr>
        <w:tab/>
      </w:r>
      <w:r w:rsidRPr="00206C10">
        <w:rPr>
          <w:rFonts w:ascii="Cambria" w:hAnsi="Cambria"/>
          <w:sz w:val="24"/>
          <w:szCs w:val="24"/>
        </w:rPr>
        <w:tab/>
      </w:r>
      <w:r w:rsidRPr="00206C10">
        <w:rPr>
          <w:rFonts w:ascii="Cambria" w:hAnsi="Cambria"/>
          <w:sz w:val="24"/>
          <w:szCs w:val="24"/>
        </w:rPr>
        <w:tab/>
      </w:r>
      <w:r w:rsidRPr="00206C10">
        <w:rPr>
          <w:rFonts w:ascii="Cambria" w:hAnsi="Cambria"/>
          <w:sz w:val="24"/>
          <w:szCs w:val="24"/>
        </w:rPr>
        <w:tab/>
      </w:r>
    </w:p>
    <w:p w14:paraId="7B760DF7" w14:textId="77777777" w:rsidR="00327F51" w:rsidRPr="00206C10" w:rsidRDefault="00327F51" w:rsidP="00327F51">
      <w:pPr>
        <w:pStyle w:val="NoSpacing"/>
        <w:ind w:left="2880" w:firstLine="720"/>
        <w:rPr>
          <w:rFonts w:ascii="Cambria" w:hAnsi="Cambria"/>
          <w:i/>
          <w:iCs/>
          <w:sz w:val="24"/>
          <w:szCs w:val="24"/>
          <w:lang w:eastAsia="en-GB"/>
        </w:rPr>
      </w:pPr>
      <w:r w:rsidRPr="00206C10">
        <w:rPr>
          <w:rFonts w:ascii="Cambria" w:hAnsi="Cambria"/>
          <w:i/>
          <w:iCs/>
          <w:sz w:val="24"/>
          <w:szCs w:val="24"/>
        </w:rPr>
        <w:t xml:space="preserve">via email: </w:t>
      </w:r>
      <w:hyperlink r:id="rId8" w:history="1">
        <w:r w:rsidRPr="00206C10">
          <w:rPr>
            <w:rFonts w:ascii="Cambria" w:hAnsi="Cambria" w:cs="Segoe UI"/>
            <w:i/>
            <w:iCs/>
            <w:color w:val="0000FF"/>
            <w:sz w:val="24"/>
            <w:szCs w:val="24"/>
            <w:u w:val="single"/>
            <w:shd w:val="clear" w:color="auto" w:fill="FFFFFF"/>
            <w:lang w:eastAsia="en-GB"/>
          </w:rPr>
          <w:t>haveyoursay@justice.tas.gov.au</w:t>
        </w:r>
      </w:hyperlink>
    </w:p>
    <w:p w14:paraId="7B02B117" w14:textId="77777777" w:rsidR="00327F51" w:rsidRDefault="00327F51" w:rsidP="00327F51">
      <w:pPr>
        <w:pStyle w:val="NoSpacing"/>
        <w:rPr>
          <w:rFonts w:ascii="Cambria" w:hAnsi="Cambria"/>
          <w:sz w:val="24"/>
          <w:szCs w:val="24"/>
        </w:rPr>
      </w:pPr>
    </w:p>
    <w:p w14:paraId="3150C301" w14:textId="485A0EB8" w:rsidR="00327F51" w:rsidRPr="00206C10" w:rsidRDefault="00327F51" w:rsidP="00327F51">
      <w:pPr>
        <w:pStyle w:val="NoSpacing"/>
        <w:rPr>
          <w:rFonts w:ascii="Cambria" w:hAnsi="Cambria"/>
          <w:sz w:val="24"/>
          <w:szCs w:val="24"/>
        </w:rPr>
      </w:pPr>
      <w:r w:rsidRPr="00206C10">
        <w:rPr>
          <w:rFonts w:ascii="Cambria" w:hAnsi="Cambria"/>
          <w:sz w:val="24"/>
          <w:szCs w:val="24"/>
        </w:rPr>
        <w:t xml:space="preserve">To </w:t>
      </w:r>
      <w:r w:rsidR="00A82F90">
        <w:rPr>
          <w:rFonts w:ascii="Cambria" w:hAnsi="Cambria"/>
          <w:sz w:val="24"/>
          <w:szCs w:val="24"/>
        </w:rPr>
        <w:t>Bruce Paterson</w:t>
      </w:r>
      <w:r w:rsidRPr="00206C10">
        <w:rPr>
          <w:rFonts w:ascii="Cambria" w:hAnsi="Cambria"/>
          <w:sz w:val="24"/>
          <w:szCs w:val="24"/>
        </w:rPr>
        <w:t xml:space="preserve">, </w:t>
      </w:r>
    </w:p>
    <w:p w14:paraId="0255DCC0" w14:textId="0DCB0EFC" w:rsidR="00327F51" w:rsidRPr="00206C10" w:rsidRDefault="00327F51" w:rsidP="00327F51">
      <w:pPr>
        <w:pStyle w:val="NoSpacing"/>
        <w:rPr>
          <w:rFonts w:ascii="Cambria" w:hAnsi="Cambria"/>
          <w:sz w:val="24"/>
          <w:szCs w:val="24"/>
          <w:lang w:eastAsia="en-GB"/>
        </w:rPr>
      </w:pPr>
      <w:r w:rsidRPr="00206C10">
        <w:rPr>
          <w:rFonts w:ascii="Cambria" w:hAnsi="Cambria"/>
          <w:b/>
          <w:bCs/>
          <w:noProof/>
          <w:sz w:val="24"/>
          <w:szCs w:val="24"/>
        </w:rPr>
        <mc:AlternateContent>
          <mc:Choice Requires="wps">
            <w:drawing>
              <wp:anchor distT="0" distB="0" distL="114300" distR="114300" simplePos="0" relativeHeight="251659264" behindDoc="0" locked="0" layoutInCell="1" allowOverlap="1" wp14:anchorId="5D5FE006" wp14:editId="42223DC4">
                <wp:simplePos x="0" y="0"/>
                <wp:positionH relativeFrom="column">
                  <wp:posOffset>-7620</wp:posOffset>
                </wp:positionH>
                <wp:positionV relativeFrom="paragraph">
                  <wp:posOffset>237490</wp:posOffset>
                </wp:positionV>
                <wp:extent cx="6050280" cy="15240"/>
                <wp:effectExtent l="0" t="0" r="26670" b="22860"/>
                <wp:wrapNone/>
                <wp:docPr id="1" name="Straight Connector 1"/>
                <wp:cNvGraphicFramePr/>
                <a:graphic xmlns:a="http://schemas.openxmlformats.org/drawingml/2006/main">
                  <a:graphicData uri="http://schemas.microsoft.com/office/word/2010/wordprocessingShape">
                    <wps:wsp>
                      <wps:cNvCnPr/>
                      <wps:spPr>
                        <a:xfrm>
                          <a:off x="0" y="0"/>
                          <a:ext cx="605028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44617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8.7pt" to="475.8pt,1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" strokecolor="black [3200]" strokeweight=".5pt">
                <v:stroke joinstyle="miter"/>
              </v:line>
            </w:pict>
          </mc:Fallback>
        </mc:AlternateContent>
      </w:r>
      <w:r w:rsidRPr="00206C10">
        <w:rPr>
          <w:rFonts w:ascii="Cambria" w:hAnsi="Cambria"/>
          <w:b/>
          <w:bCs/>
          <w:sz w:val="24"/>
          <w:szCs w:val="24"/>
        </w:rPr>
        <w:t xml:space="preserve">Re: </w:t>
      </w:r>
      <w:r>
        <w:rPr>
          <w:rFonts w:ascii="Cambria" w:hAnsi="Cambria"/>
          <w:b/>
          <w:bCs/>
          <w:i/>
          <w:iCs/>
          <w:sz w:val="24"/>
          <w:szCs w:val="24"/>
        </w:rPr>
        <w:t>Monetary Penalties Enforcement Amendment</w:t>
      </w:r>
      <w:r w:rsidRPr="00206C10">
        <w:rPr>
          <w:rFonts w:ascii="Cambria" w:hAnsi="Cambria"/>
          <w:b/>
          <w:bCs/>
          <w:i/>
          <w:iCs/>
          <w:sz w:val="24"/>
          <w:szCs w:val="24"/>
        </w:rPr>
        <w:t xml:space="preserve"> Bill 2020</w:t>
      </w:r>
    </w:p>
    <w:p w14:paraId="33026DFE" w14:textId="77777777" w:rsidR="00327F51" w:rsidRPr="00206C10" w:rsidRDefault="00327F51" w:rsidP="00327F51">
      <w:pPr>
        <w:pStyle w:val="NoSpacing"/>
        <w:rPr>
          <w:rFonts w:ascii="Cambria" w:hAnsi="Cambria"/>
          <w:b/>
          <w:bCs/>
          <w:sz w:val="24"/>
          <w:szCs w:val="24"/>
        </w:rPr>
      </w:pPr>
    </w:p>
    <w:p w14:paraId="7F42849C" w14:textId="0772182A" w:rsidR="00327F51" w:rsidRDefault="00327F51" w:rsidP="005D4AA4">
      <w:pPr>
        <w:pStyle w:val="NoSpacing"/>
        <w:jc w:val="both"/>
        <w:rPr>
          <w:rFonts w:ascii="Cambria" w:hAnsi="Cambria"/>
          <w:sz w:val="24"/>
          <w:szCs w:val="24"/>
          <w:lang w:eastAsia="en-GB"/>
        </w:rPr>
      </w:pPr>
      <w:r w:rsidRPr="00206C10">
        <w:rPr>
          <w:rFonts w:ascii="Cambria" w:hAnsi="Cambria"/>
          <w:sz w:val="24"/>
          <w:szCs w:val="24"/>
        </w:rPr>
        <w:t xml:space="preserve">Community Legal Centres Tasmania (CLC Tas) welcomes the opportunity to provide comment to the </w:t>
      </w:r>
      <w:r w:rsidRPr="00600CFE">
        <w:rPr>
          <w:rFonts w:ascii="Cambria" w:hAnsi="Cambria"/>
          <w:sz w:val="24"/>
          <w:szCs w:val="24"/>
        </w:rPr>
        <w:t>Department of Justice on the</w:t>
      </w:r>
      <w:r w:rsidRPr="00327F51">
        <w:rPr>
          <w:rFonts w:ascii="Cambria" w:hAnsi="Cambria"/>
          <w:sz w:val="24"/>
          <w:szCs w:val="24"/>
        </w:rPr>
        <w:t xml:space="preserve"> </w:t>
      </w:r>
      <w:r w:rsidRPr="00327F51">
        <w:rPr>
          <w:rFonts w:ascii="Cambria" w:hAnsi="Cambria"/>
          <w:i/>
          <w:iCs/>
          <w:sz w:val="24"/>
          <w:szCs w:val="24"/>
        </w:rPr>
        <w:t xml:space="preserve">Monetary Penalties Enforcement Amendment Bill 2020 </w:t>
      </w:r>
      <w:r w:rsidRPr="00327F51">
        <w:rPr>
          <w:rFonts w:ascii="Cambria" w:hAnsi="Cambria"/>
          <w:sz w:val="24"/>
          <w:szCs w:val="24"/>
        </w:rPr>
        <w:t>(‘the Bill’).</w:t>
      </w:r>
    </w:p>
    <w:p w14:paraId="35E655A0" w14:textId="77777777" w:rsidR="00327F51" w:rsidRDefault="00327F51" w:rsidP="00327F51">
      <w:pPr>
        <w:pStyle w:val="NoSpacing"/>
        <w:jc w:val="both"/>
        <w:rPr>
          <w:rFonts w:ascii="Cambria" w:hAnsi="Cambria"/>
          <w:sz w:val="24"/>
          <w:szCs w:val="24"/>
        </w:rPr>
      </w:pPr>
    </w:p>
    <w:p w14:paraId="207D248B" w14:textId="77777777" w:rsidR="00327F51" w:rsidRDefault="00327F51" w:rsidP="00327F51">
      <w:pPr>
        <w:pStyle w:val="NoSpacing"/>
        <w:jc w:val="both"/>
        <w:rPr>
          <w:rFonts w:ascii="Cambria" w:hAnsi="Cambria"/>
          <w:sz w:val="24"/>
          <w:szCs w:val="24"/>
        </w:rPr>
      </w:pPr>
      <w:r w:rsidRPr="00206C10">
        <w:rPr>
          <w:rFonts w:ascii="Cambria" w:hAnsi="Cambria"/>
          <w:sz w:val="24"/>
          <w:szCs w:val="24"/>
        </w:rPr>
        <w:t xml:space="preserve">CLC Tas is the peak body representing the interests of nine community legal centres (CLCs) located through Tasmania. We are a member-based, independent, not-for-profit and incorporated organisation that advocates for law reform on a range of public interest matters aimed at improving access to justice, reducing discrimination and protecting and promoting human rights. </w:t>
      </w:r>
    </w:p>
    <w:p w14:paraId="34F711D5" w14:textId="77777777" w:rsidR="00327F51" w:rsidRDefault="00327F51" w:rsidP="00327F51">
      <w:pPr>
        <w:pStyle w:val="NoSpacing"/>
        <w:jc w:val="both"/>
        <w:rPr>
          <w:rFonts w:ascii="Cambria" w:hAnsi="Cambria"/>
          <w:sz w:val="24"/>
          <w:szCs w:val="24"/>
        </w:rPr>
      </w:pPr>
    </w:p>
    <w:p w14:paraId="19F81F3C" w14:textId="63D50B80" w:rsidR="001A0030" w:rsidRDefault="00327F51" w:rsidP="00327F51">
      <w:pPr>
        <w:pStyle w:val="NoSpacing"/>
        <w:jc w:val="both"/>
        <w:rPr>
          <w:rFonts w:ascii="Cambria" w:hAnsi="Cambria"/>
          <w:sz w:val="24"/>
          <w:szCs w:val="24"/>
        </w:rPr>
      </w:pPr>
      <w:r w:rsidRPr="00206C10">
        <w:rPr>
          <w:rFonts w:ascii="Cambria" w:hAnsi="Cambria"/>
          <w:sz w:val="24"/>
          <w:szCs w:val="24"/>
        </w:rPr>
        <w:t xml:space="preserve">We </w:t>
      </w:r>
      <w:r>
        <w:rPr>
          <w:rFonts w:ascii="Cambria" w:hAnsi="Cambria"/>
          <w:sz w:val="24"/>
          <w:szCs w:val="24"/>
        </w:rPr>
        <w:t xml:space="preserve">are </w:t>
      </w:r>
      <w:r w:rsidRPr="00206C10">
        <w:rPr>
          <w:rFonts w:ascii="Cambria" w:hAnsi="Cambria"/>
          <w:sz w:val="24"/>
          <w:szCs w:val="24"/>
        </w:rPr>
        <w:t>support</w:t>
      </w:r>
      <w:r>
        <w:rPr>
          <w:rFonts w:ascii="Cambria" w:hAnsi="Cambria"/>
          <w:sz w:val="24"/>
          <w:szCs w:val="24"/>
        </w:rPr>
        <w:t xml:space="preserve">ive of the Tasmanian Government’s intention to amend the </w:t>
      </w:r>
      <w:r w:rsidRPr="00327F51">
        <w:rPr>
          <w:rFonts w:ascii="Cambria" w:hAnsi="Cambria"/>
          <w:i/>
          <w:iCs/>
          <w:sz w:val="24"/>
          <w:szCs w:val="24"/>
        </w:rPr>
        <w:t xml:space="preserve">Monetary Penalties Enforcement </w:t>
      </w:r>
      <w:r>
        <w:rPr>
          <w:rFonts w:ascii="Cambria" w:hAnsi="Cambria"/>
          <w:i/>
          <w:iCs/>
          <w:sz w:val="24"/>
          <w:szCs w:val="24"/>
        </w:rPr>
        <w:t>Act 2005</w:t>
      </w:r>
      <w:r>
        <w:rPr>
          <w:rFonts w:ascii="Cambria" w:hAnsi="Cambria"/>
          <w:sz w:val="24"/>
          <w:szCs w:val="24"/>
        </w:rPr>
        <w:t xml:space="preserve"> (Tas)</w:t>
      </w:r>
      <w:r w:rsidR="005D4AA4">
        <w:rPr>
          <w:rFonts w:ascii="Cambria" w:hAnsi="Cambria"/>
          <w:sz w:val="24"/>
          <w:szCs w:val="24"/>
        </w:rPr>
        <w:t xml:space="preserve"> (‘the Act’)</w:t>
      </w:r>
      <w:r>
        <w:rPr>
          <w:rFonts w:ascii="Cambria" w:hAnsi="Cambria"/>
          <w:sz w:val="24"/>
          <w:szCs w:val="24"/>
        </w:rPr>
        <w:t xml:space="preserve"> to provide the Director of the Monetary Penalties Enforcement Service with the power to obtain information to assist with decisions made under the Act</w:t>
      </w:r>
      <w:r w:rsidR="001A0030">
        <w:rPr>
          <w:rFonts w:ascii="Cambria" w:hAnsi="Cambria"/>
          <w:sz w:val="24"/>
          <w:szCs w:val="24"/>
        </w:rPr>
        <w:t xml:space="preserve"> a</w:t>
      </w:r>
      <w:r w:rsidR="005D4AA4">
        <w:rPr>
          <w:rFonts w:ascii="Cambria" w:hAnsi="Cambria"/>
          <w:sz w:val="24"/>
          <w:szCs w:val="24"/>
        </w:rPr>
        <w:t xml:space="preserve">nd; </w:t>
      </w:r>
      <w:r w:rsidR="001A0030">
        <w:rPr>
          <w:rFonts w:ascii="Cambria" w:hAnsi="Cambria"/>
          <w:sz w:val="24"/>
          <w:szCs w:val="24"/>
        </w:rPr>
        <w:t>to clarify the powers and</w:t>
      </w:r>
      <w:r w:rsidR="005D4AA4">
        <w:rPr>
          <w:rFonts w:ascii="Cambria" w:hAnsi="Cambria"/>
          <w:sz w:val="24"/>
          <w:szCs w:val="24"/>
        </w:rPr>
        <w:t>;</w:t>
      </w:r>
      <w:r w:rsidR="001A0030">
        <w:rPr>
          <w:rFonts w:ascii="Cambria" w:hAnsi="Cambria"/>
          <w:sz w:val="24"/>
          <w:szCs w:val="24"/>
        </w:rPr>
        <w:t xml:space="preserve"> provide improved administrative and safeguard provisions in respect of the current power to order the redirection of money owed by a</w:t>
      </w:r>
      <w:r w:rsidR="005D4AA4">
        <w:rPr>
          <w:rFonts w:ascii="Cambria" w:hAnsi="Cambria"/>
          <w:sz w:val="24"/>
          <w:szCs w:val="24"/>
        </w:rPr>
        <w:t xml:space="preserve">n enforcement </w:t>
      </w:r>
      <w:r w:rsidR="001A0030">
        <w:rPr>
          <w:rFonts w:ascii="Cambria" w:hAnsi="Cambria"/>
          <w:sz w:val="24"/>
          <w:szCs w:val="24"/>
        </w:rPr>
        <w:t>debtor.</w:t>
      </w:r>
    </w:p>
    <w:p w14:paraId="5FE05CDB" w14:textId="77777777" w:rsidR="001A0030" w:rsidRDefault="001A0030" w:rsidP="00327F51">
      <w:pPr>
        <w:pStyle w:val="NoSpacing"/>
        <w:jc w:val="both"/>
        <w:rPr>
          <w:rFonts w:ascii="Cambria" w:hAnsi="Cambria"/>
          <w:sz w:val="24"/>
          <w:szCs w:val="24"/>
        </w:rPr>
      </w:pPr>
    </w:p>
    <w:p w14:paraId="25D7DE4B" w14:textId="6E50DB23" w:rsidR="00A82F90" w:rsidRDefault="001A0030" w:rsidP="00327F51">
      <w:pPr>
        <w:pStyle w:val="NoSpacing"/>
        <w:jc w:val="both"/>
        <w:rPr>
          <w:rFonts w:ascii="Cambria" w:hAnsi="Cambria"/>
          <w:sz w:val="24"/>
          <w:szCs w:val="24"/>
        </w:rPr>
      </w:pPr>
      <w:r>
        <w:rPr>
          <w:rFonts w:ascii="Cambria" w:hAnsi="Cambria"/>
          <w:sz w:val="24"/>
          <w:szCs w:val="24"/>
        </w:rPr>
        <w:t>In particular, we strongly support claus</w:t>
      </w:r>
      <w:r w:rsidR="00A82F90">
        <w:rPr>
          <w:rFonts w:ascii="Cambria" w:hAnsi="Cambria"/>
          <w:sz w:val="24"/>
          <w:szCs w:val="24"/>
        </w:rPr>
        <w:t xml:space="preserve">e 98B of the Bill </w:t>
      </w:r>
      <w:r>
        <w:rPr>
          <w:rFonts w:ascii="Cambria" w:hAnsi="Cambria"/>
          <w:sz w:val="24"/>
          <w:szCs w:val="24"/>
        </w:rPr>
        <w:t xml:space="preserve">which will </w:t>
      </w:r>
      <w:r w:rsidR="00A82F90">
        <w:rPr>
          <w:rFonts w:ascii="Cambria" w:hAnsi="Cambria"/>
          <w:sz w:val="24"/>
          <w:szCs w:val="24"/>
        </w:rPr>
        <w:t xml:space="preserve">ensure that </w:t>
      </w:r>
      <w:r w:rsidR="00362364">
        <w:rPr>
          <w:rFonts w:ascii="Cambria" w:hAnsi="Cambria"/>
          <w:sz w:val="24"/>
          <w:szCs w:val="24"/>
        </w:rPr>
        <w:t>the Director of the Monetary Penalties Enforcement Service</w:t>
      </w:r>
      <w:r w:rsidR="00A82F90">
        <w:rPr>
          <w:rFonts w:ascii="Cambria" w:hAnsi="Cambria"/>
          <w:sz w:val="24"/>
          <w:szCs w:val="24"/>
        </w:rPr>
        <w:t xml:space="preserve"> considers the debtor’s financial circumstances:</w:t>
      </w:r>
    </w:p>
    <w:p w14:paraId="3CEB8EAF" w14:textId="77777777" w:rsidR="00A82F90" w:rsidRDefault="00A82F90" w:rsidP="00327F51">
      <w:pPr>
        <w:pStyle w:val="NoSpacing"/>
        <w:jc w:val="both"/>
        <w:rPr>
          <w:rFonts w:ascii="Cambria" w:hAnsi="Cambria"/>
          <w:sz w:val="24"/>
          <w:szCs w:val="24"/>
        </w:rPr>
      </w:pPr>
    </w:p>
    <w:p w14:paraId="7FB20A75" w14:textId="77777777" w:rsidR="00A82F90" w:rsidRPr="005D4AA4" w:rsidRDefault="00A82F90" w:rsidP="00362364">
      <w:pPr>
        <w:ind w:left="720"/>
        <w:jc w:val="both"/>
        <w:rPr>
          <w:rFonts w:ascii="Cambria" w:hAnsi="Cambria"/>
          <w:b/>
          <w:bCs/>
          <w:i/>
          <w:iCs/>
        </w:rPr>
      </w:pPr>
      <w:r w:rsidRPr="005D4AA4">
        <w:rPr>
          <w:rFonts w:ascii="Cambria" w:hAnsi="Cambria"/>
          <w:b/>
          <w:bCs/>
          <w:i/>
          <w:iCs/>
        </w:rPr>
        <w:t xml:space="preserve">98B. Director to have regard to enforcement debtor’s financial circumstances </w:t>
      </w:r>
    </w:p>
    <w:p w14:paraId="71AC9799" w14:textId="77777777" w:rsidR="00362364" w:rsidRPr="005D4AA4" w:rsidRDefault="00A82F90" w:rsidP="00362364">
      <w:pPr>
        <w:ind w:left="720"/>
        <w:jc w:val="both"/>
        <w:rPr>
          <w:rFonts w:ascii="Cambria" w:hAnsi="Cambria"/>
          <w:i/>
          <w:iCs/>
        </w:rPr>
      </w:pPr>
      <w:r w:rsidRPr="005D4AA4">
        <w:rPr>
          <w:rFonts w:ascii="Cambria" w:hAnsi="Cambria"/>
          <w:i/>
          <w:iCs/>
        </w:rPr>
        <w:t xml:space="preserve">In deciding whether to issue a redirection of money owing order to discharge all or part of an enforcement debtor’s debt, the Director must have regard to any evidence before the Director of – </w:t>
      </w:r>
    </w:p>
    <w:p w14:paraId="1A176656" w14:textId="77777777" w:rsidR="005D4AA4" w:rsidRPr="005D4AA4" w:rsidRDefault="005D4AA4" w:rsidP="00362364">
      <w:pPr>
        <w:ind w:left="720"/>
        <w:jc w:val="both"/>
        <w:rPr>
          <w:rFonts w:ascii="Cambria" w:hAnsi="Cambria"/>
          <w:i/>
          <w:iCs/>
        </w:rPr>
      </w:pPr>
    </w:p>
    <w:p w14:paraId="1E27BE04" w14:textId="7F2719D8" w:rsidR="00362364" w:rsidRPr="005D4AA4" w:rsidRDefault="00A82F90" w:rsidP="00362364">
      <w:pPr>
        <w:ind w:left="720"/>
        <w:jc w:val="both"/>
        <w:rPr>
          <w:rFonts w:ascii="Cambria" w:hAnsi="Cambria"/>
          <w:i/>
          <w:iCs/>
        </w:rPr>
      </w:pPr>
      <w:r w:rsidRPr="005D4AA4">
        <w:rPr>
          <w:rFonts w:ascii="Cambria" w:hAnsi="Cambria"/>
          <w:i/>
          <w:iCs/>
        </w:rPr>
        <w:t xml:space="preserve">(a) the enforcement debtor’s means of satisfying the debt; and </w:t>
      </w:r>
    </w:p>
    <w:p w14:paraId="1F059A41" w14:textId="77777777" w:rsidR="005D4AA4" w:rsidRPr="005D4AA4" w:rsidRDefault="005D4AA4" w:rsidP="00362364">
      <w:pPr>
        <w:ind w:left="720"/>
        <w:jc w:val="both"/>
        <w:rPr>
          <w:rFonts w:ascii="Cambria" w:hAnsi="Cambria"/>
          <w:i/>
          <w:iCs/>
        </w:rPr>
      </w:pPr>
    </w:p>
    <w:p w14:paraId="2F655F05" w14:textId="0EBDB641" w:rsidR="00362364" w:rsidRPr="005D4AA4" w:rsidRDefault="00A82F90" w:rsidP="00362364">
      <w:pPr>
        <w:ind w:left="720"/>
        <w:jc w:val="both"/>
        <w:rPr>
          <w:rFonts w:ascii="Cambria" w:hAnsi="Cambria"/>
          <w:i/>
          <w:iCs/>
        </w:rPr>
      </w:pPr>
      <w:r w:rsidRPr="005D4AA4">
        <w:rPr>
          <w:rFonts w:ascii="Cambria" w:hAnsi="Cambria"/>
          <w:i/>
          <w:iCs/>
        </w:rPr>
        <w:lastRenderedPageBreak/>
        <w:t xml:space="preserve">(b) the necessary living expenses of the enforcement debtor; and </w:t>
      </w:r>
    </w:p>
    <w:p w14:paraId="2FFA82A4" w14:textId="77777777" w:rsidR="005D4AA4" w:rsidRPr="005D4AA4" w:rsidRDefault="005D4AA4" w:rsidP="00362364">
      <w:pPr>
        <w:ind w:left="720"/>
        <w:jc w:val="both"/>
        <w:rPr>
          <w:rFonts w:ascii="Cambria" w:hAnsi="Cambria"/>
          <w:i/>
          <w:iCs/>
        </w:rPr>
      </w:pPr>
    </w:p>
    <w:p w14:paraId="719702DE" w14:textId="34FB83C2" w:rsidR="00A82F90" w:rsidRPr="005D4AA4" w:rsidRDefault="00A82F90" w:rsidP="00362364">
      <w:pPr>
        <w:ind w:left="720"/>
        <w:jc w:val="both"/>
        <w:rPr>
          <w:rFonts w:ascii="Cambria" w:hAnsi="Cambria"/>
          <w:i/>
          <w:iCs/>
        </w:rPr>
      </w:pPr>
      <w:r w:rsidRPr="005D4AA4">
        <w:rPr>
          <w:rFonts w:ascii="Cambria" w:hAnsi="Cambria"/>
          <w:i/>
          <w:iCs/>
        </w:rPr>
        <w:t>(c) any other liabilities of the enforcement debtor.</w:t>
      </w:r>
    </w:p>
    <w:p w14:paraId="1F1A7378" w14:textId="7B451B8C" w:rsidR="00327F51" w:rsidRDefault="00A82F90" w:rsidP="00327F51">
      <w:pPr>
        <w:pStyle w:val="NoSpacing"/>
        <w:jc w:val="both"/>
        <w:rPr>
          <w:rFonts w:ascii="Cambria" w:hAnsi="Cambria"/>
          <w:sz w:val="24"/>
          <w:szCs w:val="24"/>
        </w:rPr>
      </w:pPr>
      <w:r>
        <w:rPr>
          <w:rFonts w:ascii="Cambria" w:hAnsi="Cambria"/>
          <w:sz w:val="24"/>
          <w:szCs w:val="24"/>
        </w:rPr>
        <w:t xml:space="preserve"> </w:t>
      </w:r>
      <w:r w:rsidR="00327F51">
        <w:rPr>
          <w:rFonts w:ascii="Cambria" w:hAnsi="Cambria"/>
          <w:sz w:val="24"/>
          <w:szCs w:val="24"/>
        </w:rPr>
        <w:t xml:space="preserve">    </w:t>
      </w:r>
    </w:p>
    <w:p w14:paraId="20AE0471" w14:textId="77777777" w:rsidR="005D4AA4" w:rsidRDefault="00362364" w:rsidP="00D474A2">
      <w:pPr>
        <w:pStyle w:val="NoSpacing"/>
        <w:jc w:val="both"/>
        <w:rPr>
          <w:rFonts w:ascii="Cambria" w:hAnsi="Cambria"/>
          <w:bCs/>
          <w:sz w:val="24"/>
          <w:szCs w:val="24"/>
        </w:rPr>
      </w:pPr>
      <w:r w:rsidRPr="003F488D">
        <w:rPr>
          <w:rFonts w:ascii="Cambria" w:hAnsi="Cambria"/>
          <w:bCs/>
          <w:sz w:val="24"/>
          <w:szCs w:val="24"/>
        </w:rPr>
        <w:t>Importantly, section 86 of the Act provides that the Director may only issue a</w:t>
      </w:r>
      <w:r w:rsidR="003F488D">
        <w:rPr>
          <w:rFonts w:ascii="Cambria" w:hAnsi="Cambria"/>
          <w:bCs/>
          <w:sz w:val="24"/>
          <w:szCs w:val="24"/>
        </w:rPr>
        <w:t xml:space="preserve"> redirection order </w:t>
      </w:r>
      <w:r w:rsidRPr="003F488D">
        <w:rPr>
          <w:rFonts w:ascii="Cambria" w:hAnsi="Cambria"/>
          <w:bCs/>
          <w:sz w:val="24"/>
          <w:szCs w:val="24"/>
        </w:rPr>
        <w:t>if satisfied that the amount of earnings to be redirected will not reduce the enforcement debtor’s earnings to less than $378.53 per week.</w:t>
      </w:r>
      <w:r w:rsidRPr="003F488D">
        <w:rPr>
          <w:rStyle w:val="FootnoteReference"/>
          <w:rFonts w:ascii="Cambria" w:hAnsi="Cambria"/>
          <w:bCs/>
          <w:sz w:val="24"/>
          <w:szCs w:val="24"/>
        </w:rPr>
        <w:footnoteReference w:id="1"/>
      </w:r>
      <w:r w:rsidR="00DC0020">
        <w:rPr>
          <w:rFonts w:ascii="Cambria" w:hAnsi="Cambria"/>
          <w:bCs/>
          <w:sz w:val="24"/>
          <w:szCs w:val="24"/>
        </w:rPr>
        <w:t xml:space="preserve"> The </w:t>
      </w:r>
      <w:r w:rsidR="005D4AA4">
        <w:rPr>
          <w:rFonts w:ascii="Cambria" w:hAnsi="Cambria"/>
          <w:bCs/>
          <w:sz w:val="24"/>
          <w:szCs w:val="24"/>
        </w:rPr>
        <w:t xml:space="preserve">proposed </w:t>
      </w:r>
      <w:r w:rsidR="00DC0020">
        <w:rPr>
          <w:rFonts w:ascii="Cambria" w:hAnsi="Cambria"/>
          <w:bCs/>
          <w:sz w:val="24"/>
          <w:szCs w:val="24"/>
        </w:rPr>
        <w:t xml:space="preserve">amendment </w:t>
      </w:r>
      <w:r w:rsidR="005D4AA4">
        <w:rPr>
          <w:rFonts w:ascii="Cambria" w:hAnsi="Cambria"/>
          <w:bCs/>
          <w:sz w:val="24"/>
          <w:szCs w:val="24"/>
        </w:rPr>
        <w:t xml:space="preserve">will </w:t>
      </w:r>
      <w:r w:rsidR="00DC0020">
        <w:rPr>
          <w:rFonts w:ascii="Cambria" w:hAnsi="Cambria"/>
          <w:bCs/>
          <w:sz w:val="24"/>
          <w:szCs w:val="24"/>
        </w:rPr>
        <w:t xml:space="preserve">ensure that the Director considers the enforcement debtor’s living expenses and liabilities </w:t>
      </w:r>
      <w:r w:rsidR="005D4AA4">
        <w:rPr>
          <w:rFonts w:ascii="Cambria" w:hAnsi="Cambria"/>
          <w:bCs/>
          <w:sz w:val="24"/>
          <w:szCs w:val="24"/>
        </w:rPr>
        <w:t xml:space="preserve">and </w:t>
      </w:r>
      <w:r w:rsidR="00DC0020">
        <w:rPr>
          <w:rFonts w:ascii="Cambria" w:hAnsi="Cambria"/>
          <w:bCs/>
          <w:sz w:val="24"/>
          <w:szCs w:val="24"/>
        </w:rPr>
        <w:t xml:space="preserve">will better protect persons against financial hardship. </w:t>
      </w:r>
    </w:p>
    <w:p w14:paraId="7B578A40" w14:textId="77777777" w:rsidR="005D4AA4" w:rsidRDefault="005D4AA4" w:rsidP="00D474A2">
      <w:pPr>
        <w:pStyle w:val="NoSpacing"/>
        <w:jc w:val="both"/>
        <w:rPr>
          <w:rFonts w:ascii="Cambria" w:hAnsi="Cambria"/>
          <w:bCs/>
          <w:sz w:val="24"/>
          <w:szCs w:val="24"/>
        </w:rPr>
      </w:pPr>
    </w:p>
    <w:p w14:paraId="095591A1" w14:textId="0C46166E" w:rsidR="005D4AA4" w:rsidRDefault="00D474A2" w:rsidP="005D4AA4">
      <w:pPr>
        <w:pStyle w:val="NoSpacing"/>
        <w:jc w:val="both"/>
        <w:rPr>
          <w:rFonts w:ascii="Cambria" w:hAnsi="Cambria" w:cs="Arial"/>
          <w:sz w:val="24"/>
          <w:szCs w:val="24"/>
        </w:rPr>
      </w:pPr>
      <w:r w:rsidRPr="00D474A2">
        <w:rPr>
          <w:rFonts w:ascii="Cambria" w:hAnsi="Cambria"/>
          <w:bCs/>
          <w:sz w:val="24"/>
          <w:szCs w:val="24"/>
        </w:rPr>
        <w:t xml:space="preserve">However, we would also note </w:t>
      </w:r>
      <w:r>
        <w:rPr>
          <w:rFonts w:ascii="Cambria" w:hAnsi="Cambria"/>
          <w:bCs/>
          <w:sz w:val="24"/>
          <w:szCs w:val="24"/>
        </w:rPr>
        <w:t>our concern that the Bill and particularly clause 98B is merely ameliorative and does not</w:t>
      </w:r>
      <w:r w:rsidRPr="00D474A2">
        <w:rPr>
          <w:rFonts w:ascii="Cambria" w:hAnsi="Cambria"/>
          <w:bCs/>
          <w:sz w:val="24"/>
          <w:szCs w:val="24"/>
        </w:rPr>
        <w:t xml:space="preserve"> </w:t>
      </w:r>
      <w:r w:rsidRPr="00D474A2">
        <w:rPr>
          <w:rFonts w:ascii="Cambria" w:hAnsi="Cambria" w:cs="Arial"/>
          <w:sz w:val="24"/>
          <w:szCs w:val="24"/>
        </w:rPr>
        <w:t xml:space="preserve">address the </w:t>
      </w:r>
      <w:r w:rsidR="005D4AA4">
        <w:rPr>
          <w:rFonts w:ascii="Cambria" w:hAnsi="Cambria" w:cs="Arial"/>
          <w:sz w:val="24"/>
          <w:szCs w:val="24"/>
        </w:rPr>
        <w:t xml:space="preserve">underlying </w:t>
      </w:r>
      <w:r w:rsidRPr="00D474A2">
        <w:rPr>
          <w:rFonts w:ascii="Cambria" w:hAnsi="Cambria" w:cs="Arial"/>
          <w:sz w:val="24"/>
          <w:szCs w:val="24"/>
        </w:rPr>
        <w:t xml:space="preserve">issue that </w:t>
      </w:r>
      <w:r w:rsidR="005D4AA4">
        <w:rPr>
          <w:rFonts w:ascii="Cambria" w:hAnsi="Cambria" w:cs="Arial"/>
          <w:sz w:val="24"/>
          <w:szCs w:val="24"/>
        </w:rPr>
        <w:t xml:space="preserve">many </w:t>
      </w:r>
      <w:r w:rsidRPr="00D474A2">
        <w:rPr>
          <w:rFonts w:ascii="Cambria" w:hAnsi="Cambria" w:cs="Arial"/>
          <w:sz w:val="24"/>
          <w:szCs w:val="24"/>
        </w:rPr>
        <w:t>fine</w:t>
      </w:r>
      <w:r w:rsidR="005D4AA4">
        <w:rPr>
          <w:rFonts w:ascii="Cambria" w:hAnsi="Cambria" w:cs="Arial"/>
          <w:sz w:val="24"/>
          <w:szCs w:val="24"/>
        </w:rPr>
        <w:t>s</w:t>
      </w:r>
      <w:r w:rsidRPr="00D474A2">
        <w:rPr>
          <w:rFonts w:ascii="Cambria" w:hAnsi="Cambria" w:cs="Arial"/>
          <w:sz w:val="24"/>
          <w:szCs w:val="24"/>
        </w:rPr>
        <w:t xml:space="preserve"> imposed </w:t>
      </w:r>
      <w:r w:rsidR="005D4AA4">
        <w:rPr>
          <w:rFonts w:ascii="Cambria" w:hAnsi="Cambria" w:cs="Arial"/>
          <w:sz w:val="24"/>
          <w:szCs w:val="24"/>
        </w:rPr>
        <w:t xml:space="preserve">in Tasmania are disproportionately harsh for the socially and financially disadvantaged. </w:t>
      </w:r>
    </w:p>
    <w:p w14:paraId="1C96871F" w14:textId="77777777" w:rsidR="005D4AA4" w:rsidRPr="005D4AA4" w:rsidRDefault="005D4AA4" w:rsidP="005D4AA4">
      <w:pPr>
        <w:pStyle w:val="NoSpacing"/>
        <w:jc w:val="both"/>
        <w:rPr>
          <w:rFonts w:ascii="Cambria" w:hAnsi="Cambria" w:cs="Arial"/>
          <w:sz w:val="24"/>
          <w:szCs w:val="24"/>
        </w:rPr>
      </w:pPr>
    </w:p>
    <w:p w14:paraId="39ADB7CC" w14:textId="77777777" w:rsidR="005D4AA4" w:rsidRPr="005D4AA4" w:rsidRDefault="00D474A2" w:rsidP="005D4AA4">
      <w:pPr>
        <w:pStyle w:val="NoSpacing"/>
        <w:jc w:val="both"/>
        <w:rPr>
          <w:rFonts w:ascii="Cambria" w:hAnsi="Cambria" w:cs="Arial"/>
          <w:sz w:val="24"/>
          <w:szCs w:val="24"/>
        </w:rPr>
      </w:pPr>
      <w:r w:rsidRPr="005D4AA4">
        <w:rPr>
          <w:rFonts w:ascii="Cambria" w:hAnsi="Cambria" w:cs="Arial"/>
          <w:sz w:val="24"/>
          <w:szCs w:val="24"/>
        </w:rPr>
        <w:t>In our opinion, the imposition of fines in Tasmanian courts often results in both inequality and unfairness. This is the outcome of laws requiring courts to impose a fine that is either a fixed-sum or mandates a minimum amount (such as for drink-driving offences) with no discretion available to reduce the amount of the fine. More than a decade ago, the then Chief Justice of Tasmania concluded that in such circumstances, the fine is ‘draconian’ whilst a significant number of New South Wales Supreme Court judges have similarly found that the imposition of fines could be ‘disproportionately severe’.</w:t>
      </w:r>
      <w:r w:rsidRPr="005D4AA4">
        <w:rPr>
          <w:rStyle w:val="FootnoteReference"/>
          <w:rFonts w:ascii="Cambria" w:hAnsi="Cambria" w:cs="Arial"/>
          <w:sz w:val="24"/>
          <w:szCs w:val="24"/>
        </w:rPr>
        <w:footnoteReference w:id="2"/>
      </w:r>
    </w:p>
    <w:p w14:paraId="7FA07B34" w14:textId="77777777" w:rsidR="005D4AA4" w:rsidRPr="005D4AA4" w:rsidRDefault="005D4AA4" w:rsidP="005D4AA4">
      <w:pPr>
        <w:pStyle w:val="NoSpacing"/>
        <w:jc w:val="both"/>
        <w:rPr>
          <w:rFonts w:ascii="Cambria" w:hAnsi="Cambria" w:cs="Arial"/>
          <w:sz w:val="24"/>
          <w:szCs w:val="24"/>
        </w:rPr>
      </w:pPr>
    </w:p>
    <w:p w14:paraId="54EF6805" w14:textId="77777777" w:rsidR="005D4AA4" w:rsidRPr="005D4AA4" w:rsidRDefault="00D474A2" w:rsidP="005D4AA4">
      <w:pPr>
        <w:pStyle w:val="NoSpacing"/>
        <w:jc w:val="both"/>
        <w:rPr>
          <w:rFonts w:ascii="Cambria" w:hAnsi="Cambria" w:cs="Arial"/>
          <w:sz w:val="24"/>
          <w:szCs w:val="24"/>
        </w:rPr>
      </w:pPr>
      <w:r w:rsidRPr="005D4AA4">
        <w:rPr>
          <w:rFonts w:ascii="Cambria" w:hAnsi="Cambria" w:cs="Arial"/>
          <w:sz w:val="24"/>
          <w:szCs w:val="24"/>
        </w:rPr>
        <w:t>In other cases, where the court is granted discretion, the courts have adopted a ‘going rate’ fine for particular offences with courts able to make some adjustment downwards if the offender is unable to pay, but where no scope exists to increase a fine on the grounds of the affluence of the offender.</w:t>
      </w:r>
      <w:r w:rsidRPr="005D4AA4">
        <w:rPr>
          <w:rStyle w:val="FootnoteReference"/>
          <w:rFonts w:ascii="Cambria" w:hAnsi="Cambria" w:cs="Arial"/>
          <w:sz w:val="24"/>
          <w:szCs w:val="24"/>
        </w:rPr>
        <w:footnoteReference w:id="3"/>
      </w:r>
      <w:r w:rsidR="00F971D0" w:rsidRPr="005D4AA4">
        <w:rPr>
          <w:rFonts w:ascii="Cambria" w:hAnsi="Cambria" w:cs="Arial"/>
          <w:sz w:val="24"/>
          <w:szCs w:val="24"/>
        </w:rPr>
        <w:t xml:space="preserve"> The failure to ensure that the fine has a similar punitive bite means that the sentencing principle of equal impact is not met. When two offenders pay the same fine but one has a higher income the fine cannot have the same effect. For wealthy offenders the fine may be too easily paid and hence no real punishment or even seen as a ‘licence fee’ in order to continue offending. </w:t>
      </w:r>
    </w:p>
    <w:p w14:paraId="7D4DA786" w14:textId="77777777" w:rsidR="005D4AA4" w:rsidRPr="005D4AA4" w:rsidRDefault="005D4AA4" w:rsidP="005D4AA4">
      <w:pPr>
        <w:pStyle w:val="NoSpacing"/>
        <w:jc w:val="both"/>
        <w:rPr>
          <w:rFonts w:ascii="Cambria" w:hAnsi="Cambria" w:cs="Arial"/>
          <w:sz w:val="24"/>
          <w:szCs w:val="24"/>
        </w:rPr>
      </w:pPr>
    </w:p>
    <w:p w14:paraId="51D1399E" w14:textId="77777777" w:rsidR="005D4AA4" w:rsidRDefault="00D474A2" w:rsidP="00327F51">
      <w:pPr>
        <w:pStyle w:val="NoSpacing"/>
        <w:jc w:val="both"/>
        <w:rPr>
          <w:rFonts w:ascii="Cambria" w:hAnsi="Cambria"/>
          <w:bCs/>
          <w:sz w:val="24"/>
          <w:szCs w:val="24"/>
        </w:rPr>
      </w:pPr>
      <w:r w:rsidRPr="005D4AA4">
        <w:rPr>
          <w:rFonts w:ascii="Cambria" w:hAnsi="Cambria" w:cs="Arial"/>
          <w:sz w:val="24"/>
          <w:szCs w:val="24"/>
        </w:rPr>
        <w:t xml:space="preserve">Whilst outside the scope of this Bill, we strongly recommend that the Tasmanian Government </w:t>
      </w:r>
      <w:r w:rsidR="00F971D0" w:rsidRPr="005D4AA4">
        <w:rPr>
          <w:rFonts w:ascii="Cambria" w:hAnsi="Cambria" w:cs="Arial"/>
          <w:sz w:val="24"/>
          <w:szCs w:val="24"/>
        </w:rPr>
        <w:t xml:space="preserve">consider </w:t>
      </w:r>
      <w:r w:rsidR="005D4AA4">
        <w:rPr>
          <w:rFonts w:ascii="Cambria" w:hAnsi="Cambria" w:cs="Arial"/>
          <w:sz w:val="24"/>
          <w:szCs w:val="24"/>
        </w:rPr>
        <w:t xml:space="preserve">reviewing the way in which fines are imposed. In our opinion, </w:t>
      </w:r>
      <w:r w:rsidR="00F971D0" w:rsidRPr="005D4AA4">
        <w:rPr>
          <w:rFonts w:ascii="Cambria" w:hAnsi="Cambria" w:cs="Arial"/>
          <w:sz w:val="24"/>
          <w:szCs w:val="24"/>
        </w:rPr>
        <w:t xml:space="preserve">the </w:t>
      </w:r>
      <w:r w:rsidR="00F971D0" w:rsidRPr="005D4AA4">
        <w:rPr>
          <w:rFonts w:ascii="Cambria" w:hAnsi="Cambria" w:cs="Arial"/>
          <w:sz w:val="24"/>
          <w:szCs w:val="24"/>
        </w:rPr>
        <w:lastRenderedPageBreak/>
        <w:t>introduction of fines proportionate to the offender’s income</w:t>
      </w:r>
      <w:r w:rsidR="005D4AA4">
        <w:rPr>
          <w:rFonts w:ascii="Cambria" w:hAnsi="Cambria" w:cs="Arial"/>
          <w:sz w:val="24"/>
          <w:szCs w:val="24"/>
        </w:rPr>
        <w:t xml:space="preserve"> </w:t>
      </w:r>
      <w:r w:rsidR="00F971D0" w:rsidRPr="005D4AA4">
        <w:rPr>
          <w:rFonts w:ascii="Cambria" w:hAnsi="Cambria" w:cs="Arial"/>
          <w:sz w:val="24"/>
          <w:szCs w:val="24"/>
        </w:rPr>
        <w:t xml:space="preserve">will lead to fairer outcomes and increased community support in the sentencing system.  </w:t>
      </w:r>
    </w:p>
    <w:p w14:paraId="1E6F4575" w14:textId="77777777" w:rsidR="005D4AA4" w:rsidRDefault="005D4AA4" w:rsidP="00327F51">
      <w:pPr>
        <w:pStyle w:val="NoSpacing"/>
        <w:jc w:val="both"/>
        <w:rPr>
          <w:rFonts w:ascii="Cambria" w:hAnsi="Cambria"/>
          <w:bCs/>
          <w:sz w:val="24"/>
          <w:szCs w:val="24"/>
        </w:rPr>
      </w:pPr>
    </w:p>
    <w:p w14:paraId="1A69AC28" w14:textId="629C3A23" w:rsidR="00327F51" w:rsidRPr="005D4AA4" w:rsidRDefault="00327F51" w:rsidP="00327F51">
      <w:pPr>
        <w:pStyle w:val="NoSpacing"/>
        <w:jc w:val="both"/>
        <w:rPr>
          <w:rFonts w:ascii="Cambria" w:hAnsi="Cambria"/>
          <w:bCs/>
          <w:sz w:val="24"/>
          <w:szCs w:val="24"/>
        </w:rPr>
      </w:pPr>
      <w:r w:rsidRPr="00206C10">
        <w:rPr>
          <w:rFonts w:ascii="Cambria" w:hAnsi="Cambria"/>
          <w:sz w:val="24"/>
          <w:szCs w:val="24"/>
        </w:rPr>
        <w:t>If we can be of any further assistance, please do not hesitate to contact us.</w:t>
      </w:r>
    </w:p>
    <w:p w14:paraId="62FE2C35" w14:textId="77777777" w:rsidR="00327F51" w:rsidRDefault="00327F51" w:rsidP="00327F51">
      <w:pPr>
        <w:pStyle w:val="NoSpacing"/>
        <w:jc w:val="both"/>
        <w:rPr>
          <w:rFonts w:ascii="Cambria" w:hAnsi="Cambria"/>
          <w:sz w:val="24"/>
          <w:szCs w:val="24"/>
        </w:rPr>
      </w:pPr>
    </w:p>
    <w:p w14:paraId="4BF2D780" w14:textId="77777777" w:rsidR="00327F51" w:rsidRDefault="00327F51" w:rsidP="00327F51">
      <w:pPr>
        <w:pStyle w:val="NoSpacing"/>
        <w:jc w:val="both"/>
        <w:rPr>
          <w:rFonts w:ascii="Cambria" w:hAnsi="Cambria"/>
          <w:sz w:val="24"/>
          <w:szCs w:val="24"/>
        </w:rPr>
      </w:pPr>
    </w:p>
    <w:p w14:paraId="3E423912" w14:textId="77777777" w:rsidR="00327F51" w:rsidRPr="00206C10" w:rsidRDefault="00327F51" w:rsidP="00327F51">
      <w:pPr>
        <w:pStyle w:val="NoSpacing"/>
        <w:jc w:val="both"/>
        <w:rPr>
          <w:rFonts w:ascii="Cambria" w:hAnsi="Cambria"/>
          <w:sz w:val="24"/>
          <w:szCs w:val="24"/>
        </w:rPr>
      </w:pPr>
      <w:r w:rsidRPr="00206C10">
        <w:rPr>
          <w:rFonts w:ascii="Cambria" w:hAnsi="Cambria"/>
          <w:sz w:val="24"/>
          <w:szCs w:val="24"/>
        </w:rPr>
        <w:t xml:space="preserve">Yours faithfully, </w:t>
      </w:r>
    </w:p>
    <w:p w14:paraId="0D942CC7" w14:textId="77777777" w:rsidR="00327F51" w:rsidRPr="00206C10" w:rsidRDefault="00327F51" w:rsidP="00327F51">
      <w:pPr>
        <w:pStyle w:val="NoSpacing"/>
        <w:jc w:val="both"/>
        <w:rPr>
          <w:rFonts w:ascii="Cambria" w:hAnsi="Cambria"/>
          <w:sz w:val="24"/>
          <w:szCs w:val="24"/>
        </w:rPr>
      </w:pPr>
    </w:p>
    <w:p w14:paraId="08867B7A" w14:textId="77777777" w:rsidR="00327F51" w:rsidRPr="00206C10" w:rsidRDefault="00327F51" w:rsidP="00327F51">
      <w:pPr>
        <w:pStyle w:val="NoSpacing"/>
        <w:jc w:val="both"/>
        <w:rPr>
          <w:rFonts w:ascii="Cambria" w:hAnsi="Cambria"/>
          <w:sz w:val="24"/>
          <w:szCs w:val="24"/>
        </w:rPr>
      </w:pPr>
    </w:p>
    <w:p w14:paraId="2A3BBF1A" w14:textId="77777777" w:rsidR="00327F51" w:rsidRDefault="00327F51" w:rsidP="00327F51">
      <w:pPr>
        <w:pStyle w:val="NoSpacing"/>
        <w:jc w:val="both"/>
        <w:rPr>
          <w:rFonts w:ascii="Cambria" w:hAnsi="Cambria"/>
          <w:sz w:val="24"/>
          <w:szCs w:val="24"/>
        </w:rPr>
      </w:pPr>
    </w:p>
    <w:p w14:paraId="511F22BC" w14:textId="77777777" w:rsidR="00327F51" w:rsidRDefault="00327F51" w:rsidP="00327F51">
      <w:pPr>
        <w:pStyle w:val="NoSpacing"/>
        <w:jc w:val="both"/>
        <w:rPr>
          <w:rFonts w:ascii="Cambria" w:hAnsi="Cambria"/>
          <w:sz w:val="24"/>
          <w:szCs w:val="24"/>
        </w:rPr>
      </w:pPr>
      <w:r>
        <w:rPr>
          <w:rFonts w:ascii="Cambria" w:hAnsi="Cambria"/>
          <w:sz w:val="24"/>
          <w:szCs w:val="24"/>
        </w:rPr>
        <w:t xml:space="preserve">Benedict </w:t>
      </w:r>
      <w:proofErr w:type="spellStart"/>
      <w:r>
        <w:rPr>
          <w:rFonts w:ascii="Cambria" w:hAnsi="Cambria"/>
          <w:sz w:val="24"/>
          <w:szCs w:val="24"/>
        </w:rPr>
        <w:t>Bartl</w:t>
      </w:r>
      <w:proofErr w:type="spellEnd"/>
    </w:p>
    <w:p w14:paraId="32845B6B" w14:textId="77777777" w:rsidR="00327F51" w:rsidRPr="00206C10" w:rsidRDefault="00327F51" w:rsidP="00327F51">
      <w:pPr>
        <w:pStyle w:val="NoSpacing"/>
        <w:jc w:val="both"/>
        <w:rPr>
          <w:rFonts w:ascii="Cambria" w:hAnsi="Cambria"/>
          <w:sz w:val="24"/>
          <w:szCs w:val="24"/>
        </w:rPr>
      </w:pPr>
      <w:r>
        <w:rPr>
          <w:rFonts w:ascii="Cambria" w:hAnsi="Cambria"/>
          <w:sz w:val="24"/>
          <w:szCs w:val="24"/>
        </w:rPr>
        <w:t>Policy Officer</w:t>
      </w:r>
    </w:p>
    <w:p w14:paraId="1AB3D889" w14:textId="77777777" w:rsidR="00327F51" w:rsidRPr="00C86183" w:rsidRDefault="00327F51" w:rsidP="00327F51">
      <w:pPr>
        <w:pStyle w:val="NoSpacing"/>
        <w:jc w:val="both"/>
        <w:rPr>
          <w:rFonts w:ascii="Cambria" w:hAnsi="Cambria"/>
          <w:b/>
          <w:bCs/>
          <w:sz w:val="24"/>
          <w:szCs w:val="24"/>
        </w:rPr>
      </w:pPr>
      <w:r w:rsidRPr="00206C10">
        <w:rPr>
          <w:rFonts w:ascii="Cambria" w:hAnsi="Cambria"/>
          <w:b/>
          <w:bCs/>
          <w:noProof/>
          <w:sz w:val="24"/>
          <w:szCs w:val="24"/>
        </w:rPr>
        <mc:AlternateContent>
          <mc:Choice Requires="wps">
            <w:drawing>
              <wp:anchor distT="0" distB="0" distL="114300" distR="114300" simplePos="0" relativeHeight="251660288" behindDoc="0" locked="0" layoutInCell="1" allowOverlap="1" wp14:anchorId="07532433" wp14:editId="1BA07359">
                <wp:simplePos x="0" y="0"/>
                <wp:positionH relativeFrom="column">
                  <wp:posOffset>0</wp:posOffset>
                </wp:positionH>
                <wp:positionV relativeFrom="paragraph">
                  <wp:posOffset>189865</wp:posOffset>
                </wp:positionV>
                <wp:extent cx="6050280" cy="15240"/>
                <wp:effectExtent l="0" t="0" r="26670" b="22860"/>
                <wp:wrapNone/>
                <wp:docPr id="2" name="Straight Connector 2"/>
                <wp:cNvGraphicFramePr/>
                <a:graphic xmlns:a="http://schemas.openxmlformats.org/drawingml/2006/main">
                  <a:graphicData uri="http://schemas.microsoft.com/office/word/2010/wordprocessingShape">
                    <wps:wsp>
                      <wps:cNvCnPr/>
                      <wps:spPr>
                        <a:xfrm>
                          <a:off x="0" y="0"/>
                          <a:ext cx="605028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07ADD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4.95pt" to="476.4pt,1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" strokecolor="black [3200]" strokeweight=".5pt">
                <v:stroke joinstyle="miter"/>
              </v:line>
            </w:pict>
          </mc:Fallback>
        </mc:AlternateContent>
      </w:r>
      <w:r w:rsidRPr="00206C10">
        <w:rPr>
          <w:rFonts w:ascii="Cambria" w:hAnsi="Cambria"/>
          <w:b/>
          <w:bCs/>
          <w:sz w:val="24"/>
          <w:szCs w:val="24"/>
        </w:rPr>
        <w:t>Community Legal Centres Tasmania</w:t>
      </w:r>
      <w:r>
        <w:t xml:space="preserve"> </w:t>
      </w:r>
    </w:p>
    <w:p w14:paraId="1D12B0D2" w14:textId="77777777" w:rsidR="00576A90" w:rsidRDefault="003846EF"/>
    <w:sectPr w:rsidR="00576A90" w:rsidSect="00215FC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7B761" w14:textId="77777777" w:rsidR="003846EF" w:rsidRDefault="003846EF" w:rsidP="00327F51">
      <w:r>
        <w:separator/>
      </w:r>
    </w:p>
  </w:endnote>
  <w:endnote w:type="continuationSeparator" w:id="0">
    <w:p w14:paraId="4ED689C4" w14:textId="77777777" w:rsidR="003846EF" w:rsidRDefault="003846EF" w:rsidP="0032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1F4FA" w14:textId="77777777" w:rsidR="003846EF" w:rsidRDefault="003846EF" w:rsidP="00327F51">
      <w:r>
        <w:separator/>
      </w:r>
    </w:p>
  </w:footnote>
  <w:footnote w:type="continuationSeparator" w:id="0">
    <w:p w14:paraId="189C9422" w14:textId="77777777" w:rsidR="003846EF" w:rsidRDefault="003846EF" w:rsidP="00327F51">
      <w:r>
        <w:continuationSeparator/>
      </w:r>
    </w:p>
  </w:footnote>
  <w:footnote w:id="1">
    <w:p w14:paraId="4BD96CFC" w14:textId="5FF781CF" w:rsidR="00362364" w:rsidRPr="005D4AA4" w:rsidRDefault="00362364" w:rsidP="000D1136">
      <w:pPr>
        <w:rPr>
          <w:rFonts w:ascii="Cambria" w:hAnsi="Cambria"/>
          <w:color w:val="000000"/>
          <w:sz w:val="25"/>
          <w:szCs w:val="25"/>
          <w:shd w:val="clear" w:color="auto" w:fill="FFFFFF"/>
        </w:rPr>
      </w:pPr>
      <w:r w:rsidRPr="005D4AA4">
        <w:rPr>
          <w:rStyle w:val="FootnoteReference"/>
          <w:rFonts w:ascii="Cambria" w:hAnsi="Cambria"/>
        </w:rPr>
        <w:footnoteRef/>
      </w:r>
      <w:r w:rsidRPr="005D4AA4">
        <w:rPr>
          <w:rFonts w:ascii="Cambria" w:hAnsi="Cambria"/>
        </w:rPr>
        <w:t xml:space="preserve"> </w:t>
      </w:r>
      <w:r w:rsidRPr="005D4AA4">
        <w:rPr>
          <w:rFonts w:ascii="Cambria" w:hAnsi="Cambria"/>
          <w:sz w:val="20"/>
          <w:szCs w:val="20"/>
        </w:rPr>
        <w:t xml:space="preserve">Section 86 of the </w:t>
      </w:r>
      <w:r w:rsidRPr="005D4AA4">
        <w:rPr>
          <w:rFonts w:ascii="Cambria" w:hAnsi="Cambria"/>
          <w:i/>
          <w:iCs/>
          <w:sz w:val="20"/>
          <w:szCs w:val="20"/>
        </w:rPr>
        <w:t>Monetary Penalties Enforcement Act 2005</w:t>
      </w:r>
      <w:r w:rsidRPr="005D4AA4">
        <w:rPr>
          <w:rFonts w:ascii="Cambria" w:hAnsi="Cambria"/>
          <w:sz w:val="20"/>
          <w:szCs w:val="20"/>
        </w:rPr>
        <w:t xml:space="preserve"> (Tas) provides that the </w:t>
      </w:r>
      <w:r w:rsidRPr="005D4AA4">
        <w:rPr>
          <w:rFonts w:ascii="Cambria" w:hAnsi="Cambria"/>
          <w:color w:val="000000"/>
          <w:sz w:val="20"/>
          <w:szCs w:val="20"/>
          <w:shd w:val="clear" w:color="auto" w:fill="FFFFFF"/>
        </w:rPr>
        <w:t xml:space="preserve">Director may only issue an order for redirection of the enforcement debtor's earnings if the </w:t>
      </w:r>
      <w:r w:rsidR="000D1136" w:rsidRPr="005D4AA4">
        <w:rPr>
          <w:rFonts w:ascii="Cambria" w:hAnsi="Cambria"/>
          <w:color w:val="000000"/>
          <w:sz w:val="20"/>
          <w:szCs w:val="20"/>
          <w:shd w:val="clear" w:color="auto" w:fill="FFFFFF"/>
        </w:rPr>
        <w:t xml:space="preserve">earnings remaining  to the </w:t>
      </w:r>
      <w:r w:rsidRPr="005D4AA4">
        <w:rPr>
          <w:rFonts w:ascii="Cambria" w:hAnsi="Cambria"/>
          <w:color w:val="000000"/>
          <w:sz w:val="20"/>
          <w:szCs w:val="20"/>
          <w:shd w:val="clear" w:color="auto" w:fill="FFFFFF"/>
        </w:rPr>
        <w:t xml:space="preserve">enforcement debtor </w:t>
      </w:r>
      <w:r w:rsidR="000D1136" w:rsidRPr="005D4AA4">
        <w:rPr>
          <w:rFonts w:ascii="Cambria" w:hAnsi="Cambria"/>
          <w:color w:val="000000"/>
          <w:sz w:val="20"/>
          <w:szCs w:val="20"/>
          <w:shd w:val="clear" w:color="auto" w:fill="FFFFFF"/>
        </w:rPr>
        <w:t xml:space="preserve">will not be less </w:t>
      </w:r>
      <w:r w:rsidRPr="005D4AA4">
        <w:rPr>
          <w:rFonts w:ascii="Cambria" w:hAnsi="Cambria"/>
          <w:color w:val="000000"/>
          <w:sz w:val="20"/>
          <w:szCs w:val="20"/>
          <w:shd w:val="clear" w:color="auto" w:fill="FFFFFF"/>
        </w:rPr>
        <w:t xml:space="preserve">than the protected earnings amount. </w:t>
      </w:r>
      <w:r w:rsidR="00896E70" w:rsidRPr="005D4AA4">
        <w:rPr>
          <w:rFonts w:ascii="Cambria" w:hAnsi="Cambria"/>
          <w:color w:val="000000"/>
          <w:sz w:val="20"/>
          <w:szCs w:val="20"/>
          <w:shd w:val="clear" w:color="auto" w:fill="FFFFFF"/>
        </w:rPr>
        <w:t xml:space="preserve">Section 3 of the Act defines the </w:t>
      </w:r>
      <w:r w:rsidRPr="005D4AA4">
        <w:rPr>
          <w:rFonts w:ascii="Cambria" w:hAnsi="Cambria"/>
          <w:color w:val="000000"/>
          <w:sz w:val="20"/>
          <w:szCs w:val="20"/>
          <w:shd w:val="clear" w:color="auto" w:fill="FFFFFF"/>
        </w:rPr>
        <w:t xml:space="preserve">‘protected earnings amount’ </w:t>
      </w:r>
      <w:r w:rsidR="00896E70" w:rsidRPr="005D4AA4">
        <w:rPr>
          <w:rFonts w:ascii="Cambria" w:hAnsi="Cambria"/>
          <w:color w:val="000000"/>
          <w:sz w:val="20"/>
          <w:szCs w:val="20"/>
          <w:shd w:val="clear" w:color="auto" w:fill="FFFFFF"/>
        </w:rPr>
        <w:t>as an</w:t>
      </w:r>
      <w:r w:rsidRPr="005D4AA4">
        <w:rPr>
          <w:rFonts w:ascii="Cambria" w:hAnsi="Cambria"/>
          <w:color w:val="000000"/>
          <w:sz w:val="20"/>
          <w:szCs w:val="20"/>
          <w:shd w:val="clear" w:color="auto" w:fill="FFFFFF"/>
        </w:rPr>
        <w:t xml:space="preserve"> </w:t>
      </w:r>
      <w:r w:rsidR="00896E70" w:rsidRPr="005D4AA4">
        <w:rPr>
          <w:rFonts w:ascii="Cambria" w:hAnsi="Cambria"/>
          <w:color w:val="000000"/>
          <w:sz w:val="20"/>
          <w:szCs w:val="20"/>
          <w:shd w:val="clear" w:color="auto" w:fill="FFFFFF"/>
        </w:rPr>
        <w:t>‘</w:t>
      </w:r>
      <w:r w:rsidRPr="005D4AA4">
        <w:rPr>
          <w:rFonts w:ascii="Cambria" w:hAnsi="Cambria"/>
          <w:color w:val="000000"/>
          <w:sz w:val="20"/>
          <w:szCs w:val="20"/>
        </w:rPr>
        <w:t>amount calculated by applying the protected earnings rate to that period</w:t>
      </w:r>
      <w:r w:rsidR="00896E70" w:rsidRPr="005D4AA4">
        <w:rPr>
          <w:rFonts w:ascii="Cambria" w:hAnsi="Cambria"/>
          <w:color w:val="000000"/>
          <w:sz w:val="20"/>
          <w:szCs w:val="20"/>
        </w:rPr>
        <w:t>’ and the ‘</w:t>
      </w:r>
      <w:r w:rsidRPr="005D4AA4">
        <w:rPr>
          <w:rFonts w:ascii="Cambria" w:hAnsi="Cambria"/>
          <w:color w:val="000000"/>
          <w:sz w:val="20"/>
          <w:szCs w:val="20"/>
        </w:rPr>
        <w:t>protected earnings rate</w:t>
      </w:r>
      <w:r w:rsidR="00896E70" w:rsidRPr="005D4AA4">
        <w:rPr>
          <w:rFonts w:ascii="Cambria" w:hAnsi="Cambria"/>
          <w:color w:val="000000"/>
          <w:sz w:val="20"/>
          <w:szCs w:val="20"/>
        </w:rPr>
        <w:t>’</w:t>
      </w:r>
      <w:r w:rsidRPr="005D4AA4">
        <w:rPr>
          <w:rFonts w:ascii="Cambria" w:hAnsi="Cambria"/>
          <w:color w:val="000000"/>
          <w:sz w:val="20"/>
          <w:szCs w:val="20"/>
        </w:rPr>
        <w:t> </w:t>
      </w:r>
      <w:r w:rsidR="00896E70" w:rsidRPr="005D4AA4">
        <w:rPr>
          <w:rFonts w:ascii="Cambria" w:hAnsi="Cambria"/>
          <w:color w:val="000000"/>
          <w:sz w:val="20"/>
          <w:szCs w:val="20"/>
        </w:rPr>
        <w:t>is the formula applied</w:t>
      </w:r>
      <w:r w:rsidRPr="005D4AA4">
        <w:rPr>
          <w:rFonts w:ascii="Cambria" w:hAnsi="Cambria"/>
          <w:color w:val="000000"/>
          <w:sz w:val="20"/>
          <w:szCs w:val="20"/>
        </w:rPr>
        <w:t xml:space="preserve"> </w:t>
      </w:r>
      <w:r w:rsidR="00896E70" w:rsidRPr="005D4AA4">
        <w:rPr>
          <w:rFonts w:ascii="Cambria" w:hAnsi="Cambria"/>
          <w:color w:val="000000"/>
          <w:sz w:val="20"/>
          <w:szCs w:val="20"/>
        </w:rPr>
        <w:t xml:space="preserve">in </w:t>
      </w:r>
      <w:r w:rsidRPr="005D4AA4">
        <w:rPr>
          <w:rFonts w:ascii="Cambria" w:hAnsi="Cambria"/>
          <w:color w:val="000000"/>
          <w:sz w:val="20"/>
          <w:szCs w:val="20"/>
        </w:rPr>
        <w:t>the </w:t>
      </w:r>
      <w:r w:rsidRPr="005D4AA4">
        <w:rPr>
          <w:rFonts w:ascii="Cambria" w:hAnsi="Cambria"/>
          <w:i/>
          <w:iCs/>
          <w:color w:val="000000"/>
          <w:sz w:val="20"/>
          <w:szCs w:val="20"/>
        </w:rPr>
        <w:t>Child Support (Registration and Collection) Act 1988</w:t>
      </w:r>
      <w:r w:rsidRPr="005D4AA4">
        <w:rPr>
          <w:rFonts w:ascii="Cambria" w:hAnsi="Cambria"/>
          <w:color w:val="000000"/>
          <w:sz w:val="20"/>
          <w:szCs w:val="20"/>
        </w:rPr>
        <w:t> </w:t>
      </w:r>
      <w:r w:rsidR="00896E70" w:rsidRPr="005D4AA4">
        <w:rPr>
          <w:rFonts w:ascii="Cambria" w:hAnsi="Cambria"/>
          <w:color w:val="000000"/>
          <w:sz w:val="20"/>
          <w:szCs w:val="20"/>
        </w:rPr>
        <w:t xml:space="preserve">(Cth) namely </w:t>
      </w:r>
      <w:r w:rsidR="000D1136" w:rsidRPr="005D4AA4">
        <w:rPr>
          <w:rFonts w:ascii="Cambria" w:hAnsi="Cambria"/>
          <w:color w:val="000000"/>
          <w:sz w:val="20"/>
          <w:szCs w:val="20"/>
        </w:rPr>
        <w:t xml:space="preserve">the maximum fortnightly base rate of Jobseeker Payment x 0.75. As found at </w:t>
      </w:r>
      <w:hyperlink r:id="rId1" w:history="1">
        <w:r w:rsidR="000D1136" w:rsidRPr="005D4AA4">
          <w:rPr>
            <w:rStyle w:val="Hyperlink"/>
            <w:rFonts w:ascii="Cambria" w:hAnsi="Cambria"/>
            <w:sz w:val="20"/>
            <w:szCs w:val="20"/>
          </w:rPr>
          <w:t>https://www.servicesaustralia.gov.au/organisations/business/services/child-support/child-support-information-employers/deductions/protected-earnings-amount-when-deducting-child-support</w:t>
        </w:r>
      </w:hyperlink>
      <w:r w:rsidR="000D1136" w:rsidRPr="005D4AA4">
        <w:rPr>
          <w:rFonts w:ascii="Cambria" w:hAnsi="Cambria"/>
          <w:color w:val="000000"/>
          <w:sz w:val="20"/>
          <w:szCs w:val="20"/>
        </w:rPr>
        <w:t xml:space="preserve"> (Accessed 23 September 2020).</w:t>
      </w:r>
      <w:r w:rsidR="000D1136" w:rsidRPr="005D4AA4">
        <w:rPr>
          <w:rFonts w:ascii="Cambria" w:hAnsi="Cambria"/>
          <w:color w:val="000000"/>
        </w:rPr>
        <w:t xml:space="preserve"> </w:t>
      </w:r>
    </w:p>
  </w:footnote>
  <w:footnote w:id="2">
    <w:p w14:paraId="71BA17AF" w14:textId="72784CA6" w:rsidR="00D474A2" w:rsidRPr="005D4AA4" w:rsidRDefault="00D474A2" w:rsidP="00D474A2">
      <w:pPr>
        <w:ind w:right="-347"/>
        <w:rPr>
          <w:rFonts w:ascii="Cambria" w:hAnsi="Cambria"/>
        </w:rPr>
      </w:pPr>
      <w:r w:rsidRPr="005D4AA4">
        <w:rPr>
          <w:rStyle w:val="FootnoteReference"/>
          <w:rFonts w:ascii="Cambria" w:hAnsi="Cambria"/>
        </w:rPr>
        <w:footnoteRef/>
      </w:r>
      <w:r w:rsidRPr="005D4AA4">
        <w:rPr>
          <w:rFonts w:ascii="Cambria" w:hAnsi="Cambria"/>
        </w:rPr>
        <w:t xml:space="preserve"> </w:t>
      </w:r>
      <w:r w:rsidRPr="005D4AA4">
        <w:rPr>
          <w:rFonts w:ascii="Cambria" w:hAnsi="Cambria"/>
          <w:sz w:val="20"/>
          <w:szCs w:val="20"/>
        </w:rPr>
        <w:t xml:space="preserve">Tasmanian Law Reform Institute, </w:t>
      </w:r>
      <w:r w:rsidRPr="005D4AA4">
        <w:rPr>
          <w:rFonts w:ascii="Cambria" w:hAnsi="Cambria"/>
          <w:i/>
          <w:sz w:val="20"/>
          <w:szCs w:val="20"/>
        </w:rPr>
        <w:t>Sentencing – Final Report</w:t>
      </w:r>
      <w:r w:rsidRPr="005D4AA4">
        <w:rPr>
          <w:rFonts w:ascii="Cambria" w:hAnsi="Cambria"/>
          <w:sz w:val="20"/>
          <w:szCs w:val="20"/>
        </w:rPr>
        <w:t xml:space="preserve"> No 11 (June 2008) para. 3.9.18. As found at </w:t>
      </w:r>
      <w:hyperlink r:id="rId2" w:history="1">
        <w:r w:rsidRPr="005D4AA4">
          <w:rPr>
            <w:rStyle w:val="Hyperlink"/>
            <w:rFonts w:ascii="Cambria" w:hAnsi="Cambria"/>
            <w:sz w:val="20"/>
            <w:szCs w:val="20"/>
          </w:rPr>
          <w:t>http://www.utas.edu.au/__data/assets/pdf_file/0004/283810/completeA4.pdf</w:t>
        </w:r>
      </w:hyperlink>
      <w:r w:rsidRPr="005D4AA4">
        <w:rPr>
          <w:rFonts w:ascii="Cambria" w:hAnsi="Cambria"/>
          <w:sz w:val="20"/>
          <w:szCs w:val="20"/>
        </w:rPr>
        <w:t xml:space="preserve"> (accessed </w:t>
      </w:r>
      <w:r w:rsidR="005D4AA4">
        <w:rPr>
          <w:rFonts w:ascii="Cambria" w:hAnsi="Cambria"/>
          <w:sz w:val="20"/>
          <w:szCs w:val="20"/>
        </w:rPr>
        <w:t>23</w:t>
      </w:r>
      <w:r w:rsidRPr="005D4AA4">
        <w:rPr>
          <w:rFonts w:ascii="Cambria" w:hAnsi="Cambria"/>
          <w:sz w:val="20"/>
          <w:szCs w:val="20"/>
        </w:rPr>
        <w:t xml:space="preserve"> September 20</w:t>
      </w:r>
      <w:r w:rsidR="005D4AA4">
        <w:rPr>
          <w:rFonts w:ascii="Cambria" w:hAnsi="Cambria"/>
          <w:sz w:val="20"/>
          <w:szCs w:val="20"/>
        </w:rPr>
        <w:t>20</w:t>
      </w:r>
      <w:r w:rsidRPr="005D4AA4">
        <w:rPr>
          <w:rFonts w:ascii="Cambria" w:hAnsi="Cambria"/>
          <w:sz w:val="20"/>
          <w:szCs w:val="20"/>
        </w:rPr>
        <w:t xml:space="preserve">). Also see Katherine McFarlane and </w:t>
      </w:r>
      <w:r w:rsidRPr="005D4AA4">
        <w:rPr>
          <w:rFonts w:ascii="Cambria" w:hAnsi="Cambria"/>
          <w:sz w:val="20"/>
          <w:szCs w:val="20"/>
        </w:rPr>
        <w:t xml:space="preserve">Patrizia Poletti, </w:t>
      </w:r>
      <w:r w:rsidRPr="005D4AA4">
        <w:rPr>
          <w:rFonts w:ascii="Cambria" w:hAnsi="Cambria"/>
          <w:i/>
          <w:sz w:val="20"/>
          <w:szCs w:val="20"/>
        </w:rPr>
        <w:t xml:space="preserve">Judicial Perceptions of fines as a Sentencing Option: A Survey of NSW Magistrates‘ </w:t>
      </w:r>
      <w:r w:rsidRPr="005D4AA4">
        <w:rPr>
          <w:rFonts w:ascii="Cambria" w:hAnsi="Cambria"/>
          <w:sz w:val="20"/>
          <w:szCs w:val="20"/>
        </w:rPr>
        <w:t>(Monograph 1, NSW Sentencing Council, August 2007) at 31 where just under half of the judges surveyed in New South Wales (48 per cent) noted that the fine for socially disadvantaged offenders was disproportionately severe.</w:t>
      </w:r>
    </w:p>
  </w:footnote>
  <w:footnote w:id="3">
    <w:p w14:paraId="0B2B850C" w14:textId="77777777" w:rsidR="00D474A2" w:rsidRPr="005D4AA4" w:rsidRDefault="00D474A2" w:rsidP="00D474A2">
      <w:pPr>
        <w:ind w:right="-347"/>
        <w:rPr>
          <w:rFonts w:ascii="Cambria" w:hAnsi="Cambria"/>
          <w:sz w:val="20"/>
          <w:szCs w:val="20"/>
        </w:rPr>
      </w:pPr>
      <w:r w:rsidRPr="005D4AA4">
        <w:rPr>
          <w:rStyle w:val="FootnoteReference"/>
          <w:rFonts w:ascii="Cambria" w:hAnsi="Cambria"/>
        </w:rPr>
        <w:footnoteRef/>
      </w:r>
      <w:r w:rsidRPr="005D4AA4">
        <w:rPr>
          <w:rFonts w:ascii="Cambria" w:hAnsi="Cambria"/>
        </w:rPr>
        <w:t xml:space="preserve"> </w:t>
      </w:r>
      <w:r w:rsidRPr="005D4AA4">
        <w:rPr>
          <w:rFonts w:ascii="Cambria" w:hAnsi="Cambria"/>
          <w:sz w:val="20"/>
          <w:szCs w:val="20"/>
        </w:rPr>
        <w:t xml:space="preserve">Andrew Ashworth, Sentencing and Criminal Justice (Cambridge University Press, 2010) </w:t>
      </w:r>
    </w:p>
    <w:p w14:paraId="1F9BC333" w14:textId="77777777" w:rsidR="00D474A2" w:rsidRPr="001F302B" w:rsidRDefault="00D474A2" w:rsidP="00D474A2">
      <w:pPr>
        <w:ind w:right="-347"/>
        <w:rPr>
          <w:rFonts w:ascii="Helvetica" w:hAnsi="Helvetica"/>
          <w:sz w:val="20"/>
          <w:szCs w:val="20"/>
        </w:rPr>
      </w:pPr>
      <w:r w:rsidRPr="005D4AA4">
        <w:rPr>
          <w:rFonts w:ascii="Cambria" w:hAnsi="Cambria"/>
          <w:sz w:val="20"/>
          <w:szCs w:val="20"/>
        </w:rPr>
        <w:t>99 at 329.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5276F8"/>
    <w:multiLevelType w:val="hybridMultilevel"/>
    <w:tmpl w:val="FD52C148"/>
    <w:lvl w:ilvl="0" w:tplc="BA2A7E48">
      <w:start w:val="23"/>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F51"/>
    <w:rsid w:val="00024572"/>
    <w:rsid w:val="000D1136"/>
    <w:rsid w:val="001A0030"/>
    <w:rsid w:val="00215FCE"/>
    <w:rsid w:val="0025588D"/>
    <w:rsid w:val="00327F51"/>
    <w:rsid w:val="00362364"/>
    <w:rsid w:val="003846EF"/>
    <w:rsid w:val="003F488D"/>
    <w:rsid w:val="004C14B6"/>
    <w:rsid w:val="005D4AA4"/>
    <w:rsid w:val="00896E70"/>
    <w:rsid w:val="00A82F90"/>
    <w:rsid w:val="00BC62F9"/>
    <w:rsid w:val="00CD756A"/>
    <w:rsid w:val="00D474A2"/>
    <w:rsid w:val="00DC0020"/>
    <w:rsid w:val="00F971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947F375"/>
  <w15:chartTrackingRefBased/>
  <w15:docId w15:val="{D9188990-06EA-9041-BAFA-23F23D7C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36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
    <w:basedOn w:val="Normal"/>
    <w:link w:val="FootnoteTextChar"/>
    <w:unhideWhenUsed/>
    <w:rsid w:val="00327F51"/>
    <w:rPr>
      <w:rFonts w:asciiTheme="minorHAnsi" w:eastAsiaTheme="minorHAnsi" w:hAnsiTheme="minorHAnsi" w:cstheme="minorBidi"/>
      <w:sz w:val="20"/>
      <w:szCs w:val="20"/>
      <w:lang w:eastAsia="en-US"/>
    </w:rPr>
  </w:style>
  <w:style w:type="character" w:customStyle="1" w:styleId="FootnoteTextChar">
    <w:name w:val="Footnote Text Char"/>
    <w:aliases w:val="Footnote Char,Text Char"/>
    <w:basedOn w:val="DefaultParagraphFont"/>
    <w:link w:val="FootnoteText"/>
    <w:rsid w:val="00327F51"/>
    <w:rPr>
      <w:sz w:val="20"/>
      <w:szCs w:val="20"/>
    </w:rPr>
  </w:style>
  <w:style w:type="character" w:styleId="FootnoteReference">
    <w:name w:val="footnote reference"/>
    <w:basedOn w:val="DefaultParagraphFont"/>
    <w:unhideWhenUsed/>
    <w:rsid w:val="00327F51"/>
    <w:rPr>
      <w:vertAlign w:val="superscript"/>
    </w:rPr>
  </w:style>
  <w:style w:type="paragraph" w:styleId="NoSpacing">
    <w:name w:val="No Spacing"/>
    <w:uiPriority w:val="1"/>
    <w:qFormat/>
    <w:rsid w:val="00327F51"/>
    <w:rPr>
      <w:sz w:val="22"/>
      <w:szCs w:val="22"/>
    </w:rPr>
  </w:style>
  <w:style w:type="character" w:styleId="Hyperlink">
    <w:name w:val="Hyperlink"/>
    <w:basedOn w:val="DefaultParagraphFont"/>
    <w:uiPriority w:val="99"/>
    <w:unhideWhenUsed/>
    <w:rsid w:val="000D1136"/>
    <w:rPr>
      <w:color w:val="0563C1" w:themeColor="hyperlink"/>
      <w:u w:val="single"/>
    </w:rPr>
  </w:style>
  <w:style w:type="character" w:styleId="UnresolvedMention">
    <w:name w:val="Unresolved Mention"/>
    <w:basedOn w:val="DefaultParagraphFont"/>
    <w:uiPriority w:val="99"/>
    <w:semiHidden/>
    <w:unhideWhenUsed/>
    <w:rsid w:val="000D1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120760">
      <w:bodyDiv w:val="1"/>
      <w:marLeft w:val="0"/>
      <w:marRight w:val="0"/>
      <w:marTop w:val="0"/>
      <w:marBottom w:val="0"/>
      <w:divBdr>
        <w:top w:val="none" w:sz="0" w:space="0" w:color="auto"/>
        <w:left w:val="none" w:sz="0" w:space="0" w:color="auto"/>
        <w:bottom w:val="none" w:sz="0" w:space="0" w:color="auto"/>
        <w:right w:val="none" w:sz="0" w:space="0" w:color="auto"/>
      </w:divBdr>
      <w:divsChild>
        <w:div w:id="1974945568">
          <w:blockQuote w:val="1"/>
          <w:marLeft w:val="720"/>
          <w:marRight w:val="0"/>
          <w:marTop w:val="120"/>
          <w:marBottom w:val="120"/>
          <w:divBdr>
            <w:top w:val="none" w:sz="0" w:space="0" w:color="auto"/>
            <w:left w:val="none" w:sz="0" w:space="0" w:color="auto"/>
            <w:bottom w:val="none" w:sz="0" w:space="0" w:color="auto"/>
            <w:right w:val="none" w:sz="0" w:space="0" w:color="auto"/>
          </w:divBdr>
        </w:div>
        <w:div w:id="813370045">
          <w:blockQuote w:val="1"/>
          <w:marLeft w:val="720"/>
          <w:marRight w:val="0"/>
          <w:marTop w:val="120"/>
          <w:marBottom w:val="120"/>
          <w:divBdr>
            <w:top w:val="none" w:sz="0" w:space="0" w:color="auto"/>
            <w:left w:val="none" w:sz="0" w:space="0" w:color="auto"/>
            <w:bottom w:val="none" w:sz="0" w:space="0" w:color="auto"/>
            <w:right w:val="none" w:sz="0" w:space="0" w:color="auto"/>
          </w:divBdr>
        </w:div>
      </w:divsChild>
    </w:div>
    <w:div w:id="446706225">
      <w:bodyDiv w:val="1"/>
      <w:marLeft w:val="0"/>
      <w:marRight w:val="0"/>
      <w:marTop w:val="0"/>
      <w:marBottom w:val="0"/>
      <w:divBdr>
        <w:top w:val="none" w:sz="0" w:space="0" w:color="auto"/>
        <w:left w:val="none" w:sz="0" w:space="0" w:color="auto"/>
        <w:bottom w:val="none" w:sz="0" w:space="0" w:color="auto"/>
        <w:right w:val="none" w:sz="0" w:space="0" w:color="auto"/>
      </w:divBdr>
    </w:div>
    <w:div w:id="1190415938">
      <w:bodyDiv w:val="1"/>
      <w:marLeft w:val="0"/>
      <w:marRight w:val="0"/>
      <w:marTop w:val="0"/>
      <w:marBottom w:val="0"/>
      <w:divBdr>
        <w:top w:val="none" w:sz="0" w:space="0" w:color="auto"/>
        <w:left w:val="none" w:sz="0" w:space="0" w:color="auto"/>
        <w:bottom w:val="none" w:sz="0" w:space="0" w:color="auto"/>
        <w:right w:val="none" w:sz="0" w:space="0" w:color="auto"/>
      </w:divBdr>
    </w:div>
    <w:div w:id="149090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veyoursay@justice.tas.gov.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utas.edu.au/__data/assets/pdf_file/0004/283810/completeA4.pdf" TargetMode="External"/><Relationship Id="rId1" Type="http://schemas.openxmlformats.org/officeDocument/2006/relationships/hyperlink" Target="https://www.servicesaustralia.gov.au/organisations/business/services/child-support/child-support-information-employers/deductions/protected-earnings-amount-when-deducting-child-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2020-09-22T23:13:00Z</dcterms:created>
  <dcterms:modified xsi:type="dcterms:W3CDTF">2020-09-22T23:13:00Z</dcterms:modified>
</cp:coreProperties>
</file>