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4A08" w14:textId="38ED1499" w:rsidR="00600CFE" w:rsidRDefault="006C2EE7" w:rsidP="00600CFE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600CFE" w:rsidRPr="00BC0D6B">
        <w:rPr>
          <w:noProof/>
          <w:sz w:val="20"/>
          <w:szCs w:val="20"/>
        </w:rPr>
        <w:drawing>
          <wp:inline distT="0" distB="0" distL="0" distR="0" wp14:anchorId="7939DA73" wp14:editId="3B7E56C1">
            <wp:extent cx="3235960" cy="1099476"/>
            <wp:effectExtent l="0" t="0" r="0" b="0"/>
            <wp:docPr id="5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2" cy="11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C023" w14:textId="77777777" w:rsidR="00600CFE" w:rsidRDefault="00600CFE" w:rsidP="00600CFE">
      <w:pPr>
        <w:pStyle w:val="NoSpacing"/>
        <w:rPr>
          <w:rFonts w:ascii="Cambria" w:hAnsi="Cambria"/>
          <w:sz w:val="24"/>
          <w:szCs w:val="24"/>
        </w:rPr>
      </w:pPr>
    </w:p>
    <w:p w14:paraId="1B2ABBD9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</w:p>
    <w:p w14:paraId="51753F36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 xml:space="preserve">29 </w:t>
      </w:r>
      <w:r>
        <w:rPr>
          <w:rFonts w:ascii="Cambria" w:hAnsi="Cambria"/>
          <w:sz w:val="24"/>
          <w:szCs w:val="24"/>
        </w:rPr>
        <w:t>July</w:t>
      </w:r>
      <w:r w:rsidRPr="00206C10">
        <w:rPr>
          <w:rFonts w:ascii="Cambria" w:hAnsi="Cambria"/>
          <w:sz w:val="24"/>
          <w:szCs w:val="24"/>
        </w:rPr>
        <w:t xml:space="preserve"> 2020</w:t>
      </w:r>
    </w:p>
    <w:p w14:paraId="1A06CA1E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</w:p>
    <w:p w14:paraId="1184B007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>Department of Justice</w:t>
      </w:r>
    </w:p>
    <w:p w14:paraId="2A61A8D4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>Office of the Secretary</w:t>
      </w:r>
    </w:p>
    <w:p w14:paraId="7F968DE6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>GPO Box 825</w:t>
      </w:r>
    </w:p>
    <w:p w14:paraId="4DCEBC4C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>Hobart TAS 7001</w:t>
      </w:r>
    </w:p>
    <w:p w14:paraId="0F1A804F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06C10">
        <w:rPr>
          <w:rFonts w:ascii="Cambria" w:hAnsi="Cambria"/>
          <w:sz w:val="24"/>
          <w:szCs w:val="24"/>
        </w:rPr>
        <w:t>attn:</w:t>
      </w:r>
      <w:proofErr w:type="spellEnd"/>
      <w:r w:rsidRPr="00206C1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Director, Strategic Legislation and Policy </w:t>
      </w:r>
    </w:p>
    <w:p w14:paraId="1BA67BB2" w14:textId="77777777" w:rsidR="0021180D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ab/>
      </w:r>
      <w:r w:rsidRPr="00206C10">
        <w:rPr>
          <w:rFonts w:ascii="Cambria" w:hAnsi="Cambria"/>
          <w:sz w:val="24"/>
          <w:szCs w:val="24"/>
        </w:rPr>
        <w:tab/>
      </w:r>
      <w:r w:rsidRPr="00206C10">
        <w:rPr>
          <w:rFonts w:ascii="Cambria" w:hAnsi="Cambria"/>
          <w:sz w:val="24"/>
          <w:szCs w:val="24"/>
        </w:rPr>
        <w:tab/>
      </w:r>
      <w:r w:rsidRPr="00206C10">
        <w:rPr>
          <w:rFonts w:ascii="Cambria" w:hAnsi="Cambria"/>
          <w:sz w:val="24"/>
          <w:szCs w:val="24"/>
        </w:rPr>
        <w:tab/>
      </w:r>
      <w:r w:rsidRPr="00206C10">
        <w:rPr>
          <w:rFonts w:ascii="Cambria" w:hAnsi="Cambria"/>
          <w:sz w:val="24"/>
          <w:szCs w:val="24"/>
        </w:rPr>
        <w:tab/>
      </w:r>
    </w:p>
    <w:p w14:paraId="06B9223B" w14:textId="5A662501" w:rsidR="00600CFE" w:rsidRPr="00206C10" w:rsidRDefault="00600CFE" w:rsidP="0021180D">
      <w:pPr>
        <w:pStyle w:val="NoSpacing"/>
        <w:ind w:left="2880" w:firstLine="720"/>
        <w:rPr>
          <w:rFonts w:ascii="Cambria" w:hAnsi="Cambria"/>
          <w:i/>
          <w:iCs/>
          <w:sz w:val="24"/>
          <w:szCs w:val="24"/>
          <w:lang w:eastAsia="en-GB"/>
        </w:rPr>
      </w:pPr>
      <w:r w:rsidRPr="00206C10">
        <w:rPr>
          <w:rFonts w:ascii="Cambria" w:hAnsi="Cambria"/>
          <w:i/>
          <w:iCs/>
          <w:sz w:val="24"/>
          <w:szCs w:val="24"/>
        </w:rPr>
        <w:t xml:space="preserve">via email: </w:t>
      </w:r>
      <w:hyperlink r:id="rId9" w:history="1">
        <w:r w:rsidRPr="00206C10">
          <w:rPr>
            <w:rFonts w:ascii="Cambria" w:hAnsi="Cambria" w:cs="Segoe UI"/>
            <w:i/>
            <w:iCs/>
            <w:color w:val="0000FF"/>
            <w:sz w:val="24"/>
            <w:szCs w:val="24"/>
            <w:u w:val="single"/>
            <w:shd w:val="clear" w:color="auto" w:fill="FFFFFF"/>
            <w:lang w:eastAsia="en-GB"/>
          </w:rPr>
          <w:t>haveyoursay@justice.tas.gov.au</w:t>
        </w:r>
      </w:hyperlink>
    </w:p>
    <w:p w14:paraId="0762E882" w14:textId="77777777" w:rsidR="00600CFE" w:rsidRDefault="00600CFE" w:rsidP="00600CFE">
      <w:pPr>
        <w:pStyle w:val="NoSpacing"/>
        <w:rPr>
          <w:rFonts w:ascii="Cambria" w:hAnsi="Cambria"/>
          <w:sz w:val="24"/>
          <w:szCs w:val="24"/>
        </w:rPr>
      </w:pPr>
    </w:p>
    <w:p w14:paraId="787E8A1B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 xml:space="preserve">To </w:t>
      </w:r>
      <w:r>
        <w:rPr>
          <w:rFonts w:ascii="Cambria" w:hAnsi="Cambria"/>
          <w:sz w:val="24"/>
          <w:szCs w:val="24"/>
        </w:rPr>
        <w:t>Brooke Craven</w:t>
      </w:r>
      <w:r w:rsidRPr="00206C10">
        <w:rPr>
          <w:rFonts w:ascii="Cambria" w:hAnsi="Cambria"/>
          <w:sz w:val="24"/>
          <w:szCs w:val="24"/>
        </w:rPr>
        <w:t xml:space="preserve">, </w:t>
      </w:r>
    </w:p>
    <w:p w14:paraId="29852792" w14:textId="77777777" w:rsidR="00600CFE" w:rsidRPr="00206C10" w:rsidRDefault="00600CFE" w:rsidP="00600CFE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206C10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2F005" wp14:editId="4F4EDBB6">
                <wp:simplePos x="0" y="0"/>
                <wp:positionH relativeFrom="column">
                  <wp:posOffset>-7620</wp:posOffset>
                </wp:positionH>
                <wp:positionV relativeFrom="paragraph">
                  <wp:posOffset>237490</wp:posOffset>
                </wp:positionV>
                <wp:extent cx="6050280" cy="15240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807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8.7pt" to="475.8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 w:rsidRPr="00206C10">
        <w:rPr>
          <w:rFonts w:ascii="Cambria" w:hAnsi="Cambria"/>
          <w:b/>
          <w:bCs/>
          <w:sz w:val="24"/>
          <w:szCs w:val="24"/>
        </w:rPr>
        <w:t xml:space="preserve">Re: </w:t>
      </w:r>
      <w:r>
        <w:rPr>
          <w:rFonts w:ascii="Cambria" w:hAnsi="Cambria"/>
          <w:b/>
          <w:bCs/>
          <w:i/>
          <w:iCs/>
          <w:sz w:val="24"/>
          <w:szCs w:val="24"/>
        </w:rPr>
        <w:t>Corrections Amendment (Electronic Monitoring)</w:t>
      </w:r>
      <w:r w:rsidRPr="00206C10">
        <w:rPr>
          <w:rFonts w:ascii="Cambria" w:hAnsi="Cambria"/>
          <w:b/>
          <w:bCs/>
          <w:i/>
          <w:iCs/>
          <w:sz w:val="24"/>
          <w:szCs w:val="24"/>
        </w:rPr>
        <w:t xml:space="preserve"> Bill 2020</w:t>
      </w:r>
    </w:p>
    <w:p w14:paraId="744BC5F5" w14:textId="77777777" w:rsidR="00600CFE" w:rsidRPr="00206C10" w:rsidRDefault="00600CFE" w:rsidP="00600CFE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19F63181" w14:textId="3A15AB4D" w:rsidR="00600CFE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 xml:space="preserve">Community Legal Centres Tasmania (CLC Tas) welcomes the opportunity to provide comment to the </w:t>
      </w:r>
      <w:r w:rsidRPr="00600CFE">
        <w:rPr>
          <w:rFonts w:ascii="Cambria" w:hAnsi="Cambria"/>
          <w:sz w:val="24"/>
          <w:szCs w:val="24"/>
        </w:rPr>
        <w:t xml:space="preserve">Department of Justice on the </w:t>
      </w:r>
      <w:r w:rsidRPr="00600CFE">
        <w:rPr>
          <w:rFonts w:ascii="Cambria" w:hAnsi="Cambria"/>
          <w:bCs/>
          <w:i/>
          <w:iCs/>
          <w:sz w:val="24"/>
          <w:szCs w:val="24"/>
        </w:rPr>
        <w:t>Corrections Amendment (Electronic Monitoring) Bill 2020</w:t>
      </w:r>
      <w:r w:rsidRPr="00206C10">
        <w:rPr>
          <w:rFonts w:ascii="Cambria" w:hAnsi="Cambria"/>
          <w:i/>
          <w:iCs/>
          <w:sz w:val="24"/>
          <w:szCs w:val="24"/>
        </w:rPr>
        <w:t xml:space="preserve"> </w:t>
      </w:r>
      <w:r w:rsidRPr="00206C10">
        <w:rPr>
          <w:rFonts w:ascii="Cambria" w:hAnsi="Cambria"/>
          <w:sz w:val="24"/>
          <w:szCs w:val="24"/>
        </w:rPr>
        <w:t>(‘the Bill’).</w:t>
      </w:r>
    </w:p>
    <w:p w14:paraId="14D5F21D" w14:textId="77777777" w:rsidR="00600CFE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475EE00" w14:textId="77777777" w:rsidR="0021180D" w:rsidRDefault="00600CFE" w:rsidP="00871DF8">
      <w:pPr>
        <w:pStyle w:val="NoSpacing"/>
        <w:jc w:val="both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 xml:space="preserve">CLC Tas is the peak body representing the interests of nine community legal centres (CLCs) located through Tasmania. We are a member-based, independent, not-for-profit and incorporated organisation that advocates for law reform on a range of public interest matters aimed at improving access to justice, reducing discrimination and protecting and promoting human rights. </w:t>
      </w:r>
    </w:p>
    <w:p w14:paraId="6ED9891F" w14:textId="77777777" w:rsidR="0021180D" w:rsidRDefault="0021180D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B63694B" w14:textId="4BFCCE64" w:rsidR="00871DF8" w:rsidRDefault="00600CFE" w:rsidP="00871DF8">
      <w:pPr>
        <w:pStyle w:val="NoSpacing"/>
        <w:jc w:val="both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 xml:space="preserve">We </w:t>
      </w:r>
      <w:r>
        <w:rPr>
          <w:rFonts w:ascii="Cambria" w:hAnsi="Cambria"/>
          <w:sz w:val="24"/>
          <w:szCs w:val="24"/>
        </w:rPr>
        <w:t xml:space="preserve">are </w:t>
      </w:r>
      <w:r w:rsidRPr="00206C10">
        <w:rPr>
          <w:rFonts w:ascii="Cambria" w:hAnsi="Cambria"/>
          <w:sz w:val="24"/>
          <w:szCs w:val="24"/>
        </w:rPr>
        <w:t>support</w:t>
      </w:r>
      <w:r>
        <w:rPr>
          <w:rFonts w:ascii="Cambria" w:hAnsi="Cambria"/>
          <w:sz w:val="24"/>
          <w:szCs w:val="24"/>
        </w:rPr>
        <w:t>ive of the Tasmanian Government’s intention to</w:t>
      </w:r>
      <w:r w:rsidR="009B1A8B">
        <w:rPr>
          <w:rFonts w:ascii="Cambria" w:hAnsi="Cambria"/>
          <w:sz w:val="24"/>
          <w:szCs w:val="24"/>
        </w:rPr>
        <w:t xml:space="preserve"> amend the </w:t>
      </w:r>
      <w:r w:rsidR="00D61AAF" w:rsidRPr="00B05371">
        <w:rPr>
          <w:rFonts w:ascii="Cambria" w:hAnsi="Cambria"/>
          <w:i/>
          <w:sz w:val="24"/>
          <w:szCs w:val="24"/>
        </w:rPr>
        <w:t>Corrections Act 1997</w:t>
      </w:r>
      <w:r w:rsidR="00D61AAF">
        <w:rPr>
          <w:rFonts w:ascii="Cambria" w:hAnsi="Cambria"/>
          <w:sz w:val="24"/>
          <w:szCs w:val="24"/>
        </w:rPr>
        <w:t xml:space="preserve"> (Tas) to provide specific authority for the Parole Board to include electronic monitoring as a condition </w:t>
      </w:r>
      <w:r w:rsidR="00B0675E">
        <w:rPr>
          <w:rFonts w:ascii="Cambria" w:hAnsi="Cambria"/>
          <w:sz w:val="24"/>
          <w:szCs w:val="24"/>
        </w:rPr>
        <w:t>of</w:t>
      </w:r>
      <w:r w:rsidR="00D61AAF">
        <w:rPr>
          <w:rFonts w:ascii="Cambria" w:hAnsi="Cambria"/>
          <w:sz w:val="24"/>
          <w:szCs w:val="24"/>
        </w:rPr>
        <w:t xml:space="preserve"> a prisoner</w:t>
      </w:r>
      <w:r w:rsidR="00B0675E">
        <w:rPr>
          <w:rFonts w:ascii="Cambria" w:hAnsi="Cambria"/>
          <w:sz w:val="24"/>
          <w:szCs w:val="24"/>
        </w:rPr>
        <w:t>’s parole</w:t>
      </w:r>
      <w:r w:rsidR="00D61AAF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="00B05371">
        <w:rPr>
          <w:rFonts w:ascii="Cambria" w:hAnsi="Cambria"/>
          <w:sz w:val="24"/>
          <w:szCs w:val="24"/>
        </w:rPr>
        <w:t xml:space="preserve">However, we strongly recommend that the Bill is broadened to include </w:t>
      </w:r>
      <w:r w:rsidR="00E809C5">
        <w:rPr>
          <w:rFonts w:ascii="Cambria" w:hAnsi="Cambria"/>
          <w:sz w:val="24"/>
          <w:szCs w:val="24"/>
        </w:rPr>
        <w:t xml:space="preserve">a </w:t>
      </w:r>
      <w:r w:rsidR="005910D1">
        <w:rPr>
          <w:rFonts w:ascii="Cambria" w:hAnsi="Cambria"/>
          <w:sz w:val="24"/>
          <w:szCs w:val="24"/>
        </w:rPr>
        <w:t xml:space="preserve">more transparent </w:t>
      </w:r>
      <w:r w:rsidR="00E809C5">
        <w:rPr>
          <w:rFonts w:ascii="Cambria" w:hAnsi="Cambria"/>
          <w:sz w:val="24"/>
          <w:szCs w:val="24"/>
        </w:rPr>
        <w:t xml:space="preserve">list of the </w:t>
      </w:r>
      <w:r w:rsidR="00B05371">
        <w:rPr>
          <w:rFonts w:ascii="Cambria" w:hAnsi="Cambria"/>
          <w:sz w:val="24"/>
          <w:szCs w:val="24"/>
        </w:rPr>
        <w:t>conditions available to the Parole Board when it grants parole to a prisoner.</w:t>
      </w:r>
    </w:p>
    <w:p w14:paraId="6366D76B" w14:textId="7B62FE88" w:rsidR="00B05371" w:rsidRDefault="00B05371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FCB9F5E" w14:textId="4DD786EE" w:rsidR="00B05371" w:rsidRPr="00E809C5" w:rsidRDefault="00B05371" w:rsidP="00871DF8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E809C5">
        <w:rPr>
          <w:rFonts w:ascii="Cambria" w:hAnsi="Cambria"/>
          <w:b/>
          <w:sz w:val="24"/>
          <w:szCs w:val="24"/>
        </w:rPr>
        <w:t xml:space="preserve">The </w:t>
      </w:r>
      <w:r w:rsidRPr="00E809C5">
        <w:rPr>
          <w:rFonts w:ascii="Cambria" w:hAnsi="Cambria"/>
          <w:b/>
          <w:i/>
          <w:sz w:val="24"/>
          <w:szCs w:val="24"/>
        </w:rPr>
        <w:t>Corrections Act 1997</w:t>
      </w:r>
      <w:r w:rsidRPr="00E809C5">
        <w:rPr>
          <w:rFonts w:ascii="Cambria" w:hAnsi="Cambria"/>
          <w:b/>
          <w:sz w:val="24"/>
          <w:szCs w:val="24"/>
        </w:rPr>
        <w:t xml:space="preserve"> (Tas)</w:t>
      </w:r>
    </w:p>
    <w:p w14:paraId="4FCB2083" w14:textId="43357377" w:rsidR="00871DF8" w:rsidRDefault="00B05371" w:rsidP="00871DF8">
      <w:pPr>
        <w:pStyle w:val="NoSpacing"/>
        <w:jc w:val="both"/>
        <w:rPr>
          <w:rFonts w:ascii="Cambria" w:hAnsi="Cambria"/>
          <w:sz w:val="24"/>
          <w:szCs w:val="24"/>
        </w:rPr>
      </w:pPr>
      <w:r w:rsidRPr="00E809C5">
        <w:rPr>
          <w:rFonts w:ascii="Cambria" w:hAnsi="Cambria"/>
          <w:sz w:val="24"/>
          <w:szCs w:val="24"/>
        </w:rPr>
        <w:t>Section 72</w:t>
      </w:r>
      <w:r w:rsidR="00D67E23" w:rsidRPr="00E809C5">
        <w:rPr>
          <w:rFonts w:ascii="Cambria" w:hAnsi="Cambria"/>
          <w:sz w:val="24"/>
          <w:szCs w:val="24"/>
        </w:rPr>
        <w:t>(1)</w:t>
      </w:r>
      <w:r w:rsidRPr="00E809C5">
        <w:rPr>
          <w:rFonts w:ascii="Cambria" w:hAnsi="Cambria"/>
          <w:sz w:val="24"/>
          <w:szCs w:val="24"/>
        </w:rPr>
        <w:t xml:space="preserve"> of the </w:t>
      </w:r>
      <w:r w:rsidRPr="00E809C5">
        <w:rPr>
          <w:rFonts w:ascii="Cambria" w:hAnsi="Cambria"/>
          <w:i/>
          <w:sz w:val="24"/>
          <w:szCs w:val="24"/>
        </w:rPr>
        <w:t>Corrections Act 1997</w:t>
      </w:r>
      <w:r w:rsidRPr="00E809C5">
        <w:rPr>
          <w:rFonts w:ascii="Cambria" w:hAnsi="Cambria"/>
          <w:sz w:val="24"/>
          <w:szCs w:val="24"/>
        </w:rPr>
        <w:t xml:space="preserve"> (Tas) </w:t>
      </w:r>
      <w:r w:rsidR="00E809C5" w:rsidRPr="00E809C5">
        <w:rPr>
          <w:rFonts w:ascii="Cambria" w:hAnsi="Cambria"/>
          <w:sz w:val="24"/>
          <w:szCs w:val="24"/>
        </w:rPr>
        <w:t xml:space="preserve">(‘the Act’) </w:t>
      </w:r>
      <w:r w:rsidRPr="00E809C5">
        <w:rPr>
          <w:rFonts w:ascii="Cambria" w:hAnsi="Cambria"/>
          <w:sz w:val="24"/>
          <w:szCs w:val="24"/>
        </w:rPr>
        <w:t xml:space="preserve">provides </w:t>
      </w:r>
      <w:r w:rsidR="00D67E23" w:rsidRPr="00E809C5">
        <w:rPr>
          <w:rFonts w:ascii="Cambria" w:hAnsi="Cambria"/>
          <w:sz w:val="24"/>
          <w:szCs w:val="24"/>
        </w:rPr>
        <w:t>that if a prisoner is eligible to be released on parole, the Parole Board is to consider whether the prisoner should be released. In determining whether a prisoner should be released on parole, the Parole Board is required to take into consideration a range of factors including the likelihood of the prisoner re-offending, the protection of the public and the rehabilitation of the prisoner.</w:t>
      </w:r>
      <w:r w:rsidR="00D67E23" w:rsidRPr="00E809C5">
        <w:rPr>
          <w:rStyle w:val="FootnoteReference"/>
          <w:rFonts w:ascii="Cambria" w:hAnsi="Cambria"/>
          <w:sz w:val="24"/>
          <w:szCs w:val="24"/>
        </w:rPr>
        <w:footnoteReference w:id="1"/>
      </w:r>
      <w:r w:rsidR="00E809C5" w:rsidRPr="00E809C5">
        <w:rPr>
          <w:rFonts w:ascii="Cambria" w:hAnsi="Cambria"/>
          <w:sz w:val="24"/>
          <w:szCs w:val="24"/>
        </w:rPr>
        <w:t xml:space="preserve"> If the Parole Board determines that a prisoner should be release</w:t>
      </w:r>
      <w:r w:rsidR="001D0353">
        <w:rPr>
          <w:rFonts w:ascii="Cambria" w:hAnsi="Cambria"/>
          <w:sz w:val="24"/>
          <w:szCs w:val="24"/>
        </w:rPr>
        <w:t>d</w:t>
      </w:r>
      <w:r w:rsidR="00E809C5" w:rsidRPr="00E809C5">
        <w:rPr>
          <w:rFonts w:ascii="Cambria" w:hAnsi="Cambria"/>
          <w:sz w:val="24"/>
          <w:szCs w:val="24"/>
        </w:rPr>
        <w:t xml:space="preserve"> on parole, section 72(5) of the Act provides that “a parole order is subject to such terms and conditions as the Board considers necessary and are specified in the order”.</w:t>
      </w:r>
    </w:p>
    <w:p w14:paraId="749B7697" w14:textId="0B21814F" w:rsidR="001D0353" w:rsidRDefault="001D0353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31D6B03" w14:textId="0DCA30CA" w:rsidR="001D0353" w:rsidRDefault="001D0353" w:rsidP="001D0353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Bill as currently drafted would see the insertion of a subsection concerned specifically with electronic monitoring</w:t>
      </w:r>
      <w:r w:rsidR="00BE42F4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4F06FFAF" w14:textId="77777777" w:rsidR="001D0353" w:rsidRDefault="001D0353" w:rsidP="001D0353">
      <w:pPr>
        <w:pStyle w:val="NoSpacing"/>
        <w:jc w:val="both"/>
        <w:rPr>
          <w:b/>
          <w:i/>
        </w:rPr>
      </w:pPr>
    </w:p>
    <w:p w14:paraId="691A6D6C" w14:textId="36936142" w:rsidR="00871DF8" w:rsidRPr="001D0353" w:rsidRDefault="00871DF8" w:rsidP="001D0353">
      <w:pPr>
        <w:pStyle w:val="NoSpacing"/>
        <w:ind w:left="720"/>
        <w:jc w:val="both"/>
        <w:rPr>
          <w:rFonts w:ascii="Cambria" w:hAnsi="Cambria"/>
          <w:i/>
        </w:rPr>
      </w:pPr>
      <w:r w:rsidRPr="001D0353">
        <w:rPr>
          <w:rFonts w:ascii="Cambria" w:hAnsi="Cambria"/>
          <w:i/>
          <w:lang w:val="en-US"/>
        </w:rPr>
        <w:t xml:space="preserve">(5A) Without limiting the generality of subsection (5), the Board may impose on a parole order in respect of a prisoner the following conditions: </w:t>
      </w:r>
    </w:p>
    <w:p w14:paraId="35E4BB66" w14:textId="77777777" w:rsidR="00871DF8" w:rsidRPr="001D0353" w:rsidRDefault="00871DF8" w:rsidP="001D0353">
      <w:pPr>
        <w:ind w:left="720"/>
        <w:rPr>
          <w:rFonts w:ascii="Cambria" w:hAnsi="Cambria"/>
          <w:i/>
          <w:sz w:val="22"/>
          <w:szCs w:val="22"/>
          <w:lang w:val="en-US"/>
        </w:rPr>
      </w:pPr>
    </w:p>
    <w:p w14:paraId="22F618DD" w14:textId="77777777" w:rsidR="00871DF8" w:rsidRPr="001D0353" w:rsidRDefault="00871DF8" w:rsidP="001D0353">
      <w:pPr>
        <w:ind w:left="720"/>
        <w:rPr>
          <w:rFonts w:ascii="Cambria" w:hAnsi="Cambria"/>
          <w:i/>
          <w:sz w:val="22"/>
          <w:szCs w:val="22"/>
          <w:lang w:val="en-US"/>
        </w:rPr>
      </w:pPr>
      <w:r w:rsidRPr="001D0353">
        <w:rPr>
          <w:rFonts w:ascii="Cambria" w:hAnsi="Cambria"/>
          <w:i/>
          <w:sz w:val="22"/>
          <w:szCs w:val="22"/>
          <w:lang w:val="en-US"/>
        </w:rPr>
        <w:t xml:space="preserve">(a) a condition that the prisoner must submit to electronic monitoring, including by wearing or carrying an electronic device; </w:t>
      </w:r>
    </w:p>
    <w:p w14:paraId="5624A3D6" w14:textId="77777777" w:rsidR="00871DF8" w:rsidRPr="001D0353" w:rsidRDefault="00871DF8" w:rsidP="001D0353">
      <w:pPr>
        <w:ind w:left="720"/>
        <w:rPr>
          <w:rFonts w:ascii="Cambria" w:hAnsi="Cambria"/>
          <w:i/>
          <w:sz w:val="22"/>
          <w:szCs w:val="22"/>
          <w:lang w:val="en-US"/>
        </w:rPr>
      </w:pPr>
    </w:p>
    <w:p w14:paraId="56AE2281" w14:textId="77777777" w:rsidR="00871DF8" w:rsidRPr="001D0353" w:rsidRDefault="00871DF8" w:rsidP="001D0353">
      <w:pPr>
        <w:ind w:left="720"/>
        <w:rPr>
          <w:rFonts w:ascii="Cambria" w:hAnsi="Cambria"/>
          <w:i/>
          <w:sz w:val="22"/>
          <w:szCs w:val="22"/>
          <w:lang w:val="en-US"/>
        </w:rPr>
      </w:pPr>
      <w:r w:rsidRPr="001D0353">
        <w:rPr>
          <w:rFonts w:ascii="Cambria" w:hAnsi="Cambria"/>
          <w:i/>
          <w:sz w:val="22"/>
          <w:szCs w:val="22"/>
          <w:lang w:val="en-US"/>
        </w:rPr>
        <w:t xml:space="preserve">(b) a condition that the prisoner must not remove, tamper with, damage or disable any electronic device used for the purpose of the electronic monitoring; </w:t>
      </w:r>
    </w:p>
    <w:p w14:paraId="716E9FED" w14:textId="77777777" w:rsidR="00871DF8" w:rsidRPr="001D0353" w:rsidRDefault="00871DF8" w:rsidP="001D0353">
      <w:pPr>
        <w:ind w:left="720"/>
        <w:rPr>
          <w:rFonts w:ascii="Cambria" w:hAnsi="Cambria"/>
          <w:i/>
          <w:sz w:val="22"/>
          <w:szCs w:val="22"/>
          <w:lang w:val="en-US"/>
        </w:rPr>
      </w:pPr>
    </w:p>
    <w:p w14:paraId="3BFA4AF9" w14:textId="77777777" w:rsidR="00871DF8" w:rsidRPr="001D0353" w:rsidRDefault="00871DF8" w:rsidP="001D0353">
      <w:pPr>
        <w:ind w:left="720"/>
        <w:rPr>
          <w:rFonts w:ascii="Cambria" w:hAnsi="Cambria"/>
          <w:i/>
          <w:sz w:val="22"/>
          <w:szCs w:val="22"/>
          <w:lang w:val="en-US"/>
        </w:rPr>
      </w:pPr>
      <w:r w:rsidRPr="001D0353">
        <w:rPr>
          <w:rFonts w:ascii="Cambria" w:hAnsi="Cambria"/>
          <w:i/>
          <w:sz w:val="22"/>
          <w:szCs w:val="22"/>
          <w:lang w:val="en-US"/>
        </w:rPr>
        <w:t>(c) a condition that the prisoner must comply with all reasonable and lawful directions given to the prisoner in relation to the electronic monitoring.</w:t>
      </w:r>
    </w:p>
    <w:p w14:paraId="0C1B0050" w14:textId="77777777" w:rsidR="00871DF8" w:rsidRDefault="00871DF8" w:rsidP="00871DF8">
      <w:pPr>
        <w:pStyle w:val="NoSpacing"/>
        <w:jc w:val="both"/>
      </w:pPr>
    </w:p>
    <w:p w14:paraId="4B70FF67" w14:textId="18D3527D" w:rsidR="005910D1" w:rsidRDefault="00BE42F4" w:rsidP="00871DF8">
      <w:pPr>
        <w:pStyle w:val="NoSpacing"/>
        <w:jc w:val="both"/>
        <w:rPr>
          <w:rFonts w:ascii="Cambria" w:hAnsi="Cambria"/>
          <w:sz w:val="24"/>
          <w:szCs w:val="24"/>
        </w:rPr>
      </w:pPr>
      <w:r w:rsidRPr="00651B40">
        <w:rPr>
          <w:rFonts w:ascii="Cambria" w:hAnsi="Cambria"/>
          <w:sz w:val="24"/>
          <w:szCs w:val="24"/>
        </w:rPr>
        <w:t xml:space="preserve">In our opinion, the Bill will </w:t>
      </w:r>
      <w:r w:rsidR="005910D1">
        <w:rPr>
          <w:rFonts w:ascii="Cambria" w:hAnsi="Cambria"/>
          <w:sz w:val="24"/>
          <w:szCs w:val="24"/>
        </w:rPr>
        <w:t>make clear</w:t>
      </w:r>
      <w:r w:rsidRPr="00651B40">
        <w:rPr>
          <w:rFonts w:ascii="Cambria" w:hAnsi="Cambria"/>
          <w:sz w:val="24"/>
          <w:szCs w:val="24"/>
        </w:rPr>
        <w:t xml:space="preserve"> the orders the Parole Board may impose in relation to electronic monitoring. However, it is unclear why</w:t>
      </w:r>
      <w:r w:rsidR="00651B40">
        <w:rPr>
          <w:rFonts w:ascii="Cambria" w:hAnsi="Cambria"/>
          <w:sz w:val="24"/>
          <w:szCs w:val="24"/>
        </w:rPr>
        <w:t xml:space="preserve"> a more complete list of the conditions available to the Parole Board should not </w:t>
      </w:r>
      <w:r w:rsidR="005910D1">
        <w:rPr>
          <w:rFonts w:ascii="Cambria" w:hAnsi="Cambria"/>
          <w:sz w:val="24"/>
          <w:szCs w:val="24"/>
        </w:rPr>
        <w:t xml:space="preserve">also </w:t>
      </w:r>
      <w:r w:rsidR="00651B40">
        <w:rPr>
          <w:rFonts w:ascii="Cambria" w:hAnsi="Cambria"/>
          <w:sz w:val="24"/>
          <w:szCs w:val="24"/>
        </w:rPr>
        <w:t>be included.</w:t>
      </w:r>
      <w:r w:rsidR="005910D1">
        <w:rPr>
          <w:rFonts w:ascii="Cambria" w:hAnsi="Cambria"/>
          <w:sz w:val="24"/>
          <w:szCs w:val="24"/>
        </w:rPr>
        <w:t xml:space="preserve"> </w:t>
      </w:r>
      <w:r w:rsidR="0021180D">
        <w:rPr>
          <w:rFonts w:ascii="Cambria" w:hAnsi="Cambria"/>
          <w:sz w:val="24"/>
          <w:szCs w:val="24"/>
        </w:rPr>
        <w:t>For example</w:t>
      </w:r>
      <w:r w:rsidR="00146C92">
        <w:rPr>
          <w:rFonts w:ascii="Cambria" w:hAnsi="Cambria"/>
          <w:sz w:val="24"/>
          <w:szCs w:val="24"/>
        </w:rPr>
        <w:t xml:space="preserve">, </w:t>
      </w:r>
      <w:r w:rsidR="00112EA2">
        <w:rPr>
          <w:rFonts w:ascii="Cambria" w:hAnsi="Cambria"/>
          <w:sz w:val="24"/>
          <w:szCs w:val="24"/>
        </w:rPr>
        <w:t xml:space="preserve">a review of the Parole Board of Tasmania’s recent decisions demonstrates that there had been 31 successful applications for parole in the first six months of this year. </w:t>
      </w:r>
      <w:r w:rsidR="005910D1">
        <w:rPr>
          <w:rFonts w:ascii="Cambria" w:hAnsi="Cambria"/>
          <w:sz w:val="24"/>
          <w:szCs w:val="24"/>
        </w:rPr>
        <w:t xml:space="preserve">Of these applicants, </w:t>
      </w:r>
      <w:r w:rsidR="00FD10E3">
        <w:rPr>
          <w:rFonts w:ascii="Cambria" w:hAnsi="Cambria"/>
          <w:sz w:val="24"/>
          <w:szCs w:val="24"/>
        </w:rPr>
        <w:t>84 per cent</w:t>
      </w:r>
      <w:r w:rsidR="005438C3">
        <w:rPr>
          <w:rFonts w:ascii="Cambria" w:hAnsi="Cambria"/>
          <w:sz w:val="24"/>
          <w:szCs w:val="24"/>
        </w:rPr>
        <w:t xml:space="preserve"> had a range of </w:t>
      </w:r>
      <w:r w:rsidR="00C86183">
        <w:rPr>
          <w:rFonts w:ascii="Cambria" w:hAnsi="Cambria"/>
          <w:sz w:val="24"/>
          <w:szCs w:val="24"/>
        </w:rPr>
        <w:t xml:space="preserve">specific </w:t>
      </w:r>
      <w:r w:rsidR="005438C3">
        <w:rPr>
          <w:rFonts w:ascii="Cambria" w:hAnsi="Cambria"/>
          <w:sz w:val="24"/>
          <w:szCs w:val="24"/>
        </w:rPr>
        <w:t xml:space="preserve">conditions attached to their parole </w:t>
      </w:r>
      <w:r w:rsidR="005910D1">
        <w:rPr>
          <w:rFonts w:ascii="Cambria" w:hAnsi="Cambria"/>
          <w:sz w:val="24"/>
          <w:szCs w:val="24"/>
        </w:rPr>
        <w:t>including engaging with rehabilitation programs</w:t>
      </w:r>
      <w:r w:rsidR="005438C3">
        <w:rPr>
          <w:rFonts w:ascii="Cambria" w:hAnsi="Cambria"/>
          <w:sz w:val="24"/>
          <w:szCs w:val="24"/>
        </w:rPr>
        <w:t>, a ban</w:t>
      </w:r>
      <w:r w:rsidR="00FD10E3">
        <w:rPr>
          <w:rFonts w:ascii="Cambria" w:hAnsi="Cambria"/>
          <w:sz w:val="24"/>
          <w:szCs w:val="24"/>
        </w:rPr>
        <w:t xml:space="preserve"> on</w:t>
      </w:r>
      <w:r w:rsidR="005438C3">
        <w:rPr>
          <w:rFonts w:ascii="Cambria" w:hAnsi="Cambria"/>
          <w:sz w:val="24"/>
          <w:szCs w:val="24"/>
        </w:rPr>
        <w:t xml:space="preserve"> associating with particular </w:t>
      </w:r>
      <w:r w:rsidR="005910D1">
        <w:rPr>
          <w:rFonts w:ascii="Cambria" w:hAnsi="Cambria"/>
          <w:sz w:val="24"/>
          <w:szCs w:val="24"/>
        </w:rPr>
        <w:t xml:space="preserve">individuals and </w:t>
      </w:r>
      <w:r w:rsidR="005438C3">
        <w:rPr>
          <w:rFonts w:ascii="Cambria" w:hAnsi="Cambria"/>
          <w:sz w:val="24"/>
          <w:szCs w:val="24"/>
        </w:rPr>
        <w:t>an e</w:t>
      </w:r>
      <w:r w:rsidR="00FD10E3">
        <w:rPr>
          <w:rFonts w:ascii="Cambria" w:hAnsi="Cambria"/>
          <w:sz w:val="24"/>
          <w:szCs w:val="24"/>
        </w:rPr>
        <w:t>xc</w:t>
      </w:r>
      <w:r w:rsidR="005438C3">
        <w:rPr>
          <w:rFonts w:ascii="Cambria" w:hAnsi="Cambria"/>
          <w:sz w:val="24"/>
          <w:szCs w:val="24"/>
        </w:rPr>
        <w:t xml:space="preserve">lusion from particular locations </w:t>
      </w:r>
      <w:r w:rsidR="005910D1">
        <w:rPr>
          <w:rFonts w:ascii="Cambria" w:hAnsi="Cambria"/>
          <w:sz w:val="24"/>
          <w:szCs w:val="24"/>
        </w:rPr>
        <w:t>as the following graph demonstrates</w:t>
      </w:r>
    </w:p>
    <w:p w14:paraId="510435FF" w14:textId="29986ACE" w:rsidR="00FD10E3" w:rsidRDefault="00FD10E3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0A769BD" w14:textId="117E63F8" w:rsidR="005910D1" w:rsidRDefault="006C2EE7" w:rsidP="006C2EE7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8CDDB2A" wp14:editId="26D8F4AB">
            <wp:extent cx="4572000" cy="2743200"/>
            <wp:effectExtent l="0" t="0" r="1270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71E3DD6-06FC-FC4E-A49B-AF98329D4C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3125E3" w14:textId="7D875D2A" w:rsidR="006C2EE7" w:rsidRDefault="006C2EE7" w:rsidP="00871DF8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14:paraId="4D0DFD15" w14:textId="77777777" w:rsidR="006C2EE7" w:rsidRDefault="006C2EE7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04BAADD" w14:textId="78FCF8A2" w:rsidR="001D0353" w:rsidRDefault="0029753B" w:rsidP="00871DF8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strongly recommend that if the Bill is intended to provide more transparency around the orders available to the Parole Board of Tasmania, then the abovementioned </w:t>
      </w:r>
      <w:r w:rsidR="00C86183">
        <w:rPr>
          <w:rFonts w:ascii="Cambria" w:hAnsi="Cambria"/>
          <w:sz w:val="24"/>
          <w:szCs w:val="24"/>
        </w:rPr>
        <w:t xml:space="preserve">and non-exhaustive </w:t>
      </w:r>
      <w:r>
        <w:rPr>
          <w:rFonts w:ascii="Cambria" w:hAnsi="Cambria"/>
          <w:sz w:val="24"/>
          <w:szCs w:val="24"/>
        </w:rPr>
        <w:t xml:space="preserve">conditions should be clearly outlined in the amended subsection 5A. A </w:t>
      </w:r>
      <w:r w:rsidR="00C50CED">
        <w:rPr>
          <w:rFonts w:ascii="Cambria" w:hAnsi="Cambria"/>
          <w:sz w:val="24"/>
          <w:szCs w:val="24"/>
        </w:rPr>
        <w:t xml:space="preserve">good model that we believe should be considered is section 30 of the </w:t>
      </w:r>
      <w:r w:rsidR="00C50CED" w:rsidRPr="00C50CED">
        <w:rPr>
          <w:rFonts w:ascii="Cambria" w:hAnsi="Cambria"/>
          <w:i/>
          <w:sz w:val="24"/>
          <w:szCs w:val="24"/>
        </w:rPr>
        <w:t>Sentence Administration Act 2003</w:t>
      </w:r>
      <w:r w:rsidR="00C50CED">
        <w:rPr>
          <w:rFonts w:ascii="Cambria" w:hAnsi="Cambria"/>
          <w:sz w:val="24"/>
          <w:szCs w:val="24"/>
        </w:rPr>
        <w:t xml:space="preserve"> (WA) which provides:  </w:t>
      </w:r>
    </w:p>
    <w:p w14:paraId="02ACCA8C" w14:textId="7E1046D2" w:rsidR="00651B40" w:rsidRDefault="00651B40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179D615" w14:textId="4A16BDC4" w:rsidR="00C86183" w:rsidRDefault="00C86183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57AF5BF" w14:textId="77777777" w:rsidR="00C86183" w:rsidRDefault="00C86183" w:rsidP="00871DF8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741B8A5" w14:textId="77777777" w:rsidR="0087205F" w:rsidRPr="00A44A7E" w:rsidRDefault="0087205F" w:rsidP="00C50CED">
      <w:pPr>
        <w:pStyle w:val="NoSpacing"/>
        <w:ind w:left="720"/>
        <w:rPr>
          <w:rFonts w:ascii="Cambria" w:hAnsi="Cambria"/>
          <w:b/>
          <w:i/>
          <w:color w:val="000000" w:themeColor="text1"/>
          <w:sz w:val="21"/>
          <w:szCs w:val="21"/>
        </w:rPr>
      </w:pPr>
      <w:bookmarkStart w:id="0" w:name="_Toc43737391"/>
      <w:bookmarkStart w:id="1" w:name="Heading885"/>
      <w:bookmarkEnd w:id="0"/>
      <w:bookmarkEnd w:id="1"/>
      <w:r w:rsidRPr="00A44A7E">
        <w:rPr>
          <w:rFonts w:ascii="Cambria" w:hAnsi="Cambria"/>
          <w:b/>
          <w:i/>
          <w:color w:val="000000" w:themeColor="text1"/>
          <w:sz w:val="21"/>
          <w:szCs w:val="21"/>
        </w:rPr>
        <w:lastRenderedPageBreak/>
        <w:t>30. Parole order, additional requirements</w:t>
      </w:r>
    </w:p>
    <w:p w14:paraId="281861CC" w14:textId="77777777" w:rsidR="00C50CED" w:rsidRPr="00A44A7E" w:rsidRDefault="0087205F" w:rsidP="00C50CED">
      <w:pPr>
        <w:pStyle w:val="NoSpacing"/>
        <w:ind w:left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A parole order may contain such of these additional requirements as the Board or the Governor (as the case may be) thinks fit —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452D08DD" w14:textId="77777777" w:rsidR="00C50CED" w:rsidRPr="00A44A7E" w:rsidRDefault="0087205F" w:rsidP="00C50CED">
      <w:pPr>
        <w:pStyle w:val="NoSpacing"/>
        <w:ind w:left="72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(a) a requirement as to where the prisoner must reside;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553F78A4" w14:textId="77777777" w:rsidR="00C50CED" w:rsidRPr="00A44A7E" w:rsidRDefault="0087205F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(b) requirements to protect any victim of a prisoner from coming into contact with the prisoner;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3B6C460A" w14:textId="77777777" w:rsidR="00C50CED" w:rsidRPr="00A44A7E" w:rsidRDefault="0087205F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(c) a requirement that the prisoner wear an approved electronic monitoring device;</w:t>
      </w:r>
    </w:p>
    <w:p w14:paraId="606D7373" w14:textId="77777777" w:rsidR="00C50CED" w:rsidRPr="00A44A7E" w:rsidRDefault="00C50CED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</w:p>
    <w:p w14:paraId="18BA6817" w14:textId="77777777" w:rsidR="00C50CED" w:rsidRPr="00A44A7E" w:rsidRDefault="0087205F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(d) a requirement that the prisoner permit the installation of an approved electronic monitoring device at the place where the prisoner resides;</w:t>
      </w:r>
    </w:p>
    <w:p w14:paraId="788620B5" w14:textId="77777777" w:rsidR="00C50CED" w:rsidRPr="00A44A7E" w:rsidRDefault="00C50CED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</w:p>
    <w:p w14:paraId="0B9FFE34" w14:textId="4237FA32" w:rsidR="0087205F" w:rsidRPr="00A44A7E" w:rsidRDefault="0087205F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(e) a requirement that, if the CEO so directs, the prisoner —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13E7CC76" w14:textId="77777777" w:rsidR="0087205F" w:rsidRPr="00A44A7E" w:rsidRDefault="0087205F" w:rsidP="00C50CED">
      <w:pPr>
        <w:pStyle w:val="NoSpacing"/>
        <w:ind w:left="144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</w:t>
      </w:r>
      <w:proofErr w:type="spellStart"/>
      <w:r w:rsidRPr="00A44A7E">
        <w:rPr>
          <w:rFonts w:ascii="Cambria" w:hAnsi="Cambria"/>
          <w:i/>
          <w:color w:val="000000" w:themeColor="text1"/>
          <w:sz w:val="21"/>
          <w:szCs w:val="21"/>
        </w:rPr>
        <w:t>i</w:t>
      </w:r>
      <w:proofErr w:type="spellEnd"/>
      <w:r w:rsidRPr="00A44A7E">
        <w:rPr>
          <w:rFonts w:ascii="Cambria" w:hAnsi="Cambria"/>
          <w:i/>
          <w:color w:val="000000" w:themeColor="text1"/>
          <w:sz w:val="21"/>
          <w:szCs w:val="21"/>
        </w:rPr>
        <w:t>) wear an approved electronic monitoring device; or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3E9B8DDA" w14:textId="77777777" w:rsidR="0087205F" w:rsidRPr="00A44A7E" w:rsidRDefault="0087205F" w:rsidP="00C50CED">
      <w:pPr>
        <w:pStyle w:val="NoSpacing"/>
        <w:ind w:left="216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(ii) permit the installation of an approved electronic monitoring device at the place where the prisoner resides;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709DCCDE" w14:textId="77777777" w:rsidR="0087205F" w:rsidRPr="00A44A7E" w:rsidRDefault="0087205F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(f) a requirement that the prisoner must not leave Western Australia except with and in accordance with the written permission of the CEO;</w:t>
      </w:r>
    </w:p>
    <w:p w14:paraId="70C95755" w14:textId="77777777" w:rsidR="0087205F" w:rsidRPr="00A44A7E" w:rsidRDefault="0087205F" w:rsidP="00C50CED">
      <w:pPr>
        <w:pStyle w:val="NoSpacing"/>
        <w:ind w:left="720"/>
        <w:rPr>
          <w:rFonts w:ascii="Cambria" w:hAnsi="Cambria"/>
          <w:i/>
          <w:color w:val="000000" w:themeColor="text1"/>
          <w:sz w:val="21"/>
          <w:szCs w:val="21"/>
        </w:rPr>
      </w:pPr>
    </w:p>
    <w:p w14:paraId="77284D4A" w14:textId="77777777" w:rsidR="0087205F" w:rsidRPr="00A44A7E" w:rsidRDefault="0087205F" w:rsidP="00C50CED">
      <w:pPr>
        <w:pStyle w:val="NoSpacing"/>
        <w:ind w:left="72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(g) requirements to facilitate the prisoner’s rehabilitation;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602A01FF" w14:textId="77777777" w:rsidR="0087205F" w:rsidRPr="00A44A7E" w:rsidRDefault="0087205F" w:rsidP="00C50CED">
      <w:pPr>
        <w:pStyle w:val="NoSpacing"/>
        <w:ind w:left="144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(h) a requirement that the prisoner must, in each period of 7 days, do the prescribed number of hours of community corrections activities;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469B860D" w14:textId="77777777" w:rsidR="0087205F" w:rsidRPr="00A44A7E" w:rsidRDefault="0087205F" w:rsidP="00C50CED">
      <w:pPr>
        <w:pStyle w:val="NoSpacing"/>
        <w:ind w:left="72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</w:t>
      </w:r>
      <w:proofErr w:type="spellStart"/>
      <w:r w:rsidRPr="00A44A7E">
        <w:rPr>
          <w:rFonts w:ascii="Cambria" w:hAnsi="Cambria"/>
          <w:i/>
          <w:color w:val="000000" w:themeColor="text1"/>
          <w:sz w:val="21"/>
          <w:szCs w:val="21"/>
        </w:rPr>
        <w:t>i</w:t>
      </w:r>
      <w:proofErr w:type="spellEnd"/>
      <w:r w:rsidRPr="00A44A7E">
        <w:rPr>
          <w:rFonts w:ascii="Cambria" w:hAnsi="Cambria"/>
          <w:i/>
          <w:color w:val="000000" w:themeColor="text1"/>
          <w:sz w:val="21"/>
          <w:szCs w:val="21"/>
        </w:rPr>
        <w:t>) a requirement that the prisoner must —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57728892" w14:textId="77777777" w:rsidR="0087205F" w:rsidRPr="00A44A7E" w:rsidRDefault="0087205F" w:rsidP="00C50CED">
      <w:pPr>
        <w:pStyle w:val="NoSpacing"/>
        <w:ind w:left="144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</w:t>
      </w:r>
      <w:proofErr w:type="spellStart"/>
      <w:r w:rsidRPr="00A44A7E">
        <w:rPr>
          <w:rFonts w:ascii="Cambria" w:hAnsi="Cambria"/>
          <w:i/>
          <w:color w:val="000000" w:themeColor="text1"/>
          <w:sz w:val="21"/>
          <w:szCs w:val="21"/>
        </w:rPr>
        <w:t>i</w:t>
      </w:r>
      <w:proofErr w:type="spellEnd"/>
      <w:r w:rsidRPr="00A44A7E">
        <w:rPr>
          <w:rFonts w:ascii="Cambria" w:hAnsi="Cambria"/>
          <w:i/>
          <w:color w:val="000000" w:themeColor="text1"/>
          <w:sz w:val="21"/>
          <w:szCs w:val="21"/>
        </w:rPr>
        <w:t>) seek or engage in gainful employment or in vocational training; or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5FEE3FCC" w14:textId="77777777" w:rsidR="0087205F" w:rsidRPr="00A44A7E" w:rsidRDefault="0087205F" w:rsidP="00C50CED">
      <w:pPr>
        <w:pStyle w:val="NoSpacing"/>
        <w:ind w:left="144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(ii) engage in gratuitous work for an organisation approved by the CEO;</w:t>
      </w:r>
      <w:r w:rsidRPr="00A44A7E">
        <w:rPr>
          <w:rFonts w:ascii="Cambria" w:hAnsi="Cambria"/>
          <w:i/>
          <w:color w:val="000000" w:themeColor="text1"/>
          <w:sz w:val="21"/>
          <w:szCs w:val="21"/>
        </w:rPr>
        <w:br/>
      </w:r>
    </w:p>
    <w:p w14:paraId="3B4A5433" w14:textId="0A1257E9" w:rsidR="00A931BF" w:rsidRPr="00A44A7E" w:rsidRDefault="0087205F" w:rsidP="0029753B">
      <w:pPr>
        <w:pStyle w:val="NoSpacing"/>
        <w:ind w:left="720" w:firstLine="720"/>
        <w:rPr>
          <w:rFonts w:ascii="Cambria" w:hAnsi="Cambria"/>
          <w:i/>
          <w:color w:val="000000" w:themeColor="text1"/>
          <w:sz w:val="21"/>
          <w:szCs w:val="21"/>
        </w:rPr>
      </w:pPr>
      <w:r w:rsidRPr="00A44A7E">
        <w:rPr>
          <w:rFonts w:ascii="Cambria" w:hAnsi="Cambria"/>
          <w:i/>
          <w:color w:val="000000" w:themeColor="text1"/>
          <w:sz w:val="21"/>
          <w:szCs w:val="21"/>
        </w:rPr>
        <w:t>(j) prescribed requirements.</w:t>
      </w:r>
    </w:p>
    <w:p w14:paraId="7CC32988" w14:textId="77777777" w:rsidR="0029753B" w:rsidRPr="0029753B" w:rsidRDefault="0029753B" w:rsidP="0029753B">
      <w:pPr>
        <w:pStyle w:val="NoSpacing"/>
        <w:ind w:left="720" w:firstLine="720"/>
        <w:rPr>
          <w:rFonts w:ascii="Cambria" w:hAnsi="Cambria"/>
          <w:i/>
          <w:color w:val="000000" w:themeColor="text1"/>
        </w:rPr>
      </w:pPr>
    </w:p>
    <w:p w14:paraId="77B69C46" w14:textId="77777777" w:rsidR="00131DEC" w:rsidRDefault="005910D1" w:rsidP="00600CFE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summary,</w:t>
      </w:r>
      <w:r w:rsidR="0029753B">
        <w:rPr>
          <w:rFonts w:ascii="Cambria" w:hAnsi="Cambria"/>
          <w:sz w:val="24"/>
          <w:szCs w:val="24"/>
        </w:rPr>
        <w:t xml:space="preserve"> w</w:t>
      </w:r>
      <w:r w:rsidR="0029753B" w:rsidRPr="00206C10">
        <w:rPr>
          <w:rFonts w:ascii="Cambria" w:hAnsi="Cambria"/>
          <w:sz w:val="24"/>
          <w:szCs w:val="24"/>
        </w:rPr>
        <w:t xml:space="preserve">e </w:t>
      </w:r>
      <w:r w:rsidR="0029753B">
        <w:rPr>
          <w:rFonts w:ascii="Cambria" w:hAnsi="Cambria"/>
          <w:sz w:val="24"/>
          <w:szCs w:val="24"/>
        </w:rPr>
        <w:t xml:space="preserve">are </w:t>
      </w:r>
      <w:r w:rsidR="0029753B" w:rsidRPr="00206C10">
        <w:rPr>
          <w:rFonts w:ascii="Cambria" w:hAnsi="Cambria"/>
          <w:sz w:val="24"/>
          <w:szCs w:val="24"/>
        </w:rPr>
        <w:t>support</w:t>
      </w:r>
      <w:r w:rsidR="0029753B">
        <w:rPr>
          <w:rFonts w:ascii="Cambria" w:hAnsi="Cambria"/>
          <w:sz w:val="24"/>
          <w:szCs w:val="24"/>
        </w:rPr>
        <w:t xml:space="preserve">ive of the intention to amend the </w:t>
      </w:r>
      <w:r w:rsidR="0029753B" w:rsidRPr="00B05371">
        <w:rPr>
          <w:rFonts w:ascii="Cambria" w:hAnsi="Cambria"/>
          <w:i/>
          <w:sz w:val="24"/>
          <w:szCs w:val="24"/>
        </w:rPr>
        <w:t>Corrections Act 1997</w:t>
      </w:r>
      <w:r w:rsidR="0029753B">
        <w:rPr>
          <w:rFonts w:ascii="Cambria" w:hAnsi="Cambria"/>
          <w:sz w:val="24"/>
          <w:szCs w:val="24"/>
        </w:rPr>
        <w:t xml:space="preserve"> (Tas) to provide specific authority for the Parole Board to include electronic monitoring as a condition of a prisoner’s parole. However, we strongly recommend that the Bill is broadened to include a more transparent list of the conditions available.</w:t>
      </w:r>
    </w:p>
    <w:p w14:paraId="1F55853B" w14:textId="77777777" w:rsidR="00131DEC" w:rsidRDefault="00131DEC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F9144F0" w14:textId="339612A1" w:rsidR="00600CFE" w:rsidRPr="00206C10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>If we can be of any further assistance, please do not hesitate to contact us.</w:t>
      </w:r>
    </w:p>
    <w:p w14:paraId="230E6BC7" w14:textId="77777777" w:rsidR="00600CFE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B497ACB" w14:textId="77777777" w:rsidR="00600CFE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CF8C537" w14:textId="77777777" w:rsidR="00600CFE" w:rsidRPr="00206C10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  <w:r w:rsidRPr="00206C10">
        <w:rPr>
          <w:rFonts w:ascii="Cambria" w:hAnsi="Cambria"/>
          <w:sz w:val="24"/>
          <w:szCs w:val="24"/>
        </w:rPr>
        <w:t xml:space="preserve">Yours faithfully, </w:t>
      </w:r>
    </w:p>
    <w:p w14:paraId="7EB2B867" w14:textId="77777777" w:rsidR="00600CFE" w:rsidRPr="00206C10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9593710" w14:textId="77777777" w:rsidR="00600CFE" w:rsidRPr="00206C10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EA22D2A" w14:textId="77777777" w:rsidR="00600CFE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EAB819F" w14:textId="77777777" w:rsidR="00600CFE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Benedict </w:t>
      </w:r>
      <w:proofErr w:type="spellStart"/>
      <w:r>
        <w:rPr>
          <w:rFonts w:ascii="Cambria" w:hAnsi="Cambria"/>
          <w:sz w:val="24"/>
          <w:szCs w:val="24"/>
        </w:rPr>
        <w:t>Bartl</w:t>
      </w:r>
      <w:proofErr w:type="spellEnd"/>
    </w:p>
    <w:p w14:paraId="649870AC" w14:textId="77777777" w:rsidR="00600CFE" w:rsidRPr="00206C10" w:rsidRDefault="00600CFE" w:rsidP="00600CFE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Policy Officer</w:t>
      </w:r>
    </w:p>
    <w:p w14:paraId="3B2C456D" w14:textId="5411B9D5" w:rsidR="00C86183" w:rsidRPr="00C86183" w:rsidRDefault="00600CFE" w:rsidP="00C86183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 w:rsidRPr="00206C10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FC48A" wp14:editId="5233996E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050280" cy="15240"/>
                <wp:effectExtent l="0" t="0" r="2667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CDB7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95pt" to="476.4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 w:rsidRPr="00206C10">
        <w:rPr>
          <w:rFonts w:ascii="Cambria" w:hAnsi="Cambria"/>
          <w:b/>
          <w:bCs/>
          <w:sz w:val="24"/>
          <w:szCs w:val="24"/>
        </w:rPr>
        <w:t>Community Legal Centres Tasmania</w:t>
      </w:r>
      <w:r w:rsidR="00C86183">
        <w:t xml:space="preserve"> </w:t>
      </w:r>
    </w:p>
    <w:sectPr w:rsidR="00C86183" w:rsidRPr="00C8618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BFC68" w14:textId="77777777" w:rsidR="007D7ED2" w:rsidRDefault="007D7ED2" w:rsidP="00600CFE">
      <w:r>
        <w:separator/>
      </w:r>
    </w:p>
  </w:endnote>
  <w:endnote w:type="continuationSeparator" w:id="0">
    <w:p w14:paraId="4434782F" w14:textId="77777777" w:rsidR="007D7ED2" w:rsidRDefault="007D7ED2" w:rsidP="0060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080246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ED0E4B" w14:textId="77777777" w:rsidR="00AD0519" w:rsidRDefault="007A11F7" w:rsidP="00BF39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4A4E81" w14:textId="77777777" w:rsidR="00AD0519" w:rsidRDefault="007D7ED2" w:rsidP="00AD0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720447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748C41" w14:textId="77777777" w:rsidR="00AD0519" w:rsidRDefault="007A11F7" w:rsidP="00BF39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35715B" w14:textId="77777777" w:rsidR="00AD0519" w:rsidRDefault="007D7ED2" w:rsidP="00AD05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4D60" w14:textId="77777777" w:rsidR="007D7ED2" w:rsidRDefault="007D7ED2" w:rsidP="00600CFE">
      <w:r>
        <w:separator/>
      </w:r>
    </w:p>
  </w:footnote>
  <w:footnote w:type="continuationSeparator" w:id="0">
    <w:p w14:paraId="7FCAC68A" w14:textId="77777777" w:rsidR="007D7ED2" w:rsidRDefault="007D7ED2" w:rsidP="00600CFE">
      <w:r>
        <w:continuationSeparator/>
      </w:r>
    </w:p>
  </w:footnote>
  <w:footnote w:id="1">
    <w:p w14:paraId="071C05D4" w14:textId="69AB3C21" w:rsidR="00D67E23" w:rsidRPr="00E809C5" w:rsidRDefault="00D67E23">
      <w:pPr>
        <w:pStyle w:val="FootnoteText"/>
        <w:rPr>
          <w:rFonts w:ascii="Cambria" w:hAnsi="Cambria"/>
          <w:lang w:val="en-US"/>
        </w:rPr>
      </w:pPr>
      <w:r w:rsidRPr="00E809C5">
        <w:rPr>
          <w:rStyle w:val="FootnoteReference"/>
          <w:rFonts w:ascii="Cambria" w:hAnsi="Cambria"/>
        </w:rPr>
        <w:footnoteRef/>
      </w:r>
      <w:r w:rsidRPr="00E809C5">
        <w:rPr>
          <w:rFonts w:ascii="Cambria" w:hAnsi="Cambria"/>
        </w:rPr>
        <w:t xml:space="preserve"> </w:t>
      </w:r>
      <w:r w:rsidRPr="00E809C5">
        <w:rPr>
          <w:rFonts w:ascii="Cambria" w:hAnsi="Cambria"/>
          <w:lang w:val="en-US"/>
        </w:rPr>
        <w:t xml:space="preserve">Section 72(4) of the </w:t>
      </w:r>
      <w:r w:rsidRPr="00E809C5">
        <w:rPr>
          <w:rFonts w:ascii="Cambria" w:hAnsi="Cambria"/>
          <w:i/>
          <w:lang w:val="en-US"/>
        </w:rPr>
        <w:t xml:space="preserve">Corrections Act 1997 </w:t>
      </w:r>
      <w:r w:rsidRPr="00E809C5">
        <w:rPr>
          <w:rFonts w:ascii="Cambria" w:hAnsi="Cambria"/>
          <w:lang w:val="en-US"/>
        </w:rPr>
        <w:t xml:space="preserve">(Tas).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630CE"/>
    <w:multiLevelType w:val="hybridMultilevel"/>
    <w:tmpl w:val="E8CC7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B682F"/>
    <w:multiLevelType w:val="hybridMultilevel"/>
    <w:tmpl w:val="1B82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FE"/>
    <w:rsid w:val="00066272"/>
    <w:rsid w:val="00112EA2"/>
    <w:rsid w:val="00131DEC"/>
    <w:rsid w:val="00146C92"/>
    <w:rsid w:val="001B7019"/>
    <w:rsid w:val="001D0353"/>
    <w:rsid w:val="0021180D"/>
    <w:rsid w:val="0029753B"/>
    <w:rsid w:val="00355FAE"/>
    <w:rsid w:val="00480500"/>
    <w:rsid w:val="005438C3"/>
    <w:rsid w:val="005910D1"/>
    <w:rsid w:val="005D2774"/>
    <w:rsid w:val="00600CFE"/>
    <w:rsid w:val="00651B40"/>
    <w:rsid w:val="006C2EE7"/>
    <w:rsid w:val="00740640"/>
    <w:rsid w:val="00765ED1"/>
    <w:rsid w:val="007A11F7"/>
    <w:rsid w:val="007D7ED2"/>
    <w:rsid w:val="008444EB"/>
    <w:rsid w:val="00871DF8"/>
    <w:rsid w:val="0087205F"/>
    <w:rsid w:val="0090168B"/>
    <w:rsid w:val="00970EA2"/>
    <w:rsid w:val="00972B50"/>
    <w:rsid w:val="009B1A8B"/>
    <w:rsid w:val="00A07D21"/>
    <w:rsid w:val="00A13E94"/>
    <w:rsid w:val="00A44A7E"/>
    <w:rsid w:val="00A931BF"/>
    <w:rsid w:val="00B05371"/>
    <w:rsid w:val="00B0675E"/>
    <w:rsid w:val="00B07950"/>
    <w:rsid w:val="00B840AD"/>
    <w:rsid w:val="00BE42F4"/>
    <w:rsid w:val="00C479E8"/>
    <w:rsid w:val="00C50CED"/>
    <w:rsid w:val="00C86183"/>
    <w:rsid w:val="00CA5C92"/>
    <w:rsid w:val="00D61AAF"/>
    <w:rsid w:val="00D67E23"/>
    <w:rsid w:val="00D900A9"/>
    <w:rsid w:val="00E809C5"/>
    <w:rsid w:val="00ED4DA1"/>
    <w:rsid w:val="00F274F9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8A3F"/>
  <w15:chartTrackingRefBased/>
  <w15:docId w15:val="{CC115FB0-3165-064C-965D-6E47CD73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F8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8720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6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600CFE"/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600CFE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nhideWhenUsed/>
    <w:rsid w:val="00600CFE"/>
    <w:rPr>
      <w:vertAlign w:val="superscript"/>
    </w:rPr>
  </w:style>
  <w:style w:type="paragraph" w:styleId="NoSpacing">
    <w:name w:val="No Spacing"/>
    <w:uiPriority w:val="1"/>
    <w:qFormat/>
    <w:rsid w:val="00600CFE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00CF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0CF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00CFE"/>
    <w:rPr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600CFE"/>
  </w:style>
  <w:style w:type="character" w:customStyle="1" w:styleId="Heading3Char">
    <w:name w:val="Heading 3 Char"/>
    <w:basedOn w:val="DefaultParagraphFont"/>
    <w:link w:val="Heading3"/>
    <w:uiPriority w:val="9"/>
    <w:rsid w:val="008720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720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7205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406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rag-no">
    <w:name w:val="frag-no"/>
    <w:basedOn w:val="DefaultParagraphFont"/>
    <w:rsid w:val="00B840AD"/>
  </w:style>
  <w:style w:type="character" w:customStyle="1" w:styleId="frag-heading">
    <w:name w:val="frag-heading"/>
    <w:basedOn w:val="DefaultParagraphFont"/>
    <w:rsid w:val="00B840AD"/>
  </w:style>
  <w:style w:type="character" w:styleId="Strong">
    <w:name w:val="Strong"/>
    <w:basedOn w:val="DefaultParagraphFont"/>
    <w:uiPriority w:val="22"/>
    <w:qFormat/>
    <w:rsid w:val="00211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854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854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26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62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8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90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5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5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55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1494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3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0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0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4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2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haveyoursay@justice.tas.gov.a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Shared%20Docs/Public/Sister%20Organisations/CLC%20Tas/TACLC%20-%20Ben%20Bartl's%20work/Drugs/DrugStatistics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Parole Board of Tasmania</a:t>
            </a:r>
          </a:p>
          <a:p>
            <a:pPr>
              <a:defRPr/>
            </a:pPr>
            <a:r>
              <a:rPr lang="en-GB"/>
              <a:t>Conditions of Release in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6E5-9243-BA3E-DBDBF6168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6E5-9243-BA3E-DBDBF6168E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6E5-9243-BA3E-DBDBF6168E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6E5-9243-BA3E-DBDBF6168E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6E5-9243-BA3E-DBDBF6168E39}"/>
              </c:ext>
            </c:extLst>
          </c:dPt>
          <c:dLbls>
            <c:dLbl>
              <c:idx val="1"/>
              <c:layout>
                <c:manualLayout>
                  <c:x val="8.2330489938757662E-2"/>
                  <c:y val="-0.1294998541848935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E5-9243-BA3E-DBDBF6168E39}"/>
                </c:ext>
              </c:extLst>
            </c:dLbl>
            <c:dLbl>
              <c:idx val="2"/>
              <c:layout>
                <c:manualLayout>
                  <c:x val="8.269663167104109E-2"/>
                  <c:y val="7.23939195100612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E5-9243-BA3E-DBDBF6168E39}"/>
                </c:ext>
              </c:extLst>
            </c:dLbl>
            <c:dLbl>
              <c:idx val="3"/>
              <c:layout>
                <c:manualLayout>
                  <c:x val="5.2933945756780378E-2"/>
                  <c:y val="0.1223581948089821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E5-9243-BA3E-DBDBF6168E39}"/>
                </c:ext>
              </c:extLst>
            </c:dLbl>
            <c:dLbl>
              <c:idx val="4"/>
              <c:layout>
                <c:manualLayout>
                  <c:x val="2.1428258967629045E-2"/>
                  <c:y val="9.854841061533975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E5-9243-BA3E-DBDBF6168E3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Sheet1!$A$198:$A$202</c:f>
              <c:strCache>
                <c:ptCount val="5"/>
                <c:pt idx="0">
                  <c:v>Engage with rehabilitation program</c:v>
                </c:pt>
                <c:pt idx="1">
                  <c:v>Exclusion from associating with particular individuals</c:v>
                </c:pt>
                <c:pt idx="2">
                  <c:v>Exclusion from particular locations</c:v>
                </c:pt>
                <c:pt idx="3">
                  <c:v>Subject to the normal conditions of a parole order</c:v>
                </c:pt>
                <c:pt idx="4">
                  <c:v>Prescribed Requirements</c:v>
                </c:pt>
              </c:strCache>
            </c:strRef>
          </c:cat>
          <c:val>
            <c:numRef>
              <c:f>Sheet1!$E$198:$E$202</c:f>
              <c:numCache>
                <c:formatCode>General</c:formatCode>
                <c:ptCount val="5"/>
                <c:pt idx="0">
                  <c:v>33</c:v>
                </c:pt>
                <c:pt idx="1">
                  <c:v>17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E5-9243-BA3E-DBDBF6168E3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37EB80-8B07-9642-9A68-17007862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2020-07-29T03:43:00Z</dcterms:created>
  <dcterms:modified xsi:type="dcterms:W3CDTF">2020-07-29T03:43:00Z</dcterms:modified>
</cp:coreProperties>
</file>