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8E591" w14:textId="2E1F49ED" w:rsidR="00D1334B" w:rsidRDefault="00206C10" w:rsidP="00206C10">
      <w:pPr>
        <w:pStyle w:val="NoSpacing"/>
        <w:jc w:val="center"/>
        <w:rPr>
          <w:rFonts w:ascii="Cambria" w:hAnsi="Cambria"/>
          <w:sz w:val="24"/>
          <w:szCs w:val="24"/>
        </w:rPr>
      </w:pPr>
      <w:r w:rsidRPr="00BC0D6B">
        <w:rPr>
          <w:noProof/>
          <w:sz w:val="20"/>
          <w:szCs w:val="20"/>
        </w:rPr>
        <w:drawing>
          <wp:inline distT="0" distB="0" distL="0" distR="0" wp14:anchorId="0163D24F" wp14:editId="6D87BF91">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7D3FA664" w14:textId="0DDF5134" w:rsidR="00206C10" w:rsidRDefault="00206C10" w:rsidP="00206C10">
      <w:pPr>
        <w:pStyle w:val="NoSpacing"/>
        <w:rPr>
          <w:rFonts w:ascii="Cambria" w:hAnsi="Cambria"/>
          <w:sz w:val="24"/>
          <w:szCs w:val="24"/>
        </w:rPr>
      </w:pPr>
    </w:p>
    <w:p w14:paraId="4B3AE991" w14:textId="77777777" w:rsidR="00206C10" w:rsidRPr="00206C10" w:rsidRDefault="00206C10" w:rsidP="00206C10">
      <w:pPr>
        <w:pStyle w:val="NoSpacing"/>
        <w:rPr>
          <w:rFonts w:ascii="Cambria" w:hAnsi="Cambria"/>
          <w:sz w:val="24"/>
          <w:szCs w:val="24"/>
        </w:rPr>
      </w:pPr>
    </w:p>
    <w:p w14:paraId="001EF84D" w14:textId="3F2856D6" w:rsidR="0095278B" w:rsidRPr="00206C10" w:rsidRDefault="0095278B" w:rsidP="00206C10">
      <w:pPr>
        <w:pStyle w:val="NoSpacing"/>
        <w:rPr>
          <w:rFonts w:ascii="Cambria" w:hAnsi="Cambria"/>
          <w:sz w:val="24"/>
          <w:szCs w:val="24"/>
        </w:rPr>
      </w:pPr>
    </w:p>
    <w:p w14:paraId="09981C10" w14:textId="17048A3F" w:rsidR="0095278B" w:rsidRPr="00206C10" w:rsidRDefault="00206C10" w:rsidP="00206C10">
      <w:pPr>
        <w:pStyle w:val="NoSpacing"/>
        <w:rPr>
          <w:rFonts w:ascii="Cambria" w:hAnsi="Cambria"/>
          <w:sz w:val="24"/>
          <w:szCs w:val="24"/>
        </w:rPr>
      </w:pPr>
      <w:r w:rsidRPr="00206C10">
        <w:rPr>
          <w:rFonts w:ascii="Cambria" w:hAnsi="Cambria"/>
          <w:sz w:val="24"/>
          <w:szCs w:val="24"/>
        </w:rPr>
        <w:t>29 May</w:t>
      </w:r>
      <w:r w:rsidR="0095278B" w:rsidRPr="00206C10">
        <w:rPr>
          <w:rFonts w:ascii="Cambria" w:hAnsi="Cambria"/>
          <w:sz w:val="24"/>
          <w:szCs w:val="24"/>
        </w:rPr>
        <w:t xml:space="preserve"> 2020</w:t>
      </w:r>
    </w:p>
    <w:p w14:paraId="0638374A" w14:textId="77777777" w:rsidR="00206C10" w:rsidRPr="00206C10" w:rsidRDefault="00206C10" w:rsidP="00206C10">
      <w:pPr>
        <w:pStyle w:val="NoSpacing"/>
        <w:rPr>
          <w:rFonts w:ascii="Cambria" w:hAnsi="Cambria"/>
          <w:sz w:val="24"/>
          <w:szCs w:val="24"/>
        </w:rPr>
      </w:pPr>
    </w:p>
    <w:p w14:paraId="56F43710" w14:textId="56A4AAC5" w:rsidR="0095278B" w:rsidRPr="00206C10" w:rsidRDefault="0095278B" w:rsidP="00206C10">
      <w:pPr>
        <w:pStyle w:val="NoSpacing"/>
        <w:rPr>
          <w:rFonts w:ascii="Cambria" w:hAnsi="Cambria"/>
          <w:sz w:val="24"/>
          <w:szCs w:val="24"/>
        </w:rPr>
      </w:pPr>
      <w:r w:rsidRPr="00206C10">
        <w:rPr>
          <w:rFonts w:ascii="Cambria" w:hAnsi="Cambria"/>
          <w:sz w:val="24"/>
          <w:szCs w:val="24"/>
        </w:rPr>
        <w:t>Department of Justice</w:t>
      </w:r>
    </w:p>
    <w:p w14:paraId="71F1577F" w14:textId="77777777" w:rsidR="0095278B" w:rsidRPr="00206C10" w:rsidRDefault="0095278B" w:rsidP="00206C10">
      <w:pPr>
        <w:pStyle w:val="NoSpacing"/>
        <w:rPr>
          <w:rFonts w:ascii="Cambria" w:hAnsi="Cambria"/>
          <w:sz w:val="24"/>
          <w:szCs w:val="24"/>
        </w:rPr>
      </w:pPr>
      <w:r w:rsidRPr="00206C10">
        <w:rPr>
          <w:rFonts w:ascii="Cambria" w:hAnsi="Cambria"/>
          <w:sz w:val="24"/>
          <w:szCs w:val="24"/>
        </w:rPr>
        <w:t>Office of the Secretary</w:t>
      </w:r>
    </w:p>
    <w:p w14:paraId="52B6988C" w14:textId="77777777" w:rsidR="0095278B" w:rsidRPr="00206C10" w:rsidRDefault="0095278B" w:rsidP="00206C10">
      <w:pPr>
        <w:pStyle w:val="NoSpacing"/>
        <w:rPr>
          <w:rFonts w:ascii="Cambria" w:hAnsi="Cambria"/>
          <w:sz w:val="24"/>
          <w:szCs w:val="24"/>
        </w:rPr>
      </w:pPr>
      <w:r w:rsidRPr="00206C10">
        <w:rPr>
          <w:rFonts w:ascii="Cambria" w:hAnsi="Cambria"/>
          <w:sz w:val="24"/>
          <w:szCs w:val="24"/>
        </w:rPr>
        <w:t>GPO Box 825</w:t>
      </w:r>
    </w:p>
    <w:p w14:paraId="52061054" w14:textId="24385DE5" w:rsidR="0095278B" w:rsidRPr="00206C10" w:rsidRDefault="0095278B" w:rsidP="00206C10">
      <w:pPr>
        <w:pStyle w:val="NoSpacing"/>
        <w:rPr>
          <w:rFonts w:ascii="Cambria" w:hAnsi="Cambria"/>
          <w:sz w:val="24"/>
          <w:szCs w:val="24"/>
        </w:rPr>
      </w:pPr>
      <w:r w:rsidRPr="00206C10">
        <w:rPr>
          <w:rFonts w:ascii="Cambria" w:hAnsi="Cambria"/>
          <w:sz w:val="24"/>
          <w:szCs w:val="24"/>
        </w:rPr>
        <w:t>Hobart TAS 7001</w:t>
      </w:r>
    </w:p>
    <w:p w14:paraId="2176D25A" w14:textId="072F5294" w:rsidR="00206C10" w:rsidRPr="00206C10" w:rsidRDefault="00206C10" w:rsidP="00206C10">
      <w:pPr>
        <w:pStyle w:val="NoSpacing"/>
        <w:rPr>
          <w:rFonts w:ascii="Cambria" w:hAnsi="Cambria"/>
          <w:sz w:val="24"/>
          <w:szCs w:val="24"/>
        </w:rPr>
      </w:pPr>
      <w:r w:rsidRPr="00206C10">
        <w:rPr>
          <w:rFonts w:ascii="Cambria" w:hAnsi="Cambria"/>
          <w:sz w:val="24"/>
          <w:szCs w:val="24"/>
        </w:rPr>
        <w:t xml:space="preserve">attn: </w:t>
      </w:r>
      <w:r>
        <w:rPr>
          <w:rFonts w:ascii="Cambria" w:hAnsi="Cambria"/>
          <w:sz w:val="24"/>
          <w:szCs w:val="24"/>
        </w:rPr>
        <w:t xml:space="preserve">Senior Projects Officer </w:t>
      </w:r>
    </w:p>
    <w:p w14:paraId="6671CD81" w14:textId="77777777" w:rsidR="00206C10" w:rsidRPr="00206C10" w:rsidRDefault="00206C10" w:rsidP="00206C10">
      <w:pPr>
        <w:pStyle w:val="NoSpacing"/>
        <w:rPr>
          <w:rFonts w:ascii="Cambria" w:hAnsi="Cambria"/>
          <w:i/>
          <w:iCs/>
          <w:sz w:val="24"/>
          <w:szCs w:val="24"/>
          <w:lang w:eastAsia="en-GB"/>
        </w:rPr>
      </w:pPr>
      <w:r w:rsidRPr="00206C10">
        <w:rPr>
          <w:rFonts w:ascii="Cambria" w:hAnsi="Cambria"/>
          <w:sz w:val="24"/>
          <w:szCs w:val="24"/>
        </w:rPr>
        <w:tab/>
      </w:r>
      <w:r w:rsidRPr="00206C10">
        <w:rPr>
          <w:rFonts w:ascii="Cambria" w:hAnsi="Cambria"/>
          <w:sz w:val="24"/>
          <w:szCs w:val="24"/>
        </w:rPr>
        <w:tab/>
      </w:r>
      <w:r w:rsidRPr="00206C10">
        <w:rPr>
          <w:rFonts w:ascii="Cambria" w:hAnsi="Cambria"/>
          <w:sz w:val="24"/>
          <w:szCs w:val="24"/>
        </w:rPr>
        <w:tab/>
      </w:r>
      <w:r w:rsidRPr="00206C10">
        <w:rPr>
          <w:rFonts w:ascii="Cambria" w:hAnsi="Cambria"/>
          <w:sz w:val="24"/>
          <w:szCs w:val="24"/>
        </w:rPr>
        <w:tab/>
      </w:r>
      <w:r w:rsidRPr="00206C10">
        <w:rPr>
          <w:rFonts w:ascii="Cambria" w:hAnsi="Cambria"/>
          <w:sz w:val="24"/>
          <w:szCs w:val="24"/>
        </w:rPr>
        <w:tab/>
      </w:r>
      <w:r w:rsidRPr="00206C10">
        <w:rPr>
          <w:rFonts w:ascii="Cambria" w:hAnsi="Cambria"/>
          <w:i/>
          <w:iCs/>
          <w:sz w:val="24"/>
          <w:szCs w:val="24"/>
        </w:rPr>
        <w:t xml:space="preserve">via email: </w:t>
      </w:r>
      <w:hyperlink r:id="rId8" w:history="1">
        <w:r w:rsidRPr="00206C10">
          <w:rPr>
            <w:rFonts w:ascii="Cambria" w:hAnsi="Cambria" w:cs="Segoe UI"/>
            <w:i/>
            <w:iCs/>
            <w:color w:val="0000FF"/>
            <w:sz w:val="24"/>
            <w:szCs w:val="24"/>
            <w:u w:val="single"/>
            <w:shd w:val="clear" w:color="auto" w:fill="FFFFFF"/>
            <w:lang w:eastAsia="en-GB"/>
          </w:rPr>
          <w:t>haveyoursay@justice.tas.gov.au</w:t>
        </w:r>
      </w:hyperlink>
    </w:p>
    <w:p w14:paraId="0BBD3F72" w14:textId="77777777" w:rsidR="00206C10" w:rsidRDefault="00206C10" w:rsidP="00206C10">
      <w:pPr>
        <w:pStyle w:val="NoSpacing"/>
        <w:rPr>
          <w:rFonts w:ascii="Cambria" w:hAnsi="Cambria"/>
          <w:sz w:val="24"/>
          <w:szCs w:val="24"/>
        </w:rPr>
      </w:pPr>
    </w:p>
    <w:p w14:paraId="68EF3C98" w14:textId="5698E060" w:rsidR="00206C10" w:rsidRPr="00206C10" w:rsidRDefault="0095278B" w:rsidP="00206C10">
      <w:pPr>
        <w:pStyle w:val="NoSpacing"/>
        <w:rPr>
          <w:rFonts w:ascii="Cambria" w:hAnsi="Cambria"/>
          <w:sz w:val="24"/>
          <w:szCs w:val="24"/>
        </w:rPr>
      </w:pPr>
      <w:r w:rsidRPr="00206C10">
        <w:rPr>
          <w:rFonts w:ascii="Cambria" w:hAnsi="Cambria"/>
          <w:sz w:val="24"/>
          <w:szCs w:val="24"/>
        </w:rPr>
        <w:t xml:space="preserve">To </w:t>
      </w:r>
      <w:r w:rsidR="00206C10">
        <w:rPr>
          <w:rFonts w:ascii="Cambria" w:hAnsi="Cambria"/>
          <w:sz w:val="24"/>
          <w:szCs w:val="24"/>
        </w:rPr>
        <w:t>Bradley Wagg</w:t>
      </w:r>
      <w:r w:rsidRPr="00206C10">
        <w:rPr>
          <w:rFonts w:ascii="Cambria" w:hAnsi="Cambria"/>
          <w:sz w:val="24"/>
          <w:szCs w:val="24"/>
        </w:rPr>
        <w:t xml:space="preserve">, </w:t>
      </w:r>
    </w:p>
    <w:p w14:paraId="41F99CD5" w14:textId="24764985" w:rsidR="0095278B" w:rsidRPr="00206C10" w:rsidRDefault="0095278B" w:rsidP="00206C10">
      <w:pPr>
        <w:pStyle w:val="NoSpacing"/>
        <w:rPr>
          <w:rFonts w:ascii="Cambria" w:hAnsi="Cambria"/>
          <w:sz w:val="24"/>
          <w:szCs w:val="24"/>
          <w:lang w:eastAsia="en-GB"/>
        </w:rPr>
      </w:pPr>
      <w:r w:rsidRPr="00206C10">
        <w:rPr>
          <w:rFonts w:ascii="Cambria" w:hAnsi="Cambria"/>
          <w:b/>
          <w:bCs/>
          <w:noProof/>
          <w:sz w:val="24"/>
          <w:szCs w:val="24"/>
        </w:rPr>
        <mc:AlternateContent>
          <mc:Choice Requires="wps">
            <w:drawing>
              <wp:anchor distT="0" distB="0" distL="114300" distR="114300" simplePos="0" relativeHeight="251659264" behindDoc="0" locked="0" layoutInCell="1" allowOverlap="1" wp14:anchorId="7FFA7E36" wp14:editId="2565ACAD">
                <wp:simplePos x="0" y="0"/>
                <wp:positionH relativeFrom="column">
                  <wp:posOffset>-7620</wp:posOffset>
                </wp:positionH>
                <wp:positionV relativeFrom="paragraph">
                  <wp:posOffset>237490</wp:posOffset>
                </wp:positionV>
                <wp:extent cx="6050280" cy="15240"/>
                <wp:effectExtent l="0" t="0" r="26670" b="22860"/>
                <wp:wrapNone/>
                <wp:docPr id="1" name="Straight Connector 1"/>
                <wp:cNvGraphicFramePr/>
                <a:graphic xmlns:a="http://schemas.openxmlformats.org/drawingml/2006/main">
                  <a:graphicData uri="http://schemas.microsoft.com/office/word/2010/wordprocessingShape">
                    <wps:wsp>
                      <wps:cNvCnPr/>
                      <wps:spPr>
                        <a:xfrm>
                          <a:off x="0" y="0"/>
                          <a:ext cx="60502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54D2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7pt" to="475.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" strokecolor="black [3200]" strokeweight=".5pt">
                <v:stroke joinstyle="miter"/>
              </v:line>
            </w:pict>
          </mc:Fallback>
        </mc:AlternateContent>
      </w:r>
      <w:r w:rsidRPr="00206C10">
        <w:rPr>
          <w:rFonts w:ascii="Cambria" w:hAnsi="Cambria"/>
          <w:b/>
          <w:bCs/>
          <w:sz w:val="24"/>
          <w:szCs w:val="24"/>
        </w:rPr>
        <w:t xml:space="preserve">Re: </w:t>
      </w:r>
      <w:r w:rsidRPr="00206C10">
        <w:rPr>
          <w:rFonts w:ascii="Cambria" w:hAnsi="Cambria"/>
          <w:b/>
          <w:bCs/>
          <w:i/>
          <w:iCs/>
          <w:sz w:val="24"/>
          <w:szCs w:val="24"/>
        </w:rPr>
        <w:t>Tasmanian Civil and Administrative Tribunal Bill 2020</w:t>
      </w:r>
    </w:p>
    <w:p w14:paraId="3168CB29" w14:textId="1C469FB1" w:rsidR="0095278B" w:rsidRPr="00206C10" w:rsidRDefault="0095278B" w:rsidP="00206C10">
      <w:pPr>
        <w:pStyle w:val="NoSpacing"/>
        <w:rPr>
          <w:rFonts w:ascii="Cambria" w:hAnsi="Cambria"/>
          <w:b/>
          <w:bCs/>
          <w:sz w:val="24"/>
          <w:szCs w:val="24"/>
        </w:rPr>
      </w:pPr>
    </w:p>
    <w:p w14:paraId="587800DC" w14:textId="2925679C" w:rsidR="00206C10" w:rsidRDefault="0095278B" w:rsidP="00206C10">
      <w:pPr>
        <w:pStyle w:val="NoSpacing"/>
        <w:jc w:val="both"/>
        <w:rPr>
          <w:rFonts w:ascii="Cambria" w:hAnsi="Cambria"/>
          <w:sz w:val="24"/>
          <w:szCs w:val="24"/>
        </w:rPr>
      </w:pPr>
      <w:r w:rsidRPr="00206C10">
        <w:rPr>
          <w:rFonts w:ascii="Cambria" w:hAnsi="Cambria"/>
          <w:sz w:val="24"/>
          <w:szCs w:val="24"/>
        </w:rPr>
        <w:t xml:space="preserve">Community Legal Centres Tasmania (CLC Tas) welcomes the opportunity to provide comment to the Tasmanian Government on the </w:t>
      </w:r>
      <w:r w:rsidRPr="00206C10">
        <w:rPr>
          <w:rFonts w:ascii="Cambria" w:hAnsi="Cambria"/>
          <w:i/>
          <w:iCs/>
          <w:sz w:val="24"/>
          <w:szCs w:val="24"/>
        </w:rPr>
        <w:t xml:space="preserve">Tasmanian Civil and Administrative Tribunal Bill 2020 </w:t>
      </w:r>
      <w:r w:rsidRPr="00206C10">
        <w:rPr>
          <w:rFonts w:ascii="Cambria" w:hAnsi="Cambria"/>
          <w:sz w:val="24"/>
          <w:szCs w:val="24"/>
        </w:rPr>
        <w:t>(‘the Bill’).</w:t>
      </w:r>
      <w:r w:rsidR="00206C10">
        <w:rPr>
          <w:rStyle w:val="FootnoteReference"/>
          <w:color w:val="000000" w:themeColor="text1"/>
        </w:rPr>
        <w:footnoteReference w:id="1"/>
      </w:r>
      <w:r w:rsidRPr="00206C10">
        <w:rPr>
          <w:rFonts w:ascii="Cambria" w:hAnsi="Cambria"/>
          <w:sz w:val="24"/>
          <w:szCs w:val="24"/>
        </w:rPr>
        <w:t xml:space="preserve"> </w:t>
      </w:r>
    </w:p>
    <w:p w14:paraId="5A656576" w14:textId="77777777" w:rsidR="00206C10" w:rsidRDefault="00206C10" w:rsidP="00206C10">
      <w:pPr>
        <w:pStyle w:val="NoSpacing"/>
        <w:jc w:val="both"/>
        <w:rPr>
          <w:rFonts w:ascii="Cambria" w:hAnsi="Cambria"/>
          <w:sz w:val="24"/>
          <w:szCs w:val="24"/>
        </w:rPr>
      </w:pPr>
    </w:p>
    <w:p w14:paraId="2E3F97C6" w14:textId="77777777" w:rsidR="00206C10" w:rsidRDefault="0095278B" w:rsidP="00206C10">
      <w:pPr>
        <w:pStyle w:val="NoSpacing"/>
        <w:jc w:val="both"/>
        <w:rPr>
          <w:rFonts w:ascii="Cambria" w:hAnsi="Cambria"/>
          <w:sz w:val="24"/>
          <w:szCs w:val="24"/>
        </w:rPr>
      </w:pPr>
      <w:r w:rsidRPr="00206C10">
        <w:rPr>
          <w:rFonts w:ascii="Cambria" w:hAnsi="Cambria"/>
          <w:sz w:val="24"/>
          <w:szCs w:val="24"/>
        </w:rPr>
        <w:t xml:space="preserve">CLC Tas is the peak body representing the interests of nine community legal centres (CLCs) located through Tasmania. We are a member-based, independent, not-for-profit and incorporated organisation that advocates for law reform on a range of public interest matters aimed at improving access to justice, reducing discrimination and protecting and promoting human rights. </w:t>
      </w:r>
    </w:p>
    <w:p w14:paraId="3486D9F5" w14:textId="77777777" w:rsidR="00206C10" w:rsidRDefault="00206C10" w:rsidP="00206C10">
      <w:pPr>
        <w:pStyle w:val="NoSpacing"/>
        <w:jc w:val="both"/>
        <w:rPr>
          <w:rFonts w:ascii="Cambria" w:hAnsi="Cambria"/>
          <w:sz w:val="24"/>
          <w:szCs w:val="24"/>
        </w:rPr>
      </w:pPr>
    </w:p>
    <w:p w14:paraId="4FD98F22" w14:textId="1413895B" w:rsidR="00EB7E21" w:rsidRDefault="0095278B" w:rsidP="00A65F87">
      <w:pPr>
        <w:pStyle w:val="NoSpacing"/>
        <w:jc w:val="both"/>
        <w:rPr>
          <w:rFonts w:ascii="Cambria" w:hAnsi="Cambria"/>
          <w:sz w:val="24"/>
          <w:szCs w:val="24"/>
        </w:rPr>
      </w:pPr>
      <w:r w:rsidRPr="00206C10">
        <w:rPr>
          <w:rFonts w:ascii="Cambria" w:hAnsi="Cambria"/>
          <w:sz w:val="24"/>
          <w:szCs w:val="24"/>
        </w:rPr>
        <w:t xml:space="preserve">We </w:t>
      </w:r>
      <w:r w:rsidR="00206C10">
        <w:rPr>
          <w:rFonts w:ascii="Cambria" w:hAnsi="Cambria"/>
          <w:sz w:val="24"/>
          <w:szCs w:val="24"/>
        </w:rPr>
        <w:t xml:space="preserve">are </w:t>
      </w:r>
      <w:r w:rsidRPr="00206C10">
        <w:rPr>
          <w:rFonts w:ascii="Cambria" w:hAnsi="Cambria"/>
          <w:sz w:val="24"/>
          <w:szCs w:val="24"/>
        </w:rPr>
        <w:t>support</w:t>
      </w:r>
      <w:r w:rsidR="00206C10">
        <w:rPr>
          <w:rFonts w:ascii="Cambria" w:hAnsi="Cambria"/>
          <w:sz w:val="24"/>
          <w:szCs w:val="24"/>
        </w:rPr>
        <w:t>ive of the Tasmanian Government’s intention to introduce a Tasmanian Civil and Administrative Tribunal (</w:t>
      </w:r>
      <w:proofErr w:type="spellStart"/>
      <w:r w:rsidR="00206C10">
        <w:rPr>
          <w:rFonts w:ascii="Cambria" w:hAnsi="Cambria"/>
          <w:sz w:val="24"/>
          <w:szCs w:val="24"/>
        </w:rPr>
        <w:t>TasCAT</w:t>
      </w:r>
      <w:proofErr w:type="spellEnd"/>
      <w:r w:rsidR="00206C10">
        <w:rPr>
          <w:rFonts w:ascii="Cambria" w:hAnsi="Cambria"/>
          <w:sz w:val="24"/>
          <w:szCs w:val="24"/>
        </w:rPr>
        <w:t xml:space="preserve">) </w:t>
      </w:r>
      <w:r w:rsidRPr="00206C10">
        <w:rPr>
          <w:rFonts w:ascii="Cambria" w:hAnsi="Cambria"/>
          <w:sz w:val="24"/>
          <w:szCs w:val="24"/>
        </w:rPr>
        <w:t>that</w:t>
      </w:r>
      <w:r w:rsidR="00206C10">
        <w:rPr>
          <w:rFonts w:ascii="Cambria" w:hAnsi="Cambria"/>
          <w:sz w:val="24"/>
          <w:szCs w:val="24"/>
        </w:rPr>
        <w:t xml:space="preserve"> encompasses </w:t>
      </w:r>
      <w:r w:rsidR="004B6ACD">
        <w:rPr>
          <w:rFonts w:ascii="Cambria" w:hAnsi="Cambria"/>
          <w:sz w:val="24"/>
          <w:szCs w:val="24"/>
        </w:rPr>
        <w:t xml:space="preserve">many of </w:t>
      </w:r>
      <w:r w:rsidRPr="00206C10">
        <w:rPr>
          <w:rFonts w:ascii="Cambria" w:hAnsi="Cambria"/>
          <w:sz w:val="24"/>
          <w:szCs w:val="24"/>
        </w:rPr>
        <w:t xml:space="preserve">the existing Tribunals </w:t>
      </w:r>
      <w:r w:rsidR="00EB7E21">
        <w:rPr>
          <w:rFonts w:ascii="Cambria" w:hAnsi="Cambria"/>
          <w:sz w:val="24"/>
          <w:szCs w:val="24"/>
        </w:rPr>
        <w:t xml:space="preserve">and Boards </w:t>
      </w:r>
      <w:r w:rsidRPr="00206C10">
        <w:rPr>
          <w:rFonts w:ascii="Cambria" w:hAnsi="Cambria"/>
          <w:sz w:val="24"/>
          <w:szCs w:val="24"/>
        </w:rPr>
        <w:t>operating in Tasmania</w:t>
      </w:r>
      <w:r w:rsidR="00A65F87">
        <w:rPr>
          <w:rFonts w:ascii="Cambria" w:hAnsi="Cambria"/>
          <w:sz w:val="24"/>
          <w:szCs w:val="24"/>
        </w:rPr>
        <w:t xml:space="preserve">. In our opinion, the establishment of </w:t>
      </w:r>
      <w:proofErr w:type="spellStart"/>
      <w:r w:rsidR="00A65F87">
        <w:rPr>
          <w:rFonts w:ascii="Cambria" w:hAnsi="Cambria"/>
          <w:sz w:val="24"/>
          <w:szCs w:val="24"/>
        </w:rPr>
        <w:t>TasCAT</w:t>
      </w:r>
      <w:proofErr w:type="spellEnd"/>
      <w:r w:rsidR="00A65F87">
        <w:rPr>
          <w:rFonts w:ascii="Cambria" w:hAnsi="Cambria"/>
          <w:sz w:val="24"/>
          <w:szCs w:val="24"/>
        </w:rPr>
        <w:t xml:space="preserve"> has the potential to improve access to justice</w:t>
      </w:r>
      <w:r w:rsidR="00EB7E21">
        <w:rPr>
          <w:rFonts w:ascii="Cambria" w:hAnsi="Cambria"/>
          <w:sz w:val="24"/>
          <w:szCs w:val="24"/>
        </w:rPr>
        <w:t xml:space="preserve">, expediate hearings </w:t>
      </w:r>
      <w:r w:rsidRPr="00206C10">
        <w:rPr>
          <w:rFonts w:ascii="Cambria" w:hAnsi="Cambria"/>
          <w:sz w:val="24"/>
          <w:szCs w:val="24"/>
        </w:rPr>
        <w:t xml:space="preserve">and </w:t>
      </w:r>
      <w:r w:rsidR="00EB7E21">
        <w:rPr>
          <w:rFonts w:ascii="Cambria" w:hAnsi="Cambria"/>
          <w:sz w:val="24"/>
          <w:szCs w:val="24"/>
        </w:rPr>
        <w:t xml:space="preserve">ensure </w:t>
      </w:r>
      <w:r w:rsidRPr="00206C10">
        <w:rPr>
          <w:rFonts w:ascii="Cambria" w:hAnsi="Cambria"/>
          <w:sz w:val="24"/>
          <w:szCs w:val="24"/>
        </w:rPr>
        <w:t>cost eff</w:t>
      </w:r>
      <w:r w:rsidR="00EB7E21">
        <w:rPr>
          <w:rFonts w:ascii="Cambria" w:hAnsi="Cambria"/>
          <w:sz w:val="24"/>
          <w:szCs w:val="24"/>
        </w:rPr>
        <w:t>iciencies for both the Government and parties to the proceedings</w:t>
      </w:r>
      <w:r w:rsidRPr="00206C10">
        <w:rPr>
          <w:rFonts w:ascii="Cambria" w:hAnsi="Cambria"/>
          <w:sz w:val="24"/>
          <w:szCs w:val="24"/>
        </w:rPr>
        <w:t>.</w:t>
      </w:r>
      <w:r w:rsidR="003B37C5">
        <w:rPr>
          <w:rStyle w:val="FootnoteReference"/>
          <w:rFonts w:ascii="Cambria" w:hAnsi="Cambria"/>
          <w:sz w:val="24"/>
          <w:szCs w:val="24"/>
        </w:rPr>
        <w:footnoteReference w:id="2"/>
      </w:r>
      <w:r w:rsidRPr="00206C10">
        <w:rPr>
          <w:rFonts w:ascii="Cambria" w:hAnsi="Cambria"/>
          <w:sz w:val="24"/>
          <w:szCs w:val="24"/>
        </w:rPr>
        <w:t xml:space="preserve"> </w:t>
      </w:r>
    </w:p>
    <w:p w14:paraId="1F9DEFCC" w14:textId="77777777" w:rsidR="00EB7E21" w:rsidRDefault="00EB7E21" w:rsidP="00A65F87">
      <w:pPr>
        <w:pStyle w:val="NoSpacing"/>
        <w:jc w:val="both"/>
        <w:rPr>
          <w:rFonts w:ascii="Cambria" w:hAnsi="Cambria"/>
          <w:sz w:val="24"/>
          <w:szCs w:val="24"/>
        </w:rPr>
      </w:pPr>
    </w:p>
    <w:p w14:paraId="36EB8D65" w14:textId="2633E645" w:rsidR="00A65F87" w:rsidRDefault="00EC3105" w:rsidP="00A65F87">
      <w:pPr>
        <w:pStyle w:val="NoSpacing"/>
        <w:jc w:val="both"/>
        <w:rPr>
          <w:rFonts w:ascii="Cambria" w:hAnsi="Cambria"/>
          <w:sz w:val="24"/>
          <w:szCs w:val="24"/>
        </w:rPr>
      </w:pPr>
      <w:r>
        <w:rPr>
          <w:rFonts w:ascii="Cambria" w:hAnsi="Cambria"/>
          <w:sz w:val="24"/>
          <w:szCs w:val="24"/>
        </w:rPr>
        <w:t xml:space="preserve">Importantly, we have no issues with the Bill and its focus on the establishment of </w:t>
      </w:r>
      <w:proofErr w:type="spellStart"/>
      <w:r>
        <w:rPr>
          <w:rFonts w:ascii="Cambria" w:hAnsi="Cambria"/>
          <w:sz w:val="24"/>
          <w:szCs w:val="24"/>
        </w:rPr>
        <w:t>TasCAT</w:t>
      </w:r>
      <w:proofErr w:type="spellEnd"/>
      <w:r>
        <w:rPr>
          <w:rFonts w:ascii="Cambria" w:hAnsi="Cambria"/>
          <w:sz w:val="24"/>
          <w:szCs w:val="24"/>
        </w:rPr>
        <w:t xml:space="preserve"> and the process by which members and staff are appointed. We are also pleased that future Bills will address costs, diversity proceedings and alternative dispute resolution. However, one </w:t>
      </w:r>
      <w:r w:rsidR="00EB7E21">
        <w:rPr>
          <w:rFonts w:ascii="Cambria" w:hAnsi="Cambria"/>
          <w:sz w:val="24"/>
          <w:szCs w:val="24"/>
        </w:rPr>
        <w:t xml:space="preserve">significant </w:t>
      </w:r>
      <w:r w:rsidR="004B6ACD">
        <w:rPr>
          <w:rFonts w:ascii="Cambria" w:hAnsi="Cambria"/>
          <w:sz w:val="24"/>
          <w:szCs w:val="24"/>
        </w:rPr>
        <w:t xml:space="preserve">issue </w:t>
      </w:r>
      <w:r w:rsidR="0095278B" w:rsidRPr="00206C10">
        <w:rPr>
          <w:rFonts w:ascii="Cambria" w:hAnsi="Cambria"/>
          <w:sz w:val="24"/>
          <w:szCs w:val="24"/>
        </w:rPr>
        <w:t xml:space="preserve">that we </w:t>
      </w:r>
      <w:r>
        <w:rPr>
          <w:rFonts w:ascii="Cambria" w:hAnsi="Cambria"/>
          <w:sz w:val="24"/>
          <w:szCs w:val="24"/>
        </w:rPr>
        <w:t xml:space="preserve">want to raise with you at this early stage is the expansion of </w:t>
      </w:r>
      <w:proofErr w:type="spellStart"/>
      <w:r>
        <w:rPr>
          <w:rFonts w:ascii="Cambria" w:hAnsi="Cambria"/>
          <w:sz w:val="24"/>
          <w:szCs w:val="24"/>
        </w:rPr>
        <w:t>TasCAT’s</w:t>
      </w:r>
      <w:proofErr w:type="spellEnd"/>
      <w:r>
        <w:rPr>
          <w:rFonts w:ascii="Cambria" w:hAnsi="Cambria"/>
          <w:sz w:val="24"/>
          <w:szCs w:val="24"/>
        </w:rPr>
        <w:t xml:space="preserve"> jurisdiction</w:t>
      </w:r>
      <w:r w:rsidR="0095278B" w:rsidRPr="00206C10">
        <w:rPr>
          <w:rFonts w:ascii="Cambria" w:hAnsi="Cambria"/>
          <w:sz w:val="24"/>
          <w:szCs w:val="24"/>
        </w:rPr>
        <w:t xml:space="preserve">. </w:t>
      </w:r>
    </w:p>
    <w:p w14:paraId="5220B236" w14:textId="3C2A18C8" w:rsidR="00A65F87" w:rsidRDefault="00A65F87" w:rsidP="00A65F87">
      <w:pPr>
        <w:pStyle w:val="NoSpacing"/>
        <w:jc w:val="both"/>
        <w:rPr>
          <w:rFonts w:ascii="Cambria" w:hAnsi="Cambria"/>
          <w:sz w:val="24"/>
          <w:szCs w:val="24"/>
        </w:rPr>
      </w:pPr>
    </w:p>
    <w:p w14:paraId="36058CE5" w14:textId="0DFAF7AC" w:rsidR="00EC3105" w:rsidRDefault="00EC3105" w:rsidP="00A65F87">
      <w:pPr>
        <w:pStyle w:val="NoSpacing"/>
        <w:jc w:val="both"/>
        <w:rPr>
          <w:rFonts w:ascii="Cambria" w:hAnsi="Cambria"/>
          <w:sz w:val="24"/>
          <w:szCs w:val="24"/>
        </w:rPr>
      </w:pPr>
    </w:p>
    <w:p w14:paraId="6FFC4A16" w14:textId="3CB32E92" w:rsidR="00EC3105" w:rsidRDefault="00EC3105" w:rsidP="00A65F87">
      <w:pPr>
        <w:pStyle w:val="NoSpacing"/>
        <w:jc w:val="both"/>
        <w:rPr>
          <w:rFonts w:ascii="Cambria" w:hAnsi="Cambria"/>
          <w:sz w:val="24"/>
          <w:szCs w:val="24"/>
        </w:rPr>
      </w:pPr>
    </w:p>
    <w:p w14:paraId="410E6531" w14:textId="77777777" w:rsidR="00EC3105" w:rsidRDefault="00EC3105" w:rsidP="00A65F87">
      <w:pPr>
        <w:pStyle w:val="NoSpacing"/>
        <w:jc w:val="both"/>
        <w:rPr>
          <w:rFonts w:ascii="Cambria" w:hAnsi="Cambria"/>
          <w:sz w:val="24"/>
          <w:szCs w:val="24"/>
        </w:rPr>
      </w:pPr>
    </w:p>
    <w:p w14:paraId="56F30025" w14:textId="7C3282AF" w:rsidR="0095278B" w:rsidRPr="00A65F87" w:rsidRDefault="00E316C3" w:rsidP="00E316C3">
      <w:pPr>
        <w:pStyle w:val="NoSpacing"/>
        <w:numPr>
          <w:ilvl w:val="0"/>
          <w:numId w:val="12"/>
        </w:numPr>
        <w:jc w:val="both"/>
        <w:rPr>
          <w:rFonts w:ascii="Cambria" w:hAnsi="Cambria"/>
          <w:sz w:val="24"/>
          <w:szCs w:val="24"/>
        </w:rPr>
      </w:pPr>
      <w:r>
        <w:rPr>
          <w:rFonts w:ascii="Cambria" w:hAnsi="Cambria"/>
          <w:b/>
          <w:bCs/>
          <w:sz w:val="24"/>
          <w:szCs w:val="24"/>
        </w:rPr>
        <w:lastRenderedPageBreak/>
        <w:t xml:space="preserve">Clarifying </w:t>
      </w:r>
      <w:r w:rsidR="0095278B" w:rsidRPr="00206C10">
        <w:rPr>
          <w:rFonts w:ascii="Cambria" w:hAnsi="Cambria"/>
          <w:b/>
          <w:bCs/>
          <w:sz w:val="24"/>
          <w:szCs w:val="24"/>
        </w:rPr>
        <w:t>the</w:t>
      </w:r>
      <w:r>
        <w:rPr>
          <w:rFonts w:ascii="Cambria" w:hAnsi="Cambria"/>
          <w:b/>
          <w:bCs/>
          <w:sz w:val="24"/>
          <w:szCs w:val="24"/>
        </w:rPr>
        <w:t xml:space="preserve"> </w:t>
      </w:r>
      <w:r w:rsidR="0095278B" w:rsidRPr="00206C10">
        <w:rPr>
          <w:rFonts w:ascii="Cambria" w:hAnsi="Cambria"/>
          <w:b/>
          <w:bCs/>
          <w:sz w:val="24"/>
          <w:szCs w:val="24"/>
        </w:rPr>
        <w:t>jurisdiction</w:t>
      </w:r>
      <w:r>
        <w:rPr>
          <w:rFonts w:ascii="Cambria" w:hAnsi="Cambria"/>
          <w:b/>
          <w:bCs/>
          <w:sz w:val="24"/>
          <w:szCs w:val="24"/>
        </w:rPr>
        <w:t xml:space="preserve"> of </w:t>
      </w:r>
      <w:proofErr w:type="spellStart"/>
      <w:r>
        <w:rPr>
          <w:rFonts w:ascii="Cambria" w:hAnsi="Cambria"/>
          <w:b/>
          <w:bCs/>
          <w:sz w:val="24"/>
          <w:szCs w:val="24"/>
        </w:rPr>
        <w:t>TasCAT</w:t>
      </w:r>
      <w:proofErr w:type="spellEnd"/>
      <w:r w:rsidR="0095278B" w:rsidRPr="00206C10">
        <w:rPr>
          <w:rFonts w:ascii="Cambria" w:hAnsi="Cambria"/>
          <w:b/>
          <w:bCs/>
          <w:sz w:val="24"/>
          <w:szCs w:val="24"/>
        </w:rPr>
        <w:t xml:space="preserve"> </w:t>
      </w:r>
    </w:p>
    <w:p w14:paraId="024DBB9F" w14:textId="0CDF42F5" w:rsidR="004B6ACD" w:rsidRDefault="004B6ACD" w:rsidP="00A65F87">
      <w:pPr>
        <w:pStyle w:val="NoSpacing"/>
        <w:jc w:val="both"/>
        <w:rPr>
          <w:rFonts w:ascii="Cambria" w:hAnsi="Cambria"/>
          <w:sz w:val="24"/>
          <w:szCs w:val="24"/>
        </w:rPr>
      </w:pPr>
      <w:r>
        <w:rPr>
          <w:rFonts w:ascii="Cambria" w:hAnsi="Cambria"/>
          <w:sz w:val="24"/>
          <w:szCs w:val="24"/>
        </w:rPr>
        <w:t xml:space="preserve">The recent High Court decision of </w:t>
      </w:r>
      <w:r w:rsidRPr="004B6ACD">
        <w:rPr>
          <w:rFonts w:ascii="Cambria" w:hAnsi="Cambria"/>
          <w:i/>
          <w:iCs/>
          <w:sz w:val="24"/>
          <w:szCs w:val="24"/>
        </w:rPr>
        <w:t>Burns v Corbett</w:t>
      </w:r>
      <w:r>
        <w:rPr>
          <w:rStyle w:val="FootnoteReference"/>
          <w:rFonts w:ascii="Cambria" w:hAnsi="Cambria"/>
          <w:sz w:val="24"/>
          <w:szCs w:val="24"/>
        </w:rPr>
        <w:footnoteReference w:id="3"/>
      </w:r>
      <w:r>
        <w:rPr>
          <w:rFonts w:ascii="Cambria" w:hAnsi="Cambria"/>
          <w:sz w:val="24"/>
          <w:szCs w:val="24"/>
        </w:rPr>
        <w:t xml:space="preserve"> has significant ramifications for </w:t>
      </w:r>
      <w:r w:rsidR="00F2522A">
        <w:rPr>
          <w:rFonts w:ascii="Cambria" w:hAnsi="Cambria"/>
          <w:sz w:val="24"/>
          <w:szCs w:val="24"/>
        </w:rPr>
        <w:t xml:space="preserve">the jurisdiction of </w:t>
      </w:r>
      <w:proofErr w:type="spellStart"/>
      <w:r w:rsidR="00F2522A">
        <w:rPr>
          <w:rFonts w:ascii="Cambria" w:hAnsi="Cambria"/>
          <w:sz w:val="24"/>
          <w:szCs w:val="24"/>
        </w:rPr>
        <w:t>TasCAT</w:t>
      </w:r>
      <w:proofErr w:type="spellEnd"/>
      <w:r>
        <w:rPr>
          <w:rFonts w:ascii="Cambria" w:hAnsi="Cambria"/>
          <w:sz w:val="24"/>
          <w:szCs w:val="24"/>
        </w:rPr>
        <w:t>,</w:t>
      </w:r>
      <w:r w:rsidR="00F2522A">
        <w:rPr>
          <w:rFonts w:ascii="Cambria" w:hAnsi="Cambria"/>
          <w:sz w:val="24"/>
          <w:szCs w:val="24"/>
        </w:rPr>
        <w:t xml:space="preserve"> </w:t>
      </w:r>
      <w:r>
        <w:rPr>
          <w:rFonts w:ascii="Cambria" w:hAnsi="Cambria"/>
          <w:sz w:val="24"/>
          <w:szCs w:val="24"/>
        </w:rPr>
        <w:t xml:space="preserve">because of the limits it places on the power of State </w:t>
      </w:r>
      <w:r w:rsidR="00F2522A">
        <w:rPr>
          <w:rFonts w:ascii="Cambria" w:hAnsi="Cambria"/>
          <w:sz w:val="24"/>
          <w:szCs w:val="24"/>
        </w:rPr>
        <w:t>T</w:t>
      </w:r>
      <w:r>
        <w:rPr>
          <w:rFonts w:ascii="Cambria" w:hAnsi="Cambria"/>
          <w:sz w:val="24"/>
          <w:szCs w:val="24"/>
        </w:rPr>
        <w:t>ribunals</w:t>
      </w:r>
      <w:r w:rsidR="00F2522A">
        <w:rPr>
          <w:rFonts w:ascii="Cambria" w:hAnsi="Cambria"/>
          <w:sz w:val="24"/>
          <w:szCs w:val="24"/>
        </w:rPr>
        <w:t xml:space="preserve"> across Australia.</w:t>
      </w:r>
      <w:r>
        <w:rPr>
          <w:rFonts w:ascii="Cambria" w:hAnsi="Cambria"/>
          <w:sz w:val="24"/>
          <w:szCs w:val="24"/>
        </w:rPr>
        <w:t xml:space="preserve"> The effect of the decision is that without </w:t>
      </w:r>
      <w:r w:rsidR="00EB7E21">
        <w:rPr>
          <w:rFonts w:ascii="Cambria" w:hAnsi="Cambria"/>
          <w:sz w:val="24"/>
          <w:szCs w:val="24"/>
        </w:rPr>
        <w:t xml:space="preserve">enshrining </w:t>
      </w:r>
      <w:r>
        <w:rPr>
          <w:rFonts w:ascii="Cambria" w:hAnsi="Cambria"/>
          <w:sz w:val="24"/>
          <w:szCs w:val="24"/>
        </w:rPr>
        <w:t xml:space="preserve">appropriate safeguards, </w:t>
      </w:r>
      <w:proofErr w:type="spellStart"/>
      <w:r>
        <w:rPr>
          <w:rFonts w:ascii="Cambria" w:hAnsi="Cambria"/>
          <w:sz w:val="24"/>
          <w:szCs w:val="24"/>
        </w:rPr>
        <w:t>TasCAT</w:t>
      </w:r>
      <w:proofErr w:type="spellEnd"/>
      <w:r>
        <w:rPr>
          <w:rFonts w:ascii="Cambria" w:hAnsi="Cambria"/>
          <w:sz w:val="24"/>
          <w:szCs w:val="24"/>
        </w:rPr>
        <w:t xml:space="preserve"> will be unable to</w:t>
      </w:r>
      <w:r w:rsidR="00E3515D">
        <w:rPr>
          <w:rFonts w:ascii="Cambria" w:hAnsi="Cambria"/>
          <w:sz w:val="24"/>
          <w:szCs w:val="24"/>
        </w:rPr>
        <w:t xml:space="preserve"> exercise judicial power in relation to federal matters </w:t>
      </w:r>
      <w:r w:rsidR="00EB7E21">
        <w:rPr>
          <w:rFonts w:ascii="Cambria" w:hAnsi="Cambria"/>
          <w:sz w:val="24"/>
          <w:szCs w:val="24"/>
        </w:rPr>
        <w:t>involving</w:t>
      </w:r>
      <w:r w:rsidR="00E3515D">
        <w:rPr>
          <w:rFonts w:ascii="Cambria" w:hAnsi="Cambria"/>
          <w:sz w:val="24"/>
          <w:szCs w:val="24"/>
        </w:rPr>
        <w:t xml:space="preserve"> </w:t>
      </w:r>
      <w:r>
        <w:rPr>
          <w:rFonts w:ascii="Cambria" w:hAnsi="Cambria"/>
          <w:sz w:val="24"/>
          <w:szCs w:val="24"/>
        </w:rPr>
        <w:t xml:space="preserve">residents of different States, the Commonwealth, and the State of Tasmania and a resident of another State. </w:t>
      </w:r>
    </w:p>
    <w:p w14:paraId="199B9DED" w14:textId="77777777" w:rsidR="004B6ACD" w:rsidRDefault="004B6ACD" w:rsidP="00A65F87">
      <w:pPr>
        <w:pStyle w:val="NoSpacing"/>
        <w:jc w:val="both"/>
        <w:rPr>
          <w:rFonts w:ascii="Cambria" w:hAnsi="Cambria"/>
          <w:sz w:val="24"/>
          <w:szCs w:val="24"/>
        </w:rPr>
      </w:pPr>
    </w:p>
    <w:p w14:paraId="515D1FB8" w14:textId="77777777" w:rsidR="00F2522A" w:rsidRDefault="0095278B" w:rsidP="00A65F87">
      <w:pPr>
        <w:pStyle w:val="NoSpacing"/>
        <w:jc w:val="both"/>
        <w:rPr>
          <w:rFonts w:ascii="Cambria" w:hAnsi="Cambria"/>
          <w:sz w:val="24"/>
          <w:szCs w:val="24"/>
        </w:rPr>
      </w:pPr>
      <w:r w:rsidRPr="00206C10">
        <w:rPr>
          <w:rFonts w:ascii="Cambria" w:hAnsi="Cambria"/>
          <w:sz w:val="24"/>
          <w:szCs w:val="24"/>
        </w:rPr>
        <w:t>By way of background,</w:t>
      </w:r>
      <w:r w:rsidR="004B6ACD">
        <w:rPr>
          <w:rFonts w:ascii="Cambria" w:hAnsi="Cambria"/>
          <w:sz w:val="24"/>
          <w:szCs w:val="24"/>
        </w:rPr>
        <w:t xml:space="preserve"> Gary </w:t>
      </w:r>
      <w:r w:rsidRPr="00206C10">
        <w:rPr>
          <w:rFonts w:ascii="Cambria" w:hAnsi="Cambria"/>
          <w:sz w:val="24"/>
          <w:szCs w:val="24"/>
        </w:rPr>
        <w:t>Burns</w:t>
      </w:r>
      <w:r w:rsidR="004B6ACD">
        <w:rPr>
          <w:rFonts w:ascii="Cambria" w:hAnsi="Cambria"/>
          <w:sz w:val="24"/>
          <w:szCs w:val="24"/>
        </w:rPr>
        <w:t xml:space="preserve"> who resided in New South Wales filed complaints </w:t>
      </w:r>
      <w:r w:rsidRPr="00206C10">
        <w:rPr>
          <w:rFonts w:ascii="Cambria" w:hAnsi="Cambria"/>
          <w:sz w:val="24"/>
          <w:szCs w:val="24"/>
        </w:rPr>
        <w:t>against two Queensland residents</w:t>
      </w:r>
      <w:r w:rsidR="004B6ACD">
        <w:rPr>
          <w:rFonts w:ascii="Cambria" w:hAnsi="Cambria"/>
          <w:sz w:val="24"/>
          <w:szCs w:val="24"/>
        </w:rPr>
        <w:t xml:space="preserve"> with the Anti-Discrimination Board of New South Wales. </w:t>
      </w:r>
      <w:r w:rsidRPr="00206C10">
        <w:rPr>
          <w:rFonts w:ascii="Cambria" w:hAnsi="Cambria"/>
          <w:sz w:val="24"/>
          <w:szCs w:val="24"/>
        </w:rPr>
        <w:t>The complaints were founded on allegations by M</w:t>
      </w:r>
      <w:r w:rsidR="004B6ACD">
        <w:rPr>
          <w:rFonts w:ascii="Cambria" w:hAnsi="Cambria"/>
          <w:sz w:val="24"/>
          <w:szCs w:val="24"/>
        </w:rPr>
        <w:t>r</w:t>
      </w:r>
      <w:r w:rsidRPr="00206C10">
        <w:rPr>
          <w:rFonts w:ascii="Cambria" w:hAnsi="Cambria"/>
          <w:sz w:val="24"/>
          <w:szCs w:val="24"/>
        </w:rPr>
        <w:t xml:space="preserve"> Burns that each respondent had </w:t>
      </w:r>
      <w:r w:rsidR="004B6ACD">
        <w:rPr>
          <w:rFonts w:ascii="Cambria" w:hAnsi="Cambria"/>
          <w:sz w:val="24"/>
          <w:szCs w:val="24"/>
        </w:rPr>
        <w:t xml:space="preserve">made statements which vilified </w:t>
      </w:r>
      <w:r w:rsidR="00F2522A" w:rsidRPr="00206C10">
        <w:rPr>
          <w:rFonts w:ascii="Cambria" w:hAnsi="Cambria"/>
          <w:sz w:val="24"/>
          <w:szCs w:val="24"/>
        </w:rPr>
        <w:t>homosexual</w:t>
      </w:r>
      <w:r w:rsidR="00F2522A">
        <w:rPr>
          <w:rFonts w:ascii="Cambria" w:hAnsi="Cambria"/>
          <w:sz w:val="24"/>
          <w:szCs w:val="24"/>
        </w:rPr>
        <w:t>’s</w:t>
      </w:r>
      <w:r w:rsidR="004B6ACD">
        <w:rPr>
          <w:rFonts w:ascii="Cambria" w:hAnsi="Cambria"/>
          <w:sz w:val="24"/>
          <w:szCs w:val="24"/>
        </w:rPr>
        <w:t xml:space="preserve"> </w:t>
      </w:r>
      <w:r w:rsidR="004B6ACD" w:rsidRPr="00206C10">
        <w:rPr>
          <w:rFonts w:ascii="Cambria" w:hAnsi="Cambria"/>
          <w:sz w:val="24"/>
          <w:szCs w:val="24"/>
        </w:rPr>
        <w:t>contrary to</w:t>
      </w:r>
      <w:r w:rsidR="004B6ACD">
        <w:rPr>
          <w:rFonts w:ascii="Cambria" w:hAnsi="Cambria"/>
          <w:sz w:val="24"/>
          <w:szCs w:val="24"/>
        </w:rPr>
        <w:t xml:space="preserve"> </w:t>
      </w:r>
      <w:r w:rsidR="004B6ACD" w:rsidRPr="00206C10">
        <w:rPr>
          <w:rFonts w:ascii="Cambria" w:hAnsi="Cambria"/>
          <w:sz w:val="24"/>
          <w:szCs w:val="24"/>
        </w:rPr>
        <w:t xml:space="preserve">the </w:t>
      </w:r>
      <w:r w:rsidR="004B6ACD" w:rsidRPr="00206C10">
        <w:rPr>
          <w:rFonts w:ascii="Cambria" w:hAnsi="Cambria"/>
          <w:i/>
          <w:iCs/>
          <w:sz w:val="24"/>
          <w:szCs w:val="24"/>
        </w:rPr>
        <w:t>Anti-Discrimination Act 1977</w:t>
      </w:r>
      <w:r w:rsidR="004B6ACD" w:rsidRPr="00206C10">
        <w:rPr>
          <w:rFonts w:ascii="Cambria" w:hAnsi="Cambria"/>
          <w:sz w:val="24"/>
          <w:szCs w:val="24"/>
        </w:rPr>
        <w:t xml:space="preserve"> (NSW)</w:t>
      </w:r>
      <w:r w:rsidRPr="00206C10">
        <w:rPr>
          <w:rFonts w:ascii="Cambria" w:hAnsi="Cambria"/>
          <w:sz w:val="24"/>
          <w:szCs w:val="24"/>
        </w:rPr>
        <w:t>.</w:t>
      </w:r>
      <w:r w:rsidR="00220030" w:rsidRPr="00206C10">
        <w:rPr>
          <w:rStyle w:val="FootnoteReference"/>
          <w:rFonts w:ascii="Cambria" w:hAnsi="Cambria"/>
          <w:sz w:val="24"/>
          <w:szCs w:val="24"/>
        </w:rPr>
        <w:footnoteReference w:id="4"/>
      </w:r>
      <w:r w:rsidR="004B6ACD">
        <w:rPr>
          <w:rFonts w:ascii="Cambria" w:hAnsi="Cambria"/>
          <w:sz w:val="24"/>
          <w:szCs w:val="24"/>
        </w:rPr>
        <w:t xml:space="preserve"> </w:t>
      </w:r>
      <w:r w:rsidR="00E3515D">
        <w:rPr>
          <w:rFonts w:ascii="Cambria" w:hAnsi="Cambria"/>
          <w:sz w:val="24"/>
          <w:szCs w:val="24"/>
        </w:rPr>
        <w:t xml:space="preserve">The respondents argued that the New South Wales Civil and Administrative Tribunal (NCAT) did not have jurisdiction to determine the disputes. </w:t>
      </w:r>
    </w:p>
    <w:p w14:paraId="3F81F458" w14:textId="77777777" w:rsidR="00F2522A" w:rsidRDefault="00F2522A" w:rsidP="00A65F87">
      <w:pPr>
        <w:pStyle w:val="NoSpacing"/>
        <w:jc w:val="both"/>
        <w:rPr>
          <w:rFonts w:ascii="Cambria" w:hAnsi="Cambria"/>
          <w:sz w:val="24"/>
          <w:szCs w:val="24"/>
        </w:rPr>
      </w:pPr>
    </w:p>
    <w:p w14:paraId="584D2CD2" w14:textId="64C08377" w:rsidR="00EB7E21" w:rsidRDefault="004B6ACD" w:rsidP="00A65F87">
      <w:pPr>
        <w:pStyle w:val="NoSpacing"/>
        <w:jc w:val="both"/>
        <w:rPr>
          <w:rFonts w:ascii="Cambria" w:hAnsi="Cambria"/>
          <w:sz w:val="24"/>
          <w:szCs w:val="24"/>
        </w:rPr>
      </w:pPr>
      <w:r>
        <w:rPr>
          <w:rFonts w:ascii="Cambria" w:hAnsi="Cambria"/>
          <w:sz w:val="24"/>
          <w:szCs w:val="24"/>
        </w:rPr>
        <w:t xml:space="preserve">The matter was ultimately heard by the High Court which held that NCAT could not hear and determine disputes arising between residents of different States. The High Court’s ruling was based on section 75(iv) of the Constitution which notes </w:t>
      </w:r>
      <w:r w:rsidRPr="004B6ACD">
        <w:rPr>
          <w:rFonts w:ascii="Cambria" w:hAnsi="Cambria"/>
          <w:color w:val="000000" w:themeColor="text1"/>
          <w:sz w:val="24"/>
          <w:szCs w:val="24"/>
        </w:rPr>
        <w:t xml:space="preserve">that </w:t>
      </w:r>
      <w:r>
        <w:rPr>
          <w:rFonts w:ascii="Cambria" w:hAnsi="Cambria"/>
          <w:color w:val="000000" w:themeColor="text1"/>
          <w:sz w:val="24"/>
          <w:szCs w:val="24"/>
        </w:rPr>
        <w:t xml:space="preserve">jurisdiction for matters </w:t>
      </w:r>
      <w:r w:rsidRPr="004B6ACD">
        <w:rPr>
          <w:rFonts w:ascii="Cambria" w:hAnsi="Cambria"/>
          <w:color w:val="000000" w:themeColor="text1"/>
          <w:sz w:val="24"/>
          <w:szCs w:val="24"/>
        </w:rPr>
        <w:t>“</w:t>
      </w:r>
      <w:r w:rsidRPr="004B6ACD">
        <w:rPr>
          <w:rFonts w:ascii="Cambria" w:eastAsia="Times New Roman" w:hAnsi="Cambria" w:cs="Times New Roman"/>
          <w:color w:val="000000" w:themeColor="text1"/>
          <w:sz w:val="24"/>
          <w:szCs w:val="24"/>
          <w:shd w:val="clear" w:color="auto" w:fill="FFFFFF"/>
          <w:lang w:eastAsia="en-GB"/>
        </w:rPr>
        <w:t>between States, or between residents of different States, or between a State and a resident of another State</w:t>
      </w:r>
      <w:r w:rsidRPr="004B6ACD">
        <w:rPr>
          <w:rFonts w:ascii="Cambria" w:hAnsi="Cambria"/>
          <w:color w:val="000000" w:themeColor="text1"/>
          <w:sz w:val="24"/>
          <w:szCs w:val="24"/>
        </w:rPr>
        <w:t>”</w:t>
      </w:r>
      <w:r>
        <w:rPr>
          <w:rFonts w:ascii="Cambria" w:hAnsi="Cambria"/>
          <w:color w:val="000000" w:themeColor="text1"/>
          <w:sz w:val="24"/>
          <w:szCs w:val="24"/>
        </w:rPr>
        <w:t xml:space="preserve"> is vested only in courts such as the High Court</w:t>
      </w:r>
      <w:r w:rsidR="00EC3105">
        <w:rPr>
          <w:rFonts w:ascii="Cambria" w:hAnsi="Cambria"/>
          <w:color w:val="000000" w:themeColor="text1"/>
          <w:sz w:val="24"/>
          <w:szCs w:val="24"/>
        </w:rPr>
        <w:t>, Federal Courts and</w:t>
      </w:r>
      <w:r>
        <w:rPr>
          <w:rFonts w:ascii="Cambria" w:hAnsi="Cambria"/>
          <w:color w:val="000000" w:themeColor="text1"/>
          <w:sz w:val="24"/>
          <w:szCs w:val="24"/>
        </w:rPr>
        <w:t xml:space="preserve"> Supreme Courts. </w:t>
      </w:r>
      <w:r w:rsidRPr="00206C10">
        <w:rPr>
          <w:rFonts w:ascii="Cambria" w:hAnsi="Cambria"/>
          <w:sz w:val="24"/>
          <w:szCs w:val="24"/>
        </w:rPr>
        <w:t>The High Court</w:t>
      </w:r>
      <w:r>
        <w:rPr>
          <w:rFonts w:ascii="Cambria" w:hAnsi="Cambria"/>
          <w:sz w:val="24"/>
          <w:szCs w:val="24"/>
        </w:rPr>
        <w:t xml:space="preserve"> also </w:t>
      </w:r>
      <w:r w:rsidR="00E3515D">
        <w:rPr>
          <w:rFonts w:ascii="Cambria" w:hAnsi="Cambria"/>
          <w:sz w:val="24"/>
          <w:szCs w:val="24"/>
        </w:rPr>
        <w:t xml:space="preserve">ruled </w:t>
      </w:r>
      <w:r>
        <w:rPr>
          <w:rFonts w:ascii="Cambria" w:hAnsi="Cambria"/>
          <w:sz w:val="24"/>
          <w:szCs w:val="24"/>
        </w:rPr>
        <w:t xml:space="preserve">that the decision was not limited to residents of different States but rather the entire class of matters listed </w:t>
      </w:r>
      <w:r w:rsidRPr="00206C10">
        <w:rPr>
          <w:rFonts w:ascii="Cambria" w:hAnsi="Cambria"/>
          <w:sz w:val="24"/>
          <w:szCs w:val="24"/>
        </w:rPr>
        <w:t>in ss 75 and 76 of the Constitution</w:t>
      </w:r>
      <w:r w:rsidR="00EB7E21">
        <w:rPr>
          <w:rFonts w:ascii="Cambria" w:hAnsi="Cambria"/>
          <w:sz w:val="24"/>
          <w:szCs w:val="24"/>
        </w:rPr>
        <w:t xml:space="preserve"> including matters </w:t>
      </w:r>
      <w:r w:rsidR="007B498D">
        <w:rPr>
          <w:rFonts w:ascii="Cambria" w:hAnsi="Cambria"/>
          <w:sz w:val="24"/>
          <w:szCs w:val="24"/>
        </w:rPr>
        <w:t xml:space="preserve">in which </w:t>
      </w:r>
      <w:r w:rsidR="00EB7E21">
        <w:rPr>
          <w:rFonts w:ascii="Cambria" w:hAnsi="Cambria"/>
          <w:sz w:val="24"/>
          <w:szCs w:val="24"/>
        </w:rPr>
        <w:t>the Commonwealth</w:t>
      </w:r>
      <w:r w:rsidR="007B498D">
        <w:rPr>
          <w:rFonts w:ascii="Cambria" w:hAnsi="Cambria"/>
          <w:sz w:val="24"/>
          <w:szCs w:val="24"/>
        </w:rPr>
        <w:t xml:space="preserve"> is a party</w:t>
      </w:r>
      <w:r w:rsidR="00EB7E21">
        <w:rPr>
          <w:rFonts w:ascii="Cambria" w:hAnsi="Cambria"/>
          <w:sz w:val="24"/>
          <w:szCs w:val="24"/>
        </w:rPr>
        <w:t xml:space="preserve">, </w:t>
      </w:r>
      <w:r w:rsidR="007B498D">
        <w:rPr>
          <w:rFonts w:ascii="Cambria" w:hAnsi="Cambria"/>
          <w:sz w:val="24"/>
          <w:szCs w:val="24"/>
        </w:rPr>
        <w:t xml:space="preserve">in which </w:t>
      </w:r>
      <w:r w:rsidR="00EB7E21">
        <w:rPr>
          <w:rFonts w:ascii="Cambria" w:hAnsi="Cambria"/>
          <w:sz w:val="24"/>
          <w:szCs w:val="24"/>
        </w:rPr>
        <w:t>the State of Tasmania and a resident of another State</w:t>
      </w:r>
      <w:r w:rsidR="007B498D">
        <w:rPr>
          <w:rFonts w:ascii="Cambria" w:hAnsi="Cambria"/>
          <w:sz w:val="24"/>
          <w:szCs w:val="24"/>
        </w:rPr>
        <w:t xml:space="preserve"> are parties or in which a party seeks to rely on Commonwealth legislation</w:t>
      </w:r>
      <w:r w:rsidRPr="00206C10">
        <w:rPr>
          <w:rFonts w:ascii="Cambria" w:hAnsi="Cambria"/>
          <w:sz w:val="24"/>
          <w:szCs w:val="24"/>
        </w:rPr>
        <w:t>.</w:t>
      </w:r>
      <w:r w:rsidRPr="00206C10">
        <w:rPr>
          <w:rStyle w:val="FootnoteReference"/>
          <w:rFonts w:ascii="Cambria" w:hAnsi="Cambria"/>
          <w:sz w:val="24"/>
          <w:szCs w:val="24"/>
        </w:rPr>
        <w:footnoteReference w:id="5"/>
      </w:r>
      <w:r>
        <w:rPr>
          <w:rFonts w:ascii="Cambria" w:hAnsi="Cambria"/>
          <w:sz w:val="24"/>
          <w:szCs w:val="24"/>
        </w:rPr>
        <w:t xml:space="preserve"> </w:t>
      </w:r>
    </w:p>
    <w:p w14:paraId="41B239EB" w14:textId="77777777" w:rsidR="00A65F87" w:rsidRDefault="00A65F87" w:rsidP="00A65F87">
      <w:pPr>
        <w:pStyle w:val="NoSpacing"/>
        <w:jc w:val="both"/>
        <w:rPr>
          <w:rFonts w:ascii="Cambria" w:hAnsi="Cambria"/>
          <w:sz w:val="24"/>
          <w:szCs w:val="24"/>
        </w:rPr>
      </w:pPr>
    </w:p>
    <w:p w14:paraId="4D6E1ECA" w14:textId="7BDAA636" w:rsidR="00A65F87" w:rsidRPr="00A65F87" w:rsidRDefault="00A65F87" w:rsidP="00A65F87">
      <w:pPr>
        <w:pStyle w:val="NoSpacing"/>
        <w:rPr>
          <w:rFonts w:ascii="Cambria" w:hAnsi="Cambria"/>
          <w:i/>
          <w:iCs/>
          <w:sz w:val="24"/>
          <w:szCs w:val="24"/>
        </w:rPr>
      </w:pPr>
      <w:r w:rsidRPr="00206C10">
        <w:rPr>
          <w:rFonts w:ascii="Cambria" w:hAnsi="Cambria"/>
          <w:i/>
          <w:iCs/>
          <w:sz w:val="24"/>
          <w:szCs w:val="24"/>
        </w:rPr>
        <w:t>Effect of th</w:t>
      </w:r>
      <w:r w:rsidR="00EB7E21">
        <w:rPr>
          <w:rFonts w:ascii="Cambria" w:hAnsi="Cambria"/>
          <w:i/>
          <w:iCs/>
          <w:sz w:val="24"/>
          <w:szCs w:val="24"/>
        </w:rPr>
        <w:t xml:space="preserve">e Burns v Corbett </w:t>
      </w:r>
      <w:r w:rsidRPr="00206C10">
        <w:rPr>
          <w:rFonts w:ascii="Cambria" w:hAnsi="Cambria"/>
          <w:i/>
          <w:iCs/>
          <w:sz w:val="24"/>
          <w:szCs w:val="24"/>
        </w:rPr>
        <w:t xml:space="preserve">decision on the establishment of </w:t>
      </w:r>
      <w:proofErr w:type="spellStart"/>
      <w:r w:rsidRPr="00206C10">
        <w:rPr>
          <w:rFonts w:ascii="Cambria" w:hAnsi="Cambria"/>
          <w:i/>
          <w:iCs/>
          <w:sz w:val="24"/>
          <w:szCs w:val="24"/>
        </w:rPr>
        <w:t>TasCAT</w:t>
      </w:r>
      <w:proofErr w:type="spellEnd"/>
    </w:p>
    <w:p w14:paraId="75BEAD9A" w14:textId="77777777" w:rsidR="00E316C3" w:rsidRDefault="00EB7E21" w:rsidP="00A65F87">
      <w:pPr>
        <w:pStyle w:val="NoSpacing"/>
        <w:jc w:val="both"/>
        <w:rPr>
          <w:rFonts w:ascii="Cambria" w:eastAsia="Times New Roman" w:hAnsi="Cambria" w:cs="Segoe UI"/>
          <w:color w:val="000000" w:themeColor="text1"/>
          <w:sz w:val="24"/>
          <w:szCs w:val="24"/>
          <w:lang w:eastAsia="en-GB"/>
        </w:rPr>
      </w:pPr>
      <w:r w:rsidRPr="00EC3105">
        <w:rPr>
          <w:rFonts w:ascii="Cambria" w:hAnsi="Cambria"/>
          <w:color w:val="000000" w:themeColor="text1"/>
          <w:sz w:val="24"/>
          <w:szCs w:val="24"/>
        </w:rPr>
        <w:t xml:space="preserve">The establishment of </w:t>
      </w:r>
      <w:proofErr w:type="spellStart"/>
      <w:r w:rsidRPr="00EC3105">
        <w:rPr>
          <w:rFonts w:ascii="Cambria" w:hAnsi="Cambria"/>
          <w:color w:val="000000" w:themeColor="text1"/>
          <w:sz w:val="24"/>
          <w:szCs w:val="24"/>
        </w:rPr>
        <w:t>TasCAT</w:t>
      </w:r>
      <w:proofErr w:type="spellEnd"/>
      <w:r w:rsidRPr="00EC3105">
        <w:rPr>
          <w:rFonts w:ascii="Cambria" w:hAnsi="Cambria"/>
          <w:color w:val="000000" w:themeColor="text1"/>
          <w:sz w:val="24"/>
          <w:szCs w:val="24"/>
        </w:rPr>
        <w:t xml:space="preserve"> will bring together many of Tasmania’s Tribunal’s and Boards</w:t>
      </w:r>
      <w:r w:rsidR="003C5760" w:rsidRPr="00EC3105">
        <w:rPr>
          <w:rFonts w:ascii="Cambria" w:hAnsi="Cambria"/>
          <w:color w:val="000000" w:themeColor="text1"/>
          <w:sz w:val="24"/>
          <w:szCs w:val="24"/>
        </w:rPr>
        <w:t xml:space="preserve">, </w:t>
      </w:r>
      <w:r w:rsidRPr="00EC3105">
        <w:rPr>
          <w:rFonts w:ascii="Cambria" w:hAnsi="Cambria"/>
          <w:color w:val="000000" w:themeColor="text1"/>
          <w:sz w:val="24"/>
          <w:szCs w:val="24"/>
        </w:rPr>
        <w:t xml:space="preserve">including some that are likely to have a proportionately high number of matters involving </w:t>
      </w:r>
      <w:r w:rsidRPr="00EC3105">
        <w:rPr>
          <w:rFonts w:ascii="Cambria" w:eastAsia="Times New Roman" w:hAnsi="Cambria" w:cs="Times New Roman"/>
          <w:color w:val="000000" w:themeColor="text1"/>
          <w:sz w:val="24"/>
          <w:szCs w:val="24"/>
          <w:shd w:val="clear" w:color="auto" w:fill="FFFFFF"/>
          <w:lang w:eastAsia="en-GB"/>
        </w:rPr>
        <w:t xml:space="preserve">residents of different States, </w:t>
      </w:r>
      <w:r w:rsidRPr="00EC3105">
        <w:rPr>
          <w:rFonts w:ascii="Cambria" w:hAnsi="Cambria"/>
          <w:color w:val="000000" w:themeColor="text1"/>
          <w:sz w:val="24"/>
          <w:szCs w:val="24"/>
        </w:rPr>
        <w:t>the Commonwealth, the State of Tasmania and a resident of another State</w:t>
      </w:r>
      <w:r w:rsidR="00E316C3">
        <w:rPr>
          <w:rFonts w:ascii="Cambria" w:hAnsi="Cambria"/>
          <w:color w:val="000000" w:themeColor="text1"/>
          <w:sz w:val="24"/>
          <w:szCs w:val="24"/>
        </w:rPr>
        <w:t xml:space="preserve"> </w:t>
      </w:r>
      <w:r w:rsidR="00E316C3">
        <w:rPr>
          <w:rFonts w:ascii="Cambria" w:hAnsi="Cambria"/>
          <w:sz w:val="24"/>
          <w:szCs w:val="24"/>
        </w:rPr>
        <w:t>or in which a party seeks to rely on Commonwealth legislation</w:t>
      </w:r>
      <w:r w:rsidRPr="00EC3105">
        <w:rPr>
          <w:rFonts w:ascii="Cambria" w:hAnsi="Cambria"/>
          <w:color w:val="000000" w:themeColor="text1"/>
          <w:sz w:val="24"/>
          <w:szCs w:val="24"/>
        </w:rPr>
        <w:t xml:space="preserve">. These Tribunals include the Anti-Discrimination Tribunal, the </w:t>
      </w:r>
      <w:r w:rsidRPr="00EC3105">
        <w:rPr>
          <w:rFonts w:ascii="Cambria" w:eastAsia="Times New Roman" w:hAnsi="Cambria" w:cs="Segoe UI"/>
          <w:color w:val="000000" w:themeColor="text1"/>
          <w:sz w:val="24"/>
          <w:szCs w:val="24"/>
          <w:lang w:eastAsia="en-GB"/>
        </w:rPr>
        <w:t>Resource Management and Planning Appeal Tribunal and the Workers Rehabilitation and Compensation Tribunal.</w:t>
      </w:r>
    </w:p>
    <w:p w14:paraId="197B6BD5" w14:textId="77777777" w:rsidR="00E316C3" w:rsidRDefault="00E316C3" w:rsidP="00A65F87">
      <w:pPr>
        <w:pStyle w:val="NoSpacing"/>
        <w:jc w:val="both"/>
        <w:rPr>
          <w:rFonts w:ascii="Cambria" w:eastAsia="Times New Roman" w:hAnsi="Cambria" w:cs="Segoe UI"/>
          <w:color w:val="000000" w:themeColor="text1"/>
          <w:sz w:val="24"/>
          <w:szCs w:val="24"/>
          <w:lang w:eastAsia="en-GB"/>
        </w:rPr>
      </w:pPr>
    </w:p>
    <w:p w14:paraId="66FF3768" w14:textId="2F16D1CD" w:rsidR="00EC3105" w:rsidRPr="00EC3105" w:rsidRDefault="00D3124E" w:rsidP="00A65F87">
      <w:pPr>
        <w:pStyle w:val="NoSpacing"/>
        <w:jc w:val="both"/>
        <w:rPr>
          <w:rFonts w:ascii="Cambria" w:eastAsia="Times New Roman" w:hAnsi="Cambria" w:cs="Segoe UI"/>
          <w:color w:val="000000" w:themeColor="text1"/>
          <w:sz w:val="24"/>
          <w:szCs w:val="24"/>
          <w:lang w:eastAsia="en-GB"/>
        </w:rPr>
      </w:pPr>
      <w:r w:rsidRPr="00EC3105">
        <w:rPr>
          <w:rFonts w:ascii="Cambria" w:hAnsi="Cambria"/>
          <w:color w:val="000000" w:themeColor="text1"/>
          <w:spacing w:val="-5"/>
          <w:sz w:val="24"/>
          <w:szCs w:val="24"/>
        </w:rPr>
        <w:t xml:space="preserve">A number of cases have already been handed down which limit the ability of </w:t>
      </w:r>
      <w:r w:rsidR="00C81B56" w:rsidRPr="00EC3105">
        <w:rPr>
          <w:rFonts w:ascii="Cambria" w:hAnsi="Cambria"/>
          <w:color w:val="000000" w:themeColor="text1"/>
          <w:spacing w:val="-5"/>
          <w:sz w:val="24"/>
          <w:szCs w:val="24"/>
        </w:rPr>
        <w:t xml:space="preserve">Tasmanian </w:t>
      </w:r>
      <w:r w:rsidRPr="00EC3105">
        <w:rPr>
          <w:rFonts w:ascii="Cambria" w:hAnsi="Cambria"/>
          <w:color w:val="000000" w:themeColor="text1"/>
          <w:spacing w:val="-5"/>
          <w:sz w:val="24"/>
          <w:szCs w:val="24"/>
        </w:rPr>
        <w:t>Tribunals to hear cases. For example</w:t>
      </w:r>
      <w:r w:rsidR="00C81B56" w:rsidRPr="00EC3105">
        <w:rPr>
          <w:rFonts w:ascii="Cambria" w:hAnsi="Cambria"/>
          <w:color w:val="000000" w:themeColor="text1"/>
          <w:spacing w:val="-5"/>
          <w:sz w:val="24"/>
          <w:szCs w:val="24"/>
        </w:rPr>
        <w:t>,</w:t>
      </w:r>
      <w:r w:rsidRPr="00EC3105">
        <w:rPr>
          <w:rFonts w:ascii="Cambria" w:hAnsi="Cambria"/>
          <w:color w:val="000000" w:themeColor="text1"/>
          <w:spacing w:val="-5"/>
          <w:sz w:val="24"/>
          <w:szCs w:val="24"/>
        </w:rPr>
        <w:t xml:space="preserve"> in</w:t>
      </w:r>
      <w:r w:rsidRPr="00EC3105">
        <w:rPr>
          <w:rFonts w:ascii="Cambria" w:hAnsi="Cambria"/>
          <w:i/>
          <w:iCs/>
          <w:color w:val="000000" w:themeColor="text1"/>
          <w:spacing w:val="-5"/>
          <w:sz w:val="24"/>
          <w:szCs w:val="24"/>
        </w:rPr>
        <w:t xml:space="preserve"> </w:t>
      </w:r>
      <w:r w:rsidR="00EC3105">
        <w:rPr>
          <w:rFonts w:ascii="Cambria" w:hAnsi="Cambria"/>
          <w:i/>
          <w:iCs/>
          <w:color w:val="000000" w:themeColor="text1"/>
          <w:spacing w:val="-5"/>
          <w:sz w:val="24"/>
          <w:szCs w:val="24"/>
        </w:rPr>
        <w:t xml:space="preserve">The </w:t>
      </w:r>
      <w:r w:rsidRPr="00EC3105">
        <w:rPr>
          <w:rFonts w:ascii="Cambria" w:hAnsi="Cambria"/>
          <w:i/>
          <w:iCs/>
          <w:color w:val="000000" w:themeColor="text1"/>
          <w:spacing w:val="-5"/>
          <w:sz w:val="24"/>
          <w:szCs w:val="24"/>
        </w:rPr>
        <w:t xml:space="preserve">State of Tasmania </w:t>
      </w:r>
      <w:r w:rsidR="00C81B56" w:rsidRPr="00EC3105">
        <w:rPr>
          <w:rFonts w:ascii="Cambria" w:hAnsi="Cambria"/>
          <w:i/>
          <w:iCs/>
          <w:color w:val="000000" w:themeColor="text1"/>
          <w:spacing w:val="-5"/>
          <w:sz w:val="24"/>
          <w:szCs w:val="24"/>
        </w:rPr>
        <w:t>(Department of Health &amp; Human Services) v M</w:t>
      </w:r>
      <w:r w:rsidR="00C81B56" w:rsidRPr="00EC3105">
        <w:rPr>
          <w:rStyle w:val="FootnoteReference"/>
          <w:rFonts w:ascii="Cambria" w:hAnsi="Cambria"/>
          <w:color w:val="000000" w:themeColor="text1"/>
          <w:spacing w:val="-5"/>
          <w:sz w:val="24"/>
          <w:szCs w:val="24"/>
        </w:rPr>
        <w:footnoteReference w:id="6"/>
      </w:r>
      <w:r w:rsidR="00C81B56" w:rsidRPr="00EC3105">
        <w:rPr>
          <w:rFonts w:ascii="Cambria" w:hAnsi="Cambria"/>
          <w:color w:val="000000" w:themeColor="text1"/>
          <w:spacing w:val="-5"/>
          <w:sz w:val="24"/>
          <w:szCs w:val="24"/>
        </w:rPr>
        <w:t xml:space="preserve"> the Workers Rehabilitation and Compensation Tribunal held that it did not have jurisdiction to hear the case because </w:t>
      </w:r>
      <w:r w:rsidR="00EC3105">
        <w:rPr>
          <w:rFonts w:ascii="Cambria" w:hAnsi="Cambria"/>
          <w:color w:val="000000" w:themeColor="text1"/>
          <w:spacing w:val="-5"/>
          <w:sz w:val="24"/>
          <w:szCs w:val="24"/>
        </w:rPr>
        <w:t>it</w:t>
      </w:r>
      <w:r w:rsidR="00C81B56" w:rsidRPr="00EC3105">
        <w:rPr>
          <w:rFonts w:ascii="Cambria" w:hAnsi="Cambria"/>
          <w:color w:val="000000" w:themeColor="text1"/>
          <w:spacing w:val="-5"/>
          <w:sz w:val="24"/>
          <w:szCs w:val="24"/>
        </w:rPr>
        <w:t xml:space="preserve"> involved the State of Tasmania and a resident of another State.</w:t>
      </w:r>
      <w:r w:rsidR="00B2040C" w:rsidRPr="00EC3105">
        <w:rPr>
          <w:rFonts w:ascii="Cambria" w:hAnsi="Cambria"/>
          <w:i/>
          <w:iCs/>
          <w:color w:val="000000" w:themeColor="text1"/>
          <w:spacing w:val="-5"/>
          <w:sz w:val="24"/>
          <w:szCs w:val="24"/>
        </w:rPr>
        <w:t xml:space="preserve"> </w:t>
      </w:r>
      <w:r w:rsidR="00B2040C" w:rsidRPr="00EC3105">
        <w:rPr>
          <w:rFonts w:ascii="Cambria" w:hAnsi="Cambria"/>
          <w:color w:val="000000" w:themeColor="text1"/>
          <w:spacing w:val="-5"/>
          <w:sz w:val="24"/>
          <w:szCs w:val="24"/>
        </w:rPr>
        <w:t xml:space="preserve">Or, in </w:t>
      </w:r>
      <w:r w:rsidR="00B2040C" w:rsidRPr="00EC3105">
        <w:rPr>
          <w:rFonts w:ascii="Cambria" w:eastAsia="Times New Roman" w:hAnsi="Cambria" w:cs="Arial"/>
          <w:i/>
          <w:iCs/>
          <w:color w:val="000000" w:themeColor="text1"/>
          <w:sz w:val="24"/>
          <w:szCs w:val="24"/>
          <w:bdr w:val="none" w:sz="0" w:space="0" w:color="auto" w:frame="1"/>
          <w:shd w:val="clear" w:color="auto" w:fill="FFFFFF"/>
          <w:lang w:eastAsia="en-GB"/>
        </w:rPr>
        <w:t>Commonwealth v Anti-Discrimination Tribunal</w:t>
      </w:r>
      <w:r w:rsidR="003566C4" w:rsidRPr="00EC3105">
        <w:rPr>
          <w:rStyle w:val="FootnoteReference"/>
          <w:rFonts w:ascii="Cambria" w:eastAsia="Times New Roman" w:hAnsi="Cambria" w:cs="Arial"/>
          <w:color w:val="000000" w:themeColor="text1"/>
          <w:sz w:val="24"/>
          <w:szCs w:val="24"/>
          <w:bdr w:val="none" w:sz="0" w:space="0" w:color="auto" w:frame="1"/>
          <w:shd w:val="clear" w:color="auto" w:fill="FFFFFF"/>
          <w:lang w:eastAsia="en-GB"/>
        </w:rPr>
        <w:footnoteReference w:id="7"/>
      </w:r>
      <w:r w:rsidR="003566C4" w:rsidRPr="00EC3105">
        <w:rPr>
          <w:rFonts w:ascii="Cambria" w:eastAsia="Times New Roman" w:hAnsi="Cambria" w:cs="Arial"/>
          <w:i/>
          <w:iCs/>
          <w:color w:val="000000" w:themeColor="text1"/>
          <w:sz w:val="24"/>
          <w:szCs w:val="24"/>
          <w:bdr w:val="none" w:sz="0" w:space="0" w:color="auto" w:frame="1"/>
          <w:shd w:val="clear" w:color="auto" w:fill="FFFFFF"/>
          <w:lang w:eastAsia="en-GB"/>
        </w:rPr>
        <w:t xml:space="preserve"> </w:t>
      </w:r>
      <w:r w:rsidR="00B2040C" w:rsidRPr="00EC3105">
        <w:rPr>
          <w:rFonts w:ascii="Cambria" w:eastAsia="Times New Roman" w:hAnsi="Cambria" w:cs="Arial"/>
          <w:color w:val="000000" w:themeColor="text1"/>
          <w:sz w:val="24"/>
          <w:szCs w:val="24"/>
          <w:shd w:val="clear" w:color="auto" w:fill="FFFFFF"/>
          <w:lang w:eastAsia="en-GB"/>
        </w:rPr>
        <w:t xml:space="preserve">in which a complaint </w:t>
      </w:r>
      <w:r w:rsidR="00B2040C">
        <w:rPr>
          <w:rFonts w:ascii="Cambria" w:eastAsia="Times New Roman" w:hAnsi="Cambria" w:cs="Arial"/>
          <w:color w:val="000000" w:themeColor="text1"/>
          <w:sz w:val="24"/>
          <w:szCs w:val="24"/>
          <w:shd w:val="clear" w:color="auto" w:fill="FFFFFF"/>
          <w:lang w:eastAsia="en-GB"/>
        </w:rPr>
        <w:t>of discrimination was dismissed because the case involved the Commonwealth of Australia.</w:t>
      </w:r>
      <w:r w:rsidR="00EC3105">
        <w:rPr>
          <w:rFonts w:ascii="Cambria" w:eastAsia="Times New Roman" w:hAnsi="Cambria" w:cs="Arial"/>
          <w:color w:val="000000" w:themeColor="text1"/>
          <w:sz w:val="24"/>
          <w:szCs w:val="24"/>
          <w:shd w:val="clear" w:color="auto" w:fill="FFFFFF"/>
          <w:lang w:eastAsia="en-GB"/>
        </w:rPr>
        <w:t xml:space="preserve"> Or, the recent case of </w:t>
      </w:r>
      <w:proofErr w:type="spellStart"/>
      <w:r w:rsidR="00EC3105" w:rsidRPr="00EC3105">
        <w:rPr>
          <w:rFonts w:ascii="Cambria" w:eastAsia="Times New Roman" w:hAnsi="Cambria" w:cs="Arial"/>
          <w:i/>
          <w:iCs/>
          <w:color w:val="000000" w:themeColor="text1"/>
          <w:sz w:val="24"/>
          <w:szCs w:val="24"/>
          <w:shd w:val="clear" w:color="auto" w:fill="FFFFFF"/>
          <w:lang w:eastAsia="en-GB"/>
        </w:rPr>
        <w:t>Cawthorn</w:t>
      </w:r>
      <w:proofErr w:type="spellEnd"/>
      <w:r w:rsidR="00EC3105" w:rsidRPr="00EC3105">
        <w:rPr>
          <w:rFonts w:ascii="Cambria" w:eastAsia="Times New Roman" w:hAnsi="Cambria" w:cs="Arial"/>
          <w:i/>
          <w:iCs/>
          <w:color w:val="000000" w:themeColor="text1"/>
          <w:sz w:val="24"/>
          <w:szCs w:val="24"/>
          <w:shd w:val="clear" w:color="auto" w:fill="FFFFFF"/>
          <w:lang w:eastAsia="en-GB"/>
        </w:rPr>
        <w:t xml:space="preserve"> and </w:t>
      </w:r>
      <w:proofErr w:type="spellStart"/>
      <w:r w:rsidR="00EC3105" w:rsidRPr="00EC3105">
        <w:rPr>
          <w:rFonts w:ascii="Cambria" w:eastAsia="Times New Roman" w:hAnsi="Cambria" w:cs="Arial"/>
          <w:i/>
          <w:iCs/>
          <w:color w:val="000000" w:themeColor="text1"/>
          <w:sz w:val="24"/>
          <w:szCs w:val="24"/>
          <w:shd w:val="clear" w:color="auto" w:fill="FFFFFF"/>
          <w:lang w:eastAsia="en-GB"/>
        </w:rPr>
        <w:t>Paraquad</w:t>
      </w:r>
      <w:proofErr w:type="spellEnd"/>
      <w:r w:rsidR="00EC3105" w:rsidRPr="00EC3105">
        <w:rPr>
          <w:rFonts w:ascii="Cambria" w:eastAsia="Times New Roman" w:hAnsi="Cambria" w:cs="Arial"/>
          <w:i/>
          <w:iCs/>
          <w:color w:val="000000" w:themeColor="text1"/>
          <w:sz w:val="24"/>
          <w:szCs w:val="24"/>
          <w:shd w:val="clear" w:color="auto" w:fill="FFFFFF"/>
          <w:lang w:eastAsia="en-GB"/>
        </w:rPr>
        <w:t xml:space="preserve"> Association of Tasmania Incorporated v </w:t>
      </w:r>
      <w:proofErr w:type="spellStart"/>
      <w:r w:rsidR="00EC3105" w:rsidRPr="00EC3105">
        <w:rPr>
          <w:rFonts w:ascii="Cambria" w:eastAsia="Times New Roman" w:hAnsi="Cambria" w:cs="Arial"/>
          <w:i/>
          <w:iCs/>
          <w:color w:val="000000" w:themeColor="text1"/>
          <w:sz w:val="24"/>
          <w:szCs w:val="24"/>
          <w:shd w:val="clear" w:color="auto" w:fill="FFFFFF"/>
          <w:lang w:eastAsia="en-GB"/>
        </w:rPr>
        <w:t>Citta</w:t>
      </w:r>
      <w:proofErr w:type="spellEnd"/>
      <w:r w:rsidR="00EC3105" w:rsidRPr="00EC3105">
        <w:rPr>
          <w:rFonts w:ascii="Cambria" w:eastAsia="Times New Roman" w:hAnsi="Cambria" w:cs="Arial"/>
          <w:i/>
          <w:iCs/>
          <w:color w:val="000000" w:themeColor="text1"/>
          <w:sz w:val="24"/>
          <w:szCs w:val="24"/>
          <w:shd w:val="clear" w:color="auto" w:fill="FFFFFF"/>
          <w:lang w:eastAsia="en-GB"/>
        </w:rPr>
        <w:t xml:space="preserve"> Hobart Pty Ltd and Parliament Square Hobart Landowner Pty Ltd</w:t>
      </w:r>
      <w:r w:rsidR="00EC3105">
        <w:rPr>
          <w:rFonts w:ascii="Cambria" w:eastAsia="Times New Roman" w:hAnsi="Cambria" w:cs="Arial"/>
          <w:color w:val="000000" w:themeColor="text1"/>
          <w:sz w:val="24"/>
          <w:szCs w:val="24"/>
          <w:shd w:val="clear" w:color="auto" w:fill="FFFFFF"/>
          <w:lang w:eastAsia="en-GB"/>
        </w:rPr>
        <w:t xml:space="preserve"> in </w:t>
      </w:r>
      <w:r w:rsidR="00EC3105">
        <w:rPr>
          <w:rFonts w:ascii="Cambria" w:eastAsia="Times New Roman" w:hAnsi="Cambria" w:cs="Arial"/>
          <w:color w:val="000000" w:themeColor="text1"/>
          <w:sz w:val="24"/>
          <w:szCs w:val="24"/>
          <w:shd w:val="clear" w:color="auto" w:fill="FFFFFF"/>
          <w:lang w:eastAsia="en-GB"/>
        </w:rPr>
        <w:lastRenderedPageBreak/>
        <w:t>which a complaint of discrimination was dismissed because a federal defence had been raised.</w:t>
      </w:r>
      <w:r w:rsidR="00EC3105">
        <w:rPr>
          <w:rStyle w:val="FootnoteReference"/>
          <w:rFonts w:ascii="Cambria" w:eastAsia="Times New Roman" w:hAnsi="Cambria" w:cs="Arial"/>
          <w:color w:val="000000" w:themeColor="text1"/>
          <w:sz w:val="24"/>
          <w:szCs w:val="24"/>
          <w:shd w:val="clear" w:color="auto" w:fill="FFFFFF"/>
          <w:lang w:eastAsia="en-GB"/>
        </w:rPr>
        <w:footnoteReference w:id="8"/>
      </w:r>
    </w:p>
    <w:p w14:paraId="0514AC35" w14:textId="77777777" w:rsidR="00EC3105" w:rsidRDefault="00EC3105" w:rsidP="00A65F87">
      <w:pPr>
        <w:pStyle w:val="NoSpacing"/>
        <w:jc w:val="both"/>
        <w:rPr>
          <w:rFonts w:ascii="Cambria" w:eastAsia="Times New Roman" w:hAnsi="Cambria" w:cs="Arial"/>
          <w:color w:val="000000" w:themeColor="text1"/>
          <w:sz w:val="24"/>
          <w:szCs w:val="24"/>
          <w:shd w:val="clear" w:color="auto" w:fill="FFFFFF"/>
          <w:lang w:eastAsia="en-GB"/>
        </w:rPr>
      </w:pPr>
    </w:p>
    <w:p w14:paraId="38BFA5B0" w14:textId="67FD8CEF" w:rsidR="00EB7E21" w:rsidRPr="00EC3105" w:rsidRDefault="00EB7E21" w:rsidP="00A65F87">
      <w:pPr>
        <w:pStyle w:val="NoSpacing"/>
        <w:jc w:val="both"/>
        <w:rPr>
          <w:rFonts w:ascii="Cambria" w:eastAsia="Times New Roman" w:hAnsi="Cambria" w:cs="Arial"/>
          <w:color w:val="000000" w:themeColor="text1"/>
          <w:sz w:val="24"/>
          <w:szCs w:val="24"/>
          <w:shd w:val="clear" w:color="auto" w:fill="FFFFFF"/>
          <w:lang w:eastAsia="en-GB"/>
        </w:rPr>
      </w:pPr>
      <w:r>
        <w:rPr>
          <w:rFonts w:ascii="Cambria" w:eastAsia="Times New Roman" w:hAnsi="Cambria" w:cs="Segoe UI"/>
          <w:color w:val="000000" w:themeColor="text1"/>
          <w:sz w:val="24"/>
          <w:szCs w:val="24"/>
          <w:lang w:eastAsia="en-GB"/>
        </w:rPr>
        <w:t xml:space="preserve">As it stands, </w:t>
      </w:r>
      <w:r w:rsidR="003C5760" w:rsidRPr="00206C10">
        <w:rPr>
          <w:rFonts w:ascii="Cambria" w:hAnsi="Cambria"/>
          <w:sz w:val="24"/>
          <w:szCs w:val="24"/>
        </w:rPr>
        <w:t>Part 4 of the proposed Bill covers the jurisdiction of the Tribunal</w:t>
      </w:r>
      <w:r>
        <w:rPr>
          <w:rFonts w:ascii="Cambria" w:hAnsi="Cambria"/>
          <w:sz w:val="24"/>
          <w:szCs w:val="24"/>
        </w:rPr>
        <w:t xml:space="preserve"> with clause </w:t>
      </w:r>
      <w:r w:rsidR="003C5760" w:rsidRPr="00206C10">
        <w:rPr>
          <w:rFonts w:ascii="Cambria" w:hAnsi="Cambria"/>
          <w:sz w:val="24"/>
          <w:szCs w:val="24"/>
        </w:rPr>
        <w:t xml:space="preserve">48(1) </w:t>
      </w:r>
      <w:r>
        <w:rPr>
          <w:rFonts w:ascii="Cambria" w:hAnsi="Cambria"/>
          <w:sz w:val="24"/>
          <w:szCs w:val="24"/>
        </w:rPr>
        <w:t xml:space="preserve">noting </w:t>
      </w:r>
      <w:r w:rsidR="003C5760" w:rsidRPr="00206C10">
        <w:rPr>
          <w:rFonts w:ascii="Cambria" w:hAnsi="Cambria"/>
          <w:sz w:val="24"/>
          <w:szCs w:val="24"/>
        </w:rPr>
        <w:t>that ‘the Tribunal has the jurisdiction conferred on it by or under this or any other Act’.</w:t>
      </w:r>
      <w:r>
        <w:rPr>
          <w:rFonts w:ascii="Cambria" w:hAnsi="Cambria"/>
          <w:sz w:val="24"/>
          <w:szCs w:val="24"/>
        </w:rPr>
        <w:t xml:space="preserve"> As well, clause 48</w:t>
      </w:r>
      <w:r w:rsidR="003C5760" w:rsidRPr="00206C10">
        <w:rPr>
          <w:rFonts w:ascii="Cambria" w:hAnsi="Cambria"/>
          <w:sz w:val="24"/>
          <w:szCs w:val="24"/>
        </w:rPr>
        <w:t>(2)</w:t>
      </w:r>
      <w:r>
        <w:rPr>
          <w:rFonts w:ascii="Cambria" w:hAnsi="Cambria"/>
          <w:sz w:val="24"/>
          <w:szCs w:val="24"/>
        </w:rPr>
        <w:t xml:space="preserve"> notes </w:t>
      </w:r>
      <w:r w:rsidR="003C5760" w:rsidRPr="00206C10">
        <w:rPr>
          <w:rFonts w:ascii="Cambria" w:hAnsi="Cambria"/>
          <w:sz w:val="24"/>
          <w:szCs w:val="24"/>
        </w:rPr>
        <w:t xml:space="preserve">that if an application, referral or appeal is able to be made to the Tribunal by way of a provision of the Act, or a claim be brought before the Tribunal, the Act will have jurisdiction to hear and make a decision on the matter. </w:t>
      </w:r>
    </w:p>
    <w:p w14:paraId="24CE7158" w14:textId="77777777" w:rsidR="003F4662" w:rsidRDefault="003F4662" w:rsidP="00A65F87">
      <w:pPr>
        <w:pStyle w:val="NoSpacing"/>
        <w:jc w:val="both"/>
        <w:rPr>
          <w:rFonts w:ascii="Cambria" w:hAnsi="Cambria"/>
          <w:sz w:val="24"/>
          <w:szCs w:val="24"/>
        </w:rPr>
      </w:pPr>
    </w:p>
    <w:p w14:paraId="11F6071E" w14:textId="01DC9FC9" w:rsidR="00E316C3" w:rsidRDefault="003B37C5" w:rsidP="00A65F87">
      <w:pPr>
        <w:pStyle w:val="NoSpacing"/>
        <w:jc w:val="both"/>
        <w:rPr>
          <w:rFonts w:ascii="Cambria" w:hAnsi="Cambria"/>
          <w:sz w:val="24"/>
          <w:szCs w:val="24"/>
        </w:rPr>
      </w:pPr>
      <w:r>
        <w:rPr>
          <w:rFonts w:ascii="Cambria" w:hAnsi="Cambria"/>
          <w:sz w:val="24"/>
          <w:szCs w:val="24"/>
        </w:rPr>
        <w:t>It is clear from the</w:t>
      </w:r>
      <w:r w:rsidR="003F4662">
        <w:rPr>
          <w:rFonts w:ascii="Cambria" w:hAnsi="Cambria"/>
          <w:sz w:val="24"/>
          <w:szCs w:val="24"/>
        </w:rPr>
        <w:t xml:space="preserve"> Long Title to the Bill</w:t>
      </w:r>
      <w:r>
        <w:rPr>
          <w:rFonts w:ascii="Cambria" w:hAnsi="Cambria"/>
          <w:sz w:val="24"/>
          <w:szCs w:val="24"/>
        </w:rPr>
        <w:t xml:space="preserve"> </w:t>
      </w:r>
      <w:r w:rsidR="003F4662">
        <w:rPr>
          <w:rFonts w:ascii="Cambria" w:hAnsi="Cambria"/>
          <w:sz w:val="24"/>
          <w:szCs w:val="24"/>
        </w:rPr>
        <w:t xml:space="preserve">that it is limited to the establishment of the Tribunal and the appointment of members and staff to the Tribunal. As well, the Department of Justice website clarifies that </w:t>
      </w:r>
      <w:r w:rsidR="003C5760" w:rsidRPr="00206C10">
        <w:rPr>
          <w:rFonts w:ascii="Cambria" w:hAnsi="Cambria"/>
          <w:sz w:val="24"/>
          <w:szCs w:val="24"/>
        </w:rPr>
        <w:t xml:space="preserve">future Bills will expand </w:t>
      </w:r>
      <w:proofErr w:type="spellStart"/>
      <w:r w:rsidR="003C5760" w:rsidRPr="00206C10">
        <w:rPr>
          <w:rFonts w:ascii="Cambria" w:hAnsi="Cambria"/>
          <w:sz w:val="24"/>
          <w:szCs w:val="24"/>
        </w:rPr>
        <w:t>TasCAT’s</w:t>
      </w:r>
      <w:proofErr w:type="spellEnd"/>
      <w:r w:rsidR="003C5760" w:rsidRPr="00206C10">
        <w:rPr>
          <w:rFonts w:ascii="Cambria" w:hAnsi="Cambria"/>
          <w:sz w:val="24"/>
          <w:szCs w:val="24"/>
        </w:rPr>
        <w:t xml:space="preserve"> jurisdiction.</w:t>
      </w:r>
      <w:r w:rsidR="003F4662">
        <w:rPr>
          <w:rStyle w:val="FootnoteReference"/>
          <w:rFonts w:ascii="Cambria" w:hAnsi="Cambria"/>
          <w:sz w:val="24"/>
          <w:szCs w:val="24"/>
        </w:rPr>
        <w:footnoteReference w:id="9"/>
      </w:r>
      <w:r w:rsidR="003F4662">
        <w:rPr>
          <w:rFonts w:ascii="Cambria" w:hAnsi="Cambria"/>
          <w:sz w:val="24"/>
          <w:szCs w:val="24"/>
        </w:rPr>
        <w:t xml:space="preserve"> Nevertheless,</w:t>
      </w:r>
      <w:r>
        <w:rPr>
          <w:rFonts w:ascii="Cambria" w:hAnsi="Cambria"/>
          <w:sz w:val="24"/>
          <w:szCs w:val="24"/>
        </w:rPr>
        <w:t xml:space="preserve"> </w:t>
      </w:r>
      <w:r w:rsidR="00A65F87">
        <w:rPr>
          <w:rFonts w:ascii="Cambria" w:hAnsi="Cambria"/>
          <w:sz w:val="24"/>
          <w:szCs w:val="24"/>
        </w:rPr>
        <w:t>we</w:t>
      </w:r>
      <w:r w:rsidR="003C5760" w:rsidRPr="00206C10">
        <w:rPr>
          <w:rFonts w:ascii="Cambria" w:hAnsi="Cambria"/>
          <w:sz w:val="24"/>
          <w:szCs w:val="24"/>
        </w:rPr>
        <w:t xml:space="preserve"> </w:t>
      </w:r>
      <w:r>
        <w:rPr>
          <w:rFonts w:ascii="Cambria" w:hAnsi="Cambria"/>
          <w:sz w:val="24"/>
          <w:szCs w:val="24"/>
        </w:rPr>
        <w:t>strongly recommend that any future Bill</w:t>
      </w:r>
      <w:r w:rsidR="00E316C3">
        <w:rPr>
          <w:rFonts w:ascii="Cambria" w:hAnsi="Cambria"/>
          <w:sz w:val="24"/>
          <w:szCs w:val="24"/>
        </w:rPr>
        <w:t xml:space="preserve"> ensures that the limitations placed on Tasmanian Tribunals as a result of the </w:t>
      </w:r>
      <w:r w:rsidR="00E316C3" w:rsidRPr="00E316C3">
        <w:rPr>
          <w:rFonts w:ascii="Cambria" w:hAnsi="Cambria"/>
          <w:i/>
          <w:iCs/>
          <w:sz w:val="24"/>
          <w:szCs w:val="24"/>
        </w:rPr>
        <w:t>Burns v Corbett</w:t>
      </w:r>
      <w:r w:rsidR="00E316C3">
        <w:rPr>
          <w:rFonts w:ascii="Cambria" w:hAnsi="Cambria"/>
          <w:sz w:val="24"/>
          <w:szCs w:val="24"/>
        </w:rPr>
        <w:t xml:space="preserve"> precedent are removed.  </w:t>
      </w:r>
    </w:p>
    <w:p w14:paraId="3C713220" w14:textId="77777777" w:rsidR="003B37C5" w:rsidRDefault="003B37C5" w:rsidP="00A65F87">
      <w:pPr>
        <w:pStyle w:val="NoSpacing"/>
        <w:jc w:val="both"/>
        <w:rPr>
          <w:rFonts w:ascii="Cambria" w:hAnsi="Cambria"/>
          <w:sz w:val="24"/>
          <w:szCs w:val="24"/>
        </w:rPr>
      </w:pPr>
    </w:p>
    <w:p w14:paraId="31F2DCCC" w14:textId="2F45150D" w:rsidR="00AD0519" w:rsidRDefault="003B37C5" w:rsidP="00A65F87">
      <w:pPr>
        <w:pStyle w:val="NoSpacing"/>
        <w:jc w:val="both"/>
        <w:rPr>
          <w:rFonts w:ascii="Cambria" w:hAnsi="Cambria"/>
          <w:sz w:val="24"/>
          <w:szCs w:val="24"/>
        </w:rPr>
      </w:pPr>
      <w:r>
        <w:rPr>
          <w:rFonts w:ascii="Cambria" w:hAnsi="Cambria"/>
          <w:sz w:val="24"/>
          <w:szCs w:val="24"/>
        </w:rPr>
        <w:t>We believe t</w:t>
      </w:r>
      <w:r w:rsidR="00AD0519">
        <w:rPr>
          <w:rFonts w:ascii="Cambria" w:hAnsi="Cambria"/>
          <w:sz w:val="24"/>
          <w:szCs w:val="24"/>
        </w:rPr>
        <w:t xml:space="preserve">he </w:t>
      </w:r>
      <w:r w:rsidR="00BD6FAD">
        <w:rPr>
          <w:rFonts w:ascii="Cambria" w:hAnsi="Cambria"/>
          <w:sz w:val="24"/>
          <w:szCs w:val="24"/>
        </w:rPr>
        <w:t xml:space="preserve">best option available is that which has been adopted in </w:t>
      </w:r>
      <w:r>
        <w:rPr>
          <w:rFonts w:ascii="Cambria" w:hAnsi="Cambria"/>
          <w:sz w:val="24"/>
          <w:szCs w:val="24"/>
        </w:rPr>
        <w:t>New South Wales and South Australi</w:t>
      </w:r>
      <w:r w:rsidR="00BD6FAD">
        <w:rPr>
          <w:rFonts w:ascii="Cambria" w:hAnsi="Cambria"/>
          <w:sz w:val="24"/>
          <w:szCs w:val="24"/>
        </w:rPr>
        <w:t>a</w:t>
      </w:r>
      <w:r>
        <w:rPr>
          <w:rFonts w:ascii="Cambria" w:hAnsi="Cambria"/>
          <w:sz w:val="24"/>
          <w:szCs w:val="24"/>
        </w:rPr>
        <w:t xml:space="preserve">, </w:t>
      </w:r>
      <w:r w:rsidR="00BD6FAD">
        <w:rPr>
          <w:rFonts w:ascii="Cambria" w:hAnsi="Cambria"/>
          <w:sz w:val="24"/>
          <w:szCs w:val="24"/>
        </w:rPr>
        <w:t xml:space="preserve">where </w:t>
      </w:r>
      <w:r>
        <w:rPr>
          <w:rFonts w:ascii="Cambria" w:hAnsi="Cambria"/>
          <w:sz w:val="24"/>
          <w:szCs w:val="24"/>
        </w:rPr>
        <w:t>federal matters that come before a Tribunal are referred to a state court.</w:t>
      </w:r>
      <w:r>
        <w:rPr>
          <w:rStyle w:val="FootnoteReference"/>
          <w:rFonts w:ascii="Cambria" w:hAnsi="Cambria"/>
          <w:sz w:val="24"/>
          <w:szCs w:val="24"/>
        </w:rPr>
        <w:footnoteReference w:id="10"/>
      </w:r>
      <w:r>
        <w:rPr>
          <w:rFonts w:ascii="Cambria" w:hAnsi="Cambria"/>
          <w:sz w:val="24"/>
          <w:szCs w:val="24"/>
        </w:rPr>
        <w:t xml:space="preserve"> Section 34B(2)(b) of the </w:t>
      </w:r>
      <w:r w:rsidRPr="003B37C5">
        <w:rPr>
          <w:rFonts w:ascii="Cambria" w:hAnsi="Cambria"/>
          <w:i/>
          <w:iCs/>
          <w:sz w:val="24"/>
          <w:szCs w:val="24"/>
        </w:rPr>
        <w:t>Civil and Administrative Tribunal Act 2013</w:t>
      </w:r>
      <w:r>
        <w:rPr>
          <w:rFonts w:ascii="Cambria" w:hAnsi="Cambria"/>
          <w:sz w:val="24"/>
          <w:szCs w:val="24"/>
        </w:rPr>
        <w:t xml:space="preserve"> (NSW) </w:t>
      </w:r>
      <w:r w:rsidR="00BD6FAD">
        <w:rPr>
          <w:rFonts w:ascii="Cambria" w:hAnsi="Cambria"/>
          <w:sz w:val="24"/>
          <w:szCs w:val="24"/>
        </w:rPr>
        <w:t xml:space="preserve">for example </w:t>
      </w:r>
      <w:r>
        <w:rPr>
          <w:rFonts w:ascii="Cambria" w:hAnsi="Cambria"/>
          <w:sz w:val="24"/>
          <w:szCs w:val="24"/>
        </w:rPr>
        <w:t>providing as follows:</w:t>
      </w:r>
    </w:p>
    <w:p w14:paraId="5D7747C7" w14:textId="440980F3" w:rsidR="00AD0519" w:rsidRDefault="00AD0519" w:rsidP="00A65F87">
      <w:pPr>
        <w:pStyle w:val="NoSpacing"/>
        <w:jc w:val="both"/>
        <w:rPr>
          <w:rFonts w:ascii="Cambria" w:hAnsi="Cambria"/>
          <w:sz w:val="24"/>
          <w:szCs w:val="24"/>
        </w:rPr>
      </w:pPr>
    </w:p>
    <w:p w14:paraId="23B209F8" w14:textId="520F9F91" w:rsidR="003B37C5" w:rsidRPr="00022A84" w:rsidRDefault="003B37C5" w:rsidP="003B37C5">
      <w:pPr>
        <w:pStyle w:val="NoSpacing"/>
        <w:ind w:left="720"/>
        <w:jc w:val="both"/>
        <w:rPr>
          <w:rFonts w:ascii="Cambria" w:hAnsi="Cambria"/>
          <w:b/>
          <w:bCs/>
          <w:i/>
          <w:iCs/>
        </w:rPr>
      </w:pPr>
      <w:r w:rsidRPr="00022A84">
        <w:rPr>
          <w:rFonts w:ascii="Cambria" w:hAnsi="Cambria"/>
          <w:b/>
          <w:bCs/>
          <w:i/>
          <w:iCs/>
        </w:rPr>
        <w:t>34B Applications or appeals involving Federal jurisdiction may be made to authorised court</w:t>
      </w:r>
    </w:p>
    <w:p w14:paraId="282D50BA" w14:textId="5F498CF9" w:rsidR="003B37C5" w:rsidRPr="00022A84" w:rsidRDefault="003B37C5" w:rsidP="003B37C5">
      <w:pPr>
        <w:pStyle w:val="NoSpacing"/>
        <w:ind w:left="720"/>
        <w:jc w:val="both"/>
        <w:rPr>
          <w:rFonts w:ascii="Cambria" w:hAnsi="Cambria"/>
          <w:i/>
          <w:iCs/>
        </w:rPr>
      </w:pPr>
      <w:r w:rsidRPr="00022A84">
        <w:rPr>
          <w:rFonts w:ascii="Cambria" w:hAnsi="Cambria"/>
          <w:i/>
          <w:iCs/>
        </w:rPr>
        <w:t>(1) A person with standing to make an original application or external appeal may, with the leave of an authorised court, make the application or appeal to the court instead of the Tribunal.</w:t>
      </w:r>
    </w:p>
    <w:p w14:paraId="6D7EAC7C" w14:textId="77777777" w:rsidR="003B37C5" w:rsidRPr="00022A84" w:rsidRDefault="003B37C5" w:rsidP="003B37C5">
      <w:pPr>
        <w:pStyle w:val="NoSpacing"/>
        <w:ind w:left="720"/>
        <w:jc w:val="both"/>
        <w:rPr>
          <w:rFonts w:ascii="Cambria" w:hAnsi="Cambria"/>
          <w:i/>
          <w:iCs/>
        </w:rPr>
      </w:pPr>
    </w:p>
    <w:p w14:paraId="2FAC04BD" w14:textId="77777777" w:rsidR="003B37C5" w:rsidRPr="00022A84" w:rsidRDefault="003B37C5" w:rsidP="003B37C5">
      <w:pPr>
        <w:pStyle w:val="NoSpacing"/>
        <w:ind w:left="720"/>
        <w:jc w:val="both"/>
        <w:rPr>
          <w:rFonts w:ascii="Cambria" w:hAnsi="Cambria"/>
          <w:i/>
          <w:iCs/>
        </w:rPr>
      </w:pPr>
      <w:r w:rsidRPr="00022A84">
        <w:rPr>
          <w:rFonts w:ascii="Cambria" w:hAnsi="Cambria"/>
          <w:i/>
          <w:iCs/>
        </w:rPr>
        <w:t>(2) The authorised court may grant leave for the application or appeal to be made to the court only if it is satisfied that—</w:t>
      </w:r>
    </w:p>
    <w:p w14:paraId="753E8B84" w14:textId="77777777" w:rsidR="003B37C5" w:rsidRPr="00022A84" w:rsidRDefault="003B37C5" w:rsidP="003B37C5">
      <w:pPr>
        <w:pStyle w:val="NoSpacing"/>
        <w:ind w:left="720"/>
        <w:jc w:val="both"/>
        <w:rPr>
          <w:rFonts w:ascii="Cambria" w:hAnsi="Cambria"/>
          <w:i/>
          <w:iCs/>
        </w:rPr>
      </w:pPr>
    </w:p>
    <w:p w14:paraId="7B7B4461" w14:textId="77777777" w:rsidR="003B37C5" w:rsidRPr="00022A84" w:rsidRDefault="003B37C5" w:rsidP="003B37C5">
      <w:pPr>
        <w:pStyle w:val="NoSpacing"/>
        <w:ind w:left="720" w:firstLine="720"/>
        <w:jc w:val="both"/>
        <w:rPr>
          <w:rFonts w:ascii="Cambria" w:hAnsi="Cambria"/>
          <w:i/>
          <w:iCs/>
        </w:rPr>
      </w:pPr>
      <w:r w:rsidRPr="00022A84">
        <w:rPr>
          <w:rFonts w:ascii="Cambria" w:hAnsi="Cambria"/>
          <w:i/>
          <w:iCs/>
        </w:rPr>
        <w:t>(a) the application or appeal was first made with the Tribunal, and</w:t>
      </w:r>
    </w:p>
    <w:p w14:paraId="42FB4023" w14:textId="77777777" w:rsidR="003B37C5" w:rsidRPr="00022A84" w:rsidRDefault="003B37C5" w:rsidP="003B37C5">
      <w:pPr>
        <w:pStyle w:val="NoSpacing"/>
        <w:ind w:left="720"/>
        <w:jc w:val="both"/>
        <w:rPr>
          <w:rFonts w:ascii="Cambria" w:hAnsi="Cambria"/>
          <w:i/>
          <w:iCs/>
        </w:rPr>
      </w:pPr>
    </w:p>
    <w:p w14:paraId="3BD86524" w14:textId="7E3F9E13" w:rsidR="003B37C5" w:rsidRPr="00022A84" w:rsidRDefault="003B37C5" w:rsidP="003B37C5">
      <w:pPr>
        <w:pStyle w:val="NoSpacing"/>
        <w:ind w:left="1440"/>
        <w:jc w:val="both"/>
        <w:rPr>
          <w:rFonts w:ascii="Cambria" w:hAnsi="Cambria"/>
          <w:i/>
          <w:iCs/>
        </w:rPr>
      </w:pPr>
      <w:r w:rsidRPr="00022A84">
        <w:rPr>
          <w:rFonts w:ascii="Cambria" w:hAnsi="Cambria"/>
          <w:i/>
          <w:iCs/>
        </w:rPr>
        <w:t>(b) the determination of the application or appeal by the Tribunal would involve an exercise of federal jurisdiction,</w:t>
      </w:r>
      <w:r w:rsidR="00BD6FAD">
        <w:rPr>
          <w:rStyle w:val="FootnoteReference"/>
          <w:rFonts w:ascii="Cambria" w:hAnsi="Cambria"/>
          <w:i/>
          <w:iCs/>
        </w:rPr>
        <w:footnoteReference w:id="11"/>
      </w:r>
      <w:r w:rsidRPr="00022A84">
        <w:rPr>
          <w:rFonts w:ascii="Cambria" w:hAnsi="Cambria"/>
          <w:i/>
          <w:iCs/>
        </w:rPr>
        <w:t xml:space="preserve"> and </w:t>
      </w:r>
    </w:p>
    <w:p w14:paraId="77ACFB87" w14:textId="77777777" w:rsidR="003B37C5" w:rsidRPr="00022A84" w:rsidRDefault="003B37C5" w:rsidP="003B37C5">
      <w:pPr>
        <w:pStyle w:val="NoSpacing"/>
        <w:ind w:left="720"/>
        <w:jc w:val="both"/>
        <w:rPr>
          <w:rFonts w:ascii="Cambria" w:hAnsi="Cambria"/>
          <w:i/>
          <w:iCs/>
        </w:rPr>
      </w:pPr>
    </w:p>
    <w:p w14:paraId="423A67FF" w14:textId="77777777" w:rsidR="003B37C5" w:rsidRPr="00022A84" w:rsidRDefault="003B37C5" w:rsidP="003B37C5">
      <w:pPr>
        <w:pStyle w:val="NoSpacing"/>
        <w:ind w:left="1440"/>
        <w:jc w:val="both"/>
        <w:rPr>
          <w:rFonts w:ascii="Cambria" w:hAnsi="Cambria"/>
          <w:i/>
          <w:iCs/>
        </w:rPr>
      </w:pPr>
      <w:r w:rsidRPr="00022A84">
        <w:rPr>
          <w:rFonts w:ascii="Cambria" w:hAnsi="Cambria"/>
          <w:i/>
          <w:iCs/>
        </w:rPr>
        <w:t>(c) the Tribunal would otherwise have had original jurisdiction or external appellate jurisdiction enabling it to determine the application or appeal, and</w:t>
      </w:r>
    </w:p>
    <w:p w14:paraId="55B48883" w14:textId="77777777" w:rsidR="003B37C5" w:rsidRPr="00022A84" w:rsidRDefault="003B37C5" w:rsidP="003B37C5">
      <w:pPr>
        <w:pStyle w:val="NoSpacing"/>
        <w:ind w:left="720"/>
        <w:jc w:val="both"/>
        <w:rPr>
          <w:rFonts w:ascii="Cambria" w:hAnsi="Cambria"/>
          <w:i/>
          <w:iCs/>
        </w:rPr>
      </w:pPr>
    </w:p>
    <w:p w14:paraId="09E5F27E" w14:textId="77777777" w:rsidR="003B37C5" w:rsidRPr="00022A84" w:rsidRDefault="003B37C5" w:rsidP="003B37C5">
      <w:pPr>
        <w:pStyle w:val="NoSpacing"/>
        <w:ind w:left="1440"/>
        <w:jc w:val="both"/>
        <w:rPr>
          <w:rFonts w:ascii="Cambria" w:hAnsi="Cambria"/>
          <w:i/>
          <w:iCs/>
        </w:rPr>
      </w:pPr>
      <w:r w:rsidRPr="00022A84">
        <w:rPr>
          <w:rFonts w:ascii="Cambria" w:hAnsi="Cambria"/>
          <w:i/>
          <w:iCs/>
        </w:rPr>
        <w:t xml:space="preserve">(d) substituted proceedings on the application or appeal would be within the jurisdictional limit of the court. </w:t>
      </w:r>
      <w:r w:rsidRPr="00022A84">
        <w:rPr>
          <w:rFonts w:ascii="Cambria" w:hAnsi="Cambria"/>
        </w:rPr>
        <w:t>(emphasis added)</w:t>
      </w:r>
    </w:p>
    <w:p w14:paraId="20D50BAB" w14:textId="77777777" w:rsidR="003B37C5" w:rsidRDefault="003B37C5" w:rsidP="003B37C5">
      <w:pPr>
        <w:pStyle w:val="NoSpacing"/>
        <w:rPr>
          <w:rFonts w:eastAsia="Times New Roman" w:cs="Times New Roman"/>
          <w:lang w:eastAsia="en-GB"/>
        </w:rPr>
      </w:pPr>
    </w:p>
    <w:p w14:paraId="0D95FDB3" w14:textId="77777777" w:rsidR="00022A84" w:rsidRPr="00022A84" w:rsidRDefault="003B37C5" w:rsidP="00022A84">
      <w:pPr>
        <w:pStyle w:val="NoSpacing"/>
        <w:jc w:val="both"/>
        <w:rPr>
          <w:rFonts w:ascii="Cambria" w:eastAsia="Times New Roman" w:hAnsi="Cambria" w:cs="Times New Roman"/>
          <w:sz w:val="24"/>
          <w:szCs w:val="24"/>
          <w:lang w:eastAsia="en-GB"/>
        </w:rPr>
      </w:pPr>
      <w:r w:rsidRPr="00022A84">
        <w:rPr>
          <w:rFonts w:ascii="Cambria" w:eastAsia="Times New Roman" w:hAnsi="Cambria" w:cs="Times New Roman"/>
          <w:sz w:val="24"/>
          <w:szCs w:val="24"/>
          <w:lang w:eastAsia="en-GB"/>
        </w:rPr>
        <w:t xml:space="preserve">Alternatively, </w:t>
      </w:r>
      <w:r w:rsidR="00022A84" w:rsidRPr="00022A84">
        <w:rPr>
          <w:rFonts w:ascii="Cambria" w:eastAsia="Times New Roman" w:hAnsi="Cambria" w:cs="Times New Roman"/>
          <w:sz w:val="24"/>
          <w:szCs w:val="24"/>
          <w:lang w:eastAsia="en-GB"/>
        </w:rPr>
        <w:t xml:space="preserve">section 38B of the </w:t>
      </w:r>
      <w:r w:rsidR="00022A84" w:rsidRPr="00022A84">
        <w:rPr>
          <w:rFonts w:ascii="Cambria" w:eastAsia="Times New Roman" w:hAnsi="Cambria" w:cs="Times New Roman"/>
          <w:i/>
          <w:iCs/>
          <w:sz w:val="24"/>
          <w:szCs w:val="24"/>
          <w:lang w:eastAsia="en-GB"/>
        </w:rPr>
        <w:t>South Australian Civil and Administrative Tribunal Act</w:t>
      </w:r>
      <w:r w:rsidR="00022A84" w:rsidRPr="00022A84">
        <w:rPr>
          <w:rFonts w:ascii="Cambria" w:eastAsia="Times New Roman" w:hAnsi="Cambria" w:cs="Times New Roman"/>
          <w:sz w:val="24"/>
          <w:szCs w:val="24"/>
          <w:lang w:eastAsia="en-GB"/>
        </w:rPr>
        <w:t xml:space="preserve"> </w:t>
      </w:r>
      <w:r w:rsidR="00022A84" w:rsidRPr="00022A84">
        <w:rPr>
          <w:rFonts w:ascii="Cambria" w:eastAsia="Times New Roman" w:hAnsi="Cambria" w:cs="Times New Roman"/>
          <w:i/>
          <w:iCs/>
          <w:sz w:val="24"/>
          <w:szCs w:val="24"/>
          <w:lang w:eastAsia="en-GB"/>
        </w:rPr>
        <w:t>2013</w:t>
      </w:r>
      <w:r w:rsidR="00022A84" w:rsidRPr="00022A84">
        <w:rPr>
          <w:rFonts w:ascii="Cambria" w:eastAsia="Times New Roman" w:hAnsi="Cambria" w:cs="Times New Roman"/>
          <w:sz w:val="24"/>
          <w:szCs w:val="24"/>
          <w:lang w:eastAsia="en-GB"/>
        </w:rPr>
        <w:t xml:space="preserve"> provides:</w:t>
      </w:r>
    </w:p>
    <w:p w14:paraId="0222C010" w14:textId="77777777" w:rsidR="00022A84" w:rsidRDefault="00022A84" w:rsidP="003B37C5">
      <w:pPr>
        <w:pStyle w:val="NoSpacing"/>
        <w:rPr>
          <w:rFonts w:eastAsia="Times New Roman" w:cs="Times New Roman"/>
          <w:lang w:eastAsia="en-GB"/>
        </w:rPr>
      </w:pPr>
    </w:p>
    <w:p w14:paraId="7DB2678B" w14:textId="77777777" w:rsidR="00022A84" w:rsidRPr="00022A84" w:rsidRDefault="00022A84" w:rsidP="00022A84">
      <w:pPr>
        <w:pStyle w:val="NoSpacing"/>
        <w:ind w:left="720"/>
        <w:rPr>
          <w:rFonts w:ascii="Cambria" w:hAnsi="Cambria"/>
          <w:b/>
          <w:bCs/>
          <w:i/>
          <w:iCs/>
          <w:lang w:eastAsia="en-GB"/>
        </w:rPr>
      </w:pPr>
      <w:r w:rsidRPr="00022A84">
        <w:rPr>
          <w:rFonts w:ascii="Cambria" w:hAnsi="Cambria"/>
          <w:b/>
          <w:bCs/>
          <w:i/>
          <w:iCs/>
          <w:lang w:eastAsia="en-GB"/>
        </w:rPr>
        <w:t>38B Transfer of applications involving federal diversity jurisdiction to Magistrates Court</w:t>
      </w:r>
      <w:bookmarkStart w:id="0" w:name="id742b9fa7_43a2_4574_84cb_e66e98fef39a_2"/>
      <w:bookmarkEnd w:id="0"/>
      <w:r w:rsidRPr="00022A84">
        <w:rPr>
          <w:rFonts w:ascii="Cambria" w:hAnsi="Cambria"/>
          <w:b/>
          <w:bCs/>
          <w:i/>
          <w:iCs/>
          <w:lang w:eastAsia="en-GB"/>
        </w:rPr>
        <w:t xml:space="preserve"> </w:t>
      </w:r>
    </w:p>
    <w:p w14:paraId="12677744" w14:textId="77777777" w:rsidR="00022A84" w:rsidRPr="00022A84" w:rsidRDefault="00022A84" w:rsidP="00022A84">
      <w:pPr>
        <w:pStyle w:val="NoSpacing"/>
        <w:ind w:left="720"/>
        <w:rPr>
          <w:rFonts w:ascii="Cambria" w:hAnsi="Cambria"/>
          <w:i/>
          <w:iCs/>
          <w:lang w:eastAsia="en-GB"/>
        </w:rPr>
      </w:pPr>
      <w:r w:rsidRPr="00022A84">
        <w:rPr>
          <w:rFonts w:ascii="Cambria" w:hAnsi="Cambria"/>
          <w:i/>
          <w:iCs/>
          <w:lang w:eastAsia="en-GB"/>
        </w:rPr>
        <w:t>(1)</w:t>
      </w:r>
      <w:r w:rsidRPr="00022A84">
        <w:rPr>
          <w:rFonts w:ascii="Cambria" w:hAnsi="Cambria"/>
          <w:b/>
          <w:bCs/>
          <w:i/>
          <w:iCs/>
          <w:lang w:eastAsia="en-GB"/>
        </w:rPr>
        <w:t xml:space="preserve"> </w:t>
      </w:r>
      <w:r w:rsidRPr="00022A84">
        <w:rPr>
          <w:rFonts w:ascii="Cambria" w:hAnsi="Cambria"/>
          <w:i/>
          <w:iCs/>
          <w:lang w:eastAsia="en-GB"/>
        </w:rPr>
        <w:t xml:space="preserve">If a person has standing to make an application to the Tribunal in the exercise of its original jurisdiction under section 33 or its review jurisdiction under section 34, the application may be determined by the Magistrates Court in accordance with this Part instead of the Tribunal.  </w:t>
      </w:r>
      <w:r w:rsidRPr="00022A84">
        <w:rPr>
          <w:rFonts w:ascii="Cambria" w:hAnsi="Cambria"/>
          <w:i/>
          <w:iCs/>
          <w:lang w:eastAsia="en-GB"/>
        </w:rPr>
        <w:br/>
      </w:r>
      <w:bookmarkStart w:id="1" w:name="idd8d19e05_5412_4052_aa96_857845c63389_0"/>
      <w:bookmarkEnd w:id="1"/>
    </w:p>
    <w:p w14:paraId="79706111" w14:textId="77777777" w:rsidR="00022A84" w:rsidRPr="00022A84" w:rsidRDefault="00022A84" w:rsidP="00022A84">
      <w:pPr>
        <w:pStyle w:val="NoSpacing"/>
        <w:ind w:left="720"/>
        <w:rPr>
          <w:rFonts w:ascii="Cambria" w:hAnsi="Cambria"/>
          <w:i/>
          <w:iCs/>
          <w:lang w:eastAsia="en-GB"/>
        </w:rPr>
      </w:pPr>
      <w:r w:rsidRPr="00022A84">
        <w:rPr>
          <w:rFonts w:ascii="Cambria" w:hAnsi="Cambria"/>
          <w:i/>
          <w:iCs/>
          <w:lang w:eastAsia="en-GB"/>
        </w:rPr>
        <w:t>(2) If, following an application made to the Tribunal in the manner and form required under this Act for the kind of application concerned, the Tribunal considers that— </w:t>
      </w:r>
      <w:r w:rsidRPr="00022A84">
        <w:rPr>
          <w:rFonts w:ascii="Cambria" w:hAnsi="Cambria"/>
          <w:i/>
          <w:iCs/>
          <w:lang w:eastAsia="en-GB"/>
        </w:rPr>
        <w:br/>
      </w:r>
    </w:p>
    <w:p w14:paraId="22C13554" w14:textId="77777777" w:rsidR="00022A84" w:rsidRPr="00022A84" w:rsidRDefault="00022A84" w:rsidP="00022A84">
      <w:pPr>
        <w:pStyle w:val="NoSpacing"/>
        <w:ind w:left="1440"/>
        <w:rPr>
          <w:rFonts w:ascii="Cambria" w:hAnsi="Cambria"/>
          <w:i/>
          <w:iCs/>
          <w:lang w:eastAsia="en-GB"/>
        </w:rPr>
      </w:pPr>
      <w:r w:rsidRPr="00022A84">
        <w:rPr>
          <w:rFonts w:ascii="Cambria" w:hAnsi="Cambria"/>
          <w:i/>
          <w:iCs/>
          <w:lang w:eastAsia="en-GB"/>
        </w:rPr>
        <w:t>(a) it does not have, or there is some doubt as to whether it has, jurisdiction to determine the application because its determination may involve the exercise of federal diversity jurisdiction; and </w:t>
      </w:r>
      <w:r w:rsidRPr="00022A84">
        <w:rPr>
          <w:rFonts w:ascii="Cambria" w:hAnsi="Cambria"/>
          <w:i/>
          <w:iCs/>
          <w:lang w:eastAsia="en-GB"/>
        </w:rPr>
        <w:br/>
      </w:r>
    </w:p>
    <w:p w14:paraId="3156128B" w14:textId="77777777" w:rsidR="00022A84" w:rsidRPr="00022A84" w:rsidRDefault="00022A84" w:rsidP="00022A84">
      <w:pPr>
        <w:pStyle w:val="NoSpacing"/>
        <w:ind w:left="1440"/>
        <w:rPr>
          <w:rFonts w:ascii="Cambria" w:hAnsi="Cambria"/>
          <w:i/>
          <w:iCs/>
          <w:lang w:eastAsia="en-GB"/>
        </w:rPr>
      </w:pPr>
      <w:r w:rsidRPr="00022A84">
        <w:rPr>
          <w:rFonts w:ascii="Cambria" w:hAnsi="Cambria"/>
          <w:i/>
          <w:iCs/>
          <w:lang w:eastAsia="en-GB"/>
        </w:rPr>
        <w:t>(b) the Tribunal would otherwise have had jurisdiction enabling it to determine the application, </w:t>
      </w:r>
      <w:r w:rsidRPr="00022A84">
        <w:rPr>
          <w:rFonts w:ascii="Cambria" w:hAnsi="Cambria"/>
          <w:i/>
          <w:iCs/>
          <w:lang w:eastAsia="en-GB"/>
        </w:rPr>
        <w:br/>
      </w:r>
    </w:p>
    <w:p w14:paraId="25E14E7F" w14:textId="6927A79D" w:rsidR="00022A84" w:rsidRPr="00022A84" w:rsidRDefault="00022A84" w:rsidP="00022A84">
      <w:pPr>
        <w:pStyle w:val="NoSpacing"/>
        <w:ind w:left="720"/>
        <w:rPr>
          <w:rFonts w:ascii="Cambria" w:hAnsi="Cambria"/>
          <w:i/>
          <w:iCs/>
          <w:lang w:eastAsia="en-GB"/>
        </w:rPr>
      </w:pPr>
      <w:r w:rsidRPr="00022A84">
        <w:rPr>
          <w:rFonts w:ascii="Cambria" w:hAnsi="Cambria"/>
          <w:i/>
          <w:iCs/>
          <w:lang w:eastAsia="en-GB"/>
        </w:rPr>
        <w:t xml:space="preserve">then the Tribunal may order that proceedings on the application be transferred to the Magistrates Court. </w:t>
      </w:r>
    </w:p>
    <w:p w14:paraId="7519E0FA" w14:textId="77777777" w:rsidR="00022A84" w:rsidRPr="00022A84" w:rsidRDefault="00022A84" w:rsidP="00022A84">
      <w:pPr>
        <w:pStyle w:val="NoSpacing"/>
        <w:ind w:left="1440"/>
        <w:rPr>
          <w:rFonts w:ascii="Cambria" w:hAnsi="Cambria"/>
          <w:i/>
          <w:iCs/>
          <w:lang w:eastAsia="en-GB"/>
        </w:rPr>
      </w:pPr>
    </w:p>
    <w:p w14:paraId="2BC31005" w14:textId="77777777" w:rsidR="00022A84" w:rsidRPr="00022A84" w:rsidRDefault="00022A84" w:rsidP="00022A84">
      <w:pPr>
        <w:pStyle w:val="NoSpacing"/>
        <w:ind w:left="720"/>
        <w:rPr>
          <w:rFonts w:ascii="Cambria" w:hAnsi="Cambria"/>
          <w:i/>
          <w:iCs/>
          <w:lang w:eastAsia="en-GB"/>
        </w:rPr>
      </w:pPr>
      <w:r w:rsidRPr="00022A84">
        <w:rPr>
          <w:rFonts w:ascii="Cambria" w:hAnsi="Cambria"/>
          <w:i/>
          <w:iCs/>
          <w:lang w:eastAsia="en-GB"/>
        </w:rPr>
        <w:t>(3) A proceeding transferred to the Magistrates Court under </w:t>
      </w:r>
      <w:bookmarkStart w:id="2" w:name="transferred_proceeding"/>
      <w:bookmarkEnd w:id="2"/>
      <w:r w:rsidRPr="00022A84">
        <w:rPr>
          <w:rFonts w:ascii="Cambria" w:hAnsi="Cambria"/>
          <w:i/>
          <w:iCs/>
          <w:lang w:eastAsia="en-GB"/>
        </w:rPr>
        <w:t>subsection (2) is a "transferred proceeding". </w:t>
      </w:r>
      <w:r w:rsidRPr="00022A84">
        <w:rPr>
          <w:rFonts w:ascii="Cambria" w:hAnsi="Cambria"/>
          <w:i/>
          <w:iCs/>
          <w:lang w:eastAsia="en-GB"/>
        </w:rPr>
        <w:br/>
      </w:r>
    </w:p>
    <w:p w14:paraId="4046006A" w14:textId="77777777" w:rsidR="00022A84" w:rsidRPr="00022A84" w:rsidRDefault="00022A84" w:rsidP="00022A84">
      <w:pPr>
        <w:pStyle w:val="NoSpacing"/>
        <w:ind w:left="720"/>
        <w:rPr>
          <w:rFonts w:ascii="Cambria" w:hAnsi="Cambria"/>
          <w:i/>
          <w:iCs/>
          <w:lang w:eastAsia="en-GB"/>
        </w:rPr>
      </w:pPr>
      <w:r w:rsidRPr="00022A84">
        <w:rPr>
          <w:rFonts w:ascii="Cambria" w:hAnsi="Cambria"/>
          <w:i/>
          <w:iCs/>
          <w:lang w:eastAsia="en-GB"/>
        </w:rPr>
        <w:t>(4) If proceedings are transferred to the Magistrates Court under this Part— </w:t>
      </w:r>
      <w:r w:rsidRPr="00022A84">
        <w:rPr>
          <w:rFonts w:ascii="Cambria" w:hAnsi="Cambria"/>
          <w:i/>
          <w:iCs/>
          <w:lang w:eastAsia="en-GB"/>
        </w:rPr>
        <w:br/>
      </w:r>
    </w:p>
    <w:p w14:paraId="057C9879" w14:textId="77777777" w:rsidR="00022A84" w:rsidRPr="00022A84" w:rsidRDefault="00022A84" w:rsidP="00022A84">
      <w:pPr>
        <w:pStyle w:val="NoSpacing"/>
        <w:ind w:left="1440"/>
        <w:rPr>
          <w:rFonts w:ascii="Cambria" w:hAnsi="Cambria"/>
          <w:i/>
          <w:iCs/>
          <w:lang w:eastAsia="en-GB"/>
        </w:rPr>
      </w:pPr>
      <w:r w:rsidRPr="00022A84">
        <w:rPr>
          <w:rFonts w:ascii="Cambria" w:hAnsi="Cambria"/>
          <w:i/>
          <w:iCs/>
          <w:lang w:eastAsia="en-GB"/>
        </w:rPr>
        <w:t>(a) the application made to the Tribunal will be taken to be duly made as an application to the Court; and </w:t>
      </w:r>
      <w:r w:rsidRPr="00022A84">
        <w:rPr>
          <w:rFonts w:ascii="Cambria" w:hAnsi="Cambria"/>
          <w:i/>
          <w:iCs/>
          <w:lang w:eastAsia="en-GB"/>
        </w:rPr>
        <w:br/>
      </w:r>
    </w:p>
    <w:p w14:paraId="5C76FEDE" w14:textId="64A41312" w:rsidR="00022A84" w:rsidRPr="00022A84" w:rsidRDefault="00022A84" w:rsidP="00022A84">
      <w:pPr>
        <w:pStyle w:val="NoSpacing"/>
        <w:ind w:left="1440"/>
        <w:rPr>
          <w:rFonts w:ascii="Cambria" w:hAnsi="Cambria"/>
          <w:i/>
          <w:iCs/>
          <w:lang w:eastAsia="en-GB"/>
        </w:rPr>
      </w:pPr>
      <w:r w:rsidRPr="00022A84">
        <w:rPr>
          <w:rFonts w:ascii="Cambria" w:hAnsi="Cambria"/>
          <w:i/>
          <w:iCs/>
          <w:lang w:eastAsia="en-GB"/>
        </w:rPr>
        <w:t>(b) the proceedings may be continued and completed as if steps taken in the proceedings prior to the transfer had been taken in the Court. </w:t>
      </w:r>
      <w:r w:rsidRPr="00022A84">
        <w:rPr>
          <w:rFonts w:ascii="Cambria" w:hAnsi="Cambria"/>
          <w:i/>
          <w:iCs/>
          <w:lang w:eastAsia="en-GB"/>
        </w:rPr>
        <w:br/>
      </w:r>
    </w:p>
    <w:p w14:paraId="4859204E" w14:textId="77777777" w:rsidR="00022A84" w:rsidRPr="00022A84" w:rsidRDefault="00022A84" w:rsidP="00022A84">
      <w:pPr>
        <w:pStyle w:val="NoSpacing"/>
        <w:ind w:left="720"/>
        <w:rPr>
          <w:rFonts w:ascii="Cambria" w:hAnsi="Cambria"/>
          <w:i/>
          <w:iCs/>
          <w:lang w:eastAsia="en-GB"/>
        </w:rPr>
      </w:pPr>
      <w:r w:rsidRPr="00022A84">
        <w:rPr>
          <w:rFonts w:ascii="Cambria" w:hAnsi="Cambria"/>
          <w:i/>
          <w:iCs/>
          <w:lang w:eastAsia="en-GB"/>
        </w:rPr>
        <w:t>(5) The fee payable in respect of the application is the relevant fee (if any) payable to the Tribunal under this Act. </w:t>
      </w:r>
      <w:r w:rsidRPr="00022A84">
        <w:rPr>
          <w:rFonts w:ascii="Cambria" w:hAnsi="Cambria"/>
          <w:i/>
          <w:iCs/>
          <w:lang w:eastAsia="en-GB"/>
        </w:rPr>
        <w:br/>
      </w:r>
    </w:p>
    <w:p w14:paraId="140DBB43" w14:textId="77777777" w:rsidR="00022A84" w:rsidRPr="00022A84" w:rsidRDefault="00022A84" w:rsidP="00022A84">
      <w:pPr>
        <w:pStyle w:val="NoSpacing"/>
        <w:ind w:left="720"/>
        <w:rPr>
          <w:rFonts w:ascii="Cambria" w:hAnsi="Cambria"/>
          <w:i/>
          <w:iCs/>
          <w:lang w:eastAsia="en-GB"/>
        </w:rPr>
      </w:pPr>
      <w:r w:rsidRPr="00022A84">
        <w:rPr>
          <w:rFonts w:ascii="Cambria" w:hAnsi="Cambria"/>
          <w:i/>
          <w:iCs/>
          <w:lang w:eastAsia="en-GB"/>
        </w:rPr>
        <w:t>(6) A party to the transferred proceeding is not required to pay any fees in relation to the transfer of the proceedings to the Magistrates Court unless the Court determines that additional fees are payable under the Magistrates Court Act 1991 because of a substantial alteration in the nature of the claims in the proceedings. </w:t>
      </w:r>
      <w:r w:rsidRPr="00022A84">
        <w:rPr>
          <w:rFonts w:ascii="Cambria" w:hAnsi="Cambria"/>
          <w:i/>
          <w:iCs/>
          <w:lang w:eastAsia="en-GB"/>
        </w:rPr>
        <w:br/>
      </w:r>
    </w:p>
    <w:p w14:paraId="39CC5A2B" w14:textId="77777777" w:rsidR="00022A84" w:rsidRPr="00022A84" w:rsidRDefault="00022A84" w:rsidP="00022A84">
      <w:pPr>
        <w:pStyle w:val="NoSpacing"/>
        <w:ind w:left="720"/>
        <w:rPr>
          <w:rFonts w:ascii="Cambria" w:hAnsi="Cambria"/>
          <w:i/>
          <w:iCs/>
          <w:lang w:eastAsia="en-GB"/>
        </w:rPr>
      </w:pPr>
      <w:r w:rsidRPr="00022A84">
        <w:rPr>
          <w:rFonts w:ascii="Cambria" w:hAnsi="Cambria"/>
          <w:i/>
          <w:iCs/>
          <w:lang w:eastAsia="en-GB"/>
        </w:rPr>
        <w:t>(7) An order made by the Tribunal under subsection (2) may not be the subject of review or appeal under Part 5 of this Act. </w:t>
      </w:r>
      <w:r w:rsidRPr="00022A84">
        <w:rPr>
          <w:rFonts w:ascii="Cambria" w:hAnsi="Cambria"/>
          <w:i/>
          <w:iCs/>
          <w:lang w:eastAsia="en-GB"/>
        </w:rPr>
        <w:br/>
      </w:r>
    </w:p>
    <w:p w14:paraId="31250C33" w14:textId="0D06D593" w:rsidR="00022A84" w:rsidRPr="00022A84" w:rsidRDefault="00022A84" w:rsidP="00022A84">
      <w:pPr>
        <w:pStyle w:val="NoSpacing"/>
        <w:ind w:left="720"/>
        <w:rPr>
          <w:rFonts w:ascii="Cambria" w:hAnsi="Cambria"/>
          <w:i/>
          <w:iCs/>
          <w:lang w:eastAsia="en-GB"/>
        </w:rPr>
      </w:pPr>
      <w:r w:rsidRPr="00022A84">
        <w:rPr>
          <w:rFonts w:ascii="Cambria" w:hAnsi="Cambria"/>
          <w:i/>
          <w:iCs/>
          <w:lang w:eastAsia="en-GB"/>
        </w:rPr>
        <w:t>(8) The Magistrates Court may remit the transferred proceeding to the Tribunal for determination if the Court is satisfied that the Tribunal has jurisdiction to determine the matter. </w:t>
      </w:r>
      <w:r w:rsidRPr="00022A84">
        <w:rPr>
          <w:rFonts w:ascii="Cambria" w:hAnsi="Cambria"/>
          <w:i/>
          <w:iCs/>
          <w:lang w:eastAsia="en-GB"/>
        </w:rPr>
        <w:br/>
      </w:r>
    </w:p>
    <w:p w14:paraId="5EF1284E" w14:textId="362A3A2E" w:rsidR="00022A84" w:rsidRPr="00022A84" w:rsidRDefault="00022A84" w:rsidP="00022A84">
      <w:pPr>
        <w:pStyle w:val="NoSpacing"/>
        <w:ind w:left="720"/>
        <w:rPr>
          <w:rFonts w:ascii="Cambria" w:hAnsi="Cambria"/>
          <w:i/>
          <w:iCs/>
          <w:lang w:eastAsia="en-GB"/>
        </w:rPr>
      </w:pPr>
      <w:r w:rsidRPr="00022A84">
        <w:rPr>
          <w:rFonts w:ascii="Cambria" w:hAnsi="Cambria"/>
          <w:i/>
          <w:iCs/>
          <w:lang w:eastAsia="en-GB"/>
        </w:rPr>
        <w:t>(9) If the Magistrates Court remits the transferred proceeding to the Tribunal, the Court may make such orders that it considers appropriate to facilitate the determination of the proceedings by the Tribunal.</w:t>
      </w:r>
      <w:r w:rsidRPr="00022A84">
        <w:rPr>
          <w:rFonts w:ascii="Cambria" w:hAnsi="Cambria"/>
          <w:i/>
          <w:iCs/>
          <w:lang w:eastAsia="en-GB"/>
        </w:rPr>
        <w:br/>
      </w:r>
    </w:p>
    <w:p w14:paraId="1D3CC5F7" w14:textId="5D94F28F" w:rsidR="00022A84" w:rsidRPr="00022A84" w:rsidRDefault="00022A84" w:rsidP="00022A84">
      <w:pPr>
        <w:pStyle w:val="NoSpacing"/>
        <w:ind w:left="720"/>
        <w:rPr>
          <w:rFonts w:ascii="Cambria" w:hAnsi="Cambria"/>
          <w:b/>
          <w:bCs/>
          <w:i/>
          <w:iCs/>
          <w:lang w:eastAsia="en-GB"/>
        </w:rPr>
      </w:pPr>
      <w:r w:rsidRPr="00022A84">
        <w:rPr>
          <w:rFonts w:ascii="Cambria" w:hAnsi="Cambria"/>
          <w:i/>
          <w:iCs/>
          <w:lang w:eastAsia="en-GB"/>
        </w:rPr>
        <w:t>(10) The Tribunal must determine transferred proceeding that are remitted to it in accordance with any orders made by the Magistrates Court. </w:t>
      </w:r>
    </w:p>
    <w:p w14:paraId="60F7607E" w14:textId="77777777" w:rsidR="00022A84" w:rsidRDefault="00022A84" w:rsidP="00022A84">
      <w:pPr>
        <w:pStyle w:val="NoSpacing"/>
        <w:rPr>
          <w:lang w:eastAsia="en-GB"/>
        </w:rPr>
      </w:pPr>
      <w:r w:rsidRPr="00022A84">
        <w:rPr>
          <w:lang w:eastAsia="en-GB"/>
        </w:rPr>
        <w:t xml:space="preserve"> </w:t>
      </w:r>
      <w:r w:rsidR="003B37C5" w:rsidRPr="00022A84">
        <w:rPr>
          <w:lang w:eastAsia="en-GB"/>
        </w:rPr>
        <w:t xml:space="preserve"> </w:t>
      </w:r>
    </w:p>
    <w:p w14:paraId="118FF04D" w14:textId="298606F6" w:rsidR="00022A84" w:rsidRPr="00022A84" w:rsidRDefault="00022A84" w:rsidP="00022A84">
      <w:pPr>
        <w:pStyle w:val="NoSpacing"/>
        <w:jc w:val="both"/>
        <w:rPr>
          <w:rFonts w:ascii="Cambria" w:hAnsi="Cambria"/>
          <w:sz w:val="24"/>
          <w:szCs w:val="24"/>
        </w:rPr>
      </w:pPr>
      <w:r w:rsidRPr="00022A84">
        <w:rPr>
          <w:rFonts w:ascii="Cambria" w:hAnsi="Cambria"/>
          <w:sz w:val="24"/>
          <w:szCs w:val="24"/>
        </w:rPr>
        <w:lastRenderedPageBreak/>
        <w:t xml:space="preserve">Procedurally, </w:t>
      </w:r>
      <w:r w:rsidR="00BD6FAD">
        <w:rPr>
          <w:rFonts w:ascii="Cambria" w:hAnsi="Cambria"/>
          <w:sz w:val="24"/>
          <w:szCs w:val="24"/>
        </w:rPr>
        <w:t xml:space="preserve">the </w:t>
      </w:r>
      <w:r w:rsidRPr="00022A84">
        <w:rPr>
          <w:rFonts w:ascii="Cambria" w:hAnsi="Cambria"/>
          <w:sz w:val="24"/>
          <w:szCs w:val="24"/>
        </w:rPr>
        <w:t>j</w:t>
      </w:r>
      <w:r w:rsidR="003B37C5" w:rsidRPr="00022A84">
        <w:rPr>
          <w:rFonts w:ascii="Cambria" w:hAnsi="Cambria"/>
          <w:sz w:val="24"/>
          <w:szCs w:val="24"/>
        </w:rPr>
        <w:t>urisdictional issue</w:t>
      </w:r>
      <w:r w:rsidR="00BD6FAD">
        <w:rPr>
          <w:rFonts w:ascii="Cambria" w:hAnsi="Cambria"/>
          <w:sz w:val="24"/>
          <w:szCs w:val="24"/>
        </w:rPr>
        <w:t xml:space="preserve"> could be dealt with by the President of </w:t>
      </w:r>
      <w:proofErr w:type="spellStart"/>
      <w:r w:rsidR="00BD6FAD">
        <w:rPr>
          <w:rFonts w:ascii="Cambria" w:hAnsi="Cambria"/>
          <w:sz w:val="24"/>
          <w:szCs w:val="24"/>
        </w:rPr>
        <w:t>TasCAT</w:t>
      </w:r>
      <w:proofErr w:type="spellEnd"/>
      <w:r w:rsidR="00BD6FAD">
        <w:rPr>
          <w:rFonts w:ascii="Cambria" w:hAnsi="Cambria"/>
          <w:sz w:val="24"/>
          <w:szCs w:val="24"/>
        </w:rPr>
        <w:t xml:space="preserve"> g</w:t>
      </w:r>
      <w:r w:rsidRPr="00022A84">
        <w:rPr>
          <w:rFonts w:ascii="Cambria" w:hAnsi="Cambria"/>
          <w:sz w:val="24"/>
          <w:szCs w:val="24"/>
        </w:rPr>
        <w:t xml:space="preserve">iven that </w:t>
      </w:r>
      <w:r w:rsidR="00BD6FAD">
        <w:rPr>
          <w:rFonts w:ascii="Cambria" w:hAnsi="Cambria"/>
          <w:sz w:val="24"/>
          <w:szCs w:val="24"/>
        </w:rPr>
        <w:t>they</w:t>
      </w:r>
      <w:r w:rsidRPr="00022A84">
        <w:rPr>
          <w:rFonts w:ascii="Cambria" w:hAnsi="Cambria"/>
          <w:sz w:val="24"/>
          <w:szCs w:val="24"/>
        </w:rPr>
        <w:t xml:space="preserve"> will be </w:t>
      </w:r>
      <w:r w:rsidR="00BD6FAD">
        <w:rPr>
          <w:rFonts w:ascii="Cambria" w:hAnsi="Cambria"/>
          <w:sz w:val="24"/>
          <w:szCs w:val="24"/>
        </w:rPr>
        <w:t xml:space="preserve">both a Magistrate and a member of the Tribunal. This may </w:t>
      </w:r>
      <w:r w:rsidRPr="00022A84">
        <w:rPr>
          <w:rFonts w:ascii="Cambria" w:hAnsi="Cambria"/>
          <w:sz w:val="24"/>
          <w:szCs w:val="24"/>
        </w:rPr>
        <w:t xml:space="preserve">be the </w:t>
      </w:r>
      <w:r w:rsidR="00BD6FAD">
        <w:rPr>
          <w:rFonts w:ascii="Cambria" w:hAnsi="Cambria"/>
          <w:sz w:val="24"/>
          <w:szCs w:val="24"/>
        </w:rPr>
        <w:t>most expeditious means of resolving the matter</w:t>
      </w:r>
      <w:r w:rsidRPr="00022A84">
        <w:rPr>
          <w:rFonts w:ascii="Cambria" w:hAnsi="Cambria"/>
          <w:sz w:val="24"/>
          <w:szCs w:val="24"/>
        </w:rPr>
        <w:t>.</w:t>
      </w:r>
      <w:r>
        <w:rPr>
          <w:rStyle w:val="FootnoteReference"/>
          <w:rFonts w:ascii="Cambria" w:hAnsi="Cambria"/>
          <w:sz w:val="24"/>
          <w:szCs w:val="24"/>
        </w:rPr>
        <w:footnoteReference w:id="12"/>
      </w:r>
      <w:r w:rsidRPr="00022A84">
        <w:rPr>
          <w:rFonts w:ascii="Cambria" w:hAnsi="Cambria"/>
          <w:sz w:val="24"/>
          <w:szCs w:val="24"/>
        </w:rPr>
        <w:t xml:space="preserve"> </w:t>
      </w:r>
      <w:r w:rsidR="003B37C5" w:rsidRPr="00022A84">
        <w:rPr>
          <w:rFonts w:ascii="Cambria" w:hAnsi="Cambria"/>
          <w:sz w:val="24"/>
          <w:szCs w:val="24"/>
        </w:rPr>
        <w:t xml:space="preserve"> </w:t>
      </w:r>
    </w:p>
    <w:p w14:paraId="112AF706" w14:textId="4909FB83" w:rsidR="00AD0519" w:rsidRDefault="00AD0519" w:rsidP="00A65F87">
      <w:pPr>
        <w:pStyle w:val="NoSpacing"/>
        <w:jc w:val="both"/>
      </w:pPr>
    </w:p>
    <w:p w14:paraId="4D7C4D75" w14:textId="064ED4DC" w:rsidR="0095278B" w:rsidRPr="00206C10" w:rsidRDefault="001C4D10" w:rsidP="00A65F87">
      <w:pPr>
        <w:pStyle w:val="NoSpacing"/>
        <w:jc w:val="both"/>
        <w:rPr>
          <w:rFonts w:ascii="Cambria" w:hAnsi="Cambria"/>
          <w:sz w:val="24"/>
          <w:szCs w:val="24"/>
        </w:rPr>
      </w:pPr>
      <w:r w:rsidRPr="00206C10">
        <w:rPr>
          <w:rFonts w:ascii="Cambria" w:hAnsi="Cambria"/>
          <w:sz w:val="24"/>
          <w:szCs w:val="24"/>
        </w:rPr>
        <w:t>If we can be of any further assistance, please do not hesitate to contact us.</w:t>
      </w:r>
    </w:p>
    <w:p w14:paraId="748B7925" w14:textId="77777777" w:rsidR="0033130C" w:rsidRDefault="0033130C" w:rsidP="00A65F87">
      <w:pPr>
        <w:pStyle w:val="NoSpacing"/>
        <w:jc w:val="both"/>
        <w:rPr>
          <w:rFonts w:ascii="Cambria" w:hAnsi="Cambria"/>
          <w:sz w:val="24"/>
          <w:szCs w:val="24"/>
        </w:rPr>
      </w:pPr>
    </w:p>
    <w:p w14:paraId="6E8F7766" w14:textId="77777777" w:rsidR="0033130C" w:rsidRDefault="0033130C" w:rsidP="00A65F87">
      <w:pPr>
        <w:pStyle w:val="NoSpacing"/>
        <w:jc w:val="both"/>
        <w:rPr>
          <w:rFonts w:ascii="Cambria" w:hAnsi="Cambria"/>
          <w:sz w:val="24"/>
          <w:szCs w:val="24"/>
        </w:rPr>
      </w:pPr>
    </w:p>
    <w:p w14:paraId="3AD7C829" w14:textId="25B36752" w:rsidR="001C4D10" w:rsidRPr="00206C10" w:rsidRDefault="001C4D10" w:rsidP="00A65F87">
      <w:pPr>
        <w:pStyle w:val="NoSpacing"/>
        <w:jc w:val="both"/>
        <w:rPr>
          <w:rFonts w:ascii="Cambria" w:hAnsi="Cambria"/>
          <w:sz w:val="24"/>
          <w:szCs w:val="24"/>
        </w:rPr>
      </w:pPr>
      <w:r w:rsidRPr="00206C10">
        <w:rPr>
          <w:rFonts w:ascii="Cambria" w:hAnsi="Cambria"/>
          <w:sz w:val="24"/>
          <w:szCs w:val="24"/>
        </w:rPr>
        <w:t xml:space="preserve">Yours faithfully, </w:t>
      </w:r>
    </w:p>
    <w:p w14:paraId="70490120" w14:textId="3AA4EDB8" w:rsidR="001C4D10" w:rsidRPr="00206C10" w:rsidRDefault="001C4D10" w:rsidP="00A65F87">
      <w:pPr>
        <w:pStyle w:val="NoSpacing"/>
        <w:jc w:val="both"/>
        <w:rPr>
          <w:rFonts w:ascii="Cambria" w:hAnsi="Cambria"/>
          <w:sz w:val="24"/>
          <w:szCs w:val="24"/>
        </w:rPr>
      </w:pPr>
    </w:p>
    <w:p w14:paraId="644080E3" w14:textId="3BF503F4" w:rsidR="001C4D10" w:rsidRPr="00206C10" w:rsidRDefault="001C4D10" w:rsidP="00A65F87">
      <w:pPr>
        <w:pStyle w:val="NoSpacing"/>
        <w:jc w:val="both"/>
        <w:rPr>
          <w:rFonts w:ascii="Cambria" w:hAnsi="Cambria"/>
          <w:sz w:val="24"/>
          <w:szCs w:val="24"/>
        </w:rPr>
      </w:pPr>
    </w:p>
    <w:p w14:paraId="615C8602" w14:textId="77777777" w:rsidR="00A65F87" w:rsidRDefault="00A65F87" w:rsidP="00A65F87">
      <w:pPr>
        <w:pStyle w:val="NoSpacing"/>
        <w:jc w:val="both"/>
        <w:rPr>
          <w:rFonts w:ascii="Cambria" w:hAnsi="Cambria"/>
          <w:sz w:val="24"/>
          <w:szCs w:val="24"/>
        </w:rPr>
      </w:pPr>
    </w:p>
    <w:p w14:paraId="41A58201" w14:textId="5494891A" w:rsidR="001C4D10" w:rsidRDefault="00A65F87" w:rsidP="00A65F87">
      <w:pPr>
        <w:pStyle w:val="NoSpacing"/>
        <w:jc w:val="both"/>
        <w:rPr>
          <w:rFonts w:ascii="Cambria" w:hAnsi="Cambria"/>
          <w:sz w:val="24"/>
          <w:szCs w:val="24"/>
        </w:rPr>
      </w:pPr>
      <w:r>
        <w:rPr>
          <w:rFonts w:ascii="Cambria" w:hAnsi="Cambria"/>
          <w:sz w:val="24"/>
          <w:szCs w:val="24"/>
        </w:rPr>
        <w:t>Benedict Bartl</w:t>
      </w:r>
    </w:p>
    <w:p w14:paraId="468200E3" w14:textId="5F342346" w:rsidR="00A65F87" w:rsidRPr="00206C10" w:rsidRDefault="00A65F87" w:rsidP="00A65F87">
      <w:pPr>
        <w:pStyle w:val="NoSpacing"/>
        <w:jc w:val="both"/>
        <w:rPr>
          <w:rFonts w:ascii="Cambria" w:hAnsi="Cambria"/>
          <w:sz w:val="24"/>
          <w:szCs w:val="24"/>
        </w:rPr>
      </w:pPr>
      <w:r>
        <w:rPr>
          <w:rFonts w:ascii="Cambria" w:hAnsi="Cambria"/>
          <w:sz w:val="24"/>
          <w:szCs w:val="24"/>
        </w:rPr>
        <w:t>Policy Officer</w:t>
      </w:r>
    </w:p>
    <w:p w14:paraId="643D0B24" w14:textId="10BE4DC4" w:rsidR="001C4D10" w:rsidRPr="00206C10" w:rsidRDefault="001C4D10" w:rsidP="00A65F87">
      <w:pPr>
        <w:pStyle w:val="NoSpacing"/>
        <w:jc w:val="both"/>
        <w:rPr>
          <w:rFonts w:ascii="Cambria" w:hAnsi="Cambria"/>
          <w:b/>
          <w:bCs/>
          <w:sz w:val="24"/>
          <w:szCs w:val="24"/>
        </w:rPr>
      </w:pPr>
      <w:r w:rsidRPr="00206C10">
        <w:rPr>
          <w:rFonts w:ascii="Cambria" w:hAnsi="Cambria"/>
          <w:b/>
          <w:bCs/>
          <w:noProof/>
          <w:sz w:val="24"/>
          <w:szCs w:val="24"/>
        </w:rPr>
        <mc:AlternateContent>
          <mc:Choice Requires="wps">
            <w:drawing>
              <wp:anchor distT="0" distB="0" distL="114300" distR="114300" simplePos="0" relativeHeight="251661312" behindDoc="0" locked="0" layoutInCell="1" allowOverlap="1" wp14:anchorId="43DE7F24" wp14:editId="1FD49D58">
                <wp:simplePos x="0" y="0"/>
                <wp:positionH relativeFrom="column">
                  <wp:posOffset>0</wp:posOffset>
                </wp:positionH>
                <wp:positionV relativeFrom="paragraph">
                  <wp:posOffset>189865</wp:posOffset>
                </wp:positionV>
                <wp:extent cx="6050280" cy="15240"/>
                <wp:effectExtent l="0" t="0" r="26670" b="22860"/>
                <wp:wrapNone/>
                <wp:docPr id="2" name="Straight Connector 2"/>
                <wp:cNvGraphicFramePr/>
                <a:graphic xmlns:a="http://schemas.openxmlformats.org/drawingml/2006/main">
                  <a:graphicData uri="http://schemas.microsoft.com/office/word/2010/wordprocessingShape">
                    <wps:wsp>
                      <wps:cNvCnPr/>
                      <wps:spPr>
                        <a:xfrm>
                          <a:off x="0" y="0"/>
                          <a:ext cx="60502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A06A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95pt" to="476.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" strokecolor="black [3200]" strokeweight=".5pt">
                <v:stroke joinstyle="miter"/>
              </v:line>
            </w:pict>
          </mc:Fallback>
        </mc:AlternateContent>
      </w:r>
      <w:r w:rsidRPr="00206C10">
        <w:rPr>
          <w:rFonts w:ascii="Cambria" w:hAnsi="Cambria"/>
          <w:b/>
          <w:bCs/>
          <w:sz w:val="24"/>
          <w:szCs w:val="24"/>
        </w:rPr>
        <w:t>Community Legal Centres Tasmania</w:t>
      </w:r>
    </w:p>
    <w:sectPr w:rsidR="001C4D10" w:rsidRPr="00206C10">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56173" w14:textId="77777777" w:rsidR="00BB6064" w:rsidRDefault="00BB6064" w:rsidP="00220030">
      <w:pPr>
        <w:spacing w:after="0" w:line="240" w:lineRule="auto"/>
      </w:pPr>
      <w:r>
        <w:separator/>
      </w:r>
    </w:p>
  </w:endnote>
  <w:endnote w:type="continuationSeparator" w:id="0">
    <w:p w14:paraId="1B23B5D2" w14:textId="77777777" w:rsidR="00BB6064" w:rsidRDefault="00BB6064" w:rsidP="0022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8024687"/>
      <w:docPartObj>
        <w:docPartGallery w:val="Page Numbers (Bottom of Page)"/>
        <w:docPartUnique/>
      </w:docPartObj>
    </w:sdtPr>
    <w:sdtEndPr>
      <w:rPr>
        <w:rStyle w:val="PageNumber"/>
      </w:rPr>
    </w:sdtEndPr>
    <w:sdtContent>
      <w:p w14:paraId="5B9ED0D4" w14:textId="7A4ECB43" w:rsidR="00AD0519" w:rsidRDefault="00AD0519" w:rsidP="00BF39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8021D5" w14:textId="77777777" w:rsidR="00AD0519" w:rsidRDefault="00AD0519" w:rsidP="00AD05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2044790"/>
      <w:docPartObj>
        <w:docPartGallery w:val="Page Numbers (Bottom of Page)"/>
        <w:docPartUnique/>
      </w:docPartObj>
    </w:sdtPr>
    <w:sdtEndPr>
      <w:rPr>
        <w:rStyle w:val="PageNumber"/>
      </w:rPr>
    </w:sdtEndPr>
    <w:sdtContent>
      <w:p w14:paraId="238DB242" w14:textId="2E8EA7FA" w:rsidR="00AD0519" w:rsidRDefault="00AD0519" w:rsidP="00BF39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B36DF1" w14:textId="77777777" w:rsidR="00AD0519" w:rsidRDefault="00AD0519" w:rsidP="00AD05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4A10" w14:textId="77777777" w:rsidR="00BB6064" w:rsidRDefault="00BB6064" w:rsidP="00220030">
      <w:pPr>
        <w:spacing w:after="0" w:line="240" w:lineRule="auto"/>
      </w:pPr>
      <w:r>
        <w:separator/>
      </w:r>
    </w:p>
  </w:footnote>
  <w:footnote w:type="continuationSeparator" w:id="0">
    <w:p w14:paraId="2D4FE4CE" w14:textId="77777777" w:rsidR="00BB6064" w:rsidRDefault="00BB6064" w:rsidP="00220030">
      <w:pPr>
        <w:spacing w:after="0" w:line="240" w:lineRule="auto"/>
      </w:pPr>
      <w:r>
        <w:continuationSeparator/>
      </w:r>
    </w:p>
  </w:footnote>
  <w:footnote w:id="1">
    <w:p w14:paraId="4DFF8B28" w14:textId="1AAF55FA" w:rsidR="00206C10" w:rsidRPr="00EC3105" w:rsidRDefault="00206C10" w:rsidP="00206C10">
      <w:pPr>
        <w:pStyle w:val="FootnoteText"/>
        <w:rPr>
          <w:rFonts w:ascii="Cambria" w:hAnsi="Cambria"/>
        </w:rPr>
      </w:pPr>
      <w:r w:rsidRPr="00EC3105">
        <w:rPr>
          <w:rStyle w:val="FootnoteReference"/>
          <w:rFonts w:ascii="Cambria" w:hAnsi="Cambria"/>
        </w:rPr>
        <w:footnoteRef/>
      </w:r>
      <w:r w:rsidRPr="00EC3105">
        <w:rPr>
          <w:rFonts w:ascii="Cambria" w:hAnsi="Cambria"/>
        </w:rPr>
        <w:t xml:space="preserve"> CLC Tas would like to acknowledge Bridget </w:t>
      </w:r>
      <w:proofErr w:type="spellStart"/>
      <w:r w:rsidRPr="00EC3105">
        <w:rPr>
          <w:rFonts w:ascii="Cambria" w:hAnsi="Cambria"/>
        </w:rPr>
        <w:t>Wallbank</w:t>
      </w:r>
      <w:proofErr w:type="spellEnd"/>
      <w:r w:rsidRPr="00EC3105">
        <w:rPr>
          <w:rFonts w:ascii="Cambria" w:hAnsi="Cambria"/>
        </w:rPr>
        <w:t xml:space="preserve"> who assisted in the preparation of this response. </w:t>
      </w:r>
    </w:p>
  </w:footnote>
  <w:footnote w:id="2">
    <w:p w14:paraId="4C892CFE" w14:textId="55380514" w:rsidR="003B37C5" w:rsidRPr="00EC3105" w:rsidRDefault="003B37C5">
      <w:pPr>
        <w:pStyle w:val="FootnoteText"/>
        <w:rPr>
          <w:rFonts w:ascii="Cambria" w:hAnsi="Cambria"/>
        </w:rPr>
      </w:pPr>
      <w:r w:rsidRPr="00EC3105">
        <w:rPr>
          <w:rStyle w:val="FootnoteReference"/>
          <w:rFonts w:ascii="Cambria" w:hAnsi="Cambria"/>
        </w:rPr>
        <w:footnoteRef/>
      </w:r>
      <w:r w:rsidRPr="00EC3105">
        <w:rPr>
          <w:rFonts w:ascii="Cambria" w:hAnsi="Cambria"/>
        </w:rPr>
        <w:t xml:space="preserve"> See, for example clause 10 of the </w:t>
      </w:r>
      <w:r w:rsidRPr="00EC3105">
        <w:rPr>
          <w:rFonts w:ascii="Cambria" w:hAnsi="Cambria"/>
          <w:i/>
          <w:iCs/>
        </w:rPr>
        <w:t>Tasmanian Civil and Administrative Tribunal Bill 2020</w:t>
      </w:r>
      <w:r w:rsidRPr="00EC3105">
        <w:rPr>
          <w:rFonts w:ascii="Cambria" w:hAnsi="Cambria"/>
        </w:rPr>
        <w:t xml:space="preserve">.  </w:t>
      </w:r>
    </w:p>
  </w:footnote>
  <w:footnote w:id="3">
    <w:p w14:paraId="2364FC6E" w14:textId="6E327152" w:rsidR="004B6ACD" w:rsidRPr="00EC3105" w:rsidRDefault="004B6ACD">
      <w:pPr>
        <w:pStyle w:val="FootnoteText"/>
        <w:rPr>
          <w:rFonts w:ascii="Cambria" w:hAnsi="Cambria"/>
        </w:rPr>
      </w:pPr>
      <w:r w:rsidRPr="00EC3105">
        <w:rPr>
          <w:rStyle w:val="FootnoteReference"/>
          <w:rFonts w:ascii="Cambria" w:hAnsi="Cambria"/>
        </w:rPr>
        <w:footnoteRef/>
      </w:r>
      <w:r w:rsidRPr="00EC3105">
        <w:rPr>
          <w:rFonts w:ascii="Cambria" w:hAnsi="Cambria"/>
        </w:rPr>
        <w:t xml:space="preserve"> </w:t>
      </w:r>
      <w:r w:rsidRPr="00EC3105">
        <w:rPr>
          <w:rFonts w:ascii="Cambria" w:hAnsi="Cambria"/>
          <w:i/>
          <w:iCs/>
        </w:rPr>
        <w:t>Burns v Corbett; Burns v Gaynor; Attorney-General for New South Wales v Burns; Attorney-General for New South Wales v Burns; New South Wales v Burns</w:t>
      </w:r>
      <w:r w:rsidRPr="00EC3105">
        <w:rPr>
          <w:rFonts w:ascii="Cambria" w:hAnsi="Cambria"/>
        </w:rPr>
        <w:t xml:space="preserve"> [2018] HCA 15.</w:t>
      </w:r>
      <w:r w:rsidRPr="00EC3105">
        <w:rPr>
          <w:rFonts w:ascii="Cambria" w:hAnsi="Cambria"/>
          <w:sz w:val="24"/>
          <w:szCs w:val="24"/>
        </w:rPr>
        <w:t xml:space="preserve"> </w:t>
      </w:r>
    </w:p>
  </w:footnote>
  <w:footnote w:id="4">
    <w:p w14:paraId="0AC7627B" w14:textId="3E53EEFB" w:rsidR="00220030" w:rsidRPr="00EC3105" w:rsidRDefault="00220030">
      <w:pPr>
        <w:pStyle w:val="FootnoteText"/>
        <w:rPr>
          <w:rFonts w:ascii="Cambria" w:hAnsi="Cambria"/>
          <w:i/>
          <w:iCs/>
        </w:rPr>
      </w:pPr>
      <w:r w:rsidRPr="00EC3105">
        <w:rPr>
          <w:rStyle w:val="FootnoteReference"/>
          <w:rFonts w:ascii="Cambria" w:hAnsi="Cambria"/>
        </w:rPr>
        <w:footnoteRef/>
      </w:r>
      <w:r w:rsidRPr="00EC3105">
        <w:rPr>
          <w:rFonts w:ascii="Cambria" w:hAnsi="Cambria"/>
        </w:rPr>
        <w:t xml:space="preserve"> </w:t>
      </w:r>
      <w:r w:rsidRPr="00EC3105">
        <w:rPr>
          <w:rFonts w:ascii="Cambria" w:hAnsi="Cambria"/>
          <w:i/>
          <w:iCs/>
        </w:rPr>
        <w:t xml:space="preserve">Burns v Corbett </w:t>
      </w:r>
      <w:r w:rsidRPr="00EC3105">
        <w:rPr>
          <w:rFonts w:ascii="Cambria" w:hAnsi="Cambria"/>
        </w:rPr>
        <w:t>[2018] HCA 15, 6.</w:t>
      </w:r>
    </w:p>
  </w:footnote>
  <w:footnote w:id="5">
    <w:p w14:paraId="08633EB5" w14:textId="77777777" w:rsidR="004B6ACD" w:rsidRPr="00EC3105" w:rsidRDefault="004B6ACD" w:rsidP="004B6ACD">
      <w:pPr>
        <w:pStyle w:val="FootnoteText"/>
        <w:rPr>
          <w:rFonts w:ascii="Cambria" w:hAnsi="Cambria"/>
        </w:rPr>
      </w:pPr>
      <w:r w:rsidRPr="00EC3105">
        <w:rPr>
          <w:rStyle w:val="FootnoteReference"/>
          <w:rFonts w:ascii="Cambria" w:hAnsi="Cambria"/>
        </w:rPr>
        <w:footnoteRef/>
      </w:r>
      <w:r w:rsidRPr="00EC3105">
        <w:rPr>
          <w:rFonts w:ascii="Cambria" w:hAnsi="Cambria"/>
        </w:rPr>
        <w:t xml:space="preserve"> </w:t>
      </w:r>
      <w:r w:rsidRPr="00EC3105">
        <w:rPr>
          <w:rFonts w:ascii="Cambria" w:hAnsi="Cambria"/>
          <w:i/>
          <w:iCs/>
        </w:rPr>
        <w:t>Burns v Corbett</w:t>
      </w:r>
      <w:r w:rsidRPr="00EC3105">
        <w:rPr>
          <w:rFonts w:ascii="Cambria" w:hAnsi="Cambria"/>
        </w:rPr>
        <w:t xml:space="preserve"> [2018] HCA 15, 119-120.</w:t>
      </w:r>
    </w:p>
  </w:footnote>
  <w:footnote w:id="6">
    <w:p w14:paraId="41020166" w14:textId="66EC9D93" w:rsidR="00C81B56" w:rsidRPr="00EC3105" w:rsidRDefault="00C81B56" w:rsidP="003566C4">
      <w:pPr>
        <w:pStyle w:val="NoSpacing"/>
        <w:rPr>
          <w:rFonts w:ascii="Cambria" w:hAnsi="Cambria"/>
          <w:sz w:val="20"/>
          <w:szCs w:val="20"/>
        </w:rPr>
      </w:pPr>
      <w:r w:rsidRPr="00EC3105">
        <w:rPr>
          <w:rStyle w:val="FootnoteReference"/>
          <w:rFonts w:ascii="Cambria" w:hAnsi="Cambria"/>
          <w:sz w:val="20"/>
          <w:szCs w:val="20"/>
        </w:rPr>
        <w:footnoteRef/>
      </w:r>
      <w:r w:rsidRPr="00EC3105">
        <w:rPr>
          <w:rFonts w:ascii="Cambria" w:hAnsi="Cambria"/>
        </w:rPr>
        <w:t xml:space="preserve"> </w:t>
      </w:r>
      <w:r w:rsidRPr="00EC3105">
        <w:rPr>
          <w:rFonts w:ascii="Cambria" w:hAnsi="Cambria"/>
          <w:i/>
          <w:iCs/>
          <w:sz w:val="20"/>
          <w:szCs w:val="20"/>
        </w:rPr>
        <w:t>The State of Tasmania (Department of Health &amp; Human Services) v M; M</w:t>
      </w:r>
      <w:r w:rsidRPr="00EC3105">
        <w:rPr>
          <w:rFonts w:ascii="Cambria" w:hAnsi="Cambria"/>
          <w:b/>
          <w:bCs/>
          <w:i/>
          <w:iCs/>
          <w:sz w:val="20"/>
          <w:szCs w:val="20"/>
        </w:rPr>
        <w:t xml:space="preserve"> </w:t>
      </w:r>
      <w:r w:rsidRPr="00EC3105">
        <w:rPr>
          <w:rFonts w:ascii="Cambria" w:hAnsi="Cambria"/>
          <w:i/>
          <w:iCs/>
          <w:sz w:val="20"/>
          <w:szCs w:val="20"/>
        </w:rPr>
        <w:t>v The State of Tasmania (Department of Health &amp; Human Services) (Ref Nos 920/2017 &amp; 1045/2017)</w:t>
      </w:r>
      <w:r w:rsidRPr="00EC3105">
        <w:rPr>
          <w:rFonts w:ascii="Cambria" w:hAnsi="Cambria"/>
          <w:sz w:val="20"/>
          <w:szCs w:val="20"/>
        </w:rPr>
        <w:t xml:space="preserve"> [2018] TASWRCT 24</w:t>
      </w:r>
      <w:r w:rsidRPr="00EC3105">
        <w:rPr>
          <w:rFonts w:ascii="Cambria" w:hAnsi="Cambria"/>
          <w:b/>
          <w:bCs/>
          <w:sz w:val="20"/>
          <w:szCs w:val="20"/>
        </w:rPr>
        <w:t xml:space="preserve">. </w:t>
      </w:r>
    </w:p>
  </w:footnote>
  <w:footnote w:id="7">
    <w:p w14:paraId="07EE5B9D" w14:textId="2976FB30" w:rsidR="003566C4" w:rsidRPr="00EC3105" w:rsidRDefault="003566C4">
      <w:pPr>
        <w:pStyle w:val="FootnoteText"/>
        <w:rPr>
          <w:rFonts w:ascii="Cambria" w:hAnsi="Cambria"/>
        </w:rPr>
      </w:pPr>
      <w:r w:rsidRPr="00EC3105">
        <w:rPr>
          <w:rStyle w:val="FootnoteReference"/>
          <w:rFonts w:ascii="Cambria" w:hAnsi="Cambria"/>
        </w:rPr>
        <w:footnoteRef/>
      </w:r>
      <w:r w:rsidRPr="00EC3105">
        <w:rPr>
          <w:rFonts w:ascii="Cambria" w:hAnsi="Cambria"/>
        </w:rPr>
        <w:t xml:space="preserve"> [</w:t>
      </w:r>
      <w:r w:rsidRPr="00EC3105">
        <w:rPr>
          <w:rFonts w:ascii="Cambria" w:eastAsia="Times New Roman" w:hAnsi="Cambria" w:cs="Arial"/>
          <w:color w:val="000000" w:themeColor="text1"/>
          <w:shd w:val="clear" w:color="auto" w:fill="FFFFFF"/>
          <w:lang w:eastAsia="en-GB"/>
        </w:rPr>
        <w:t>2008] FCAFC 104.</w:t>
      </w:r>
    </w:p>
  </w:footnote>
  <w:footnote w:id="8">
    <w:p w14:paraId="1017A5AA" w14:textId="77777777" w:rsidR="00EC3105" w:rsidRPr="00EC3105" w:rsidRDefault="00EC3105" w:rsidP="00EC3105">
      <w:pPr>
        <w:pStyle w:val="FootnoteText"/>
        <w:rPr>
          <w:rFonts w:ascii="Cambria" w:hAnsi="Cambria"/>
        </w:rPr>
      </w:pPr>
      <w:r w:rsidRPr="00EC3105">
        <w:rPr>
          <w:rStyle w:val="FootnoteReference"/>
          <w:rFonts w:ascii="Cambria" w:hAnsi="Cambria"/>
        </w:rPr>
        <w:footnoteRef/>
      </w:r>
      <w:r w:rsidRPr="00EC3105">
        <w:rPr>
          <w:rFonts w:ascii="Cambria" w:hAnsi="Cambria"/>
        </w:rPr>
        <w:t xml:space="preserve"> </w:t>
      </w:r>
      <w:r w:rsidRPr="00EC3105">
        <w:rPr>
          <w:rFonts w:ascii="Cambria" w:eastAsia="Times New Roman" w:hAnsi="Cambria" w:cs="Arial"/>
          <w:color w:val="000000" w:themeColor="text1"/>
          <w:shd w:val="clear" w:color="auto" w:fill="FFFFFF"/>
          <w:lang w:eastAsia="en-GB"/>
        </w:rPr>
        <w:t>[2019] TASADT 10.</w:t>
      </w:r>
      <w:r w:rsidRPr="00EC3105">
        <w:rPr>
          <w:rFonts w:ascii="Cambria" w:eastAsia="Times New Roman" w:hAnsi="Cambria" w:cs="Arial"/>
          <w:color w:val="000000" w:themeColor="text1"/>
          <w:sz w:val="24"/>
          <w:szCs w:val="24"/>
          <w:shd w:val="clear" w:color="auto" w:fill="FFFFFF"/>
          <w:lang w:eastAsia="en-GB"/>
        </w:rPr>
        <w:t xml:space="preserve"> </w:t>
      </w:r>
    </w:p>
  </w:footnote>
  <w:footnote w:id="9">
    <w:p w14:paraId="7E88E6A9" w14:textId="6BE4AB07" w:rsidR="003F4662" w:rsidRPr="00EC3105" w:rsidRDefault="003F4662">
      <w:pPr>
        <w:pStyle w:val="FootnoteText"/>
        <w:rPr>
          <w:rFonts w:ascii="Cambria" w:hAnsi="Cambria"/>
        </w:rPr>
      </w:pPr>
      <w:r w:rsidRPr="00EC3105">
        <w:rPr>
          <w:rStyle w:val="FootnoteReference"/>
          <w:rFonts w:ascii="Cambria" w:hAnsi="Cambria"/>
        </w:rPr>
        <w:footnoteRef/>
      </w:r>
      <w:r w:rsidRPr="00EC3105">
        <w:rPr>
          <w:rFonts w:ascii="Cambria" w:hAnsi="Cambria"/>
        </w:rPr>
        <w:t xml:space="preserve"> Department of Justice, ‘Tasmanian Civil and Administrative Tribunal Bill 2020’. As found at  </w:t>
      </w:r>
      <w:hyperlink r:id="rId1" w:history="1">
        <w:r w:rsidRPr="00EC3105">
          <w:rPr>
            <w:rStyle w:val="Hyperlink"/>
            <w:rFonts w:ascii="Cambria" w:hAnsi="Cambria"/>
          </w:rPr>
          <w:t>https://www.justice.tas.gov.au/community-consultation/consultations/tasmanian-civil-and-administrative-tribunal-bill-2020</w:t>
        </w:r>
      </w:hyperlink>
      <w:r w:rsidRPr="00EC3105">
        <w:rPr>
          <w:rFonts w:ascii="Cambria" w:hAnsi="Cambria"/>
        </w:rPr>
        <w:t xml:space="preserve"> (Accessed 23 May 2020). </w:t>
      </w:r>
    </w:p>
  </w:footnote>
  <w:footnote w:id="10">
    <w:p w14:paraId="048E7D8D" w14:textId="4491F0CF" w:rsidR="003B37C5" w:rsidRPr="00EC3105" w:rsidRDefault="003B37C5" w:rsidP="003B37C5">
      <w:pPr>
        <w:pStyle w:val="NoSpacing"/>
        <w:rPr>
          <w:rFonts w:ascii="Cambria" w:hAnsi="Cambria"/>
        </w:rPr>
      </w:pPr>
      <w:r w:rsidRPr="00EC3105">
        <w:rPr>
          <w:rStyle w:val="FootnoteReference"/>
          <w:rFonts w:ascii="Cambria" w:hAnsi="Cambria"/>
          <w:sz w:val="20"/>
          <w:szCs w:val="20"/>
        </w:rPr>
        <w:footnoteRef/>
      </w:r>
      <w:r w:rsidRPr="00EC3105">
        <w:rPr>
          <w:rFonts w:ascii="Cambria" w:hAnsi="Cambria"/>
          <w:sz w:val="20"/>
          <w:szCs w:val="20"/>
        </w:rPr>
        <w:t xml:space="preserve"> Section 34B of the </w:t>
      </w:r>
      <w:r w:rsidRPr="00EC3105">
        <w:rPr>
          <w:rFonts w:ascii="Cambria" w:hAnsi="Cambria"/>
          <w:i/>
          <w:iCs/>
          <w:sz w:val="20"/>
          <w:szCs w:val="20"/>
        </w:rPr>
        <w:t>Civil and Administrative Tribunal Act 2013</w:t>
      </w:r>
      <w:r w:rsidRPr="00EC3105">
        <w:rPr>
          <w:rFonts w:ascii="Cambria" w:hAnsi="Cambria"/>
          <w:sz w:val="20"/>
          <w:szCs w:val="20"/>
        </w:rPr>
        <w:t xml:space="preserve"> (NSW); section 38B of the South Australian Civil and Administrative Tribunal Act 2013 (SA).</w:t>
      </w:r>
      <w:r w:rsidRPr="00EC3105">
        <w:rPr>
          <w:rFonts w:ascii="Cambria" w:hAnsi="Cambria"/>
        </w:rPr>
        <w:t xml:space="preserve">  </w:t>
      </w:r>
    </w:p>
  </w:footnote>
  <w:footnote w:id="11">
    <w:p w14:paraId="69A02F11" w14:textId="33C3C7D0" w:rsidR="00BD6FAD" w:rsidRPr="00EC3105" w:rsidRDefault="00BD6FAD" w:rsidP="00BD6FAD">
      <w:pPr>
        <w:pStyle w:val="NoSpacing"/>
        <w:jc w:val="both"/>
        <w:rPr>
          <w:rFonts w:ascii="Cambria" w:hAnsi="Cambria"/>
          <w:sz w:val="24"/>
          <w:szCs w:val="24"/>
        </w:rPr>
      </w:pPr>
      <w:r w:rsidRPr="00EC3105">
        <w:rPr>
          <w:rStyle w:val="FootnoteReference"/>
          <w:rFonts w:ascii="Cambria" w:hAnsi="Cambria"/>
          <w:sz w:val="20"/>
          <w:szCs w:val="20"/>
        </w:rPr>
        <w:footnoteRef/>
      </w:r>
      <w:r w:rsidRPr="00EC3105">
        <w:rPr>
          <w:rFonts w:ascii="Cambria" w:hAnsi="Cambria"/>
        </w:rPr>
        <w:t xml:space="preserve"> </w:t>
      </w:r>
      <w:r w:rsidRPr="00EC3105">
        <w:rPr>
          <w:rFonts w:ascii="Cambria" w:hAnsi="Cambria"/>
          <w:sz w:val="20"/>
          <w:szCs w:val="20"/>
        </w:rPr>
        <w:t xml:space="preserve">Federal jurisdiction is defined in section 34A of the </w:t>
      </w:r>
      <w:r w:rsidRPr="00EC3105">
        <w:rPr>
          <w:rFonts w:ascii="Cambria" w:hAnsi="Cambria"/>
          <w:i/>
          <w:iCs/>
          <w:sz w:val="20"/>
          <w:szCs w:val="20"/>
        </w:rPr>
        <w:t>Civil and Administrative Tribunal Act 2013</w:t>
      </w:r>
      <w:r w:rsidRPr="00EC3105">
        <w:rPr>
          <w:rFonts w:ascii="Cambria" w:hAnsi="Cambria"/>
          <w:sz w:val="20"/>
          <w:szCs w:val="20"/>
        </w:rPr>
        <w:t xml:space="preserve"> (NSW) as “jurisdiction of a kind referred to in section 75 or 76 of the Commonwealth Constitution”.</w:t>
      </w:r>
    </w:p>
  </w:footnote>
  <w:footnote w:id="12">
    <w:p w14:paraId="5673D98B" w14:textId="767A3C2D" w:rsidR="00022A84" w:rsidRPr="00EC3105" w:rsidRDefault="00022A84">
      <w:pPr>
        <w:pStyle w:val="FootnoteText"/>
        <w:rPr>
          <w:rFonts w:ascii="Cambria" w:hAnsi="Cambria"/>
        </w:rPr>
      </w:pPr>
      <w:r w:rsidRPr="00EC3105">
        <w:rPr>
          <w:rStyle w:val="FootnoteReference"/>
          <w:rFonts w:ascii="Cambria" w:hAnsi="Cambria"/>
        </w:rPr>
        <w:footnoteRef/>
      </w:r>
      <w:r w:rsidRPr="00EC3105">
        <w:rPr>
          <w:rFonts w:ascii="Cambria" w:hAnsi="Cambria"/>
        </w:rPr>
        <w:t xml:space="preserve"> Clause 12 of the </w:t>
      </w:r>
      <w:r w:rsidRPr="00EC3105">
        <w:rPr>
          <w:rFonts w:ascii="Cambria" w:hAnsi="Cambria"/>
          <w:i/>
          <w:iCs/>
        </w:rPr>
        <w:t>Tasmanian Civil and Administrative Tribunal Bill 2020</w:t>
      </w:r>
      <w:r w:rsidRPr="00EC3105">
        <w:rPr>
          <w:rFonts w:ascii="Cambria" w:hAnsi="Cambr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65493"/>
    <w:multiLevelType w:val="multilevel"/>
    <w:tmpl w:val="C3BC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E10AC"/>
    <w:multiLevelType w:val="hybridMultilevel"/>
    <w:tmpl w:val="946ED7A8"/>
    <w:lvl w:ilvl="0" w:tplc="A81CB5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CF2C4B"/>
    <w:multiLevelType w:val="hybridMultilevel"/>
    <w:tmpl w:val="17CC640A"/>
    <w:lvl w:ilvl="0" w:tplc="0FFA5B8A">
      <w:start w:val="2"/>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691139"/>
    <w:multiLevelType w:val="hybridMultilevel"/>
    <w:tmpl w:val="C68C60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79C13C8"/>
    <w:multiLevelType w:val="hybridMultilevel"/>
    <w:tmpl w:val="6F6048AE"/>
    <w:lvl w:ilvl="0" w:tplc="642C7A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F60BEC"/>
    <w:multiLevelType w:val="hybridMultilevel"/>
    <w:tmpl w:val="5FA8047E"/>
    <w:lvl w:ilvl="0" w:tplc="5A1A0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DB682F"/>
    <w:multiLevelType w:val="hybridMultilevel"/>
    <w:tmpl w:val="1B82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D1B8D"/>
    <w:multiLevelType w:val="hybridMultilevel"/>
    <w:tmpl w:val="A8AAF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C736E"/>
    <w:multiLevelType w:val="hybridMultilevel"/>
    <w:tmpl w:val="0E60E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4F57C1E"/>
    <w:multiLevelType w:val="hybridMultilevel"/>
    <w:tmpl w:val="B6E86D2C"/>
    <w:lvl w:ilvl="0" w:tplc="11287F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84B4A"/>
    <w:multiLevelType w:val="hybridMultilevel"/>
    <w:tmpl w:val="226C12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1D44321"/>
    <w:multiLevelType w:val="hybridMultilevel"/>
    <w:tmpl w:val="2084D9F6"/>
    <w:lvl w:ilvl="0" w:tplc="989C35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0"/>
  </w:num>
  <w:num w:numId="5">
    <w:abstractNumId w:val="11"/>
  </w:num>
  <w:num w:numId="6">
    <w:abstractNumId w:val="1"/>
  </w:num>
  <w:num w:numId="7">
    <w:abstractNumId w:val="9"/>
  </w:num>
  <w:num w:numId="8">
    <w:abstractNumId w:val="5"/>
  </w:num>
  <w:num w:numId="9">
    <w:abstractNumId w:val="4"/>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8B"/>
    <w:rsid w:val="00012502"/>
    <w:rsid w:val="00022A84"/>
    <w:rsid w:val="00103A83"/>
    <w:rsid w:val="0010794F"/>
    <w:rsid w:val="001C4D10"/>
    <w:rsid w:val="00206C10"/>
    <w:rsid w:val="00220030"/>
    <w:rsid w:val="00240AD2"/>
    <w:rsid w:val="002B3D71"/>
    <w:rsid w:val="0033130C"/>
    <w:rsid w:val="003530D5"/>
    <w:rsid w:val="003566C4"/>
    <w:rsid w:val="003656A3"/>
    <w:rsid w:val="003A7FA9"/>
    <w:rsid w:val="003B37C5"/>
    <w:rsid w:val="003C5760"/>
    <w:rsid w:val="003F4662"/>
    <w:rsid w:val="00437387"/>
    <w:rsid w:val="004B6ACD"/>
    <w:rsid w:val="005235C7"/>
    <w:rsid w:val="00536A83"/>
    <w:rsid w:val="005B2F24"/>
    <w:rsid w:val="00774D85"/>
    <w:rsid w:val="007B498D"/>
    <w:rsid w:val="008C5CF1"/>
    <w:rsid w:val="00903CB0"/>
    <w:rsid w:val="0095278B"/>
    <w:rsid w:val="00960748"/>
    <w:rsid w:val="009A5AF3"/>
    <w:rsid w:val="009C19B2"/>
    <w:rsid w:val="00A348AB"/>
    <w:rsid w:val="00A65F87"/>
    <w:rsid w:val="00AD0519"/>
    <w:rsid w:val="00AE096F"/>
    <w:rsid w:val="00AE29F5"/>
    <w:rsid w:val="00B00EFC"/>
    <w:rsid w:val="00B2040C"/>
    <w:rsid w:val="00BB6064"/>
    <w:rsid w:val="00BD6FAD"/>
    <w:rsid w:val="00C405C8"/>
    <w:rsid w:val="00C533C1"/>
    <w:rsid w:val="00C675B9"/>
    <w:rsid w:val="00C81B56"/>
    <w:rsid w:val="00C8287C"/>
    <w:rsid w:val="00D1334B"/>
    <w:rsid w:val="00D3124E"/>
    <w:rsid w:val="00D5499F"/>
    <w:rsid w:val="00E16963"/>
    <w:rsid w:val="00E27B17"/>
    <w:rsid w:val="00E316C3"/>
    <w:rsid w:val="00E3515D"/>
    <w:rsid w:val="00E47C29"/>
    <w:rsid w:val="00E9212A"/>
    <w:rsid w:val="00EB7E21"/>
    <w:rsid w:val="00EC3105"/>
    <w:rsid w:val="00F119AC"/>
    <w:rsid w:val="00F158A8"/>
    <w:rsid w:val="00F2522A"/>
    <w:rsid w:val="00F94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390D"/>
  <w15:chartTrackingRefBased/>
  <w15:docId w15:val="{8A8091E8-FDEE-4BBA-8392-4BE39ADA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7E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220030"/>
    <w:pPr>
      <w:spacing w:after="0" w:line="240" w:lineRule="auto"/>
    </w:pPr>
    <w:rPr>
      <w:sz w:val="20"/>
      <w:szCs w:val="20"/>
    </w:rPr>
  </w:style>
  <w:style w:type="character" w:customStyle="1" w:styleId="FootnoteTextChar">
    <w:name w:val="Footnote Text Char"/>
    <w:aliases w:val="Footnote Char,Text Char"/>
    <w:basedOn w:val="DefaultParagraphFont"/>
    <w:link w:val="FootnoteText"/>
    <w:rsid w:val="00220030"/>
    <w:rPr>
      <w:sz w:val="20"/>
      <w:szCs w:val="20"/>
    </w:rPr>
  </w:style>
  <w:style w:type="character" w:styleId="FootnoteReference">
    <w:name w:val="footnote reference"/>
    <w:basedOn w:val="DefaultParagraphFont"/>
    <w:unhideWhenUsed/>
    <w:rsid w:val="00220030"/>
    <w:rPr>
      <w:vertAlign w:val="superscript"/>
    </w:rPr>
  </w:style>
  <w:style w:type="paragraph" w:styleId="NoSpacing">
    <w:name w:val="No Spacing"/>
    <w:uiPriority w:val="1"/>
    <w:qFormat/>
    <w:rsid w:val="00206C10"/>
    <w:pPr>
      <w:spacing w:after="0" w:line="240" w:lineRule="auto"/>
    </w:pPr>
  </w:style>
  <w:style w:type="character" w:styleId="Hyperlink">
    <w:name w:val="Hyperlink"/>
    <w:basedOn w:val="DefaultParagraphFont"/>
    <w:uiPriority w:val="99"/>
    <w:unhideWhenUsed/>
    <w:rsid w:val="00206C10"/>
    <w:rPr>
      <w:color w:val="0000FF"/>
      <w:u w:val="single"/>
    </w:rPr>
  </w:style>
  <w:style w:type="paragraph" w:customStyle="1" w:styleId="subsection">
    <w:name w:val="subsection"/>
    <w:basedOn w:val="Normal"/>
    <w:rsid w:val="004B6A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B6ACD"/>
  </w:style>
  <w:style w:type="paragraph" w:customStyle="1" w:styleId="paragraph">
    <w:name w:val="paragraph"/>
    <w:basedOn w:val="Normal"/>
    <w:rsid w:val="004B6A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section2">
    <w:name w:val="subsection2"/>
    <w:basedOn w:val="Normal"/>
    <w:rsid w:val="004B6A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B7E21"/>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EB7E21"/>
    <w:rPr>
      <w:b/>
      <w:bCs/>
    </w:rPr>
  </w:style>
  <w:style w:type="paragraph" w:styleId="NormalWeb">
    <w:name w:val="Normal (Web)"/>
    <w:basedOn w:val="Normal"/>
    <w:uiPriority w:val="99"/>
    <w:semiHidden/>
    <w:unhideWhenUsed/>
    <w:rsid w:val="00EB7E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B7E21"/>
    <w:rPr>
      <w:i/>
      <w:iCs/>
    </w:rPr>
  </w:style>
  <w:style w:type="character" w:styleId="UnresolvedMention">
    <w:name w:val="Unresolved Mention"/>
    <w:basedOn w:val="DefaultParagraphFont"/>
    <w:uiPriority w:val="99"/>
    <w:semiHidden/>
    <w:unhideWhenUsed/>
    <w:rsid w:val="003F4662"/>
    <w:rPr>
      <w:color w:val="605E5C"/>
      <w:shd w:val="clear" w:color="auto" w:fill="E1DFDD"/>
    </w:rPr>
  </w:style>
  <w:style w:type="paragraph" w:styleId="Footer">
    <w:name w:val="footer"/>
    <w:basedOn w:val="Normal"/>
    <w:link w:val="FooterChar"/>
    <w:uiPriority w:val="99"/>
    <w:unhideWhenUsed/>
    <w:rsid w:val="00AD0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519"/>
  </w:style>
  <w:style w:type="character" w:styleId="PageNumber">
    <w:name w:val="page number"/>
    <w:basedOn w:val="DefaultParagraphFont"/>
    <w:uiPriority w:val="99"/>
    <w:semiHidden/>
    <w:unhideWhenUsed/>
    <w:rsid w:val="00AD0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675887">
      <w:bodyDiv w:val="1"/>
      <w:marLeft w:val="0"/>
      <w:marRight w:val="0"/>
      <w:marTop w:val="0"/>
      <w:marBottom w:val="0"/>
      <w:divBdr>
        <w:top w:val="none" w:sz="0" w:space="0" w:color="auto"/>
        <w:left w:val="none" w:sz="0" w:space="0" w:color="auto"/>
        <w:bottom w:val="none" w:sz="0" w:space="0" w:color="auto"/>
        <w:right w:val="none" w:sz="0" w:space="0" w:color="auto"/>
      </w:divBdr>
    </w:div>
    <w:div w:id="349378240">
      <w:bodyDiv w:val="1"/>
      <w:marLeft w:val="0"/>
      <w:marRight w:val="0"/>
      <w:marTop w:val="0"/>
      <w:marBottom w:val="0"/>
      <w:divBdr>
        <w:top w:val="none" w:sz="0" w:space="0" w:color="auto"/>
        <w:left w:val="none" w:sz="0" w:space="0" w:color="auto"/>
        <w:bottom w:val="none" w:sz="0" w:space="0" w:color="auto"/>
        <w:right w:val="none" w:sz="0" w:space="0" w:color="auto"/>
      </w:divBdr>
    </w:div>
    <w:div w:id="411507463">
      <w:bodyDiv w:val="1"/>
      <w:marLeft w:val="0"/>
      <w:marRight w:val="0"/>
      <w:marTop w:val="0"/>
      <w:marBottom w:val="0"/>
      <w:divBdr>
        <w:top w:val="none" w:sz="0" w:space="0" w:color="auto"/>
        <w:left w:val="none" w:sz="0" w:space="0" w:color="auto"/>
        <w:bottom w:val="none" w:sz="0" w:space="0" w:color="auto"/>
        <w:right w:val="none" w:sz="0" w:space="0" w:color="auto"/>
      </w:divBdr>
      <w:divsChild>
        <w:div w:id="718554728">
          <w:marLeft w:val="0"/>
          <w:marRight w:val="0"/>
          <w:marTop w:val="0"/>
          <w:marBottom w:val="0"/>
          <w:divBdr>
            <w:top w:val="none" w:sz="0" w:space="0" w:color="auto"/>
            <w:left w:val="none" w:sz="0" w:space="0" w:color="auto"/>
            <w:bottom w:val="none" w:sz="0" w:space="0" w:color="auto"/>
            <w:right w:val="none" w:sz="0" w:space="0" w:color="auto"/>
          </w:divBdr>
          <w:divsChild>
            <w:div w:id="1711421718">
              <w:marLeft w:val="0"/>
              <w:marRight w:val="0"/>
              <w:marTop w:val="0"/>
              <w:marBottom w:val="0"/>
              <w:divBdr>
                <w:top w:val="none" w:sz="0" w:space="0" w:color="auto"/>
                <w:left w:val="none" w:sz="0" w:space="0" w:color="auto"/>
                <w:bottom w:val="none" w:sz="0" w:space="0" w:color="auto"/>
                <w:right w:val="none" w:sz="0" w:space="0" w:color="auto"/>
              </w:divBdr>
              <w:divsChild>
                <w:div w:id="18645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3624">
      <w:bodyDiv w:val="1"/>
      <w:marLeft w:val="0"/>
      <w:marRight w:val="0"/>
      <w:marTop w:val="0"/>
      <w:marBottom w:val="0"/>
      <w:divBdr>
        <w:top w:val="none" w:sz="0" w:space="0" w:color="auto"/>
        <w:left w:val="none" w:sz="0" w:space="0" w:color="auto"/>
        <w:bottom w:val="none" w:sz="0" w:space="0" w:color="auto"/>
        <w:right w:val="none" w:sz="0" w:space="0" w:color="auto"/>
      </w:divBdr>
    </w:div>
    <w:div w:id="616763586">
      <w:bodyDiv w:val="1"/>
      <w:marLeft w:val="0"/>
      <w:marRight w:val="0"/>
      <w:marTop w:val="0"/>
      <w:marBottom w:val="0"/>
      <w:divBdr>
        <w:top w:val="none" w:sz="0" w:space="0" w:color="auto"/>
        <w:left w:val="none" w:sz="0" w:space="0" w:color="auto"/>
        <w:bottom w:val="none" w:sz="0" w:space="0" w:color="auto"/>
        <w:right w:val="none" w:sz="0" w:space="0" w:color="auto"/>
      </w:divBdr>
    </w:div>
    <w:div w:id="702367838">
      <w:bodyDiv w:val="1"/>
      <w:marLeft w:val="0"/>
      <w:marRight w:val="0"/>
      <w:marTop w:val="0"/>
      <w:marBottom w:val="0"/>
      <w:divBdr>
        <w:top w:val="none" w:sz="0" w:space="0" w:color="auto"/>
        <w:left w:val="none" w:sz="0" w:space="0" w:color="auto"/>
        <w:bottom w:val="none" w:sz="0" w:space="0" w:color="auto"/>
        <w:right w:val="none" w:sz="0" w:space="0" w:color="auto"/>
      </w:divBdr>
    </w:div>
    <w:div w:id="729768085">
      <w:bodyDiv w:val="1"/>
      <w:marLeft w:val="0"/>
      <w:marRight w:val="0"/>
      <w:marTop w:val="0"/>
      <w:marBottom w:val="0"/>
      <w:divBdr>
        <w:top w:val="none" w:sz="0" w:space="0" w:color="auto"/>
        <w:left w:val="none" w:sz="0" w:space="0" w:color="auto"/>
        <w:bottom w:val="none" w:sz="0" w:space="0" w:color="auto"/>
        <w:right w:val="none" w:sz="0" w:space="0" w:color="auto"/>
      </w:divBdr>
    </w:div>
    <w:div w:id="1213619088">
      <w:bodyDiv w:val="1"/>
      <w:marLeft w:val="0"/>
      <w:marRight w:val="0"/>
      <w:marTop w:val="0"/>
      <w:marBottom w:val="0"/>
      <w:divBdr>
        <w:top w:val="none" w:sz="0" w:space="0" w:color="auto"/>
        <w:left w:val="none" w:sz="0" w:space="0" w:color="auto"/>
        <w:bottom w:val="none" w:sz="0" w:space="0" w:color="auto"/>
        <w:right w:val="none" w:sz="0" w:space="0" w:color="auto"/>
      </w:divBdr>
      <w:divsChild>
        <w:div w:id="886991084">
          <w:marLeft w:val="0"/>
          <w:marRight w:val="0"/>
          <w:marTop w:val="0"/>
          <w:marBottom w:val="0"/>
          <w:divBdr>
            <w:top w:val="none" w:sz="0" w:space="0" w:color="auto"/>
            <w:left w:val="none" w:sz="0" w:space="0" w:color="auto"/>
            <w:bottom w:val="none" w:sz="0" w:space="0" w:color="auto"/>
            <w:right w:val="none" w:sz="0" w:space="0" w:color="auto"/>
          </w:divBdr>
          <w:divsChild>
            <w:div w:id="2043823744">
              <w:marLeft w:val="0"/>
              <w:marRight w:val="0"/>
              <w:marTop w:val="0"/>
              <w:marBottom w:val="0"/>
              <w:divBdr>
                <w:top w:val="none" w:sz="0" w:space="0" w:color="auto"/>
                <w:left w:val="none" w:sz="0" w:space="0" w:color="auto"/>
                <w:bottom w:val="none" w:sz="0" w:space="0" w:color="auto"/>
                <w:right w:val="none" w:sz="0" w:space="0" w:color="auto"/>
              </w:divBdr>
              <w:divsChild>
                <w:div w:id="76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8957">
      <w:bodyDiv w:val="1"/>
      <w:marLeft w:val="0"/>
      <w:marRight w:val="0"/>
      <w:marTop w:val="0"/>
      <w:marBottom w:val="0"/>
      <w:divBdr>
        <w:top w:val="none" w:sz="0" w:space="0" w:color="auto"/>
        <w:left w:val="none" w:sz="0" w:space="0" w:color="auto"/>
        <w:bottom w:val="none" w:sz="0" w:space="0" w:color="auto"/>
        <w:right w:val="none" w:sz="0" w:space="0" w:color="auto"/>
      </w:divBdr>
    </w:div>
    <w:div w:id="1548755781">
      <w:bodyDiv w:val="1"/>
      <w:marLeft w:val="0"/>
      <w:marRight w:val="0"/>
      <w:marTop w:val="0"/>
      <w:marBottom w:val="0"/>
      <w:divBdr>
        <w:top w:val="none" w:sz="0" w:space="0" w:color="auto"/>
        <w:left w:val="none" w:sz="0" w:space="0" w:color="auto"/>
        <w:bottom w:val="none" w:sz="0" w:space="0" w:color="auto"/>
        <w:right w:val="none" w:sz="0" w:space="0" w:color="auto"/>
      </w:divBdr>
      <w:divsChild>
        <w:div w:id="113982057">
          <w:marLeft w:val="0"/>
          <w:marRight w:val="0"/>
          <w:marTop w:val="0"/>
          <w:marBottom w:val="0"/>
          <w:divBdr>
            <w:top w:val="none" w:sz="0" w:space="0" w:color="auto"/>
            <w:left w:val="none" w:sz="0" w:space="0" w:color="auto"/>
            <w:bottom w:val="none" w:sz="0" w:space="0" w:color="auto"/>
            <w:right w:val="none" w:sz="0" w:space="0" w:color="auto"/>
          </w:divBdr>
          <w:divsChild>
            <w:div w:id="291134938">
              <w:marLeft w:val="0"/>
              <w:marRight w:val="0"/>
              <w:marTop w:val="0"/>
              <w:marBottom w:val="0"/>
              <w:divBdr>
                <w:top w:val="none" w:sz="0" w:space="0" w:color="auto"/>
                <w:left w:val="none" w:sz="0" w:space="0" w:color="auto"/>
                <w:bottom w:val="none" w:sz="0" w:space="0" w:color="auto"/>
                <w:right w:val="none" w:sz="0" w:space="0" w:color="auto"/>
              </w:divBdr>
              <w:divsChild>
                <w:div w:id="15643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0188">
      <w:bodyDiv w:val="1"/>
      <w:marLeft w:val="0"/>
      <w:marRight w:val="0"/>
      <w:marTop w:val="0"/>
      <w:marBottom w:val="0"/>
      <w:divBdr>
        <w:top w:val="none" w:sz="0" w:space="0" w:color="auto"/>
        <w:left w:val="none" w:sz="0" w:space="0" w:color="auto"/>
        <w:bottom w:val="none" w:sz="0" w:space="0" w:color="auto"/>
        <w:right w:val="none" w:sz="0" w:space="0" w:color="auto"/>
      </w:divBdr>
    </w:div>
    <w:div w:id="1689672716">
      <w:bodyDiv w:val="1"/>
      <w:marLeft w:val="0"/>
      <w:marRight w:val="0"/>
      <w:marTop w:val="0"/>
      <w:marBottom w:val="0"/>
      <w:divBdr>
        <w:top w:val="none" w:sz="0" w:space="0" w:color="auto"/>
        <w:left w:val="none" w:sz="0" w:space="0" w:color="auto"/>
        <w:bottom w:val="none" w:sz="0" w:space="0" w:color="auto"/>
        <w:right w:val="none" w:sz="0" w:space="0" w:color="auto"/>
      </w:divBdr>
      <w:divsChild>
        <w:div w:id="162654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38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8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0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041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021724">
      <w:bodyDiv w:val="1"/>
      <w:marLeft w:val="0"/>
      <w:marRight w:val="0"/>
      <w:marTop w:val="0"/>
      <w:marBottom w:val="0"/>
      <w:divBdr>
        <w:top w:val="none" w:sz="0" w:space="0" w:color="auto"/>
        <w:left w:val="none" w:sz="0" w:space="0" w:color="auto"/>
        <w:bottom w:val="none" w:sz="0" w:space="0" w:color="auto"/>
        <w:right w:val="none" w:sz="0" w:space="0" w:color="auto"/>
      </w:divBdr>
    </w:div>
    <w:div w:id="1735468947">
      <w:bodyDiv w:val="1"/>
      <w:marLeft w:val="0"/>
      <w:marRight w:val="0"/>
      <w:marTop w:val="0"/>
      <w:marBottom w:val="0"/>
      <w:divBdr>
        <w:top w:val="none" w:sz="0" w:space="0" w:color="auto"/>
        <w:left w:val="none" w:sz="0" w:space="0" w:color="auto"/>
        <w:bottom w:val="none" w:sz="0" w:space="0" w:color="auto"/>
        <w:right w:val="none" w:sz="0" w:space="0" w:color="auto"/>
      </w:divBdr>
      <w:divsChild>
        <w:div w:id="1757365946">
          <w:marLeft w:val="0"/>
          <w:marRight w:val="0"/>
          <w:marTop w:val="0"/>
          <w:marBottom w:val="0"/>
          <w:divBdr>
            <w:top w:val="none" w:sz="0" w:space="0" w:color="auto"/>
            <w:left w:val="none" w:sz="0" w:space="0" w:color="auto"/>
            <w:bottom w:val="none" w:sz="0" w:space="0" w:color="auto"/>
            <w:right w:val="none" w:sz="0" w:space="0" w:color="auto"/>
          </w:divBdr>
          <w:divsChild>
            <w:div w:id="1967814207">
              <w:marLeft w:val="0"/>
              <w:marRight w:val="0"/>
              <w:marTop w:val="0"/>
              <w:marBottom w:val="0"/>
              <w:divBdr>
                <w:top w:val="none" w:sz="0" w:space="0" w:color="auto"/>
                <w:left w:val="none" w:sz="0" w:space="0" w:color="auto"/>
                <w:bottom w:val="none" w:sz="0" w:space="0" w:color="auto"/>
                <w:right w:val="none" w:sz="0" w:space="0" w:color="auto"/>
              </w:divBdr>
              <w:divsChild>
                <w:div w:id="11730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6732">
      <w:bodyDiv w:val="1"/>
      <w:marLeft w:val="0"/>
      <w:marRight w:val="0"/>
      <w:marTop w:val="0"/>
      <w:marBottom w:val="0"/>
      <w:divBdr>
        <w:top w:val="none" w:sz="0" w:space="0" w:color="auto"/>
        <w:left w:val="none" w:sz="0" w:space="0" w:color="auto"/>
        <w:bottom w:val="none" w:sz="0" w:space="0" w:color="auto"/>
        <w:right w:val="none" w:sz="0" w:space="0" w:color="auto"/>
      </w:divBdr>
    </w:div>
    <w:div w:id="1977952018">
      <w:bodyDiv w:val="1"/>
      <w:marLeft w:val="0"/>
      <w:marRight w:val="0"/>
      <w:marTop w:val="0"/>
      <w:marBottom w:val="0"/>
      <w:divBdr>
        <w:top w:val="none" w:sz="0" w:space="0" w:color="auto"/>
        <w:left w:val="none" w:sz="0" w:space="0" w:color="auto"/>
        <w:bottom w:val="none" w:sz="0" w:space="0" w:color="auto"/>
        <w:right w:val="none" w:sz="0" w:space="0" w:color="auto"/>
      </w:divBdr>
    </w:div>
    <w:div w:id="2064132464">
      <w:bodyDiv w:val="1"/>
      <w:marLeft w:val="0"/>
      <w:marRight w:val="0"/>
      <w:marTop w:val="0"/>
      <w:marBottom w:val="0"/>
      <w:divBdr>
        <w:top w:val="none" w:sz="0" w:space="0" w:color="auto"/>
        <w:left w:val="none" w:sz="0" w:space="0" w:color="auto"/>
        <w:bottom w:val="none" w:sz="0" w:space="0" w:color="auto"/>
        <w:right w:val="none" w:sz="0" w:space="0" w:color="auto"/>
      </w:divBdr>
      <w:divsChild>
        <w:div w:id="160632512">
          <w:marLeft w:val="0"/>
          <w:marRight w:val="0"/>
          <w:marTop w:val="0"/>
          <w:marBottom w:val="0"/>
          <w:divBdr>
            <w:top w:val="none" w:sz="0" w:space="0" w:color="auto"/>
            <w:left w:val="none" w:sz="0" w:space="0" w:color="auto"/>
            <w:bottom w:val="none" w:sz="0" w:space="0" w:color="auto"/>
            <w:right w:val="none" w:sz="0" w:space="0" w:color="auto"/>
          </w:divBdr>
          <w:divsChild>
            <w:div w:id="1517236428">
              <w:marLeft w:val="0"/>
              <w:marRight w:val="0"/>
              <w:marTop w:val="0"/>
              <w:marBottom w:val="0"/>
              <w:divBdr>
                <w:top w:val="none" w:sz="0" w:space="0" w:color="auto"/>
                <w:left w:val="none" w:sz="0" w:space="0" w:color="auto"/>
                <w:bottom w:val="none" w:sz="0" w:space="0" w:color="auto"/>
                <w:right w:val="none" w:sz="0" w:space="0" w:color="auto"/>
              </w:divBdr>
              <w:divsChild>
                <w:div w:id="1307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ustice.tas.gov.au/community-consultation/consultations/tasmanian-civil-and-administrative-tribunal-bill-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Wallbank</dc:creator>
  <cp:keywords/>
  <dc:description/>
  <cp:lastModifiedBy>Microsoft Office User</cp:lastModifiedBy>
  <cp:revision>2</cp:revision>
  <cp:lastPrinted>2020-05-29T05:20:00Z</cp:lastPrinted>
  <dcterms:created xsi:type="dcterms:W3CDTF">2020-05-29T05:32:00Z</dcterms:created>
  <dcterms:modified xsi:type="dcterms:W3CDTF">2020-05-29T05:32:00Z</dcterms:modified>
</cp:coreProperties>
</file>