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59020" w14:textId="77777777" w:rsidR="000F7C7B" w:rsidRDefault="000F7C7B" w:rsidP="000F7C7B">
      <w:pPr>
        <w:ind w:right="-347"/>
        <w:jc w:val="center"/>
      </w:pPr>
      <w:bookmarkStart w:id="0" w:name="_GoBack"/>
      <w:bookmarkEnd w:id="0"/>
      <w:r>
        <w:rPr>
          <w:noProof/>
          <w:sz w:val="20"/>
          <w:szCs w:val="20"/>
        </w:rPr>
        <w:drawing>
          <wp:inline distT="0" distB="0" distL="0" distR="0" wp14:anchorId="28D9D26A" wp14:editId="4769F56A">
            <wp:extent cx="3235960" cy="1099476"/>
            <wp:effectExtent l="0" t="0" r="0" b="0"/>
            <wp:docPr id="5"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7972" cy="1100160"/>
                    </a:xfrm>
                    <a:prstGeom prst="rect">
                      <a:avLst/>
                    </a:prstGeom>
                    <a:noFill/>
                    <a:ln>
                      <a:noFill/>
                    </a:ln>
                  </pic:spPr>
                </pic:pic>
              </a:graphicData>
            </a:graphic>
          </wp:inline>
        </w:drawing>
      </w:r>
    </w:p>
    <w:p w14:paraId="7F3DADEE" w14:textId="77777777" w:rsidR="000F7C7B" w:rsidRPr="00642FFC" w:rsidRDefault="000F7C7B" w:rsidP="000F7C7B">
      <w:pPr>
        <w:ind w:right="-347"/>
        <w:rPr>
          <w:rFonts w:ascii="Cambria" w:hAnsi="Cambria"/>
          <w:color w:val="000000" w:themeColor="text1"/>
        </w:rPr>
      </w:pPr>
    </w:p>
    <w:p w14:paraId="7C468708" w14:textId="77777777" w:rsidR="000F7C7B" w:rsidRPr="00642FFC" w:rsidRDefault="000F7C7B" w:rsidP="000F7C7B">
      <w:pPr>
        <w:pStyle w:val="NormalWeb"/>
        <w:shd w:val="clear" w:color="auto" w:fill="FFFFFF"/>
        <w:spacing w:before="0" w:beforeAutospacing="0" w:after="0" w:afterAutospacing="0"/>
        <w:rPr>
          <w:rFonts w:ascii="Cambria" w:hAnsi="Cambria"/>
          <w:color w:val="000000"/>
          <w:lang w:val="en-US"/>
        </w:rPr>
      </w:pPr>
      <w:r w:rsidRPr="00642FFC">
        <w:rPr>
          <w:rFonts w:ascii="Cambria" w:hAnsi="Cambria"/>
          <w:color w:val="000000"/>
          <w:lang w:val="en-US"/>
        </w:rPr>
        <w:t>28 February 2020</w:t>
      </w:r>
    </w:p>
    <w:p w14:paraId="38B73C9C" w14:textId="77777777" w:rsidR="000F7C7B" w:rsidRPr="00642FFC" w:rsidRDefault="000F7C7B" w:rsidP="000F7C7B">
      <w:pPr>
        <w:pStyle w:val="NormalWeb"/>
        <w:shd w:val="clear" w:color="auto" w:fill="FFFFFF"/>
        <w:spacing w:before="0" w:beforeAutospacing="0" w:after="0" w:afterAutospacing="0"/>
        <w:rPr>
          <w:rFonts w:ascii="Cambria" w:hAnsi="Cambria"/>
          <w:color w:val="000000"/>
          <w:lang w:val="en-US"/>
        </w:rPr>
      </w:pPr>
    </w:p>
    <w:p w14:paraId="689D0C81" w14:textId="77777777" w:rsidR="000F7C7B" w:rsidRPr="00642FFC" w:rsidRDefault="000F7C7B" w:rsidP="000F7C7B">
      <w:pPr>
        <w:pStyle w:val="NormalWeb"/>
        <w:shd w:val="clear" w:color="auto" w:fill="FFFFFF"/>
        <w:spacing w:before="0" w:beforeAutospacing="0" w:after="0" w:afterAutospacing="0"/>
        <w:rPr>
          <w:rFonts w:ascii="Cambria" w:hAnsi="Cambria"/>
          <w:color w:val="000000"/>
          <w:lang w:val="en-US"/>
        </w:rPr>
      </w:pPr>
      <w:r w:rsidRPr="00642FFC">
        <w:rPr>
          <w:rFonts w:ascii="Cambria" w:hAnsi="Cambria"/>
          <w:color w:val="000000"/>
          <w:bdr w:val="none" w:sz="0" w:space="0" w:color="auto" w:frame="1"/>
          <w:lang w:val="en-US"/>
        </w:rPr>
        <w:t>The Chair</w:t>
      </w:r>
    </w:p>
    <w:p w14:paraId="6BF596EA" w14:textId="77777777" w:rsidR="000F7C7B" w:rsidRPr="00642FFC" w:rsidRDefault="000F7C7B" w:rsidP="000F7C7B">
      <w:pPr>
        <w:pStyle w:val="NormalWeb"/>
        <w:shd w:val="clear" w:color="auto" w:fill="FFFFFF"/>
        <w:spacing w:before="0" w:beforeAutospacing="0" w:after="0" w:afterAutospacing="0"/>
        <w:rPr>
          <w:rFonts w:ascii="Cambria" w:hAnsi="Cambria"/>
          <w:color w:val="000000"/>
          <w:lang w:val="en-US"/>
        </w:rPr>
      </w:pPr>
      <w:r w:rsidRPr="00642FFC">
        <w:rPr>
          <w:rFonts w:ascii="Cambria" w:hAnsi="Cambria"/>
          <w:color w:val="000000"/>
          <w:bdr w:val="none" w:sz="0" w:space="0" w:color="auto" w:frame="1"/>
          <w:lang w:val="en-US"/>
        </w:rPr>
        <w:t>Age of Criminal Responsibility Working Group</w:t>
      </w:r>
    </w:p>
    <w:p w14:paraId="47AB77FB" w14:textId="77777777" w:rsidR="000F7C7B" w:rsidRPr="00642FFC" w:rsidRDefault="000F7C7B" w:rsidP="000F7C7B">
      <w:pPr>
        <w:pStyle w:val="NormalWeb"/>
        <w:shd w:val="clear" w:color="auto" w:fill="FFFFFF"/>
        <w:spacing w:before="0" w:beforeAutospacing="0" w:after="0" w:afterAutospacing="0"/>
        <w:rPr>
          <w:rFonts w:ascii="Cambria" w:hAnsi="Cambria"/>
          <w:color w:val="000000"/>
          <w:lang w:val="en-US"/>
        </w:rPr>
      </w:pPr>
      <w:r w:rsidRPr="00642FFC">
        <w:rPr>
          <w:rFonts w:ascii="Cambria" w:hAnsi="Cambria"/>
          <w:color w:val="000000"/>
          <w:bdr w:val="none" w:sz="0" w:space="0" w:color="auto" w:frame="1"/>
          <w:lang w:val="en-US"/>
        </w:rPr>
        <w:t>c/- Strategic Reform Division</w:t>
      </w:r>
    </w:p>
    <w:p w14:paraId="1826C475" w14:textId="77777777" w:rsidR="000F7C7B" w:rsidRPr="00642FFC" w:rsidRDefault="000F7C7B" w:rsidP="000F7C7B">
      <w:pPr>
        <w:pStyle w:val="NormalWeb"/>
        <w:shd w:val="clear" w:color="auto" w:fill="FFFFFF"/>
        <w:spacing w:before="0" w:beforeAutospacing="0" w:after="0" w:afterAutospacing="0"/>
        <w:rPr>
          <w:rFonts w:ascii="Cambria" w:hAnsi="Cambria"/>
          <w:color w:val="000000"/>
          <w:lang w:val="en-US"/>
        </w:rPr>
      </w:pPr>
      <w:r w:rsidRPr="00642FFC">
        <w:rPr>
          <w:rFonts w:ascii="Cambria" w:hAnsi="Cambria"/>
          <w:color w:val="000000"/>
          <w:bdr w:val="none" w:sz="0" w:space="0" w:color="auto" w:frame="1"/>
          <w:lang w:val="en-US"/>
        </w:rPr>
        <w:t>Department of Justice</w:t>
      </w:r>
    </w:p>
    <w:p w14:paraId="224B820A" w14:textId="77777777" w:rsidR="000F7C7B" w:rsidRPr="00642FFC" w:rsidRDefault="000F7C7B" w:rsidP="000F7C7B">
      <w:pPr>
        <w:pStyle w:val="NormalWeb"/>
        <w:shd w:val="clear" w:color="auto" w:fill="FFFFFF"/>
        <w:spacing w:before="0" w:beforeAutospacing="0" w:after="0" w:afterAutospacing="0"/>
        <w:rPr>
          <w:rFonts w:ascii="Cambria" w:hAnsi="Cambria"/>
          <w:color w:val="000000"/>
          <w:lang w:val="en-US"/>
        </w:rPr>
      </w:pPr>
      <w:r w:rsidRPr="00642FFC">
        <w:rPr>
          <w:rFonts w:ascii="Cambria" w:hAnsi="Cambria"/>
          <w:color w:val="000000"/>
          <w:bdr w:val="none" w:sz="0" w:space="0" w:color="auto" w:frame="1"/>
          <w:lang w:val="en-US"/>
        </w:rPr>
        <w:t>GPO Box F317</w:t>
      </w:r>
    </w:p>
    <w:p w14:paraId="45C882B0" w14:textId="77777777" w:rsidR="000F7C7B" w:rsidRPr="00642FFC" w:rsidRDefault="000F7C7B" w:rsidP="000F7C7B">
      <w:pPr>
        <w:pStyle w:val="NormalWeb"/>
        <w:shd w:val="clear" w:color="auto" w:fill="FFFFFF"/>
        <w:spacing w:before="0" w:beforeAutospacing="0" w:after="0" w:afterAutospacing="0"/>
        <w:rPr>
          <w:rFonts w:ascii="Cambria" w:hAnsi="Cambria"/>
          <w:color w:val="000000"/>
          <w:lang w:val="en-US"/>
        </w:rPr>
      </w:pPr>
      <w:r w:rsidRPr="00642FFC">
        <w:rPr>
          <w:rFonts w:ascii="Cambria" w:hAnsi="Cambria"/>
          <w:color w:val="000000"/>
          <w:bdr w:val="none" w:sz="0" w:space="0" w:color="auto" w:frame="1"/>
          <w:shd w:val="clear" w:color="auto" w:fill="FFFFFF"/>
          <w:lang w:val="en-US"/>
        </w:rPr>
        <w:t>PERTH WA 6841</w:t>
      </w:r>
    </w:p>
    <w:p w14:paraId="384A7799" w14:textId="77777777" w:rsidR="000F7C7B" w:rsidRPr="00642FFC" w:rsidRDefault="000F7C7B" w:rsidP="000F7C7B">
      <w:pPr>
        <w:pStyle w:val="NormalWeb"/>
        <w:shd w:val="clear" w:color="auto" w:fill="FFFFFF"/>
        <w:spacing w:before="0" w:beforeAutospacing="0" w:after="0" w:afterAutospacing="0"/>
        <w:rPr>
          <w:rFonts w:ascii="Cambria" w:hAnsi="Cambria"/>
          <w:color w:val="000000"/>
          <w:lang w:val="en-US"/>
        </w:rPr>
      </w:pPr>
    </w:p>
    <w:p w14:paraId="1BDB045F" w14:textId="77777777" w:rsidR="000F7C7B" w:rsidRPr="00642FFC" w:rsidRDefault="000F7C7B" w:rsidP="000F7C7B">
      <w:pPr>
        <w:pStyle w:val="NormalWeb"/>
        <w:shd w:val="clear" w:color="auto" w:fill="FFFFFF"/>
        <w:spacing w:before="0" w:beforeAutospacing="0" w:after="0" w:afterAutospacing="0"/>
        <w:rPr>
          <w:rFonts w:ascii="Cambria" w:hAnsi="Cambria"/>
          <w:color w:val="000000"/>
          <w:lang w:val="en-US"/>
        </w:rPr>
      </w:pPr>
      <w:r w:rsidRPr="00642FFC">
        <w:rPr>
          <w:rFonts w:ascii="Cambria" w:hAnsi="Cambria"/>
          <w:color w:val="000000"/>
          <w:bdr w:val="none" w:sz="0" w:space="0" w:color="auto" w:frame="1"/>
          <w:lang w:val="en-US"/>
        </w:rPr>
        <w:t xml:space="preserve">via email: </w:t>
      </w:r>
      <w:hyperlink r:id="rId8" w:history="1">
        <w:r w:rsidRPr="00642FFC">
          <w:rPr>
            <w:rStyle w:val="Hyperlink"/>
            <w:rFonts w:ascii="Cambria" w:hAnsi="Cambria"/>
            <w:bdr w:val="none" w:sz="0" w:space="0" w:color="auto" w:frame="1"/>
            <w:shd w:val="clear" w:color="auto" w:fill="FFFFFF"/>
            <w:lang w:val="en-US"/>
          </w:rPr>
          <w:t>LegPolicy@justice.wa.gov.au</w:t>
        </w:r>
      </w:hyperlink>
      <w:r w:rsidRPr="00642FFC">
        <w:rPr>
          <w:rFonts w:ascii="Cambria" w:hAnsi="Cambria"/>
          <w:color w:val="000000"/>
          <w:bdr w:val="none" w:sz="0" w:space="0" w:color="auto" w:frame="1"/>
          <w:shd w:val="clear" w:color="auto" w:fill="FFFFFF"/>
          <w:lang w:val="en-US"/>
        </w:rPr>
        <w:t xml:space="preserve"> </w:t>
      </w:r>
      <w:r w:rsidRPr="00642FFC">
        <w:rPr>
          <w:rFonts w:ascii="Cambria" w:hAnsi="Cambria"/>
          <w:color w:val="000000"/>
          <w:bdr w:val="none" w:sz="0" w:space="0" w:color="auto" w:frame="1"/>
          <w:lang w:val="en-US"/>
        </w:rPr>
        <w:t>   </w:t>
      </w:r>
    </w:p>
    <w:p w14:paraId="3C43778B" w14:textId="77777777" w:rsidR="000F7C7B" w:rsidRPr="00642FFC" w:rsidRDefault="000F7C7B" w:rsidP="000F7C7B">
      <w:pPr>
        <w:pStyle w:val="NormalWeb"/>
        <w:shd w:val="clear" w:color="auto" w:fill="FFFFFF"/>
        <w:spacing w:before="0" w:beforeAutospacing="0" w:after="0" w:afterAutospacing="0"/>
        <w:rPr>
          <w:rFonts w:ascii="Cambria" w:hAnsi="Cambria"/>
          <w:color w:val="000000"/>
          <w:lang w:val="en-US"/>
        </w:rPr>
      </w:pPr>
      <w:r w:rsidRPr="00642FFC">
        <w:rPr>
          <w:rFonts w:ascii="Cambria" w:hAnsi="Cambria"/>
          <w:color w:val="000000"/>
          <w:lang w:val="en-US"/>
        </w:rPr>
        <w:t> </w:t>
      </w:r>
    </w:p>
    <w:p w14:paraId="034DF0D5" w14:textId="77777777" w:rsidR="000F7C7B" w:rsidRPr="00642FFC" w:rsidRDefault="000F7C7B" w:rsidP="000F7C7B">
      <w:pPr>
        <w:pStyle w:val="NormalWeb"/>
        <w:shd w:val="clear" w:color="auto" w:fill="FFFFFF"/>
        <w:spacing w:before="0" w:beforeAutospacing="0" w:after="0" w:afterAutospacing="0"/>
        <w:rPr>
          <w:rFonts w:ascii="Cambria" w:hAnsi="Cambria"/>
          <w:color w:val="000000"/>
          <w:lang w:val="en-US"/>
        </w:rPr>
      </w:pPr>
      <w:r w:rsidRPr="00642FFC">
        <w:rPr>
          <w:rFonts w:ascii="Cambria" w:hAnsi="Cambria"/>
          <w:color w:val="000000"/>
          <w:lang w:val="en-US"/>
        </w:rPr>
        <w:t>To the Council of Attorneys-General,</w:t>
      </w:r>
      <w:r w:rsidRPr="00642FFC">
        <w:rPr>
          <w:rFonts w:ascii="Cambria" w:hAnsi="Cambria"/>
          <w:color w:val="000000"/>
          <w:bdr w:val="none" w:sz="0" w:space="0" w:color="auto" w:frame="1"/>
          <w:lang w:val="en-US"/>
        </w:rPr>
        <w:t> </w:t>
      </w:r>
    </w:p>
    <w:p w14:paraId="601CCCFB" w14:textId="77777777" w:rsidR="000F7C7B" w:rsidRPr="00642FFC" w:rsidRDefault="000F7C7B" w:rsidP="000F7C7B">
      <w:pPr>
        <w:pStyle w:val="NormalWeb"/>
        <w:pBdr>
          <w:bottom w:val="single" w:sz="6" w:space="1" w:color="auto"/>
        </w:pBdr>
        <w:shd w:val="clear" w:color="auto" w:fill="FFFFFF"/>
        <w:spacing w:before="0" w:beforeAutospacing="0" w:after="0" w:afterAutospacing="0"/>
        <w:rPr>
          <w:rFonts w:ascii="Cambria" w:hAnsi="Cambria"/>
          <w:color w:val="000000"/>
          <w:lang w:val="en-US"/>
        </w:rPr>
      </w:pPr>
      <w:r w:rsidRPr="00642FFC">
        <w:rPr>
          <w:rFonts w:ascii="Cambria" w:hAnsi="Cambria"/>
          <w:b/>
          <w:bCs/>
          <w:color w:val="000000"/>
          <w:lang w:val="en-US"/>
        </w:rPr>
        <w:t>Re: </w:t>
      </w:r>
      <w:r w:rsidRPr="00642FFC">
        <w:rPr>
          <w:rFonts w:ascii="Cambria" w:hAnsi="Cambria"/>
          <w:b/>
          <w:bCs/>
          <w:i/>
          <w:iCs/>
          <w:color w:val="000000"/>
          <w:lang w:val="en-US"/>
        </w:rPr>
        <w:t>Age of Criminal Responsibility Working Group Review</w:t>
      </w:r>
    </w:p>
    <w:p w14:paraId="4BF09C77" w14:textId="77777777" w:rsidR="000F7C7B" w:rsidRPr="00642FFC" w:rsidRDefault="000F7C7B" w:rsidP="000F7C7B">
      <w:pPr>
        <w:jc w:val="both"/>
        <w:rPr>
          <w:rFonts w:ascii="Cambria" w:hAnsi="Cambria" w:cs="Calibri"/>
          <w:color w:val="000000" w:themeColor="text1"/>
          <w:lang w:val="en-US"/>
        </w:rPr>
      </w:pPr>
    </w:p>
    <w:p w14:paraId="68AF658F" w14:textId="149C8528" w:rsidR="000F7C7B" w:rsidRPr="00642FFC" w:rsidRDefault="000F7C7B" w:rsidP="000F7C7B">
      <w:pPr>
        <w:pStyle w:val="NormalWeb"/>
        <w:shd w:val="clear" w:color="auto" w:fill="FFFFFF"/>
        <w:spacing w:before="0" w:beforeAutospacing="0" w:after="0" w:afterAutospacing="0"/>
        <w:jc w:val="both"/>
        <w:rPr>
          <w:rFonts w:ascii="Cambria" w:hAnsi="Cambria"/>
          <w:color w:val="000000"/>
          <w:lang w:val="en-US"/>
        </w:rPr>
      </w:pPr>
      <w:r w:rsidRPr="00642FFC">
        <w:rPr>
          <w:rFonts w:ascii="Cambria" w:hAnsi="Cambria" w:cs="Calibri"/>
          <w:color w:val="000000"/>
          <w:bdr w:val="none" w:sz="0" w:space="0" w:color="auto" w:frame="1"/>
          <w:lang w:val="en-US"/>
        </w:rPr>
        <w:t xml:space="preserve">Community Legal </w:t>
      </w:r>
      <w:proofErr w:type="spellStart"/>
      <w:r w:rsidRPr="00642FFC">
        <w:rPr>
          <w:rFonts w:ascii="Cambria" w:hAnsi="Cambria" w:cs="Calibri"/>
          <w:color w:val="000000"/>
          <w:bdr w:val="none" w:sz="0" w:space="0" w:color="auto" w:frame="1"/>
          <w:lang w:val="en-US"/>
        </w:rPr>
        <w:t>Centres</w:t>
      </w:r>
      <w:proofErr w:type="spellEnd"/>
      <w:r w:rsidRPr="00642FFC">
        <w:rPr>
          <w:rFonts w:ascii="Cambria" w:hAnsi="Cambria" w:cs="Calibri"/>
          <w:color w:val="000000"/>
          <w:bdr w:val="none" w:sz="0" w:space="0" w:color="auto" w:frame="1"/>
          <w:lang w:val="en-US"/>
        </w:rPr>
        <w:t xml:space="preserve"> Tasmania (CLC Tas)</w:t>
      </w:r>
      <w:r w:rsidRPr="00642FFC">
        <w:rPr>
          <w:rFonts w:ascii="Cambria" w:hAnsi="Cambria"/>
          <w:color w:val="000000"/>
          <w:lang w:val="en-US"/>
        </w:rPr>
        <w:t xml:space="preserve"> welcomes the opportunity to provide comment </w:t>
      </w:r>
      <w:r w:rsidR="007E56F5" w:rsidRPr="00642FFC">
        <w:rPr>
          <w:rFonts w:ascii="Cambria" w:hAnsi="Cambria"/>
          <w:color w:val="000000"/>
          <w:lang w:val="en-US"/>
        </w:rPr>
        <w:t xml:space="preserve">to the Council of Attorneys-General </w:t>
      </w:r>
      <w:r w:rsidRPr="00642FFC">
        <w:rPr>
          <w:rFonts w:ascii="Cambria" w:hAnsi="Cambria"/>
          <w:color w:val="000000"/>
          <w:lang w:val="en-US"/>
        </w:rPr>
        <w:t xml:space="preserve">on the </w:t>
      </w:r>
      <w:r w:rsidRPr="00642FFC">
        <w:rPr>
          <w:rFonts w:ascii="Cambria" w:hAnsi="Cambria"/>
          <w:i/>
          <w:color w:val="000000"/>
          <w:lang w:val="en-US"/>
        </w:rPr>
        <w:t>Age of Criminal Responsibility Working Group Review</w:t>
      </w:r>
      <w:r w:rsidRPr="00642FFC">
        <w:rPr>
          <w:rFonts w:ascii="Cambria" w:hAnsi="Cambria"/>
          <w:color w:val="000000"/>
          <w:lang w:val="en-US"/>
        </w:rPr>
        <w:t xml:space="preserve"> (‘the Review’).</w:t>
      </w:r>
      <w:r w:rsidRPr="00642FFC">
        <w:rPr>
          <w:rFonts w:ascii="Cambria" w:hAnsi="Cambria"/>
          <w:color w:val="000000"/>
          <w:bdr w:val="none" w:sz="0" w:space="0" w:color="auto" w:frame="1"/>
          <w:lang w:val="en-US"/>
        </w:rPr>
        <w:t> </w:t>
      </w:r>
    </w:p>
    <w:p w14:paraId="2BD8011B" w14:textId="77777777" w:rsidR="000F7C7B" w:rsidRPr="00642FFC" w:rsidRDefault="000F7C7B" w:rsidP="000F7C7B">
      <w:pPr>
        <w:pStyle w:val="NormalWeb"/>
        <w:shd w:val="clear" w:color="auto" w:fill="FFFFFF"/>
        <w:spacing w:before="0" w:beforeAutospacing="0" w:after="0" w:afterAutospacing="0"/>
        <w:jc w:val="both"/>
        <w:rPr>
          <w:rFonts w:ascii="Cambria" w:hAnsi="Cambria"/>
          <w:color w:val="000000"/>
          <w:lang w:val="en-US"/>
        </w:rPr>
      </w:pPr>
    </w:p>
    <w:p w14:paraId="18AF40B4" w14:textId="77777777" w:rsidR="000F7C7B" w:rsidRPr="00642FFC" w:rsidRDefault="000F7C7B" w:rsidP="000F7C7B">
      <w:pPr>
        <w:pStyle w:val="NormalWeb"/>
        <w:shd w:val="clear" w:color="auto" w:fill="FFFFFF"/>
        <w:spacing w:before="0" w:beforeAutospacing="0" w:after="0" w:afterAutospacing="0"/>
        <w:jc w:val="both"/>
        <w:rPr>
          <w:rFonts w:ascii="Cambria" w:hAnsi="Cambria"/>
          <w:color w:val="000000"/>
          <w:lang w:val="en-US"/>
        </w:rPr>
      </w:pPr>
      <w:r w:rsidRPr="00642FFC">
        <w:rPr>
          <w:rFonts w:ascii="Cambria" w:hAnsi="Cambria"/>
          <w:color w:val="000000"/>
          <w:lang w:val="en-US"/>
        </w:rPr>
        <w:t xml:space="preserve">CLC Tas is the peak body representing the interests of nine community legal </w:t>
      </w:r>
      <w:proofErr w:type="spellStart"/>
      <w:r w:rsidRPr="00642FFC">
        <w:rPr>
          <w:rFonts w:ascii="Cambria" w:hAnsi="Cambria"/>
          <w:color w:val="000000"/>
          <w:lang w:val="en-US"/>
        </w:rPr>
        <w:t>centres</w:t>
      </w:r>
      <w:proofErr w:type="spellEnd"/>
      <w:r w:rsidRPr="00642FFC">
        <w:rPr>
          <w:rFonts w:ascii="Cambria" w:hAnsi="Cambria"/>
          <w:color w:val="000000"/>
          <w:lang w:val="en-US"/>
        </w:rPr>
        <w:t xml:space="preserve"> (CLCs) located throughout Tasmania. We are a member-based, independent, not-for-profit and incorporated </w:t>
      </w:r>
      <w:proofErr w:type="spellStart"/>
      <w:r w:rsidRPr="00642FFC">
        <w:rPr>
          <w:rFonts w:ascii="Cambria" w:hAnsi="Cambria"/>
          <w:color w:val="000000"/>
          <w:lang w:val="en-US"/>
        </w:rPr>
        <w:t>organisation</w:t>
      </w:r>
      <w:proofErr w:type="spellEnd"/>
      <w:r w:rsidRPr="00642FFC">
        <w:rPr>
          <w:rFonts w:ascii="Cambria" w:hAnsi="Cambria"/>
          <w:color w:val="000000"/>
          <w:lang w:val="en-US"/>
        </w:rPr>
        <w:t xml:space="preserve"> that advocates for law reform on a range of public interest matters aimed at improving access to justice, reducing discrimination and protecting and promoting human rights.</w:t>
      </w:r>
      <w:r w:rsidRPr="00642FFC">
        <w:rPr>
          <w:rFonts w:ascii="Cambria" w:hAnsi="Cambria"/>
          <w:color w:val="000000"/>
          <w:bdr w:val="none" w:sz="0" w:space="0" w:color="auto" w:frame="1"/>
          <w:lang w:val="en-US"/>
        </w:rPr>
        <w:t> </w:t>
      </w:r>
    </w:p>
    <w:p w14:paraId="1651EF58" w14:textId="77777777" w:rsidR="000F7C7B" w:rsidRPr="00642FFC" w:rsidRDefault="000F7C7B" w:rsidP="000F7C7B">
      <w:pPr>
        <w:pStyle w:val="NormalWeb"/>
        <w:shd w:val="clear" w:color="auto" w:fill="FFFFFF"/>
        <w:spacing w:before="0" w:beforeAutospacing="0" w:after="0" w:afterAutospacing="0"/>
        <w:jc w:val="both"/>
        <w:rPr>
          <w:rFonts w:ascii="Cambria" w:hAnsi="Cambria"/>
          <w:color w:val="000000"/>
          <w:lang w:val="en-US"/>
        </w:rPr>
      </w:pPr>
    </w:p>
    <w:p w14:paraId="6057AE0D" w14:textId="3913DD0B" w:rsidR="000F7C7B" w:rsidRPr="00642FFC" w:rsidRDefault="000F7C7B" w:rsidP="000F7C7B">
      <w:pPr>
        <w:pStyle w:val="NormalWeb"/>
        <w:shd w:val="clear" w:color="auto" w:fill="FFFFFF"/>
        <w:spacing w:before="0" w:beforeAutospacing="0" w:after="0" w:afterAutospacing="0"/>
        <w:jc w:val="both"/>
        <w:rPr>
          <w:rFonts w:ascii="Cambria" w:hAnsi="Cambria"/>
          <w:color w:val="000000"/>
          <w:lang w:val="en-US"/>
        </w:rPr>
      </w:pPr>
      <w:r w:rsidRPr="00642FFC">
        <w:rPr>
          <w:rFonts w:ascii="Cambria" w:hAnsi="Cambria"/>
          <w:color w:val="000000"/>
          <w:lang w:val="en-US"/>
        </w:rPr>
        <w:t xml:space="preserve">We strongly support raising the age of criminal responsibility across Australia. </w:t>
      </w:r>
      <w:r w:rsidR="00A7319B" w:rsidRPr="00642FFC">
        <w:rPr>
          <w:rFonts w:ascii="Cambria" w:hAnsi="Cambria"/>
          <w:color w:val="000000"/>
          <w:lang w:val="en-US"/>
        </w:rPr>
        <w:t>In our view, i</w:t>
      </w:r>
      <w:r w:rsidRPr="00642FFC">
        <w:rPr>
          <w:rFonts w:ascii="Cambria" w:hAnsi="Cambria"/>
          <w:color w:val="000000"/>
          <w:lang w:val="en-US"/>
        </w:rPr>
        <w:t xml:space="preserve">t is out of step with international best practice, human rights law and with </w:t>
      </w:r>
      <w:r w:rsidR="002C07D4" w:rsidRPr="00642FFC">
        <w:rPr>
          <w:rFonts w:ascii="Cambria" w:hAnsi="Cambria"/>
          <w:color w:val="000000"/>
          <w:lang w:val="en-US"/>
        </w:rPr>
        <w:t>neuro</w:t>
      </w:r>
      <w:r w:rsidRPr="00642FFC">
        <w:rPr>
          <w:rFonts w:ascii="Cambria" w:hAnsi="Cambria"/>
          <w:color w:val="000000"/>
          <w:lang w:val="en-US"/>
        </w:rPr>
        <w:t xml:space="preserve">scientific </w:t>
      </w:r>
      <w:r w:rsidR="002C07D4" w:rsidRPr="00642FFC">
        <w:rPr>
          <w:rFonts w:ascii="Cambria" w:hAnsi="Cambria"/>
          <w:color w:val="000000"/>
          <w:lang w:val="en-US"/>
        </w:rPr>
        <w:t>studies of</w:t>
      </w:r>
      <w:r w:rsidRPr="00642FFC">
        <w:rPr>
          <w:rFonts w:ascii="Cambria" w:hAnsi="Cambria"/>
          <w:color w:val="000000"/>
          <w:lang w:val="en-US"/>
        </w:rPr>
        <w:t xml:space="preserve"> children’s brain development which clearly demonstrates that children under </w:t>
      </w:r>
      <w:r w:rsidR="00F62E94">
        <w:rPr>
          <w:rFonts w:ascii="Cambria" w:hAnsi="Cambria"/>
          <w:color w:val="000000"/>
          <w:lang w:val="en-US"/>
        </w:rPr>
        <w:t>12</w:t>
      </w:r>
      <w:r w:rsidRPr="00642FFC">
        <w:rPr>
          <w:rFonts w:ascii="Cambria" w:hAnsi="Cambria"/>
          <w:color w:val="000000"/>
          <w:lang w:val="en-US"/>
        </w:rPr>
        <w:t xml:space="preserve"> years of age lack the necessary capacities for full criminal responsibility.</w:t>
      </w:r>
      <w:r w:rsidRPr="00642FFC">
        <w:rPr>
          <w:rFonts w:ascii="Cambria" w:hAnsi="Cambria"/>
          <w:color w:val="000000"/>
          <w:bdr w:val="none" w:sz="0" w:space="0" w:color="auto" w:frame="1"/>
          <w:lang w:val="en-US"/>
        </w:rPr>
        <w:t> </w:t>
      </w:r>
    </w:p>
    <w:p w14:paraId="1EBD1393" w14:textId="77777777" w:rsidR="001C5DDB" w:rsidRPr="00642FFC" w:rsidRDefault="001C5DDB" w:rsidP="000F7C7B">
      <w:pPr>
        <w:pStyle w:val="NormalWeb"/>
        <w:shd w:val="clear" w:color="auto" w:fill="FFFFFF"/>
        <w:spacing w:before="0" w:beforeAutospacing="0" w:after="0" w:afterAutospacing="0"/>
        <w:jc w:val="both"/>
        <w:rPr>
          <w:rFonts w:ascii="Cambria" w:hAnsi="Cambria"/>
          <w:color w:val="000000"/>
          <w:lang w:val="en-US"/>
        </w:rPr>
      </w:pPr>
    </w:p>
    <w:p w14:paraId="56A4A2A0" w14:textId="77777777" w:rsidR="000F7C7B" w:rsidRPr="00642FFC" w:rsidRDefault="000F7C7B" w:rsidP="000F7C7B">
      <w:pPr>
        <w:pStyle w:val="NormalWeb"/>
        <w:numPr>
          <w:ilvl w:val="0"/>
          <w:numId w:val="5"/>
        </w:numPr>
        <w:shd w:val="clear" w:color="auto" w:fill="FFFFFF"/>
        <w:spacing w:before="0" w:beforeAutospacing="0" w:after="0" w:afterAutospacing="0"/>
        <w:jc w:val="both"/>
        <w:rPr>
          <w:rFonts w:ascii="Cambria" w:hAnsi="Cambria"/>
          <w:b/>
          <w:i/>
          <w:color w:val="000000"/>
          <w:lang w:val="en-US"/>
        </w:rPr>
      </w:pPr>
      <w:r w:rsidRPr="00642FFC">
        <w:rPr>
          <w:rFonts w:ascii="Cambria" w:hAnsi="Cambria"/>
          <w:b/>
          <w:i/>
          <w:color w:val="000000"/>
          <w:lang w:val="en-US"/>
        </w:rPr>
        <w:t>The Age of Criminal Responsibility and the Law</w:t>
      </w:r>
    </w:p>
    <w:p w14:paraId="04FFC51F" w14:textId="77777777" w:rsidR="000F7C7B" w:rsidRPr="00642FFC" w:rsidRDefault="000F7C7B" w:rsidP="000F7C7B">
      <w:pPr>
        <w:pStyle w:val="NormalWeb"/>
        <w:shd w:val="clear" w:color="auto" w:fill="FFFFFF"/>
        <w:spacing w:before="0" w:beforeAutospacing="0" w:after="0" w:afterAutospacing="0"/>
        <w:jc w:val="both"/>
        <w:rPr>
          <w:rFonts w:ascii="Cambria" w:hAnsi="Cambria"/>
          <w:color w:val="000000"/>
          <w:lang w:val="en-US"/>
        </w:rPr>
      </w:pPr>
      <w:r w:rsidRPr="00642FFC">
        <w:rPr>
          <w:rFonts w:ascii="Cambria" w:hAnsi="Cambria"/>
          <w:color w:val="000000"/>
          <w:lang w:val="en-US"/>
        </w:rPr>
        <w:t>In Tasmania, 10 is the minimum age at which </w:t>
      </w:r>
      <w:r w:rsidRPr="00642FFC">
        <w:rPr>
          <w:rFonts w:ascii="Cambria" w:hAnsi="Cambria"/>
          <w:color w:val="000000"/>
          <w:bdr w:val="none" w:sz="0" w:space="0" w:color="auto" w:frame="1"/>
          <w:shd w:val="clear" w:color="auto" w:fill="FFFFFF"/>
          <w:lang w:val="en-US"/>
        </w:rPr>
        <w:t>a child can be charged, brought before a court, sentenced and imprisoned</w:t>
      </w:r>
      <w:r w:rsidRPr="00642FFC">
        <w:rPr>
          <w:rFonts w:ascii="Cambria" w:hAnsi="Cambria"/>
          <w:color w:val="000000"/>
          <w:lang w:val="en-US"/>
        </w:rPr>
        <w:t>. Section 18(1) of the </w:t>
      </w:r>
      <w:r w:rsidRPr="00642FFC">
        <w:rPr>
          <w:rFonts w:ascii="Cambria" w:hAnsi="Cambria"/>
          <w:i/>
          <w:iCs/>
          <w:color w:val="000000"/>
          <w:lang w:val="en-US"/>
        </w:rPr>
        <w:t>Criminal Code Act 1924</w:t>
      </w:r>
      <w:r w:rsidRPr="00642FFC">
        <w:rPr>
          <w:rFonts w:ascii="Cambria" w:hAnsi="Cambria"/>
          <w:color w:val="000000"/>
          <w:lang w:val="en-US"/>
        </w:rPr>
        <w:t> (Tas) providing:</w:t>
      </w:r>
    </w:p>
    <w:p w14:paraId="6339E670" w14:textId="77777777" w:rsidR="000F7C7B" w:rsidRPr="00642FFC" w:rsidRDefault="000F7C7B" w:rsidP="000F7C7B">
      <w:pPr>
        <w:pStyle w:val="NormalWeb"/>
        <w:shd w:val="clear" w:color="auto" w:fill="FFFFFF"/>
        <w:spacing w:before="0" w:beforeAutospacing="0" w:after="0" w:afterAutospacing="0"/>
        <w:jc w:val="both"/>
        <w:rPr>
          <w:rFonts w:ascii="Cambria" w:hAnsi="Cambria"/>
          <w:color w:val="000000"/>
          <w:lang w:val="en-US"/>
        </w:rPr>
      </w:pPr>
    </w:p>
    <w:p w14:paraId="3F4A4F06" w14:textId="77777777" w:rsidR="000F7C7B" w:rsidRPr="00642FFC" w:rsidRDefault="000F7C7B" w:rsidP="000F7C7B">
      <w:pPr>
        <w:pStyle w:val="NormalWeb"/>
        <w:shd w:val="clear" w:color="auto" w:fill="FFFFFF"/>
        <w:spacing w:before="0" w:beforeAutospacing="0" w:after="0" w:afterAutospacing="0"/>
        <w:ind w:left="1059" w:hanging="339"/>
        <w:rPr>
          <w:rFonts w:ascii="Cambria" w:hAnsi="Cambria"/>
          <w:color w:val="000000"/>
          <w:sz w:val="22"/>
          <w:szCs w:val="22"/>
          <w:lang w:val="en-US"/>
        </w:rPr>
      </w:pPr>
      <w:r w:rsidRPr="00642FFC">
        <w:rPr>
          <w:rFonts w:ascii="Cambria" w:hAnsi="Cambria"/>
          <w:b/>
          <w:bCs/>
          <w:color w:val="000000"/>
          <w:sz w:val="22"/>
          <w:szCs w:val="22"/>
          <w:bdr w:val="none" w:sz="0" w:space="0" w:color="auto" w:frame="1"/>
          <w:lang w:val="en-US"/>
        </w:rPr>
        <w:t>18.</w:t>
      </w:r>
      <w:r w:rsidRPr="00642FFC">
        <w:rPr>
          <w:rFonts w:ascii="Cambria" w:hAnsi="Cambria"/>
          <w:color w:val="000000"/>
          <w:sz w:val="22"/>
          <w:szCs w:val="22"/>
          <w:bdr w:val="none" w:sz="0" w:space="0" w:color="auto" w:frame="1"/>
          <w:lang w:val="en-US"/>
        </w:rPr>
        <w:t>   </w:t>
      </w:r>
      <w:r w:rsidRPr="00642FFC">
        <w:rPr>
          <w:rFonts w:ascii="Cambria" w:hAnsi="Cambria"/>
          <w:b/>
          <w:bCs/>
          <w:color w:val="000000"/>
          <w:sz w:val="22"/>
          <w:szCs w:val="22"/>
          <w:bdr w:val="none" w:sz="0" w:space="0" w:color="auto" w:frame="1"/>
          <w:lang w:val="en-US"/>
        </w:rPr>
        <w:t>Immature age</w:t>
      </w:r>
    </w:p>
    <w:p w14:paraId="20C66815" w14:textId="77777777" w:rsidR="000F7C7B" w:rsidRPr="00642FFC" w:rsidRDefault="000F7C7B" w:rsidP="000F7C7B">
      <w:pPr>
        <w:pStyle w:val="NormalWeb"/>
        <w:shd w:val="clear" w:color="auto" w:fill="FFFFFF"/>
        <w:spacing w:before="0" w:beforeAutospacing="0" w:after="0" w:afterAutospacing="0"/>
        <w:ind w:left="720"/>
        <w:rPr>
          <w:rFonts w:ascii="Cambria" w:hAnsi="Cambria"/>
          <w:color w:val="000000"/>
          <w:sz w:val="22"/>
          <w:szCs w:val="22"/>
          <w:lang w:val="en-US"/>
        </w:rPr>
      </w:pPr>
      <w:r w:rsidRPr="00642FFC">
        <w:rPr>
          <w:rFonts w:ascii="Cambria" w:hAnsi="Cambria"/>
          <w:color w:val="000000"/>
          <w:sz w:val="22"/>
          <w:szCs w:val="22"/>
          <w:bdr w:val="none" w:sz="0" w:space="0" w:color="auto" w:frame="1"/>
          <w:shd w:val="clear" w:color="auto" w:fill="FFFFFF"/>
          <w:lang w:val="en-US"/>
        </w:rPr>
        <w:t>(1) No act or omission done or made by a person under 10 years of age is an offence.</w:t>
      </w:r>
    </w:p>
    <w:p w14:paraId="7693AB5E" w14:textId="77777777" w:rsidR="000F7C7B" w:rsidRPr="00642FFC" w:rsidRDefault="000F7C7B" w:rsidP="000F7C7B">
      <w:pPr>
        <w:pStyle w:val="NormalWeb"/>
        <w:shd w:val="clear" w:color="auto" w:fill="FFFFFF"/>
        <w:spacing w:before="0" w:beforeAutospacing="0" w:after="0" w:afterAutospacing="0"/>
        <w:jc w:val="both"/>
        <w:rPr>
          <w:rFonts w:ascii="Cambria" w:hAnsi="Cambria"/>
          <w:color w:val="000000"/>
          <w:lang w:val="en-US"/>
        </w:rPr>
      </w:pPr>
      <w:r w:rsidRPr="00642FFC">
        <w:rPr>
          <w:rFonts w:ascii="Cambria" w:hAnsi="Cambria"/>
          <w:color w:val="000000"/>
          <w:bdr w:val="none" w:sz="0" w:space="0" w:color="auto" w:frame="1"/>
          <w:lang w:val="en-US"/>
        </w:rPr>
        <w:t> </w:t>
      </w:r>
    </w:p>
    <w:p w14:paraId="1A2228C4" w14:textId="59E7B6AF" w:rsidR="001C5DDB" w:rsidRPr="00642FFC" w:rsidRDefault="000F7C7B" w:rsidP="00B723E5">
      <w:pPr>
        <w:pStyle w:val="NormalWeb"/>
        <w:shd w:val="clear" w:color="auto" w:fill="FFFFFF"/>
        <w:spacing w:before="0" w:beforeAutospacing="0" w:after="0" w:afterAutospacing="0"/>
        <w:jc w:val="both"/>
        <w:rPr>
          <w:rFonts w:ascii="Cambria" w:hAnsi="Cambria"/>
          <w:color w:val="000000"/>
          <w:lang w:val="en-US"/>
        </w:rPr>
      </w:pPr>
      <w:r w:rsidRPr="00642FFC">
        <w:rPr>
          <w:rFonts w:ascii="Cambria" w:hAnsi="Cambria"/>
          <w:color w:val="000000"/>
          <w:lang w:val="en-US"/>
        </w:rPr>
        <w:t>Similar provisions are contained in other Australian jurisdictions.</w:t>
      </w:r>
      <w:r w:rsidRPr="00642FFC">
        <w:rPr>
          <w:rStyle w:val="FootnoteReference"/>
          <w:rFonts w:ascii="Cambria" w:hAnsi="Cambria"/>
          <w:color w:val="000000"/>
          <w:lang w:val="en-US"/>
        </w:rPr>
        <w:footnoteReference w:id="1"/>
      </w:r>
    </w:p>
    <w:p w14:paraId="29583C6E" w14:textId="77777777" w:rsidR="00163A7C" w:rsidRPr="00642FFC" w:rsidRDefault="00163A7C" w:rsidP="00B723E5">
      <w:pPr>
        <w:pStyle w:val="NormalWeb"/>
        <w:shd w:val="clear" w:color="auto" w:fill="FFFFFF"/>
        <w:spacing w:before="0" w:beforeAutospacing="0" w:after="0" w:afterAutospacing="0"/>
        <w:jc w:val="both"/>
        <w:rPr>
          <w:rFonts w:ascii="Cambria" w:hAnsi="Cambria"/>
          <w:color w:val="000000"/>
          <w:lang w:val="en-US"/>
        </w:rPr>
      </w:pPr>
    </w:p>
    <w:p w14:paraId="2B82A52C" w14:textId="4EE45252" w:rsidR="001C5DDB" w:rsidRPr="00642FFC" w:rsidRDefault="00D05C6C" w:rsidP="001C5DDB">
      <w:pPr>
        <w:pStyle w:val="NormalWeb"/>
        <w:numPr>
          <w:ilvl w:val="0"/>
          <w:numId w:val="5"/>
        </w:numPr>
        <w:shd w:val="clear" w:color="auto" w:fill="FFFFFF"/>
        <w:spacing w:before="0" w:beforeAutospacing="0" w:after="0" w:afterAutospacing="0"/>
        <w:jc w:val="both"/>
        <w:rPr>
          <w:rFonts w:ascii="Cambria" w:hAnsi="Cambria"/>
          <w:b/>
          <w:i/>
          <w:color w:val="000000"/>
          <w:lang w:val="en-US"/>
        </w:rPr>
      </w:pPr>
      <w:r w:rsidRPr="00642FFC">
        <w:rPr>
          <w:rFonts w:ascii="Cambria" w:hAnsi="Cambria"/>
          <w:b/>
          <w:i/>
          <w:color w:val="000000"/>
          <w:lang w:val="en-US"/>
        </w:rPr>
        <w:t>Young Person</w:t>
      </w:r>
      <w:r w:rsidR="001C5DDB" w:rsidRPr="00642FFC">
        <w:rPr>
          <w:rFonts w:ascii="Cambria" w:hAnsi="Cambria"/>
          <w:b/>
          <w:i/>
          <w:color w:val="000000"/>
          <w:lang w:val="en-US"/>
        </w:rPr>
        <w:t>’s Brain Development</w:t>
      </w:r>
    </w:p>
    <w:p w14:paraId="4E0744C7" w14:textId="77777777" w:rsidR="0034462B" w:rsidRPr="00642FFC" w:rsidRDefault="001C5DDB" w:rsidP="0034462B">
      <w:pPr>
        <w:pStyle w:val="NormalWeb"/>
        <w:shd w:val="clear" w:color="auto" w:fill="FFFFFF"/>
        <w:spacing w:before="0" w:beforeAutospacing="0" w:after="0" w:afterAutospacing="0"/>
        <w:jc w:val="both"/>
        <w:rPr>
          <w:rFonts w:ascii="Cambria" w:hAnsi="Cambria"/>
          <w:color w:val="000000"/>
          <w:lang w:val="en-US"/>
        </w:rPr>
      </w:pPr>
      <w:r w:rsidRPr="00642FFC">
        <w:rPr>
          <w:rFonts w:ascii="Cambria" w:hAnsi="Cambria"/>
          <w:color w:val="000000"/>
          <w:bdr w:val="none" w:sz="0" w:space="0" w:color="auto" w:frame="1"/>
          <w:lang w:val="en-US"/>
        </w:rPr>
        <w:t xml:space="preserve">One of the most important reasons for raising the age of criminal responsibility is the acknowledgement that </w:t>
      </w:r>
      <w:r w:rsidR="00D05C6C" w:rsidRPr="00642FFC">
        <w:rPr>
          <w:rFonts w:ascii="Cambria" w:hAnsi="Cambria"/>
          <w:color w:val="000000"/>
          <w:bdr w:val="none" w:sz="0" w:space="0" w:color="auto" w:frame="1"/>
          <w:lang w:val="en-US"/>
        </w:rPr>
        <w:t>young person</w:t>
      </w:r>
      <w:r w:rsidR="00166468" w:rsidRPr="00642FFC">
        <w:rPr>
          <w:rFonts w:ascii="Cambria" w:hAnsi="Cambria"/>
          <w:color w:val="000000"/>
          <w:bdr w:val="none" w:sz="0" w:space="0" w:color="auto" w:frame="1"/>
          <w:lang w:val="en-US"/>
        </w:rPr>
        <w:t xml:space="preserve">’s brains are continuing to mature during adolescence leading to </w:t>
      </w:r>
      <w:r w:rsidR="00D05C6C" w:rsidRPr="00642FFC">
        <w:rPr>
          <w:rFonts w:ascii="Cambria" w:hAnsi="Cambria"/>
          <w:color w:val="000000"/>
          <w:bdr w:val="none" w:sz="0" w:space="0" w:color="auto" w:frame="1"/>
          <w:lang w:val="en-US"/>
        </w:rPr>
        <w:t>their</w:t>
      </w:r>
      <w:r w:rsidR="00166468" w:rsidRPr="00642FFC">
        <w:rPr>
          <w:rFonts w:ascii="Cambria" w:hAnsi="Cambria"/>
          <w:color w:val="000000"/>
          <w:bdr w:val="none" w:sz="0" w:space="0" w:color="auto" w:frame="1"/>
          <w:lang w:val="en-US"/>
        </w:rPr>
        <w:t xml:space="preserve"> being</w:t>
      </w:r>
      <w:r w:rsidR="00D05C6C" w:rsidRPr="00642FFC">
        <w:rPr>
          <w:rFonts w:ascii="Cambria" w:hAnsi="Cambria"/>
          <w:color w:val="000000"/>
          <w:bdr w:val="none" w:sz="0" w:space="0" w:color="auto" w:frame="1"/>
          <w:lang w:val="en-US"/>
        </w:rPr>
        <w:t xml:space="preserve"> </w:t>
      </w:r>
      <w:r w:rsidR="00166468" w:rsidRPr="00642FFC">
        <w:rPr>
          <w:rFonts w:ascii="Cambria" w:hAnsi="Cambria"/>
          <w:color w:val="000000"/>
          <w:bdr w:val="none" w:sz="0" w:space="0" w:color="auto" w:frame="1"/>
          <w:lang w:val="en-US"/>
        </w:rPr>
        <w:t xml:space="preserve">more prone to impulsivity, sensation-seeking and risk-taking behaviors. As Elly Farmer a clinical psychologist reports in </w:t>
      </w:r>
      <w:r w:rsidR="00FD2BE1" w:rsidRPr="00642FFC">
        <w:rPr>
          <w:rFonts w:ascii="Cambria" w:hAnsi="Cambria"/>
          <w:i/>
          <w:color w:val="000000"/>
          <w:bdr w:val="none" w:sz="0" w:space="0" w:color="auto" w:frame="1"/>
          <w:lang w:val="en-US"/>
        </w:rPr>
        <w:t>The age of criminal responsibility: developmental science and human rights perspectives</w:t>
      </w:r>
      <w:r w:rsidR="00FD2BE1" w:rsidRPr="00642FFC">
        <w:rPr>
          <w:rFonts w:ascii="Cambria" w:hAnsi="Cambria"/>
          <w:color w:val="000000"/>
          <w:bdr w:val="none" w:sz="0" w:space="0" w:color="auto" w:frame="1"/>
          <w:lang w:val="en-US"/>
        </w:rPr>
        <w:t>:</w:t>
      </w:r>
      <w:r w:rsidR="0034462B" w:rsidRPr="00642FFC">
        <w:rPr>
          <w:rStyle w:val="FootnoteReference"/>
          <w:rFonts w:ascii="Cambria" w:hAnsi="Cambria"/>
          <w:color w:val="000000"/>
          <w:bdr w:val="none" w:sz="0" w:space="0" w:color="auto" w:frame="1"/>
          <w:lang w:val="en-US"/>
        </w:rPr>
        <w:footnoteReference w:id="2"/>
      </w:r>
    </w:p>
    <w:p w14:paraId="07E65E30" w14:textId="77777777" w:rsidR="0034462B" w:rsidRPr="00642FFC" w:rsidRDefault="0034462B" w:rsidP="0034462B">
      <w:pPr>
        <w:pStyle w:val="NormalWeb"/>
        <w:shd w:val="clear" w:color="auto" w:fill="FFFFFF"/>
        <w:spacing w:before="0" w:beforeAutospacing="0" w:after="0" w:afterAutospacing="0"/>
        <w:jc w:val="both"/>
        <w:rPr>
          <w:rFonts w:ascii="Cambria" w:hAnsi="Cambria"/>
          <w:color w:val="000000"/>
          <w:lang w:val="en-US"/>
        </w:rPr>
      </w:pPr>
    </w:p>
    <w:p w14:paraId="2BB80D63" w14:textId="77777777" w:rsidR="0034462B" w:rsidRPr="00642FFC" w:rsidRDefault="0034462B" w:rsidP="00FD2BE1">
      <w:pPr>
        <w:pStyle w:val="NormalWeb"/>
        <w:shd w:val="clear" w:color="auto" w:fill="FFFFFF"/>
        <w:spacing w:before="0" w:beforeAutospacing="0" w:after="0" w:afterAutospacing="0"/>
        <w:ind w:left="720"/>
        <w:jc w:val="both"/>
        <w:rPr>
          <w:rFonts w:ascii="Cambria" w:hAnsi="Cambria"/>
          <w:color w:val="000000"/>
          <w:sz w:val="22"/>
          <w:szCs w:val="22"/>
          <w:lang w:val="en-US"/>
        </w:rPr>
      </w:pPr>
      <w:r w:rsidRPr="00642FFC">
        <w:rPr>
          <w:rFonts w:ascii="Cambria" w:hAnsi="Cambria"/>
          <w:i/>
          <w:iCs/>
          <w:color w:val="000000"/>
          <w:sz w:val="22"/>
          <w:szCs w:val="22"/>
          <w:bdr w:val="none" w:sz="0" w:space="0" w:color="auto" w:frame="1"/>
          <w:lang w:val="en-US"/>
        </w:rPr>
        <w:t xml:space="preserve">The maturation of the prefrontal cortex occurs gradually over adolescence and is near completion by 18 years. This protracted development occurs alongside greater reactivity of the socioemotional systems of the brain and a general increase in dopaminergic activity associated with heightened sensitivity to reward. This creates a window of potential vulnerability in the early to mid-adolescent period during which the likelihood of impulsivity, sensation-seeking and risk-taking </w:t>
      </w:r>
      <w:proofErr w:type="spellStart"/>
      <w:r w:rsidRPr="00642FFC">
        <w:rPr>
          <w:rFonts w:ascii="Cambria" w:hAnsi="Cambria"/>
          <w:i/>
          <w:iCs/>
          <w:color w:val="000000"/>
          <w:sz w:val="22"/>
          <w:szCs w:val="22"/>
          <w:bdr w:val="none" w:sz="0" w:space="0" w:color="auto" w:frame="1"/>
          <w:lang w:val="en-US"/>
        </w:rPr>
        <w:t>behaviours</w:t>
      </w:r>
      <w:proofErr w:type="spellEnd"/>
      <w:r w:rsidRPr="00642FFC">
        <w:rPr>
          <w:rFonts w:ascii="Cambria" w:hAnsi="Cambria"/>
          <w:i/>
          <w:iCs/>
          <w:color w:val="000000"/>
          <w:sz w:val="22"/>
          <w:szCs w:val="22"/>
          <w:bdr w:val="none" w:sz="0" w:space="0" w:color="auto" w:frame="1"/>
          <w:lang w:val="en-US"/>
        </w:rPr>
        <w:t xml:space="preserve"> is raised.</w:t>
      </w:r>
    </w:p>
    <w:p w14:paraId="4EE66069" w14:textId="77777777" w:rsidR="007A5C5F" w:rsidRPr="00642FFC" w:rsidRDefault="007A5C5F" w:rsidP="00FC36E6">
      <w:pPr>
        <w:pStyle w:val="NormalWeb"/>
        <w:shd w:val="clear" w:color="auto" w:fill="FFFFFF"/>
        <w:spacing w:before="0" w:beforeAutospacing="0" w:after="0" w:afterAutospacing="0"/>
        <w:jc w:val="both"/>
        <w:rPr>
          <w:rFonts w:ascii="Cambria" w:hAnsi="Cambria"/>
          <w:color w:val="000000"/>
          <w:bdr w:val="none" w:sz="0" w:space="0" w:color="auto" w:frame="1"/>
          <w:lang w:val="en-US"/>
        </w:rPr>
      </w:pPr>
    </w:p>
    <w:p w14:paraId="770D86FD" w14:textId="77777777" w:rsidR="001C5DDB" w:rsidRPr="00642FFC" w:rsidRDefault="001C5DDB" w:rsidP="001C5DDB">
      <w:pPr>
        <w:pStyle w:val="NormalWeb"/>
        <w:numPr>
          <w:ilvl w:val="0"/>
          <w:numId w:val="5"/>
        </w:numPr>
        <w:shd w:val="clear" w:color="auto" w:fill="FFFFFF"/>
        <w:spacing w:before="0" w:beforeAutospacing="0" w:after="0" w:afterAutospacing="0"/>
        <w:jc w:val="both"/>
        <w:rPr>
          <w:rFonts w:ascii="Cambria" w:hAnsi="Cambria"/>
          <w:b/>
          <w:i/>
          <w:color w:val="000000"/>
          <w:bdr w:val="none" w:sz="0" w:space="0" w:color="auto" w:frame="1"/>
          <w:lang w:val="en-US"/>
        </w:rPr>
      </w:pPr>
      <w:r w:rsidRPr="00642FFC">
        <w:rPr>
          <w:rFonts w:ascii="Cambria" w:hAnsi="Cambria"/>
          <w:b/>
          <w:i/>
          <w:color w:val="000000"/>
          <w:bdr w:val="none" w:sz="0" w:space="0" w:color="auto" w:frame="1"/>
          <w:lang w:val="en-US"/>
        </w:rPr>
        <w:t xml:space="preserve">Advantages of raising the age of criminal responsibility </w:t>
      </w:r>
    </w:p>
    <w:p w14:paraId="5D0098DC" w14:textId="77777777" w:rsidR="001C5DDB" w:rsidRPr="00642FFC" w:rsidRDefault="000F7C7B" w:rsidP="00FC36E6">
      <w:pPr>
        <w:pStyle w:val="NormalWeb"/>
        <w:shd w:val="clear" w:color="auto" w:fill="FFFFFF"/>
        <w:spacing w:before="0" w:beforeAutospacing="0" w:after="0" w:afterAutospacing="0"/>
        <w:jc w:val="both"/>
        <w:rPr>
          <w:rFonts w:ascii="Cambria" w:hAnsi="Cambria"/>
          <w:color w:val="000000"/>
          <w:lang w:val="en-US"/>
        </w:rPr>
      </w:pPr>
      <w:r w:rsidRPr="00642FFC">
        <w:rPr>
          <w:rFonts w:ascii="Cambria" w:hAnsi="Cambria"/>
          <w:color w:val="000000"/>
          <w:bdr w:val="none" w:sz="0" w:space="0" w:color="auto" w:frame="1"/>
          <w:lang w:val="en-US"/>
        </w:rPr>
        <w:t xml:space="preserve">Raising the age of criminal responsibility would have a number of </w:t>
      </w:r>
      <w:r w:rsidR="00D05C6C" w:rsidRPr="00642FFC">
        <w:rPr>
          <w:rFonts w:ascii="Cambria" w:hAnsi="Cambria"/>
          <w:color w:val="000000"/>
          <w:bdr w:val="none" w:sz="0" w:space="0" w:color="auto" w:frame="1"/>
          <w:lang w:val="en-US"/>
        </w:rPr>
        <w:t>advantages</w:t>
      </w:r>
      <w:r w:rsidRPr="00642FFC">
        <w:rPr>
          <w:rFonts w:ascii="Cambria" w:hAnsi="Cambria"/>
          <w:color w:val="000000"/>
          <w:bdr w:val="none" w:sz="0" w:space="0" w:color="auto" w:frame="1"/>
          <w:lang w:val="en-US"/>
        </w:rPr>
        <w:t xml:space="preserve"> including </w:t>
      </w:r>
      <w:r w:rsidR="00166468" w:rsidRPr="00642FFC">
        <w:rPr>
          <w:rFonts w:ascii="Cambria" w:hAnsi="Cambria"/>
          <w:color w:val="000000"/>
          <w:bdr w:val="none" w:sz="0" w:space="0" w:color="auto" w:frame="1"/>
          <w:lang w:val="en-US"/>
        </w:rPr>
        <w:t>reducing the contact young people and in particular indigenous young people have with the criminal justice system</w:t>
      </w:r>
      <w:r w:rsidR="00D05C6C" w:rsidRPr="00642FFC">
        <w:rPr>
          <w:rFonts w:ascii="Cambria" w:hAnsi="Cambria"/>
          <w:color w:val="000000"/>
          <w:bdr w:val="none" w:sz="0" w:space="0" w:color="auto" w:frame="1"/>
          <w:lang w:val="en-US"/>
        </w:rPr>
        <w:t xml:space="preserve"> and </w:t>
      </w:r>
      <w:r w:rsidR="00B1286F" w:rsidRPr="00642FFC">
        <w:rPr>
          <w:rFonts w:ascii="Cambria" w:hAnsi="Cambria"/>
          <w:color w:val="000000"/>
          <w:bdr w:val="none" w:sz="0" w:space="0" w:color="auto" w:frame="1"/>
          <w:lang w:val="en-US"/>
        </w:rPr>
        <w:t>ensure</w:t>
      </w:r>
      <w:r w:rsidR="00D05C6C" w:rsidRPr="00642FFC">
        <w:rPr>
          <w:rFonts w:ascii="Cambria" w:hAnsi="Cambria"/>
          <w:color w:val="000000"/>
          <w:bdr w:val="none" w:sz="0" w:space="0" w:color="auto" w:frame="1"/>
          <w:lang w:val="en-US"/>
        </w:rPr>
        <w:t xml:space="preserve"> consiste</w:t>
      </w:r>
      <w:r w:rsidR="00B1286F" w:rsidRPr="00642FFC">
        <w:rPr>
          <w:rFonts w:ascii="Cambria" w:hAnsi="Cambria"/>
          <w:color w:val="000000"/>
          <w:bdr w:val="none" w:sz="0" w:space="0" w:color="auto" w:frame="1"/>
          <w:lang w:val="en-US"/>
        </w:rPr>
        <w:t>ncy</w:t>
      </w:r>
      <w:r w:rsidR="00D05C6C" w:rsidRPr="00642FFC">
        <w:rPr>
          <w:rFonts w:ascii="Cambria" w:hAnsi="Cambria"/>
          <w:color w:val="000000"/>
          <w:bdr w:val="none" w:sz="0" w:space="0" w:color="auto" w:frame="1"/>
          <w:lang w:val="en-US"/>
        </w:rPr>
        <w:t xml:space="preserve"> with human rights law. </w:t>
      </w:r>
    </w:p>
    <w:p w14:paraId="7AF520FC" w14:textId="77777777" w:rsidR="00D05C6C" w:rsidRPr="00642FFC" w:rsidRDefault="00D05C6C" w:rsidP="00090CDC">
      <w:pPr>
        <w:pStyle w:val="NormalWeb"/>
        <w:shd w:val="clear" w:color="auto" w:fill="FFFFFF"/>
        <w:spacing w:before="0" w:beforeAutospacing="0" w:after="0" w:afterAutospacing="0"/>
        <w:jc w:val="both"/>
        <w:rPr>
          <w:rFonts w:ascii="Cambria" w:hAnsi="Cambria"/>
          <w:color w:val="000000"/>
          <w:bdr w:val="none" w:sz="0" w:space="0" w:color="auto" w:frame="1"/>
          <w:shd w:val="clear" w:color="auto" w:fill="FFFFFF"/>
          <w:lang w:val="en-US"/>
        </w:rPr>
      </w:pPr>
    </w:p>
    <w:p w14:paraId="28FF676C" w14:textId="5EFAAE26" w:rsidR="00090CDC" w:rsidRPr="00642FFC" w:rsidRDefault="00090CDC" w:rsidP="00090CDC">
      <w:pPr>
        <w:pStyle w:val="NormalWeb"/>
        <w:shd w:val="clear" w:color="auto" w:fill="FFFFFF"/>
        <w:spacing w:before="0" w:beforeAutospacing="0" w:after="0" w:afterAutospacing="0"/>
        <w:jc w:val="both"/>
        <w:rPr>
          <w:rFonts w:ascii="Cambria" w:hAnsi="Cambria"/>
          <w:color w:val="000000"/>
          <w:bdr w:val="none" w:sz="0" w:space="0" w:color="auto" w:frame="1"/>
          <w:lang w:val="en-US"/>
        </w:rPr>
      </w:pPr>
      <w:r w:rsidRPr="00642FFC">
        <w:rPr>
          <w:rFonts w:ascii="Cambria" w:hAnsi="Cambria"/>
          <w:color w:val="000000"/>
          <w:bdr w:val="none" w:sz="0" w:space="0" w:color="auto" w:frame="1"/>
          <w:shd w:val="clear" w:color="auto" w:fill="FFFFFF"/>
          <w:lang w:val="en-US"/>
        </w:rPr>
        <w:t>A</w:t>
      </w:r>
      <w:r w:rsidRPr="00642FFC">
        <w:rPr>
          <w:rFonts w:ascii="Cambria" w:hAnsi="Cambria"/>
          <w:color w:val="000000"/>
          <w:bdr w:val="none" w:sz="0" w:space="0" w:color="auto" w:frame="1"/>
          <w:lang w:val="en-US"/>
        </w:rPr>
        <w:t>ccording to the most recent data, there were 974 young persons in detention across Australia on an average day in 2017-18, with more than 4,900 in detention some time during the year.</w:t>
      </w:r>
      <w:r w:rsidRPr="00642FFC">
        <w:rPr>
          <w:rStyle w:val="FootnoteReference"/>
          <w:rFonts w:ascii="Cambria" w:hAnsi="Cambria"/>
          <w:color w:val="000000"/>
          <w:bdr w:val="none" w:sz="0" w:space="0" w:color="auto" w:frame="1"/>
          <w:lang w:val="en-US"/>
        </w:rPr>
        <w:footnoteReference w:id="3"/>
      </w:r>
      <w:r w:rsidRPr="00642FFC">
        <w:rPr>
          <w:rFonts w:ascii="Cambria" w:hAnsi="Cambria"/>
          <w:color w:val="000000"/>
          <w:bdr w:val="none" w:sz="0" w:space="0" w:color="auto" w:frame="1"/>
          <w:lang w:val="en-US"/>
        </w:rPr>
        <w:t> Whilst most of these young persons are over 12 years of age,</w:t>
      </w:r>
      <w:r w:rsidRPr="00642FFC">
        <w:rPr>
          <w:rStyle w:val="FootnoteReference"/>
          <w:rFonts w:ascii="Cambria" w:hAnsi="Cambria"/>
          <w:color w:val="000000"/>
          <w:bdr w:val="none" w:sz="0" w:space="0" w:color="auto" w:frame="1"/>
          <w:lang w:val="en-US"/>
        </w:rPr>
        <w:footnoteReference w:id="4"/>
      </w:r>
      <w:r w:rsidRPr="00642FFC">
        <w:rPr>
          <w:rFonts w:ascii="Cambria" w:hAnsi="Cambria"/>
          <w:color w:val="000000"/>
          <w:bdr w:val="none" w:sz="0" w:space="0" w:color="auto" w:frame="1"/>
          <w:lang w:val="en-US"/>
        </w:rPr>
        <w:t xml:space="preserve"> research points to a well-recognized link between </w:t>
      </w:r>
      <w:r w:rsidR="002C07D4" w:rsidRPr="00642FFC">
        <w:rPr>
          <w:rFonts w:ascii="Cambria" w:hAnsi="Cambria"/>
          <w:color w:val="000000"/>
          <w:bdr w:val="none" w:sz="0" w:space="0" w:color="auto" w:frame="1"/>
          <w:lang w:val="en-US"/>
        </w:rPr>
        <w:t>exposure to the</w:t>
      </w:r>
      <w:r w:rsidRPr="00642FFC">
        <w:rPr>
          <w:rFonts w:ascii="Cambria" w:hAnsi="Cambria"/>
          <w:color w:val="000000"/>
          <w:bdr w:val="none" w:sz="0" w:space="0" w:color="auto" w:frame="1"/>
          <w:lang w:val="en-US"/>
        </w:rPr>
        <w:t xml:space="preserve"> justice system at a young age and reoffending later in life.</w:t>
      </w:r>
      <w:r w:rsidRPr="00642FFC">
        <w:rPr>
          <w:rFonts w:ascii="Cambria" w:hAnsi="Cambria"/>
          <w:color w:val="000000"/>
          <w:bdr w:val="none" w:sz="0" w:space="0" w:color="auto" w:frame="1"/>
          <w:shd w:val="clear" w:color="auto" w:fill="FFFFFF"/>
          <w:lang w:val="en-US"/>
        </w:rPr>
        <w:t xml:space="preserve"> </w:t>
      </w:r>
      <w:r w:rsidR="002C07D4" w:rsidRPr="00642FFC">
        <w:rPr>
          <w:rFonts w:ascii="Cambria" w:hAnsi="Cambria"/>
          <w:color w:val="000000"/>
          <w:bdr w:val="none" w:sz="0" w:space="0" w:color="auto" w:frame="1"/>
          <w:shd w:val="clear" w:color="auto" w:fill="FFFFFF"/>
          <w:lang w:val="en-US"/>
        </w:rPr>
        <w:t xml:space="preserve">Detrimental impacts may include exposure to harmful environments and the loss of educational, familial and social networks. </w:t>
      </w:r>
      <w:r w:rsidRPr="00642FFC">
        <w:rPr>
          <w:rFonts w:ascii="Cambria" w:hAnsi="Cambria"/>
          <w:color w:val="000000"/>
          <w:bdr w:val="none" w:sz="0" w:space="0" w:color="auto" w:frame="1"/>
          <w:shd w:val="clear" w:color="auto" w:fill="FFFFFF"/>
          <w:lang w:val="en-US"/>
        </w:rPr>
        <w:t xml:space="preserve">For example, in </w:t>
      </w:r>
      <w:r w:rsidRPr="00642FFC">
        <w:rPr>
          <w:rFonts w:ascii="Cambria" w:hAnsi="Cambria"/>
          <w:i/>
          <w:color w:val="000000"/>
          <w:bdr w:val="none" w:sz="0" w:space="0" w:color="auto" w:frame="1"/>
          <w:shd w:val="clear" w:color="auto" w:fill="FFFFFF"/>
          <w:lang w:val="en-US"/>
        </w:rPr>
        <w:t>Young people aged 10-14 in the youth justice system</w:t>
      </w:r>
      <w:r w:rsidRPr="00642FFC">
        <w:rPr>
          <w:rFonts w:ascii="Cambria" w:hAnsi="Cambria"/>
          <w:color w:val="000000"/>
          <w:bdr w:val="none" w:sz="0" w:space="0" w:color="auto" w:frame="1"/>
          <w:shd w:val="clear" w:color="auto" w:fill="FFFFFF"/>
          <w:lang w:val="en-US"/>
        </w:rPr>
        <w:t xml:space="preserve"> </w:t>
      </w:r>
      <w:r w:rsidRPr="00642FFC">
        <w:rPr>
          <w:rFonts w:ascii="Cambria" w:hAnsi="Cambria"/>
          <w:color w:val="000000"/>
          <w:bdr w:val="none" w:sz="0" w:space="0" w:color="auto" w:frame="1"/>
          <w:lang w:val="en-US"/>
        </w:rPr>
        <w:t>the Australian Institute of Health and Welfare reported:</w:t>
      </w:r>
      <w:r w:rsidR="00061689" w:rsidRPr="00642FFC">
        <w:rPr>
          <w:rStyle w:val="FootnoteReference"/>
          <w:rFonts w:ascii="Cambria" w:hAnsi="Cambria"/>
          <w:color w:val="000000"/>
          <w:bdr w:val="none" w:sz="0" w:space="0" w:color="auto" w:frame="1"/>
          <w:lang w:val="en-US"/>
        </w:rPr>
        <w:t xml:space="preserve"> </w:t>
      </w:r>
      <w:r w:rsidR="00061689" w:rsidRPr="00642FFC">
        <w:rPr>
          <w:rStyle w:val="FootnoteReference"/>
          <w:rFonts w:ascii="Cambria" w:hAnsi="Cambria"/>
          <w:color w:val="000000"/>
          <w:bdr w:val="none" w:sz="0" w:space="0" w:color="auto" w:frame="1"/>
          <w:lang w:val="en-US"/>
        </w:rPr>
        <w:footnoteReference w:id="5"/>
      </w:r>
    </w:p>
    <w:p w14:paraId="692F6815" w14:textId="77777777" w:rsidR="00090CDC" w:rsidRPr="00642FFC" w:rsidRDefault="00090CDC" w:rsidP="00090CDC">
      <w:pPr>
        <w:pStyle w:val="NormalWeb"/>
        <w:shd w:val="clear" w:color="auto" w:fill="FFFFFF"/>
        <w:spacing w:before="0" w:beforeAutospacing="0" w:after="0" w:afterAutospacing="0"/>
        <w:jc w:val="both"/>
        <w:rPr>
          <w:rFonts w:ascii="Cambria" w:hAnsi="Cambria"/>
          <w:color w:val="000000"/>
          <w:bdr w:val="none" w:sz="0" w:space="0" w:color="auto" w:frame="1"/>
          <w:lang w:val="en-US"/>
        </w:rPr>
      </w:pPr>
    </w:p>
    <w:p w14:paraId="5AB8E344" w14:textId="77777777" w:rsidR="00061689" w:rsidRPr="00642FFC" w:rsidRDefault="00061689" w:rsidP="00090CDC">
      <w:pPr>
        <w:pStyle w:val="NormalWeb"/>
        <w:numPr>
          <w:ilvl w:val="0"/>
          <w:numId w:val="6"/>
        </w:numPr>
        <w:shd w:val="clear" w:color="auto" w:fill="FFFFFF"/>
        <w:spacing w:before="0" w:beforeAutospacing="0" w:after="0" w:afterAutospacing="0"/>
        <w:jc w:val="both"/>
        <w:rPr>
          <w:rFonts w:ascii="Cambria" w:hAnsi="Cambria"/>
          <w:color w:val="000000"/>
          <w:bdr w:val="none" w:sz="0" w:space="0" w:color="auto" w:frame="1"/>
          <w:lang w:val="en-US"/>
        </w:rPr>
      </w:pPr>
      <w:r w:rsidRPr="00642FFC">
        <w:rPr>
          <w:rFonts w:ascii="Cambria" w:hAnsi="Cambria"/>
          <w:color w:val="000000"/>
          <w:bdr w:val="none" w:sz="0" w:space="0" w:color="auto" w:frame="1"/>
          <w:lang w:val="en-US"/>
        </w:rPr>
        <w:t>85 per cent of young people who had contact with the youth justice system at age 10-14 returned (or continued under) supervision when they were 15-17; and</w:t>
      </w:r>
    </w:p>
    <w:p w14:paraId="01F3884A" w14:textId="77777777" w:rsidR="00061689" w:rsidRPr="00642FFC" w:rsidRDefault="00061689" w:rsidP="00061689">
      <w:pPr>
        <w:pStyle w:val="NormalWeb"/>
        <w:shd w:val="clear" w:color="auto" w:fill="FFFFFF"/>
        <w:spacing w:before="0" w:beforeAutospacing="0" w:after="0" w:afterAutospacing="0"/>
        <w:jc w:val="both"/>
        <w:rPr>
          <w:rFonts w:ascii="Cambria" w:hAnsi="Cambria"/>
          <w:color w:val="000000"/>
          <w:bdr w:val="none" w:sz="0" w:space="0" w:color="auto" w:frame="1"/>
          <w:lang w:val="en-US"/>
        </w:rPr>
      </w:pPr>
    </w:p>
    <w:p w14:paraId="471F1C2C" w14:textId="0F3B50DF" w:rsidR="00D05C6C" w:rsidRPr="00642FFC" w:rsidRDefault="00061689" w:rsidP="00061689">
      <w:pPr>
        <w:pStyle w:val="NormalWeb"/>
        <w:numPr>
          <w:ilvl w:val="0"/>
          <w:numId w:val="6"/>
        </w:numPr>
        <w:shd w:val="clear" w:color="auto" w:fill="FFFFFF"/>
        <w:spacing w:before="0" w:beforeAutospacing="0" w:after="0" w:afterAutospacing="0"/>
        <w:jc w:val="both"/>
        <w:rPr>
          <w:rFonts w:ascii="Cambria" w:hAnsi="Cambria"/>
          <w:color w:val="000000"/>
          <w:bdr w:val="none" w:sz="0" w:space="0" w:color="auto" w:frame="1"/>
          <w:lang w:val="en-US"/>
        </w:rPr>
      </w:pPr>
      <w:r w:rsidRPr="00642FFC">
        <w:rPr>
          <w:rFonts w:ascii="Cambria" w:hAnsi="Cambria"/>
          <w:color w:val="000000"/>
          <w:bdr w:val="none" w:sz="0" w:space="0" w:color="auto" w:frame="1"/>
          <w:lang w:val="en-US"/>
        </w:rPr>
        <w:t>Young persons</w:t>
      </w:r>
      <w:r w:rsidR="00090CDC" w:rsidRPr="00642FFC">
        <w:rPr>
          <w:rFonts w:ascii="Cambria" w:hAnsi="Cambria"/>
          <w:color w:val="000000"/>
          <w:bdr w:val="none" w:sz="0" w:space="0" w:color="auto" w:frame="1"/>
          <w:lang w:val="en-US"/>
        </w:rPr>
        <w:t xml:space="preserve"> who were first subject to supervision under the youth justice system due to offending between 10-14 years old were more likely to experience all types of supervision</w:t>
      </w:r>
      <w:r w:rsidRPr="00642FFC">
        <w:rPr>
          <w:rFonts w:ascii="Cambria" w:hAnsi="Cambria"/>
          <w:color w:val="000000"/>
          <w:bdr w:val="none" w:sz="0" w:space="0" w:color="auto" w:frame="1"/>
          <w:lang w:val="en-US"/>
        </w:rPr>
        <w:t xml:space="preserve">, including detention </w:t>
      </w:r>
      <w:r w:rsidR="00090CDC" w:rsidRPr="00642FFC">
        <w:rPr>
          <w:rFonts w:ascii="Cambria" w:hAnsi="Cambria"/>
          <w:color w:val="000000"/>
          <w:bdr w:val="none" w:sz="0" w:space="0" w:color="auto" w:frame="1"/>
          <w:lang w:val="en-US"/>
        </w:rPr>
        <w:t>in their later teens</w:t>
      </w:r>
      <w:r w:rsidR="00D05C6C" w:rsidRPr="00642FFC">
        <w:rPr>
          <w:rFonts w:ascii="Cambria" w:hAnsi="Cambria"/>
          <w:color w:val="000000"/>
          <w:bdr w:val="none" w:sz="0" w:space="0" w:color="auto" w:frame="1"/>
          <w:lang w:val="en-US"/>
        </w:rPr>
        <w:t>.</w:t>
      </w:r>
    </w:p>
    <w:p w14:paraId="63E4C1B2" w14:textId="77777777" w:rsidR="00163A7C" w:rsidRPr="00642FFC" w:rsidRDefault="00163A7C" w:rsidP="00061689">
      <w:pPr>
        <w:pStyle w:val="NormalWeb"/>
        <w:shd w:val="clear" w:color="auto" w:fill="FFFFFF"/>
        <w:spacing w:before="0" w:beforeAutospacing="0" w:after="0" w:afterAutospacing="0"/>
        <w:jc w:val="both"/>
        <w:rPr>
          <w:rFonts w:ascii="Cambria" w:hAnsi="Cambria"/>
          <w:color w:val="000000"/>
          <w:bdr w:val="none" w:sz="0" w:space="0" w:color="auto" w:frame="1"/>
          <w:lang w:val="en-US"/>
        </w:rPr>
      </w:pPr>
    </w:p>
    <w:p w14:paraId="0F88A492" w14:textId="05107853" w:rsidR="00090CDC" w:rsidRPr="00642FFC" w:rsidRDefault="00622B6C" w:rsidP="00061689">
      <w:pPr>
        <w:pStyle w:val="NormalWeb"/>
        <w:shd w:val="clear" w:color="auto" w:fill="FFFFFF"/>
        <w:spacing w:before="0" w:beforeAutospacing="0" w:after="0" w:afterAutospacing="0"/>
        <w:jc w:val="both"/>
        <w:rPr>
          <w:rFonts w:ascii="Cambria" w:hAnsi="Cambria"/>
          <w:color w:val="000000"/>
          <w:bdr w:val="none" w:sz="0" w:space="0" w:color="auto" w:frame="1"/>
          <w:lang w:val="en-US"/>
        </w:rPr>
      </w:pPr>
      <w:r w:rsidRPr="00642FFC">
        <w:rPr>
          <w:rFonts w:ascii="Cambria" w:hAnsi="Cambria"/>
          <w:color w:val="000000"/>
          <w:bdr w:val="none" w:sz="0" w:space="0" w:color="auto" w:frame="1"/>
          <w:lang w:val="en-US"/>
        </w:rPr>
        <w:lastRenderedPageBreak/>
        <w:t>Exposure to</w:t>
      </w:r>
      <w:r w:rsidR="00061689" w:rsidRPr="00642FFC">
        <w:rPr>
          <w:rFonts w:ascii="Cambria" w:hAnsi="Cambria"/>
          <w:color w:val="000000"/>
          <w:bdr w:val="none" w:sz="0" w:space="0" w:color="auto" w:frame="1"/>
          <w:lang w:val="en-US"/>
        </w:rPr>
        <w:t xml:space="preserve"> the youth justice system may also lead to detrimental outcomes later in life as </w:t>
      </w:r>
      <w:r w:rsidR="00090CDC" w:rsidRPr="00642FFC">
        <w:rPr>
          <w:rFonts w:ascii="Cambria" w:hAnsi="Cambria"/>
          <w:color w:val="000000"/>
          <w:bdr w:val="none" w:sz="0" w:space="0" w:color="auto" w:frame="1"/>
          <w:lang w:val="en-US"/>
        </w:rPr>
        <w:t xml:space="preserve">Professor Stuart </w:t>
      </w:r>
      <w:proofErr w:type="spellStart"/>
      <w:r w:rsidR="00090CDC" w:rsidRPr="00642FFC">
        <w:rPr>
          <w:rFonts w:ascii="Cambria" w:hAnsi="Cambria"/>
          <w:color w:val="000000"/>
          <w:bdr w:val="none" w:sz="0" w:space="0" w:color="auto" w:frame="1"/>
          <w:lang w:val="en-US"/>
        </w:rPr>
        <w:t>Kinner</w:t>
      </w:r>
      <w:proofErr w:type="spellEnd"/>
      <w:r w:rsidR="00090CDC" w:rsidRPr="00642FFC">
        <w:rPr>
          <w:rFonts w:ascii="Cambria" w:hAnsi="Cambria"/>
          <w:color w:val="000000"/>
          <w:bdr w:val="none" w:sz="0" w:space="0" w:color="auto" w:frame="1"/>
          <w:lang w:val="en-US"/>
        </w:rPr>
        <w:t xml:space="preserve">, a </w:t>
      </w:r>
      <w:proofErr w:type="spellStart"/>
      <w:r w:rsidR="00090CDC" w:rsidRPr="00642FFC">
        <w:rPr>
          <w:rFonts w:ascii="Cambria" w:hAnsi="Cambria"/>
          <w:color w:val="000000"/>
          <w:bdr w:val="none" w:sz="0" w:space="0" w:color="auto" w:frame="1"/>
          <w:lang w:val="en-US"/>
        </w:rPr>
        <w:t>paediatrician</w:t>
      </w:r>
      <w:proofErr w:type="spellEnd"/>
      <w:r w:rsidR="00090CDC" w:rsidRPr="00642FFC">
        <w:rPr>
          <w:rFonts w:ascii="Cambria" w:hAnsi="Cambria"/>
          <w:color w:val="000000"/>
          <w:bdr w:val="none" w:sz="0" w:space="0" w:color="auto" w:frame="1"/>
          <w:lang w:val="en-US"/>
        </w:rPr>
        <w:t xml:space="preserve"> with research interests in </w:t>
      </w:r>
      <w:r w:rsidR="00D05C6C" w:rsidRPr="00642FFC">
        <w:rPr>
          <w:rFonts w:ascii="Cambria" w:hAnsi="Cambria"/>
          <w:color w:val="000000"/>
          <w:bdr w:val="none" w:sz="0" w:space="0" w:color="auto" w:frame="1"/>
          <w:lang w:val="en-US"/>
        </w:rPr>
        <w:t>youth justice</w:t>
      </w:r>
      <w:r w:rsidR="00090CDC" w:rsidRPr="00642FFC">
        <w:rPr>
          <w:rFonts w:ascii="Cambria" w:hAnsi="Cambria"/>
          <w:color w:val="000000"/>
          <w:bdr w:val="none" w:sz="0" w:space="0" w:color="auto" w:frame="1"/>
          <w:lang w:val="en-US"/>
        </w:rPr>
        <w:t>, recently observed</w:t>
      </w:r>
      <w:r w:rsidR="00061689" w:rsidRPr="00642FFC">
        <w:rPr>
          <w:rFonts w:ascii="Cambria" w:hAnsi="Cambria"/>
          <w:color w:val="000000"/>
          <w:bdr w:val="none" w:sz="0" w:space="0" w:color="auto" w:frame="1"/>
          <w:lang w:val="en-US"/>
        </w:rPr>
        <w:t>:</w:t>
      </w:r>
      <w:r w:rsidR="00061689" w:rsidRPr="00642FFC">
        <w:rPr>
          <w:rStyle w:val="FootnoteReference"/>
          <w:rFonts w:ascii="Cambria" w:hAnsi="Cambria"/>
          <w:color w:val="000000"/>
          <w:bdr w:val="none" w:sz="0" w:space="0" w:color="auto" w:frame="1"/>
          <w:lang w:val="en-US"/>
        </w:rPr>
        <w:footnoteReference w:id="6"/>
      </w:r>
      <w:r w:rsidR="00090CDC" w:rsidRPr="00642FFC">
        <w:rPr>
          <w:rFonts w:ascii="Cambria" w:hAnsi="Cambria"/>
          <w:color w:val="000000"/>
          <w:bdr w:val="none" w:sz="0" w:space="0" w:color="auto" w:frame="1"/>
          <w:lang w:val="en-US"/>
        </w:rPr>
        <w:t xml:space="preserve"> </w:t>
      </w:r>
    </w:p>
    <w:p w14:paraId="081E2DB0" w14:textId="77777777" w:rsidR="00090CDC" w:rsidRPr="00642FFC" w:rsidRDefault="00090CDC" w:rsidP="00090CDC">
      <w:pPr>
        <w:pStyle w:val="NormalWeb"/>
        <w:shd w:val="clear" w:color="auto" w:fill="FFFFFF"/>
        <w:spacing w:before="0" w:beforeAutospacing="0" w:after="0" w:afterAutospacing="0"/>
        <w:jc w:val="both"/>
        <w:rPr>
          <w:rFonts w:ascii="Cambria" w:hAnsi="Cambria"/>
          <w:color w:val="000000"/>
          <w:lang w:val="en-US"/>
        </w:rPr>
      </w:pPr>
    </w:p>
    <w:p w14:paraId="08CB78B5" w14:textId="2B5A8C90" w:rsidR="00090CDC" w:rsidRPr="00642FFC" w:rsidRDefault="00090CDC" w:rsidP="00061689">
      <w:pPr>
        <w:pStyle w:val="NormalWeb"/>
        <w:shd w:val="clear" w:color="auto" w:fill="FFFFFF"/>
        <w:spacing w:before="0" w:beforeAutospacing="0" w:after="0" w:afterAutospacing="0"/>
        <w:ind w:left="720"/>
        <w:jc w:val="both"/>
        <w:rPr>
          <w:rFonts w:ascii="Cambria" w:hAnsi="Cambria"/>
          <w:color w:val="000000" w:themeColor="text1"/>
          <w:sz w:val="22"/>
          <w:szCs w:val="22"/>
          <w:lang w:val="en-US"/>
        </w:rPr>
      </w:pPr>
      <w:r w:rsidRPr="00642FFC">
        <w:rPr>
          <w:rFonts w:ascii="Cambria" w:hAnsi="Cambria"/>
          <w:color w:val="000000" w:themeColor="text1"/>
          <w:sz w:val="22"/>
          <w:szCs w:val="22"/>
          <w:bdr w:val="none" w:sz="0" w:space="0" w:color="auto" w:frame="1"/>
          <w:lang w:val="en-US"/>
        </w:rPr>
        <w:t>Remarkably little is known about outcomes for young people released from detention, except that the majority reoffend and a disproportionate number die from preventable causes, including drug overdose, suicide, homicide and accidents and injury</w:t>
      </w:r>
      <w:r w:rsidR="00622B6C" w:rsidRPr="00642FFC">
        <w:rPr>
          <w:rFonts w:ascii="Cambria" w:hAnsi="Cambria"/>
          <w:color w:val="000000" w:themeColor="text1"/>
          <w:sz w:val="22"/>
          <w:szCs w:val="22"/>
          <w:bdr w:val="none" w:sz="0" w:space="0" w:color="auto" w:frame="1"/>
          <w:lang w:val="en-US"/>
        </w:rPr>
        <w:t>.</w:t>
      </w:r>
      <w:r w:rsidRPr="00642FFC">
        <w:rPr>
          <w:rFonts w:ascii="Cambria" w:hAnsi="Cambria"/>
          <w:color w:val="000000" w:themeColor="text1"/>
          <w:sz w:val="22"/>
          <w:szCs w:val="22"/>
          <w:bdr w:val="none" w:sz="0" w:space="0" w:color="auto" w:frame="1"/>
          <w:lang w:val="en-US"/>
        </w:rPr>
        <w:t> </w:t>
      </w:r>
    </w:p>
    <w:p w14:paraId="00E25AF9" w14:textId="77777777" w:rsidR="00090CDC" w:rsidRPr="00642FFC" w:rsidRDefault="00090CDC" w:rsidP="00166468">
      <w:pPr>
        <w:pStyle w:val="NormalWeb"/>
        <w:shd w:val="clear" w:color="auto" w:fill="FFFFFF"/>
        <w:spacing w:before="0" w:beforeAutospacing="0" w:after="0" w:afterAutospacing="0"/>
        <w:jc w:val="both"/>
        <w:rPr>
          <w:rFonts w:ascii="Cambria" w:hAnsi="Cambria"/>
          <w:color w:val="000000"/>
          <w:bdr w:val="none" w:sz="0" w:space="0" w:color="auto" w:frame="1"/>
          <w:lang w:val="en-US"/>
        </w:rPr>
      </w:pPr>
    </w:p>
    <w:p w14:paraId="06C8C42C" w14:textId="51AE603C" w:rsidR="00F8413F" w:rsidRPr="00642FFC" w:rsidRDefault="00D05C6C" w:rsidP="00166468">
      <w:pPr>
        <w:pStyle w:val="NormalWeb"/>
        <w:shd w:val="clear" w:color="auto" w:fill="FFFFFF"/>
        <w:spacing w:before="0" w:beforeAutospacing="0" w:after="0" w:afterAutospacing="0"/>
        <w:jc w:val="both"/>
        <w:rPr>
          <w:rFonts w:ascii="Cambria" w:hAnsi="Cambria"/>
          <w:color w:val="000000"/>
          <w:bdr w:val="none" w:sz="0" w:space="0" w:color="auto" w:frame="1"/>
          <w:lang w:val="en-US"/>
        </w:rPr>
      </w:pPr>
      <w:r w:rsidRPr="00642FFC">
        <w:rPr>
          <w:rFonts w:ascii="Cambria" w:hAnsi="Cambria"/>
          <w:color w:val="000000"/>
          <w:bdr w:val="none" w:sz="0" w:space="0" w:color="auto" w:frame="1"/>
          <w:lang w:val="en-US"/>
        </w:rPr>
        <w:t>As well, the</w:t>
      </w:r>
      <w:r w:rsidR="000F7C7B" w:rsidRPr="00642FFC">
        <w:rPr>
          <w:rFonts w:ascii="Cambria" w:hAnsi="Cambria"/>
          <w:color w:val="000000"/>
          <w:bdr w:val="none" w:sz="0" w:space="0" w:color="auto" w:frame="1"/>
          <w:lang w:val="en-US"/>
        </w:rPr>
        <w:t xml:space="preserve"> most recent </w:t>
      </w:r>
      <w:r w:rsidR="000F7C7B" w:rsidRPr="00642FFC">
        <w:rPr>
          <w:rFonts w:ascii="Cambria" w:hAnsi="Cambria"/>
          <w:i/>
          <w:color w:val="000000"/>
          <w:bdr w:val="none" w:sz="0" w:space="0" w:color="auto" w:frame="1"/>
          <w:lang w:val="en-US"/>
        </w:rPr>
        <w:t>Youth Justice in Australia</w:t>
      </w:r>
      <w:r w:rsidR="000F7C7B" w:rsidRPr="00642FFC">
        <w:rPr>
          <w:rFonts w:ascii="Cambria" w:hAnsi="Cambria"/>
          <w:color w:val="000000"/>
          <w:bdr w:val="none" w:sz="0" w:space="0" w:color="auto" w:frame="1"/>
          <w:lang w:val="en-US"/>
        </w:rPr>
        <w:t xml:space="preserve"> report</w:t>
      </w:r>
      <w:r w:rsidRPr="00642FFC">
        <w:rPr>
          <w:rFonts w:ascii="Cambria" w:hAnsi="Cambria"/>
          <w:color w:val="000000"/>
          <w:bdr w:val="none" w:sz="0" w:space="0" w:color="auto" w:frame="1"/>
          <w:lang w:val="en-US"/>
        </w:rPr>
        <w:t>s</w:t>
      </w:r>
      <w:r w:rsidR="000F7C7B" w:rsidRPr="00642FFC">
        <w:rPr>
          <w:rFonts w:ascii="Cambria" w:hAnsi="Cambria"/>
          <w:color w:val="000000"/>
          <w:bdr w:val="none" w:sz="0" w:space="0" w:color="auto" w:frame="1"/>
          <w:lang w:val="en-US"/>
        </w:rPr>
        <w:t>, “young Aboriginal and Torres Strait Islander people have a long history of over-representation in the youth and adult justice systems in Australia”.</w:t>
      </w:r>
      <w:r w:rsidR="00403E35" w:rsidRPr="00642FFC">
        <w:rPr>
          <w:rStyle w:val="FootnoteReference"/>
          <w:rFonts w:ascii="Cambria" w:hAnsi="Cambria"/>
          <w:color w:val="000000"/>
          <w:bdr w:val="none" w:sz="0" w:space="0" w:color="auto" w:frame="1"/>
          <w:lang w:val="en-US"/>
        </w:rPr>
        <w:footnoteReference w:id="7"/>
      </w:r>
      <w:r w:rsidR="000F7C7B" w:rsidRPr="00642FFC">
        <w:rPr>
          <w:rFonts w:ascii="Cambria" w:hAnsi="Cambria"/>
          <w:color w:val="000000"/>
          <w:bdr w:val="none" w:sz="0" w:space="0" w:color="auto" w:frame="1"/>
          <w:lang w:val="en-US"/>
        </w:rPr>
        <w:t xml:space="preserve"> </w:t>
      </w:r>
      <w:r w:rsidR="002869DA" w:rsidRPr="00642FFC">
        <w:rPr>
          <w:rFonts w:ascii="Cambria" w:hAnsi="Cambria"/>
          <w:color w:val="000000"/>
          <w:bdr w:val="none" w:sz="0" w:space="0" w:color="auto" w:frame="1"/>
          <w:lang w:val="en-US"/>
        </w:rPr>
        <w:t>More than half of all young people (59 per cent) aged 10-17 and in detention were indigenous, despite indigenous people making up only five per cent of the general population aged 10-17.</w:t>
      </w:r>
      <w:r w:rsidR="002869DA" w:rsidRPr="00642FFC">
        <w:rPr>
          <w:rStyle w:val="FootnoteReference"/>
          <w:rFonts w:ascii="Cambria" w:hAnsi="Cambria"/>
          <w:color w:val="000000"/>
          <w:bdr w:val="none" w:sz="0" w:space="0" w:color="auto" w:frame="1"/>
          <w:lang w:val="en-US"/>
        </w:rPr>
        <w:footnoteReference w:id="8"/>
      </w:r>
      <w:r w:rsidR="002869DA" w:rsidRPr="00642FFC">
        <w:rPr>
          <w:rFonts w:ascii="Cambria" w:hAnsi="Cambria"/>
          <w:color w:val="000000"/>
          <w:bdr w:val="none" w:sz="0" w:space="0" w:color="auto" w:frame="1"/>
          <w:lang w:val="en-US"/>
        </w:rPr>
        <w:t xml:space="preserve"> As well, i</w:t>
      </w:r>
      <w:r w:rsidR="000F7C7B" w:rsidRPr="00642FFC">
        <w:rPr>
          <w:rFonts w:ascii="Cambria" w:hAnsi="Cambria"/>
          <w:color w:val="000000"/>
          <w:bdr w:val="none" w:sz="0" w:space="0" w:color="auto" w:frame="1"/>
          <w:lang w:val="en-US"/>
        </w:rPr>
        <w:t xml:space="preserve">ndigenous young people aged 10–17 were </w:t>
      </w:r>
      <w:r w:rsidR="002869DA" w:rsidRPr="00642FFC">
        <w:rPr>
          <w:rFonts w:ascii="Cambria" w:hAnsi="Cambria"/>
          <w:color w:val="000000"/>
          <w:bdr w:val="none" w:sz="0" w:space="0" w:color="auto" w:frame="1"/>
          <w:lang w:val="en-US"/>
        </w:rPr>
        <w:t xml:space="preserve">twenty-six </w:t>
      </w:r>
      <w:r w:rsidR="000F7C7B" w:rsidRPr="00642FFC">
        <w:rPr>
          <w:rFonts w:ascii="Cambria" w:hAnsi="Cambria"/>
          <w:color w:val="000000"/>
          <w:bdr w:val="none" w:sz="0" w:space="0" w:color="auto" w:frame="1"/>
          <w:lang w:val="en-US"/>
        </w:rPr>
        <w:t xml:space="preserve">times </w:t>
      </w:r>
      <w:r w:rsidR="001C5DDB" w:rsidRPr="00642FFC">
        <w:rPr>
          <w:rFonts w:ascii="Cambria" w:hAnsi="Cambria"/>
          <w:color w:val="000000"/>
          <w:bdr w:val="none" w:sz="0" w:space="0" w:color="auto" w:frame="1"/>
          <w:lang w:val="en-US"/>
        </w:rPr>
        <w:t>more</w:t>
      </w:r>
      <w:r w:rsidR="000F7C7B" w:rsidRPr="00642FFC">
        <w:rPr>
          <w:rFonts w:ascii="Cambria" w:hAnsi="Cambria"/>
          <w:color w:val="000000"/>
          <w:bdr w:val="none" w:sz="0" w:space="0" w:color="auto" w:frame="1"/>
          <w:lang w:val="en-US"/>
        </w:rPr>
        <w:t xml:space="preserve"> likely as non-Indigenous young people to </w:t>
      </w:r>
      <w:r w:rsidR="002869DA" w:rsidRPr="00642FFC">
        <w:rPr>
          <w:rFonts w:ascii="Cambria" w:hAnsi="Cambria"/>
          <w:color w:val="000000"/>
          <w:bdr w:val="none" w:sz="0" w:space="0" w:color="auto" w:frame="1"/>
          <w:lang w:val="en-US"/>
        </w:rPr>
        <w:t>be in detention on an</w:t>
      </w:r>
      <w:r w:rsidR="000F7C7B" w:rsidRPr="00642FFC">
        <w:rPr>
          <w:rFonts w:ascii="Cambria" w:hAnsi="Cambria"/>
          <w:color w:val="000000"/>
          <w:bdr w:val="none" w:sz="0" w:space="0" w:color="auto" w:frame="1"/>
          <w:lang w:val="en-US"/>
        </w:rPr>
        <w:t xml:space="preserve"> average day</w:t>
      </w:r>
      <w:r w:rsidR="002869DA" w:rsidRPr="00642FFC">
        <w:rPr>
          <w:rFonts w:ascii="Cambria" w:hAnsi="Cambria"/>
          <w:color w:val="000000"/>
          <w:bdr w:val="none" w:sz="0" w:space="0" w:color="auto" w:frame="1"/>
          <w:lang w:val="en-US"/>
        </w:rPr>
        <w:t>.</w:t>
      </w:r>
      <w:r w:rsidR="007A5C5F" w:rsidRPr="00642FFC">
        <w:rPr>
          <w:rStyle w:val="FootnoteReference"/>
          <w:rFonts w:ascii="Cambria" w:hAnsi="Cambria"/>
          <w:color w:val="000000"/>
          <w:bdr w:val="none" w:sz="0" w:space="0" w:color="auto" w:frame="1"/>
          <w:shd w:val="clear" w:color="auto" w:fill="FFFFFF"/>
          <w:lang w:val="en-US"/>
        </w:rPr>
        <w:footnoteReference w:id="9"/>
      </w:r>
    </w:p>
    <w:p w14:paraId="5F1A8AEC" w14:textId="77777777" w:rsidR="00166468" w:rsidRPr="00642FFC" w:rsidRDefault="00166468" w:rsidP="00166468">
      <w:pPr>
        <w:pStyle w:val="NormalWeb"/>
        <w:shd w:val="clear" w:color="auto" w:fill="FFFFFF"/>
        <w:spacing w:before="0" w:beforeAutospacing="0" w:after="0" w:afterAutospacing="0"/>
        <w:jc w:val="both"/>
        <w:rPr>
          <w:rFonts w:ascii="Cambria" w:hAnsi="Cambria"/>
          <w:color w:val="000000"/>
          <w:bdr w:val="none" w:sz="0" w:space="0" w:color="auto" w:frame="1"/>
          <w:lang w:val="en-US"/>
        </w:rPr>
      </w:pPr>
    </w:p>
    <w:p w14:paraId="18507B42" w14:textId="77777777" w:rsidR="00D05C6C" w:rsidRPr="00642FFC" w:rsidRDefault="00B1286F" w:rsidP="00166468">
      <w:pPr>
        <w:pStyle w:val="NormalWeb"/>
        <w:shd w:val="clear" w:color="auto" w:fill="FFFFFF"/>
        <w:spacing w:before="0" w:beforeAutospacing="0" w:after="0" w:afterAutospacing="0"/>
        <w:jc w:val="both"/>
        <w:rPr>
          <w:rFonts w:ascii="Cambria" w:hAnsi="Cambria"/>
          <w:color w:val="000000"/>
          <w:lang w:val="en-US"/>
        </w:rPr>
      </w:pPr>
      <w:r w:rsidRPr="00642FFC">
        <w:rPr>
          <w:rFonts w:ascii="Cambria" w:hAnsi="Cambria"/>
          <w:color w:val="000000"/>
          <w:bdr w:val="none" w:sz="0" w:space="0" w:color="auto" w:frame="1"/>
          <w:lang w:val="en-US"/>
        </w:rPr>
        <w:t>Finally</w:t>
      </w:r>
      <w:r w:rsidR="00D05C6C" w:rsidRPr="00642FFC">
        <w:rPr>
          <w:rFonts w:ascii="Cambria" w:hAnsi="Cambria"/>
          <w:color w:val="000000"/>
          <w:bdr w:val="none" w:sz="0" w:space="0" w:color="auto" w:frame="1"/>
          <w:lang w:val="en-US"/>
        </w:rPr>
        <w:t>, the United Nations Committee on the Rights of the Child considers that 12 years of age is the lowest internationally acceptable age for criminal responsibility and encourages all countries to raise the age to 14 or 16 years.</w:t>
      </w:r>
      <w:r w:rsidR="00D05C6C" w:rsidRPr="00642FFC">
        <w:rPr>
          <w:rStyle w:val="FootnoteReference"/>
          <w:rFonts w:ascii="Cambria" w:hAnsi="Cambria"/>
          <w:color w:val="000000"/>
          <w:bdr w:val="none" w:sz="0" w:space="0" w:color="auto" w:frame="1"/>
          <w:lang w:val="en-US"/>
        </w:rPr>
        <w:footnoteReference w:id="10"/>
      </w:r>
    </w:p>
    <w:p w14:paraId="629543FA" w14:textId="77777777" w:rsidR="00D05C6C" w:rsidRPr="00642FFC" w:rsidRDefault="00D05C6C" w:rsidP="00166468">
      <w:pPr>
        <w:pStyle w:val="NormalWeb"/>
        <w:shd w:val="clear" w:color="auto" w:fill="FFFFFF"/>
        <w:spacing w:before="0" w:beforeAutospacing="0" w:after="0" w:afterAutospacing="0"/>
        <w:jc w:val="both"/>
        <w:rPr>
          <w:rFonts w:ascii="Cambria" w:hAnsi="Cambria"/>
          <w:color w:val="000000"/>
          <w:bdr w:val="none" w:sz="0" w:space="0" w:color="auto" w:frame="1"/>
          <w:lang w:val="en-US"/>
        </w:rPr>
      </w:pPr>
    </w:p>
    <w:p w14:paraId="09C9FD8E" w14:textId="6E92544B" w:rsidR="00163A7C" w:rsidRPr="00642FFC" w:rsidRDefault="00166468" w:rsidP="00163A7C">
      <w:pPr>
        <w:pStyle w:val="NormalWeb"/>
        <w:shd w:val="clear" w:color="auto" w:fill="FFFFFF"/>
        <w:spacing w:before="0" w:beforeAutospacing="0" w:after="0" w:afterAutospacing="0"/>
        <w:jc w:val="both"/>
        <w:rPr>
          <w:rFonts w:ascii="Cambria" w:hAnsi="Cambria"/>
          <w:color w:val="000000"/>
          <w:bdr w:val="none" w:sz="0" w:space="0" w:color="auto" w:frame="1"/>
          <w:lang w:val="en-US"/>
        </w:rPr>
      </w:pPr>
      <w:r w:rsidRPr="00642FFC">
        <w:rPr>
          <w:rFonts w:ascii="Cambria" w:hAnsi="Cambria"/>
          <w:color w:val="000000"/>
          <w:bdr w:val="none" w:sz="0" w:space="0" w:color="auto" w:frame="1"/>
          <w:lang w:val="en-US"/>
        </w:rPr>
        <w:t xml:space="preserve">In our opinion, the law in all Australian jurisdictions should where possible divert children away from the criminal justice system. In Australia, this should include all States and Territories raising the minimum age of criminal responsibility to </w:t>
      </w:r>
      <w:r w:rsidR="003543C1" w:rsidRPr="00642FFC">
        <w:rPr>
          <w:rFonts w:ascii="Cambria" w:hAnsi="Cambria"/>
          <w:color w:val="000000"/>
          <w:bdr w:val="none" w:sz="0" w:space="0" w:color="auto" w:frame="1"/>
          <w:lang w:val="en-US"/>
        </w:rPr>
        <w:t xml:space="preserve">at least </w:t>
      </w:r>
      <w:r w:rsidRPr="00642FFC">
        <w:rPr>
          <w:rFonts w:ascii="Cambria" w:hAnsi="Cambria"/>
          <w:color w:val="000000"/>
          <w:bdr w:val="none" w:sz="0" w:space="0" w:color="auto" w:frame="1"/>
          <w:lang w:val="en-US"/>
        </w:rPr>
        <w:t>1</w:t>
      </w:r>
      <w:r w:rsidR="00F62E94">
        <w:rPr>
          <w:rFonts w:ascii="Cambria" w:hAnsi="Cambria"/>
          <w:color w:val="000000"/>
          <w:bdr w:val="none" w:sz="0" w:space="0" w:color="auto" w:frame="1"/>
          <w:lang w:val="en-US"/>
        </w:rPr>
        <w:t>4</w:t>
      </w:r>
      <w:r w:rsidRPr="00642FFC">
        <w:rPr>
          <w:rFonts w:ascii="Cambria" w:hAnsi="Cambria"/>
          <w:color w:val="000000"/>
          <w:bdr w:val="none" w:sz="0" w:space="0" w:color="auto" w:frame="1"/>
          <w:lang w:val="en-US"/>
        </w:rPr>
        <w:t xml:space="preserve"> years.</w:t>
      </w:r>
    </w:p>
    <w:p w14:paraId="121E819A" w14:textId="77777777" w:rsidR="00163A7C" w:rsidRPr="00642FFC" w:rsidRDefault="00163A7C" w:rsidP="00163A7C">
      <w:pPr>
        <w:pStyle w:val="NormalWeb"/>
        <w:shd w:val="clear" w:color="auto" w:fill="FFFFFF"/>
        <w:spacing w:before="0" w:beforeAutospacing="0" w:after="0" w:afterAutospacing="0"/>
        <w:jc w:val="both"/>
        <w:rPr>
          <w:rFonts w:ascii="Cambria" w:hAnsi="Cambria"/>
          <w:color w:val="000000"/>
          <w:bdr w:val="none" w:sz="0" w:space="0" w:color="auto" w:frame="1"/>
          <w:lang w:val="en-US"/>
        </w:rPr>
      </w:pPr>
    </w:p>
    <w:p w14:paraId="76E7E52C" w14:textId="77777777" w:rsidR="000F7C7B" w:rsidRPr="00642FFC" w:rsidRDefault="000F7C7B" w:rsidP="00163A7C">
      <w:pPr>
        <w:pStyle w:val="NormalWeb"/>
        <w:shd w:val="clear" w:color="auto" w:fill="FFFFFF"/>
        <w:spacing w:before="0" w:beforeAutospacing="0" w:after="0" w:afterAutospacing="0"/>
        <w:jc w:val="both"/>
        <w:rPr>
          <w:rFonts w:ascii="Cambria" w:hAnsi="Cambria"/>
          <w:color w:val="000000"/>
          <w:bdr w:val="none" w:sz="0" w:space="0" w:color="auto" w:frame="1"/>
          <w:shd w:val="clear" w:color="auto" w:fill="FFFFFF"/>
          <w:lang w:val="en-US"/>
        </w:rPr>
      </w:pPr>
      <w:r w:rsidRPr="00642FFC">
        <w:rPr>
          <w:rFonts w:ascii="Cambria" w:hAnsi="Cambria"/>
          <w:bCs/>
          <w:color w:val="000000" w:themeColor="text1"/>
          <w:lang w:val="en-US"/>
        </w:rPr>
        <w:t>If we can be of any further assistance, please do not hesitate to contact us.</w:t>
      </w:r>
    </w:p>
    <w:p w14:paraId="394FBC3A" w14:textId="77777777" w:rsidR="000F7C7B" w:rsidRPr="00642FFC" w:rsidRDefault="000F7C7B" w:rsidP="000F7C7B">
      <w:pPr>
        <w:shd w:val="clear" w:color="auto" w:fill="FFFFFF"/>
        <w:ind w:right="-347"/>
        <w:jc w:val="both"/>
        <w:rPr>
          <w:rFonts w:ascii="Cambria" w:hAnsi="Cambria"/>
          <w:bCs/>
          <w:color w:val="000000" w:themeColor="text1"/>
          <w:lang w:val="en-US"/>
        </w:rPr>
      </w:pPr>
    </w:p>
    <w:p w14:paraId="42F4BEA2" w14:textId="77777777" w:rsidR="000F7C7B" w:rsidRPr="00642FFC" w:rsidRDefault="000F7C7B" w:rsidP="000F7C7B">
      <w:pPr>
        <w:shd w:val="clear" w:color="auto" w:fill="FFFFFF"/>
        <w:ind w:right="-347"/>
        <w:jc w:val="both"/>
        <w:rPr>
          <w:rFonts w:ascii="Cambria" w:hAnsi="Cambria"/>
          <w:bCs/>
          <w:color w:val="000000" w:themeColor="text1"/>
          <w:lang w:val="en-US"/>
        </w:rPr>
      </w:pPr>
    </w:p>
    <w:p w14:paraId="42422438" w14:textId="77777777" w:rsidR="000F7C7B" w:rsidRPr="00642FFC" w:rsidRDefault="000F7C7B" w:rsidP="000F7C7B">
      <w:pPr>
        <w:shd w:val="clear" w:color="auto" w:fill="FFFFFF"/>
        <w:ind w:right="-347"/>
        <w:jc w:val="both"/>
        <w:rPr>
          <w:rFonts w:ascii="Cambria" w:hAnsi="Cambria"/>
          <w:bCs/>
          <w:color w:val="000000" w:themeColor="text1"/>
          <w:lang w:val="en-US"/>
        </w:rPr>
      </w:pPr>
      <w:r w:rsidRPr="00642FFC">
        <w:rPr>
          <w:rFonts w:ascii="Cambria" w:hAnsi="Cambria"/>
          <w:bCs/>
          <w:color w:val="000000" w:themeColor="text1"/>
          <w:lang w:val="en-US"/>
        </w:rPr>
        <w:t>Yours faithfully,</w:t>
      </w:r>
    </w:p>
    <w:p w14:paraId="7E744A3D" w14:textId="77777777" w:rsidR="000F7C7B" w:rsidRPr="00642FFC" w:rsidRDefault="000F7C7B" w:rsidP="000F7C7B">
      <w:pPr>
        <w:shd w:val="clear" w:color="auto" w:fill="FFFFFF"/>
        <w:ind w:right="-347"/>
        <w:jc w:val="both"/>
        <w:rPr>
          <w:rFonts w:ascii="Cambria" w:hAnsi="Cambria"/>
          <w:bCs/>
          <w:color w:val="000000" w:themeColor="text1"/>
          <w:lang w:val="en-US"/>
        </w:rPr>
      </w:pPr>
    </w:p>
    <w:p w14:paraId="4E50F474" w14:textId="77777777" w:rsidR="000F7C7B" w:rsidRPr="00642FFC" w:rsidRDefault="000F7C7B" w:rsidP="000F7C7B">
      <w:pPr>
        <w:shd w:val="clear" w:color="auto" w:fill="FFFFFF"/>
        <w:ind w:right="-347"/>
        <w:jc w:val="both"/>
        <w:rPr>
          <w:rFonts w:ascii="Cambria" w:hAnsi="Cambria"/>
          <w:bCs/>
          <w:color w:val="000000" w:themeColor="text1"/>
          <w:lang w:val="en-US"/>
        </w:rPr>
      </w:pPr>
    </w:p>
    <w:p w14:paraId="12BEEE5E" w14:textId="77777777" w:rsidR="000F7C7B" w:rsidRPr="00642FFC" w:rsidRDefault="000F7C7B" w:rsidP="000F7C7B">
      <w:pPr>
        <w:shd w:val="clear" w:color="auto" w:fill="FFFFFF"/>
        <w:ind w:right="-347"/>
        <w:jc w:val="both"/>
        <w:rPr>
          <w:rFonts w:ascii="Cambria" w:hAnsi="Cambria"/>
          <w:bCs/>
          <w:color w:val="000000" w:themeColor="text1"/>
          <w:lang w:val="en-US"/>
        </w:rPr>
      </w:pPr>
    </w:p>
    <w:p w14:paraId="41CB5906" w14:textId="77777777" w:rsidR="000F7C7B" w:rsidRPr="00642FFC" w:rsidRDefault="000F7C7B" w:rsidP="000F7C7B">
      <w:pPr>
        <w:shd w:val="clear" w:color="auto" w:fill="FFFFFF"/>
        <w:ind w:right="-347"/>
        <w:jc w:val="both"/>
        <w:rPr>
          <w:rFonts w:ascii="Cambria" w:hAnsi="Cambria"/>
          <w:bCs/>
          <w:color w:val="000000" w:themeColor="text1"/>
          <w:lang w:val="en-US"/>
        </w:rPr>
      </w:pPr>
      <w:r w:rsidRPr="00642FFC">
        <w:rPr>
          <w:rFonts w:ascii="Cambria" w:hAnsi="Cambria"/>
          <w:bCs/>
          <w:color w:val="000000" w:themeColor="text1"/>
          <w:lang w:val="en-US"/>
        </w:rPr>
        <w:t xml:space="preserve">Benedict </w:t>
      </w:r>
      <w:proofErr w:type="spellStart"/>
      <w:r w:rsidRPr="00642FFC">
        <w:rPr>
          <w:rFonts w:ascii="Cambria" w:hAnsi="Cambria"/>
          <w:bCs/>
          <w:color w:val="000000" w:themeColor="text1"/>
          <w:lang w:val="en-US"/>
        </w:rPr>
        <w:t>Bartl</w:t>
      </w:r>
      <w:proofErr w:type="spellEnd"/>
    </w:p>
    <w:p w14:paraId="312322F5" w14:textId="77777777" w:rsidR="000F7C7B" w:rsidRPr="00642FFC" w:rsidRDefault="000F7C7B" w:rsidP="000F7C7B">
      <w:pPr>
        <w:shd w:val="clear" w:color="auto" w:fill="FFFFFF"/>
        <w:ind w:right="-347"/>
        <w:jc w:val="both"/>
        <w:rPr>
          <w:rFonts w:ascii="Cambria" w:hAnsi="Cambria"/>
          <w:bCs/>
          <w:color w:val="000000" w:themeColor="text1"/>
          <w:lang w:val="en-US"/>
        </w:rPr>
      </w:pPr>
      <w:r w:rsidRPr="00642FFC">
        <w:rPr>
          <w:rFonts w:ascii="Cambria" w:hAnsi="Cambria"/>
          <w:bCs/>
          <w:color w:val="000000" w:themeColor="text1"/>
          <w:lang w:val="en-US"/>
        </w:rPr>
        <w:t>Policy Officer</w:t>
      </w:r>
    </w:p>
    <w:p w14:paraId="2C00DA6F" w14:textId="77777777" w:rsidR="000F7C7B" w:rsidRPr="00642FFC" w:rsidRDefault="000F7C7B" w:rsidP="000F7C7B">
      <w:pPr>
        <w:pBdr>
          <w:bottom w:val="single" w:sz="6" w:space="1" w:color="auto"/>
        </w:pBdr>
        <w:shd w:val="clear" w:color="auto" w:fill="FFFFFF"/>
        <w:ind w:right="-347"/>
        <w:jc w:val="both"/>
        <w:rPr>
          <w:rFonts w:ascii="Cambria" w:hAnsi="Cambria"/>
          <w:b/>
          <w:bCs/>
          <w:color w:val="000000" w:themeColor="text1"/>
        </w:rPr>
      </w:pPr>
      <w:r w:rsidRPr="00642FFC">
        <w:rPr>
          <w:rFonts w:ascii="Cambria" w:hAnsi="Cambria"/>
          <w:b/>
          <w:bCs/>
          <w:color w:val="000000" w:themeColor="text1"/>
        </w:rPr>
        <w:t xml:space="preserve">Community Legal </w:t>
      </w:r>
      <w:proofErr w:type="spellStart"/>
      <w:r w:rsidRPr="00642FFC">
        <w:rPr>
          <w:rFonts w:ascii="Cambria" w:hAnsi="Cambria"/>
          <w:b/>
          <w:bCs/>
          <w:color w:val="000000" w:themeColor="text1"/>
        </w:rPr>
        <w:t>Centres</w:t>
      </w:r>
      <w:proofErr w:type="spellEnd"/>
      <w:r w:rsidRPr="00642FFC">
        <w:rPr>
          <w:rFonts w:ascii="Cambria" w:hAnsi="Cambria"/>
          <w:b/>
          <w:bCs/>
          <w:color w:val="000000" w:themeColor="text1"/>
        </w:rPr>
        <w:t xml:space="preserve"> </w:t>
      </w:r>
      <w:proofErr w:type="spellStart"/>
      <w:r w:rsidRPr="00642FFC">
        <w:rPr>
          <w:rFonts w:ascii="Cambria" w:hAnsi="Cambria"/>
          <w:b/>
          <w:bCs/>
          <w:color w:val="000000" w:themeColor="text1"/>
        </w:rPr>
        <w:t>Tasmania</w:t>
      </w:r>
      <w:proofErr w:type="spellEnd"/>
    </w:p>
    <w:p w14:paraId="37C8AE77" w14:textId="5D9DA16E" w:rsidR="00480500" w:rsidRDefault="00480500">
      <w:pPr>
        <w:rPr>
          <w:rFonts w:ascii="Cambria" w:hAnsi="Cambria"/>
        </w:rPr>
      </w:pPr>
    </w:p>
    <w:p w14:paraId="20DF07C6" w14:textId="77777777" w:rsidR="00F501E6" w:rsidRPr="00642FFC" w:rsidRDefault="00F501E6">
      <w:pPr>
        <w:rPr>
          <w:rFonts w:ascii="Cambria" w:hAnsi="Cambria"/>
        </w:rPr>
      </w:pPr>
    </w:p>
    <w:sectPr w:rsidR="00F501E6" w:rsidRPr="00642FFC" w:rsidSect="004C14B8">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63E7E" w14:textId="77777777" w:rsidR="00E33976" w:rsidRDefault="00E33976" w:rsidP="000F7C7B">
      <w:r>
        <w:separator/>
      </w:r>
    </w:p>
  </w:endnote>
  <w:endnote w:type="continuationSeparator" w:id="0">
    <w:p w14:paraId="07707E73" w14:textId="77777777" w:rsidR="00E33976" w:rsidRDefault="00E33976" w:rsidP="000F7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97159090"/>
      <w:docPartObj>
        <w:docPartGallery w:val="Page Numbers (Bottom of Page)"/>
        <w:docPartUnique/>
      </w:docPartObj>
    </w:sdtPr>
    <w:sdtEndPr>
      <w:rPr>
        <w:rStyle w:val="PageNumber"/>
      </w:rPr>
    </w:sdtEndPr>
    <w:sdtContent>
      <w:p w14:paraId="3230C2B1" w14:textId="77777777" w:rsidR="001C5DDB" w:rsidRDefault="001C5DDB" w:rsidP="009B56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A9CCF5" w14:textId="77777777" w:rsidR="001C5DDB" w:rsidRDefault="001C5DDB" w:rsidP="001C5D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71783018"/>
      <w:docPartObj>
        <w:docPartGallery w:val="Page Numbers (Bottom of Page)"/>
        <w:docPartUnique/>
      </w:docPartObj>
    </w:sdtPr>
    <w:sdtEndPr>
      <w:rPr>
        <w:rStyle w:val="PageNumber"/>
      </w:rPr>
    </w:sdtEndPr>
    <w:sdtContent>
      <w:p w14:paraId="50B09A62" w14:textId="77777777" w:rsidR="001C5DDB" w:rsidRDefault="001C5DDB" w:rsidP="009B56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21F7AB2" w14:textId="77777777" w:rsidR="001C5DDB" w:rsidRDefault="001C5DDB" w:rsidP="001C5DD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D493E" w14:textId="77777777" w:rsidR="00E33976" w:rsidRDefault="00E33976" w:rsidP="000F7C7B">
      <w:r>
        <w:separator/>
      </w:r>
    </w:p>
  </w:footnote>
  <w:footnote w:type="continuationSeparator" w:id="0">
    <w:p w14:paraId="25EE31C8" w14:textId="77777777" w:rsidR="00E33976" w:rsidRDefault="00E33976" w:rsidP="000F7C7B">
      <w:r>
        <w:continuationSeparator/>
      </w:r>
    </w:p>
  </w:footnote>
  <w:footnote w:id="1">
    <w:p w14:paraId="0262CAC9" w14:textId="77777777" w:rsidR="000F7C7B" w:rsidRPr="00642FFC" w:rsidRDefault="000F7C7B" w:rsidP="000F7C7B">
      <w:pPr>
        <w:pStyle w:val="NormalWeb"/>
        <w:shd w:val="clear" w:color="auto" w:fill="FFFFFF"/>
        <w:spacing w:before="0" w:beforeAutospacing="0" w:after="0" w:afterAutospacing="0"/>
        <w:jc w:val="both"/>
        <w:rPr>
          <w:rFonts w:ascii="Cambria" w:hAnsi="Cambria"/>
          <w:color w:val="000000"/>
          <w:lang w:val="en-US"/>
        </w:rPr>
      </w:pPr>
      <w:r w:rsidRPr="00642FFC">
        <w:rPr>
          <w:rStyle w:val="FootnoteReference"/>
          <w:rFonts w:ascii="Cambria" w:hAnsi="Cambria"/>
        </w:rPr>
        <w:footnoteRef/>
      </w:r>
      <w:r w:rsidRPr="00642FFC">
        <w:rPr>
          <w:rFonts w:ascii="Cambria" w:hAnsi="Cambria"/>
          <w:lang w:val="en-US"/>
        </w:rPr>
        <w:t xml:space="preserve"> </w:t>
      </w:r>
      <w:r w:rsidRPr="00642FFC">
        <w:rPr>
          <w:rFonts w:ascii="Cambria" w:hAnsi="Cambria"/>
          <w:color w:val="000000"/>
          <w:sz w:val="20"/>
          <w:szCs w:val="20"/>
          <w:lang w:val="en-US"/>
        </w:rPr>
        <w:t>Section 4M of the </w:t>
      </w:r>
      <w:r w:rsidRPr="00642FFC">
        <w:rPr>
          <w:rFonts w:ascii="Cambria" w:hAnsi="Cambria"/>
          <w:i/>
          <w:iCs/>
          <w:color w:val="000000"/>
          <w:sz w:val="20"/>
          <w:szCs w:val="20"/>
          <w:bdr w:val="none" w:sz="0" w:space="0" w:color="auto" w:frame="1"/>
          <w:shd w:val="clear" w:color="auto" w:fill="FFFFFF"/>
          <w:lang w:val="en-US"/>
        </w:rPr>
        <w:t>Crimes Act 1914 </w:t>
      </w:r>
      <w:r w:rsidRPr="00642FFC">
        <w:rPr>
          <w:rFonts w:ascii="Cambria" w:hAnsi="Cambria"/>
          <w:color w:val="000000"/>
          <w:sz w:val="20"/>
          <w:szCs w:val="20"/>
          <w:bdr w:val="none" w:sz="0" w:space="0" w:color="auto" w:frame="1"/>
          <w:shd w:val="clear" w:color="auto" w:fill="FFFFFF"/>
          <w:lang w:val="en-US"/>
        </w:rPr>
        <w:t>(</w:t>
      </w:r>
      <w:proofErr w:type="spellStart"/>
      <w:r w:rsidRPr="00642FFC">
        <w:rPr>
          <w:rFonts w:ascii="Cambria" w:hAnsi="Cambria"/>
          <w:color w:val="000000"/>
          <w:sz w:val="20"/>
          <w:szCs w:val="20"/>
          <w:bdr w:val="none" w:sz="0" w:space="0" w:color="auto" w:frame="1"/>
          <w:shd w:val="clear" w:color="auto" w:fill="FFFFFF"/>
          <w:lang w:val="en-US"/>
        </w:rPr>
        <w:t>Cth</w:t>
      </w:r>
      <w:proofErr w:type="spellEnd"/>
      <w:r w:rsidRPr="00642FFC">
        <w:rPr>
          <w:rFonts w:ascii="Cambria" w:hAnsi="Cambria"/>
          <w:color w:val="000000"/>
          <w:sz w:val="20"/>
          <w:szCs w:val="20"/>
          <w:bdr w:val="none" w:sz="0" w:space="0" w:color="auto" w:frame="1"/>
          <w:shd w:val="clear" w:color="auto" w:fill="FFFFFF"/>
          <w:lang w:val="en-US"/>
        </w:rPr>
        <w:t>); Section 7.1 of the </w:t>
      </w:r>
      <w:r w:rsidRPr="00642FFC">
        <w:rPr>
          <w:rFonts w:ascii="Cambria" w:hAnsi="Cambria"/>
          <w:i/>
          <w:iCs/>
          <w:color w:val="000000"/>
          <w:sz w:val="20"/>
          <w:szCs w:val="20"/>
          <w:bdr w:val="none" w:sz="0" w:space="0" w:color="auto" w:frame="1"/>
          <w:shd w:val="clear" w:color="auto" w:fill="FFFFFF"/>
          <w:lang w:val="en-US"/>
        </w:rPr>
        <w:t>Criminal Code Act 1995 </w:t>
      </w:r>
      <w:r w:rsidRPr="00642FFC">
        <w:rPr>
          <w:rFonts w:ascii="Cambria" w:hAnsi="Cambria"/>
          <w:color w:val="000000"/>
          <w:sz w:val="20"/>
          <w:szCs w:val="20"/>
          <w:bdr w:val="none" w:sz="0" w:space="0" w:color="auto" w:frame="1"/>
          <w:shd w:val="clear" w:color="auto" w:fill="FFFFFF"/>
          <w:lang w:val="en-US"/>
        </w:rPr>
        <w:t>(</w:t>
      </w:r>
      <w:proofErr w:type="spellStart"/>
      <w:r w:rsidRPr="00642FFC">
        <w:rPr>
          <w:rFonts w:ascii="Cambria" w:hAnsi="Cambria"/>
          <w:color w:val="000000"/>
          <w:sz w:val="20"/>
          <w:szCs w:val="20"/>
          <w:bdr w:val="none" w:sz="0" w:space="0" w:color="auto" w:frame="1"/>
          <w:shd w:val="clear" w:color="auto" w:fill="FFFFFF"/>
          <w:lang w:val="en-US"/>
        </w:rPr>
        <w:t>Cth</w:t>
      </w:r>
      <w:proofErr w:type="spellEnd"/>
      <w:r w:rsidRPr="00642FFC">
        <w:rPr>
          <w:rFonts w:ascii="Cambria" w:hAnsi="Cambria"/>
          <w:color w:val="000000"/>
          <w:sz w:val="20"/>
          <w:szCs w:val="20"/>
          <w:bdr w:val="none" w:sz="0" w:space="0" w:color="auto" w:frame="1"/>
          <w:shd w:val="clear" w:color="auto" w:fill="FFFFFF"/>
          <w:lang w:val="en-US"/>
        </w:rPr>
        <w:t xml:space="preserve">); Section 25 of the </w:t>
      </w:r>
      <w:r w:rsidRPr="00642FFC">
        <w:rPr>
          <w:rFonts w:ascii="Cambria" w:hAnsi="Cambria"/>
          <w:i/>
          <w:color w:val="000000"/>
          <w:sz w:val="20"/>
          <w:szCs w:val="20"/>
          <w:bdr w:val="none" w:sz="0" w:space="0" w:color="auto" w:frame="1"/>
          <w:shd w:val="clear" w:color="auto" w:fill="FFFFFF"/>
          <w:lang w:val="en-US"/>
        </w:rPr>
        <w:t>Crim</w:t>
      </w:r>
      <w:r w:rsidRPr="00642FFC">
        <w:rPr>
          <w:rFonts w:ascii="Cambria" w:hAnsi="Cambria"/>
          <w:i/>
          <w:iCs/>
          <w:color w:val="000000"/>
          <w:sz w:val="20"/>
          <w:szCs w:val="20"/>
          <w:bdr w:val="none" w:sz="0" w:space="0" w:color="auto" w:frame="1"/>
          <w:shd w:val="clear" w:color="auto" w:fill="FFFFFF"/>
          <w:lang w:val="en-US"/>
        </w:rPr>
        <w:t>inal Code 2002</w:t>
      </w:r>
      <w:r w:rsidRPr="00642FFC">
        <w:rPr>
          <w:rFonts w:ascii="Cambria" w:hAnsi="Cambria"/>
          <w:color w:val="000000"/>
          <w:sz w:val="20"/>
          <w:szCs w:val="20"/>
          <w:bdr w:val="none" w:sz="0" w:space="0" w:color="auto" w:frame="1"/>
          <w:shd w:val="clear" w:color="auto" w:fill="FFFFFF"/>
          <w:lang w:val="en-US"/>
        </w:rPr>
        <w:t> (ACT); Section 5 of the </w:t>
      </w:r>
      <w:r w:rsidRPr="00642FFC">
        <w:rPr>
          <w:rFonts w:ascii="Cambria" w:hAnsi="Cambria"/>
          <w:i/>
          <w:iCs/>
          <w:color w:val="000000"/>
          <w:sz w:val="20"/>
          <w:szCs w:val="20"/>
          <w:bdr w:val="none" w:sz="0" w:space="0" w:color="auto" w:frame="1"/>
          <w:shd w:val="clear" w:color="auto" w:fill="FFFFFF"/>
          <w:lang w:val="en-US"/>
        </w:rPr>
        <w:t>Children (Criminal Proceedings) Act 1987</w:t>
      </w:r>
      <w:r w:rsidRPr="00642FFC">
        <w:rPr>
          <w:rFonts w:ascii="Cambria" w:hAnsi="Cambria"/>
          <w:color w:val="000000"/>
          <w:sz w:val="20"/>
          <w:szCs w:val="20"/>
          <w:bdr w:val="none" w:sz="0" w:space="0" w:color="auto" w:frame="1"/>
          <w:shd w:val="clear" w:color="auto" w:fill="FFFFFF"/>
          <w:lang w:val="en-US"/>
        </w:rPr>
        <w:t> (NSW); Section 38(1) of the </w:t>
      </w:r>
      <w:r w:rsidRPr="00642FFC">
        <w:rPr>
          <w:rFonts w:ascii="Cambria" w:hAnsi="Cambria"/>
          <w:i/>
          <w:iCs/>
          <w:color w:val="000000"/>
          <w:sz w:val="20"/>
          <w:szCs w:val="20"/>
          <w:bdr w:val="none" w:sz="0" w:space="0" w:color="auto" w:frame="1"/>
          <w:shd w:val="clear" w:color="auto" w:fill="FFFFFF"/>
          <w:lang w:val="en-US"/>
        </w:rPr>
        <w:t>Criminal Code Act 1983 </w:t>
      </w:r>
      <w:r w:rsidRPr="00642FFC">
        <w:rPr>
          <w:rFonts w:ascii="Cambria" w:hAnsi="Cambria"/>
          <w:color w:val="000000"/>
          <w:sz w:val="20"/>
          <w:szCs w:val="20"/>
          <w:bdr w:val="none" w:sz="0" w:space="0" w:color="auto" w:frame="1"/>
          <w:shd w:val="clear" w:color="auto" w:fill="FFFFFF"/>
          <w:lang w:val="en-US"/>
        </w:rPr>
        <w:t>(NT); Section 29(1) of the </w:t>
      </w:r>
      <w:r w:rsidRPr="00642FFC">
        <w:rPr>
          <w:rFonts w:ascii="Cambria" w:hAnsi="Cambria"/>
          <w:i/>
          <w:iCs/>
          <w:color w:val="000000"/>
          <w:sz w:val="20"/>
          <w:szCs w:val="20"/>
          <w:bdr w:val="none" w:sz="0" w:space="0" w:color="auto" w:frame="1"/>
          <w:shd w:val="clear" w:color="auto" w:fill="FFFFFF"/>
          <w:lang w:val="en-US"/>
        </w:rPr>
        <w:t>Criminal Code Act 1899 </w:t>
      </w:r>
      <w:r w:rsidRPr="00642FFC">
        <w:rPr>
          <w:rFonts w:ascii="Cambria" w:hAnsi="Cambria"/>
          <w:color w:val="000000"/>
          <w:sz w:val="20"/>
          <w:szCs w:val="20"/>
          <w:bdr w:val="none" w:sz="0" w:space="0" w:color="auto" w:frame="1"/>
          <w:shd w:val="clear" w:color="auto" w:fill="FFFFFF"/>
          <w:lang w:val="en-US"/>
        </w:rPr>
        <w:t>(Qld); Section 5 of the </w:t>
      </w:r>
      <w:r w:rsidRPr="00642FFC">
        <w:rPr>
          <w:rFonts w:ascii="Cambria" w:hAnsi="Cambria"/>
          <w:i/>
          <w:iCs/>
          <w:color w:val="000000"/>
          <w:sz w:val="20"/>
          <w:szCs w:val="20"/>
          <w:bdr w:val="none" w:sz="0" w:space="0" w:color="auto" w:frame="1"/>
          <w:shd w:val="clear" w:color="auto" w:fill="FFFFFF"/>
          <w:lang w:val="en-US"/>
        </w:rPr>
        <w:t>Young Offenders Act 1993 </w:t>
      </w:r>
      <w:r w:rsidRPr="00642FFC">
        <w:rPr>
          <w:rFonts w:ascii="Cambria" w:hAnsi="Cambria"/>
          <w:color w:val="000000"/>
          <w:sz w:val="20"/>
          <w:szCs w:val="20"/>
          <w:bdr w:val="none" w:sz="0" w:space="0" w:color="auto" w:frame="1"/>
          <w:shd w:val="clear" w:color="auto" w:fill="FFFFFF"/>
          <w:lang w:val="en-US"/>
        </w:rPr>
        <w:t>(SA); Section 344 of the </w:t>
      </w:r>
      <w:r w:rsidRPr="00642FFC">
        <w:rPr>
          <w:rFonts w:ascii="Cambria" w:hAnsi="Cambria"/>
          <w:i/>
          <w:iCs/>
          <w:color w:val="000000"/>
          <w:sz w:val="20"/>
          <w:szCs w:val="20"/>
          <w:bdr w:val="none" w:sz="0" w:space="0" w:color="auto" w:frame="1"/>
          <w:shd w:val="clear" w:color="auto" w:fill="FFFFFF"/>
          <w:lang w:val="en-US"/>
        </w:rPr>
        <w:t>Children, Youth and Families Act 2005 </w:t>
      </w:r>
      <w:r w:rsidRPr="00642FFC">
        <w:rPr>
          <w:rFonts w:ascii="Cambria" w:hAnsi="Cambria"/>
          <w:color w:val="000000"/>
          <w:sz w:val="20"/>
          <w:szCs w:val="20"/>
          <w:bdr w:val="none" w:sz="0" w:space="0" w:color="auto" w:frame="1"/>
          <w:shd w:val="clear" w:color="auto" w:fill="FFFFFF"/>
          <w:lang w:val="en-US"/>
        </w:rPr>
        <w:t>(Vic); Section 29 of the </w:t>
      </w:r>
      <w:r w:rsidRPr="00642FFC">
        <w:rPr>
          <w:rFonts w:ascii="Cambria" w:hAnsi="Cambria"/>
          <w:i/>
          <w:iCs/>
          <w:color w:val="000000"/>
          <w:sz w:val="20"/>
          <w:szCs w:val="20"/>
          <w:bdr w:val="none" w:sz="0" w:space="0" w:color="auto" w:frame="1"/>
          <w:shd w:val="clear" w:color="auto" w:fill="FFFFFF"/>
          <w:lang w:val="en-US"/>
        </w:rPr>
        <w:t>Criminal Code Act Compilation Act 1913</w:t>
      </w:r>
      <w:r w:rsidRPr="00642FFC">
        <w:rPr>
          <w:rFonts w:ascii="Cambria" w:hAnsi="Cambria"/>
          <w:color w:val="000000"/>
          <w:sz w:val="20"/>
          <w:szCs w:val="20"/>
          <w:bdr w:val="none" w:sz="0" w:space="0" w:color="auto" w:frame="1"/>
          <w:shd w:val="clear" w:color="auto" w:fill="FFFFFF"/>
          <w:lang w:val="en-US"/>
        </w:rPr>
        <w:t> (WA). </w:t>
      </w:r>
    </w:p>
  </w:footnote>
  <w:footnote w:id="2">
    <w:p w14:paraId="230A2344" w14:textId="77777777" w:rsidR="0034462B" w:rsidRPr="00642FFC" w:rsidRDefault="0034462B" w:rsidP="0034462B">
      <w:pPr>
        <w:pStyle w:val="FootnoteText"/>
        <w:rPr>
          <w:rFonts w:ascii="Cambria" w:hAnsi="Cambria"/>
        </w:rPr>
      </w:pPr>
      <w:r w:rsidRPr="00642FFC">
        <w:rPr>
          <w:rStyle w:val="FootnoteReference"/>
          <w:rFonts w:ascii="Cambria" w:hAnsi="Cambria"/>
        </w:rPr>
        <w:footnoteRef/>
      </w:r>
      <w:r w:rsidRPr="00642FFC">
        <w:rPr>
          <w:rFonts w:ascii="Cambria" w:hAnsi="Cambria"/>
        </w:rPr>
        <w:t xml:space="preserve"> </w:t>
      </w:r>
      <w:r w:rsidRPr="00642FFC">
        <w:rPr>
          <w:rFonts w:ascii="Cambria" w:hAnsi="Cambria"/>
          <w:color w:val="000000"/>
          <w:sz w:val="20"/>
          <w:szCs w:val="20"/>
          <w:bdr w:val="none" w:sz="0" w:space="0" w:color="auto" w:frame="1"/>
        </w:rPr>
        <w:t>Elly Farmer,</w:t>
      </w:r>
      <w:r w:rsidR="00090CDC" w:rsidRPr="00642FFC">
        <w:rPr>
          <w:rFonts w:ascii="Cambria" w:hAnsi="Cambria"/>
          <w:color w:val="000000"/>
          <w:sz w:val="20"/>
          <w:szCs w:val="20"/>
          <w:bdr w:val="none" w:sz="0" w:space="0" w:color="auto" w:frame="1"/>
        </w:rPr>
        <w:t xml:space="preserve"> </w:t>
      </w:r>
      <w:r w:rsidRPr="00642FFC">
        <w:rPr>
          <w:rFonts w:ascii="Cambria" w:hAnsi="Cambria"/>
          <w:color w:val="000000"/>
          <w:sz w:val="20"/>
          <w:szCs w:val="20"/>
          <w:bdr w:val="none" w:sz="0" w:space="0" w:color="auto" w:frame="1"/>
        </w:rPr>
        <w:t xml:space="preserve">The age of criminal responsibility: developmental science and human rights perspectives (2011) 6(2) </w:t>
      </w:r>
      <w:r w:rsidRPr="00642FFC">
        <w:rPr>
          <w:rFonts w:ascii="Cambria" w:hAnsi="Cambria"/>
          <w:i/>
          <w:color w:val="000000"/>
          <w:sz w:val="20"/>
          <w:szCs w:val="20"/>
          <w:bdr w:val="none" w:sz="0" w:space="0" w:color="auto" w:frame="1"/>
        </w:rPr>
        <w:t>Journal of Children’s Services</w:t>
      </w:r>
      <w:r w:rsidRPr="00642FFC">
        <w:rPr>
          <w:rFonts w:ascii="Cambria" w:hAnsi="Cambria"/>
          <w:color w:val="000000"/>
          <w:sz w:val="20"/>
          <w:szCs w:val="20"/>
          <w:bdr w:val="none" w:sz="0" w:space="0" w:color="auto" w:frame="1"/>
        </w:rPr>
        <w:t>, 86 at 87.</w:t>
      </w:r>
    </w:p>
  </w:footnote>
  <w:footnote w:id="3">
    <w:p w14:paraId="56F79B8E" w14:textId="77777777" w:rsidR="00090CDC" w:rsidRPr="00642FFC" w:rsidRDefault="00090CDC" w:rsidP="00090CDC">
      <w:pPr>
        <w:pStyle w:val="FootnoteText"/>
        <w:rPr>
          <w:rFonts w:ascii="Cambria" w:hAnsi="Cambria"/>
        </w:rPr>
      </w:pPr>
      <w:r w:rsidRPr="00642FFC">
        <w:rPr>
          <w:rStyle w:val="FootnoteReference"/>
          <w:rFonts w:ascii="Cambria" w:hAnsi="Cambria"/>
        </w:rPr>
        <w:footnoteRef/>
      </w:r>
      <w:r w:rsidRPr="00642FFC">
        <w:rPr>
          <w:rFonts w:ascii="Cambria" w:hAnsi="Cambria"/>
        </w:rPr>
        <w:t xml:space="preserve"> </w:t>
      </w:r>
      <w:r w:rsidRPr="00642FFC">
        <w:rPr>
          <w:rFonts w:ascii="Cambria" w:hAnsi="Cambria"/>
          <w:color w:val="000000"/>
          <w:sz w:val="20"/>
          <w:szCs w:val="20"/>
          <w:bdr w:val="none" w:sz="0" w:space="0" w:color="auto" w:frame="1"/>
        </w:rPr>
        <w:t xml:space="preserve">Australian Institute of Health and Welfare, </w:t>
      </w:r>
      <w:r w:rsidRPr="00642FFC">
        <w:rPr>
          <w:rFonts w:ascii="Cambria" w:hAnsi="Cambria"/>
          <w:i/>
          <w:color w:val="000000"/>
          <w:sz w:val="20"/>
          <w:szCs w:val="20"/>
          <w:bdr w:val="none" w:sz="0" w:space="0" w:color="auto" w:frame="1"/>
        </w:rPr>
        <w:t>Youth Justice in Australia 2017-18</w:t>
      </w:r>
      <w:r w:rsidRPr="00642FFC">
        <w:rPr>
          <w:rFonts w:ascii="Cambria" w:hAnsi="Cambria"/>
          <w:color w:val="000000"/>
          <w:sz w:val="20"/>
          <w:szCs w:val="20"/>
          <w:bdr w:val="none" w:sz="0" w:space="0" w:color="auto" w:frame="1"/>
        </w:rPr>
        <w:t xml:space="preserve"> at 16. </w:t>
      </w:r>
    </w:p>
  </w:footnote>
  <w:footnote w:id="4">
    <w:p w14:paraId="74177BBC" w14:textId="77777777" w:rsidR="00090CDC" w:rsidRPr="00642FFC" w:rsidRDefault="00090CDC" w:rsidP="00090CDC">
      <w:pPr>
        <w:rPr>
          <w:rFonts w:ascii="Cambria" w:hAnsi="Cambria"/>
          <w:lang w:val="en-US"/>
        </w:rPr>
      </w:pPr>
      <w:r w:rsidRPr="00642FFC">
        <w:rPr>
          <w:rStyle w:val="FootnoteReference"/>
          <w:rFonts w:ascii="Cambria" w:hAnsi="Cambria"/>
        </w:rPr>
        <w:footnoteRef/>
      </w:r>
      <w:r w:rsidRPr="00642FFC">
        <w:rPr>
          <w:rFonts w:ascii="Cambria" w:hAnsi="Cambria"/>
          <w:lang w:val="en-US"/>
        </w:rPr>
        <w:t xml:space="preserve"> </w:t>
      </w:r>
      <w:r w:rsidRPr="00642FFC">
        <w:rPr>
          <w:rFonts w:ascii="Cambria" w:hAnsi="Cambria"/>
          <w:sz w:val="20"/>
          <w:szCs w:val="20"/>
          <w:lang w:val="en-US"/>
        </w:rPr>
        <w:t xml:space="preserve">For example, the number of children aged 10 and 11 years involved in the justice system in 2013-14 accounted for less than 2 per cent of children under 18 in custody across the country. As found at Jesuit Social Services, </w:t>
      </w:r>
      <w:r w:rsidRPr="00642FFC">
        <w:rPr>
          <w:rFonts w:ascii="Cambria" w:hAnsi="Cambria"/>
          <w:i/>
          <w:sz w:val="20"/>
          <w:szCs w:val="20"/>
          <w:lang w:val="en-US"/>
        </w:rPr>
        <w:t>Too much too young – Raise the age of criminal responsibility to 12</w:t>
      </w:r>
      <w:r w:rsidRPr="00642FFC">
        <w:rPr>
          <w:rFonts w:ascii="Cambria" w:hAnsi="Cambria"/>
          <w:sz w:val="20"/>
          <w:szCs w:val="20"/>
          <w:lang w:val="en-US"/>
        </w:rPr>
        <w:t xml:space="preserve"> (October 2015). As found at </w:t>
      </w:r>
      <w:hyperlink r:id="rId1" w:history="1">
        <w:r w:rsidRPr="00642FFC">
          <w:rPr>
            <w:rStyle w:val="Hyperlink"/>
            <w:rFonts w:ascii="Cambria" w:eastAsiaTheme="minorEastAsia" w:hAnsi="Cambria"/>
            <w:sz w:val="20"/>
            <w:szCs w:val="20"/>
            <w:lang w:val="en-US"/>
          </w:rPr>
          <w:t>https://jss.org.au/too-much-too-young-raise-the-age-of-criminal-responsibility-to-12/</w:t>
        </w:r>
      </w:hyperlink>
      <w:r w:rsidRPr="00642FFC">
        <w:rPr>
          <w:rFonts w:ascii="Cambria" w:hAnsi="Cambria"/>
          <w:sz w:val="20"/>
          <w:szCs w:val="20"/>
          <w:lang w:val="en-US"/>
        </w:rPr>
        <w:t xml:space="preserve"> (Accessed 25 February 2020).</w:t>
      </w:r>
      <w:r w:rsidRPr="00642FFC">
        <w:rPr>
          <w:rFonts w:ascii="Cambria" w:hAnsi="Cambria"/>
          <w:lang w:val="en-US"/>
        </w:rPr>
        <w:t xml:space="preserve">  </w:t>
      </w:r>
    </w:p>
  </w:footnote>
  <w:footnote w:id="5">
    <w:p w14:paraId="43F2E3BE" w14:textId="77777777" w:rsidR="00061689" w:rsidRPr="00642FFC" w:rsidRDefault="00061689" w:rsidP="00061689">
      <w:pPr>
        <w:rPr>
          <w:rFonts w:ascii="Cambria" w:hAnsi="Cambria"/>
          <w:lang w:val="en-US"/>
        </w:rPr>
      </w:pPr>
      <w:r w:rsidRPr="00642FFC">
        <w:rPr>
          <w:rStyle w:val="FootnoteReference"/>
          <w:rFonts w:ascii="Cambria" w:hAnsi="Cambria"/>
        </w:rPr>
        <w:footnoteRef/>
      </w:r>
      <w:r w:rsidRPr="00642FFC">
        <w:rPr>
          <w:rFonts w:ascii="Cambria" w:hAnsi="Cambria"/>
          <w:lang w:val="en-US"/>
        </w:rPr>
        <w:t xml:space="preserve"> </w:t>
      </w:r>
      <w:r w:rsidRPr="00642FFC">
        <w:rPr>
          <w:rFonts w:ascii="Cambria" w:hAnsi="Cambria"/>
          <w:color w:val="000000"/>
          <w:sz w:val="20"/>
          <w:szCs w:val="20"/>
          <w:bdr w:val="none" w:sz="0" w:space="0" w:color="auto" w:frame="1"/>
          <w:lang w:val="en-US"/>
        </w:rPr>
        <w:t xml:space="preserve">Australian Institute of Health and Welfare, </w:t>
      </w:r>
      <w:r w:rsidRPr="00642FFC">
        <w:rPr>
          <w:rFonts w:ascii="Cambria" w:hAnsi="Cambria"/>
          <w:i/>
          <w:color w:val="000000"/>
          <w:sz w:val="20"/>
          <w:szCs w:val="20"/>
          <w:bdr w:val="none" w:sz="0" w:space="0" w:color="auto" w:frame="1"/>
          <w:lang w:val="en-US"/>
        </w:rPr>
        <w:t>Young people aged 10–14 in the youth justice system 2011–2012</w:t>
      </w:r>
      <w:r w:rsidRPr="00642FFC">
        <w:rPr>
          <w:rFonts w:ascii="Cambria" w:hAnsi="Cambria"/>
          <w:color w:val="000000"/>
          <w:sz w:val="20"/>
          <w:szCs w:val="20"/>
          <w:bdr w:val="none" w:sz="0" w:space="0" w:color="auto" w:frame="1"/>
          <w:lang w:val="en-US"/>
        </w:rPr>
        <w:t xml:space="preserve"> (2013) at vi.</w:t>
      </w:r>
      <w:r w:rsidRPr="00642FFC">
        <w:rPr>
          <w:rFonts w:ascii="Cambria" w:hAnsi="Cambria"/>
          <w:color w:val="000000"/>
          <w:bdr w:val="none" w:sz="0" w:space="0" w:color="auto" w:frame="1"/>
          <w:lang w:val="en-US"/>
        </w:rPr>
        <w:t xml:space="preserve"> </w:t>
      </w:r>
    </w:p>
  </w:footnote>
  <w:footnote w:id="6">
    <w:p w14:paraId="5817C105" w14:textId="77777777" w:rsidR="00061689" w:rsidRPr="00642FFC" w:rsidRDefault="00061689">
      <w:pPr>
        <w:pStyle w:val="FootnoteText"/>
        <w:rPr>
          <w:rFonts w:ascii="Cambria" w:hAnsi="Cambria"/>
        </w:rPr>
      </w:pPr>
      <w:r w:rsidRPr="00642FFC">
        <w:rPr>
          <w:rStyle w:val="FootnoteReference"/>
          <w:rFonts w:ascii="Cambria" w:hAnsi="Cambria"/>
        </w:rPr>
        <w:footnoteRef/>
      </w:r>
      <w:r w:rsidRPr="00642FFC">
        <w:rPr>
          <w:rFonts w:ascii="Cambria" w:hAnsi="Cambria"/>
        </w:rPr>
        <w:t xml:space="preserve"> </w:t>
      </w:r>
      <w:r w:rsidRPr="00642FFC">
        <w:rPr>
          <w:rFonts w:ascii="Cambria" w:hAnsi="Cambria"/>
          <w:color w:val="000000" w:themeColor="text1"/>
          <w:sz w:val="20"/>
          <w:szCs w:val="20"/>
          <w:bdr w:val="none" w:sz="0" w:space="0" w:color="auto" w:frame="1"/>
          <w:shd w:val="clear" w:color="auto" w:fill="FFFFFF"/>
        </w:rPr>
        <w:t xml:space="preserve">Commonwealth, </w:t>
      </w:r>
      <w:r w:rsidRPr="00642FFC">
        <w:rPr>
          <w:rFonts w:ascii="Cambria" w:hAnsi="Cambria"/>
          <w:i/>
          <w:iCs/>
          <w:color w:val="000000" w:themeColor="text1"/>
          <w:sz w:val="20"/>
          <w:szCs w:val="20"/>
          <w:bdr w:val="none" w:sz="0" w:space="0" w:color="auto" w:frame="1"/>
          <w:shd w:val="clear" w:color="auto" w:fill="FFFFFF"/>
        </w:rPr>
        <w:t>Royal Commission into the Protection and Detention of Children in the Northern Territory</w:t>
      </w:r>
      <w:r w:rsidRPr="00642FFC">
        <w:rPr>
          <w:rFonts w:ascii="Cambria" w:hAnsi="Cambria"/>
          <w:color w:val="000000" w:themeColor="text1"/>
          <w:sz w:val="20"/>
          <w:szCs w:val="20"/>
          <w:bdr w:val="none" w:sz="0" w:space="0" w:color="auto" w:frame="1"/>
          <w:shd w:val="clear" w:color="auto" w:fill="FFFFFF"/>
        </w:rPr>
        <w:t>, Final Report (November 2017), Volume 2A at 350.</w:t>
      </w:r>
    </w:p>
  </w:footnote>
  <w:footnote w:id="7">
    <w:p w14:paraId="2254C438" w14:textId="77777777" w:rsidR="00403E35" w:rsidRPr="00642FFC" w:rsidRDefault="00403E35">
      <w:pPr>
        <w:pStyle w:val="FootnoteText"/>
        <w:rPr>
          <w:rFonts w:ascii="Cambria" w:hAnsi="Cambria"/>
        </w:rPr>
      </w:pPr>
      <w:r w:rsidRPr="00642FFC">
        <w:rPr>
          <w:rStyle w:val="FootnoteReference"/>
          <w:rFonts w:ascii="Cambria" w:hAnsi="Cambria"/>
        </w:rPr>
        <w:footnoteRef/>
      </w:r>
      <w:r w:rsidRPr="00642FFC">
        <w:rPr>
          <w:rFonts w:ascii="Cambria" w:hAnsi="Cambria"/>
        </w:rPr>
        <w:t xml:space="preserve"> </w:t>
      </w:r>
      <w:r w:rsidRPr="00642FFC">
        <w:rPr>
          <w:rFonts w:ascii="Cambria" w:hAnsi="Cambria"/>
          <w:color w:val="000000"/>
          <w:sz w:val="20"/>
          <w:szCs w:val="20"/>
          <w:bdr w:val="none" w:sz="0" w:space="0" w:color="auto" w:frame="1"/>
        </w:rPr>
        <w:t xml:space="preserve">Australian Institute of Health and Welfare, </w:t>
      </w:r>
      <w:r w:rsidRPr="00642FFC">
        <w:rPr>
          <w:rFonts w:ascii="Cambria" w:hAnsi="Cambria"/>
          <w:i/>
          <w:color w:val="000000"/>
          <w:sz w:val="20"/>
          <w:szCs w:val="20"/>
          <w:bdr w:val="none" w:sz="0" w:space="0" w:color="auto" w:frame="1"/>
        </w:rPr>
        <w:t>Youth Justice in Australia 2017-18</w:t>
      </w:r>
      <w:r w:rsidRPr="00642FFC">
        <w:rPr>
          <w:rFonts w:ascii="Cambria" w:hAnsi="Cambria"/>
          <w:color w:val="000000"/>
          <w:sz w:val="20"/>
          <w:szCs w:val="20"/>
          <w:bdr w:val="none" w:sz="0" w:space="0" w:color="auto" w:frame="1"/>
        </w:rPr>
        <w:t xml:space="preserve"> at 9.  </w:t>
      </w:r>
    </w:p>
  </w:footnote>
  <w:footnote w:id="8">
    <w:p w14:paraId="6A993CC3" w14:textId="52670828" w:rsidR="002869DA" w:rsidRPr="00642FFC" w:rsidRDefault="002869DA" w:rsidP="002869DA">
      <w:pPr>
        <w:pStyle w:val="NormalWeb"/>
        <w:shd w:val="clear" w:color="auto" w:fill="FFFFFF"/>
        <w:spacing w:before="0" w:beforeAutospacing="0" w:after="0" w:afterAutospacing="0"/>
        <w:jc w:val="both"/>
        <w:rPr>
          <w:rFonts w:ascii="Cambria" w:hAnsi="Cambria"/>
          <w:color w:val="000000"/>
          <w:bdr w:val="none" w:sz="0" w:space="0" w:color="auto" w:frame="1"/>
          <w:lang w:val="en-US"/>
        </w:rPr>
      </w:pPr>
      <w:r w:rsidRPr="00642FFC">
        <w:rPr>
          <w:rStyle w:val="FootnoteReference"/>
          <w:rFonts w:ascii="Cambria" w:hAnsi="Cambria"/>
        </w:rPr>
        <w:footnoteRef/>
      </w:r>
      <w:r w:rsidRPr="00642FFC">
        <w:rPr>
          <w:rFonts w:ascii="Cambria" w:hAnsi="Cambria"/>
        </w:rPr>
        <w:t xml:space="preserve"> </w:t>
      </w:r>
      <w:proofErr w:type="spellStart"/>
      <w:r w:rsidRPr="00642FFC">
        <w:rPr>
          <w:rFonts w:ascii="Cambria" w:hAnsi="Cambria"/>
          <w:sz w:val="20"/>
          <w:szCs w:val="20"/>
        </w:rPr>
        <w:t>Australian</w:t>
      </w:r>
      <w:proofErr w:type="spellEnd"/>
      <w:r w:rsidRPr="00642FFC">
        <w:rPr>
          <w:rFonts w:ascii="Cambria" w:hAnsi="Cambria"/>
          <w:sz w:val="20"/>
          <w:szCs w:val="20"/>
        </w:rPr>
        <w:t xml:space="preserve"> Institute </w:t>
      </w:r>
      <w:proofErr w:type="spellStart"/>
      <w:r w:rsidRPr="00642FFC">
        <w:rPr>
          <w:rFonts w:ascii="Cambria" w:hAnsi="Cambria"/>
          <w:sz w:val="20"/>
          <w:szCs w:val="20"/>
        </w:rPr>
        <w:t>of</w:t>
      </w:r>
      <w:proofErr w:type="spellEnd"/>
      <w:r w:rsidRPr="00642FFC">
        <w:rPr>
          <w:rFonts w:ascii="Cambria" w:hAnsi="Cambria"/>
          <w:sz w:val="20"/>
          <w:szCs w:val="20"/>
        </w:rPr>
        <w:t xml:space="preserve"> </w:t>
      </w:r>
      <w:proofErr w:type="spellStart"/>
      <w:r w:rsidRPr="00642FFC">
        <w:rPr>
          <w:rFonts w:ascii="Cambria" w:hAnsi="Cambria"/>
          <w:sz w:val="20"/>
          <w:szCs w:val="20"/>
        </w:rPr>
        <w:t>Health</w:t>
      </w:r>
      <w:proofErr w:type="spellEnd"/>
      <w:r w:rsidRPr="00642FFC">
        <w:rPr>
          <w:rFonts w:ascii="Cambria" w:hAnsi="Cambria"/>
          <w:sz w:val="20"/>
          <w:szCs w:val="20"/>
        </w:rPr>
        <w:t xml:space="preserve"> </w:t>
      </w:r>
      <w:proofErr w:type="spellStart"/>
      <w:r w:rsidRPr="00642FFC">
        <w:rPr>
          <w:rFonts w:ascii="Cambria" w:hAnsi="Cambria"/>
          <w:sz w:val="20"/>
          <w:szCs w:val="20"/>
        </w:rPr>
        <w:t>and</w:t>
      </w:r>
      <w:proofErr w:type="spellEnd"/>
      <w:r w:rsidRPr="00642FFC">
        <w:rPr>
          <w:rFonts w:ascii="Cambria" w:hAnsi="Cambria"/>
          <w:sz w:val="20"/>
          <w:szCs w:val="20"/>
        </w:rPr>
        <w:t xml:space="preserve"> </w:t>
      </w:r>
      <w:proofErr w:type="spellStart"/>
      <w:r w:rsidRPr="00642FFC">
        <w:rPr>
          <w:rFonts w:ascii="Cambria" w:hAnsi="Cambria"/>
          <w:sz w:val="20"/>
          <w:szCs w:val="20"/>
        </w:rPr>
        <w:t>Welfare</w:t>
      </w:r>
      <w:proofErr w:type="spellEnd"/>
      <w:r w:rsidRPr="00642FFC">
        <w:rPr>
          <w:rFonts w:ascii="Cambria" w:hAnsi="Cambria"/>
          <w:sz w:val="20"/>
          <w:szCs w:val="20"/>
        </w:rPr>
        <w:t xml:space="preserve">, </w:t>
      </w:r>
      <w:r w:rsidRPr="00642FFC">
        <w:rPr>
          <w:rFonts w:ascii="Cambria" w:hAnsi="Cambria"/>
          <w:i/>
          <w:sz w:val="20"/>
          <w:szCs w:val="20"/>
        </w:rPr>
        <w:t xml:space="preserve">Youth </w:t>
      </w:r>
      <w:proofErr w:type="spellStart"/>
      <w:r w:rsidRPr="00642FFC">
        <w:rPr>
          <w:rFonts w:ascii="Cambria" w:hAnsi="Cambria"/>
          <w:i/>
          <w:sz w:val="20"/>
          <w:szCs w:val="20"/>
        </w:rPr>
        <w:t>detention</w:t>
      </w:r>
      <w:proofErr w:type="spellEnd"/>
      <w:r w:rsidRPr="00642FFC">
        <w:rPr>
          <w:rFonts w:ascii="Cambria" w:hAnsi="Cambria"/>
          <w:i/>
          <w:sz w:val="20"/>
          <w:szCs w:val="20"/>
        </w:rPr>
        <w:t xml:space="preserve"> </w:t>
      </w:r>
      <w:proofErr w:type="spellStart"/>
      <w:r w:rsidRPr="00642FFC">
        <w:rPr>
          <w:rFonts w:ascii="Cambria" w:hAnsi="Cambria"/>
          <w:i/>
          <w:sz w:val="20"/>
          <w:szCs w:val="20"/>
        </w:rPr>
        <w:t>population</w:t>
      </w:r>
      <w:proofErr w:type="spellEnd"/>
      <w:r w:rsidRPr="00642FFC">
        <w:rPr>
          <w:rFonts w:ascii="Cambria" w:hAnsi="Cambria"/>
          <w:i/>
          <w:sz w:val="20"/>
          <w:szCs w:val="20"/>
        </w:rPr>
        <w:t xml:space="preserve"> in </w:t>
      </w:r>
      <w:proofErr w:type="spellStart"/>
      <w:r w:rsidRPr="00642FFC">
        <w:rPr>
          <w:rFonts w:ascii="Cambria" w:hAnsi="Cambria"/>
          <w:i/>
          <w:sz w:val="20"/>
          <w:szCs w:val="20"/>
        </w:rPr>
        <w:t>Australia</w:t>
      </w:r>
      <w:proofErr w:type="spellEnd"/>
      <w:r w:rsidRPr="00642FFC">
        <w:rPr>
          <w:rFonts w:ascii="Cambria" w:hAnsi="Cambria"/>
          <w:i/>
          <w:sz w:val="20"/>
          <w:szCs w:val="20"/>
        </w:rPr>
        <w:t xml:space="preserve"> 2018 </w:t>
      </w:r>
      <w:r w:rsidR="00ED3F6B" w:rsidRPr="00642FFC">
        <w:rPr>
          <w:rFonts w:ascii="Cambria" w:hAnsi="Cambria"/>
          <w:iCs/>
          <w:sz w:val="20"/>
          <w:szCs w:val="20"/>
        </w:rPr>
        <w:t xml:space="preserve">(AIHW Bulletin 145, </w:t>
      </w:r>
      <w:proofErr w:type="spellStart"/>
      <w:r w:rsidR="00ED3F6B" w:rsidRPr="00642FFC">
        <w:rPr>
          <w:rFonts w:ascii="Cambria" w:hAnsi="Cambria"/>
          <w:iCs/>
          <w:sz w:val="20"/>
          <w:szCs w:val="20"/>
        </w:rPr>
        <w:t>December</w:t>
      </w:r>
      <w:proofErr w:type="spellEnd"/>
      <w:r w:rsidR="00ED3F6B" w:rsidRPr="00642FFC">
        <w:rPr>
          <w:rFonts w:ascii="Cambria" w:hAnsi="Cambria"/>
          <w:iCs/>
          <w:sz w:val="20"/>
          <w:szCs w:val="20"/>
        </w:rPr>
        <w:t xml:space="preserve"> 2018) </w:t>
      </w:r>
      <w:r w:rsidRPr="00642FFC">
        <w:rPr>
          <w:rFonts w:ascii="Cambria" w:hAnsi="Cambria"/>
          <w:iCs/>
          <w:sz w:val="20"/>
          <w:szCs w:val="20"/>
        </w:rPr>
        <w:t>at 2.</w:t>
      </w:r>
      <w:r w:rsidRPr="00642FFC">
        <w:rPr>
          <w:rFonts w:ascii="Cambria" w:hAnsi="Cambria"/>
          <w:iCs/>
        </w:rPr>
        <w:t xml:space="preserve">  </w:t>
      </w:r>
    </w:p>
  </w:footnote>
  <w:footnote w:id="9">
    <w:p w14:paraId="71F4C194" w14:textId="2FF7CB1F" w:rsidR="007A5C5F" w:rsidRPr="00642FFC" w:rsidRDefault="007A5C5F" w:rsidP="007A5C5F">
      <w:pPr>
        <w:pStyle w:val="NormalWeb"/>
        <w:shd w:val="clear" w:color="auto" w:fill="FFFFFF"/>
        <w:spacing w:before="0" w:beforeAutospacing="0" w:after="0" w:afterAutospacing="0"/>
        <w:jc w:val="both"/>
        <w:rPr>
          <w:rFonts w:ascii="Cambria" w:hAnsi="Cambria"/>
          <w:color w:val="000000"/>
          <w:lang w:val="en-US"/>
        </w:rPr>
      </w:pPr>
      <w:r w:rsidRPr="00642FFC">
        <w:rPr>
          <w:rStyle w:val="FootnoteReference"/>
          <w:rFonts w:ascii="Cambria" w:hAnsi="Cambria"/>
        </w:rPr>
        <w:footnoteRef/>
      </w:r>
      <w:r w:rsidRPr="00642FFC">
        <w:rPr>
          <w:rFonts w:ascii="Cambria" w:hAnsi="Cambria"/>
          <w:lang w:val="en-US"/>
        </w:rPr>
        <w:t xml:space="preserve"> </w:t>
      </w:r>
      <w:proofErr w:type="spellStart"/>
      <w:r w:rsidR="00ED3F6B" w:rsidRPr="00642FFC">
        <w:rPr>
          <w:rFonts w:ascii="Cambria" w:hAnsi="Cambria"/>
          <w:sz w:val="20"/>
          <w:szCs w:val="20"/>
        </w:rPr>
        <w:t>Australian</w:t>
      </w:r>
      <w:proofErr w:type="spellEnd"/>
      <w:r w:rsidR="00ED3F6B" w:rsidRPr="00642FFC">
        <w:rPr>
          <w:rFonts w:ascii="Cambria" w:hAnsi="Cambria"/>
          <w:sz w:val="20"/>
          <w:szCs w:val="20"/>
        </w:rPr>
        <w:t xml:space="preserve"> Institute </w:t>
      </w:r>
      <w:proofErr w:type="spellStart"/>
      <w:r w:rsidR="00ED3F6B" w:rsidRPr="00642FFC">
        <w:rPr>
          <w:rFonts w:ascii="Cambria" w:hAnsi="Cambria"/>
          <w:sz w:val="20"/>
          <w:szCs w:val="20"/>
        </w:rPr>
        <w:t>of</w:t>
      </w:r>
      <w:proofErr w:type="spellEnd"/>
      <w:r w:rsidR="00ED3F6B" w:rsidRPr="00642FFC">
        <w:rPr>
          <w:rFonts w:ascii="Cambria" w:hAnsi="Cambria"/>
          <w:sz w:val="20"/>
          <w:szCs w:val="20"/>
        </w:rPr>
        <w:t xml:space="preserve"> </w:t>
      </w:r>
      <w:proofErr w:type="spellStart"/>
      <w:r w:rsidR="00ED3F6B" w:rsidRPr="00642FFC">
        <w:rPr>
          <w:rFonts w:ascii="Cambria" w:hAnsi="Cambria"/>
          <w:sz w:val="20"/>
          <w:szCs w:val="20"/>
        </w:rPr>
        <w:t>Health</w:t>
      </w:r>
      <w:proofErr w:type="spellEnd"/>
      <w:r w:rsidR="00ED3F6B" w:rsidRPr="00642FFC">
        <w:rPr>
          <w:rFonts w:ascii="Cambria" w:hAnsi="Cambria"/>
          <w:sz w:val="20"/>
          <w:szCs w:val="20"/>
        </w:rPr>
        <w:t xml:space="preserve"> </w:t>
      </w:r>
      <w:proofErr w:type="spellStart"/>
      <w:r w:rsidR="00ED3F6B" w:rsidRPr="00642FFC">
        <w:rPr>
          <w:rFonts w:ascii="Cambria" w:hAnsi="Cambria"/>
          <w:sz w:val="20"/>
          <w:szCs w:val="20"/>
        </w:rPr>
        <w:t>and</w:t>
      </w:r>
      <w:proofErr w:type="spellEnd"/>
      <w:r w:rsidR="00ED3F6B" w:rsidRPr="00642FFC">
        <w:rPr>
          <w:rFonts w:ascii="Cambria" w:hAnsi="Cambria"/>
          <w:sz w:val="20"/>
          <w:szCs w:val="20"/>
        </w:rPr>
        <w:t xml:space="preserve"> </w:t>
      </w:r>
      <w:proofErr w:type="spellStart"/>
      <w:r w:rsidR="00ED3F6B" w:rsidRPr="00642FFC">
        <w:rPr>
          <w:rFonts w:ascii="Cambria" w:hAnsi="Cambria"/>
          <w:sz w:val="20"/>
          <w:szCs w:val="20"/>
        </w:rPr>
        <w:t>Welfare</w:t>
      </w:r>
      <w:proofErr w:type="spellEnd"/>
      <w:r w:rsidR="00ED3F6B" w:rsidRPr="00642FFC">
        <w:rPr>
          <w:rFonts w:ascii="Cambria" w:hAnsi="Cambria"/>
          <w:sz w:val="20"/>
          <w:szCs w:val="20"/>
        </w:rPr>
        <w:t xml:space="preserve">, </w:t>
      </w:r>
      <w:r w:rsidR="00ED3F6B" w:rsidRPr="00642FFC">
        <w:rPr>
          <w:rFonts w:ascii="Cambria" w:hAnsi="Cambria"/>
          <w:i/>
          <w:sz w:val="20"/>
          <w:szCs w:val="20"/>
        </w:rPr>
        <w:t xml:space="preserve">Youth </w:t>
      </w:r>
      <w:proofErr w:type="spellStart"/>
      <w:r w:rsidR="00ED3F6B" w:rsidRPr="00642FFC">
        <w:rPr>
          <w:rFonts w:ascii="Cambria" w:hAnsi="Cambria"/>
          <w:i/>
          <w:sz w:val="20"/>
          <w:szCs w:val="20"/>
        </w:rPr>
        <w:t>detention</w:t>
      </w:r>
      <w:proofErr w:type="spellEnd"/>
      <w:r w:rsidR="00ED3F6B" w:rsidRPr="00642FFC">
        <w:rPr>
          <w:rFonts w:ascii="Cambria" w:hAnsi="Cambria"/>
          <w:i/>
          <w:sz w:val="20"/>
          <w:szCs w:val="20"/>
        </w:rPr>
        <w:t xml:space="preserve"> </w:t>
      </w:r>
      <w:proofErr w:type="spellStart"/>
      <w:r w:rsidR="00ED3F6B" w:rsidRPr="00642FFC">
        <w:rPr>
          <w:rFonts w:ascii="Cambria" w:hAnsi="Cambria"/>
          <w:i/>
          <w:sz w:val="20"/>
          <w:szCs w:val="20"/>
        </w:rPr>
        <w:t>population</w:t>
      </w:r>
      <w:proofErr w:type="spellEnd"/>
      <w:r w:rsidR="00ED3F6B" w:rsidRPr="00642FFC">
        <w:rPr>
          <w:rFonts w:ascii="Cambria" w:hAnsi="Cambria"/>
          <w:i/>
          <w:sz w:val="20"/>
          <w:szCs w:val="20"/>
        </w:rPr>
        <w:t xml:space="preserve"> in </w:t>
      </w:r>
      <w:proofErr w:type="spellStart"/>
      <w:r w:rsidR="00ED3F6B" w:rsidRPr="00642FFC">
        <w:rPr>
          <w:rFonts w:ascii="Cambria" w:hAnsi="Cambria"/>
          <w:i/>
          <w:sz w:val="20"/>
          <w:szCs w:val="20"/>
        </w:rPr>
        <w:t>Australia</w:t>
      </w:r>
      <w:proofErr w:type="spellEnd"/>
      <w:r w:rsidR="00ED3F6B" w:rsidRPr="00642FFC">
        <w:rPr>
          <w:rFonts w:ascii="Cambria" w:hAnsi="Cambria"/>
          <w:i/>
          <w:sz w:val="20"/>
          <w:szCs w:val="20"/>
        </w:rPr>
        <w:t xml:space="preserve"> 2018 </w:t>
      </w:r>
      <w:r w:rsidR="00ED3F6B" w:rsidRPr="00642FFC">
        <w:rPr>
          <w:rFonts w:ascii="Cambria" w:hAnsi="Cambria"/>
          <w:iCs/>
          <w:sz w:val="20"/>
          <w:szCs w:val="20"/>
        </w:rPr>
        <w:t xml:space="preserve">(AIHW Bulletin 145, </w:t>
      </w:r>
      <w:proofErr w:type="spellStart"/>
      <w:r w:rsidR="00ED3F6B" w:rsidRPr="00642FFC">
        <w:rPr>
          <w:rFonts w:ascii="Cambria" w:hAnsi="Cambria"/>
          <w:iCs/>
          <w:sz w:val="20"/>
          <w:szCs w:val="20"/>
        </w:rPr>
        <w:t>December</w:t>
      </w:r>
      <w:proofErr w:type="spellEnd"/>
      <w:r w:rsidR="00ED3F6B" w:rsidRPr="00642FFC">
        <w:rPr>
          <w:rFonts w:ascii="Cambria" w:hAnsi="Cambria"/>
          <w:iCs/>
          <w:sz w:val="20"/>
          <w:szCs w:val="20"/>
        </w:rPr>
        <w:t xml:space="preserve"> 2018) at 2.</w:t>
      </w:r>
      <w:r w:rsidR="00ED3F6B" w:rsidRPr="00642FFC">
        <w:rPr>
          <w:rFonts w:ascii="Cambria" w:hAnsi="Cambria"/>
          <w:iCs/>
        </w:rPr>
        <w:t xml:space="preserve"> </w:t>
      </w:r>
    </w:p>
  </w:footnote>
  <w:footnote w:id="10">
    <w:p w14:paraId="55B34BA4" w14:textId="77777777" w:rsidR="00D05C6C" w:rsidRPr="004F0D01" w:rsidRDefault="00D05C6C" w:rsidP="00D05C6C">
      <w:pPr>
        <w:pStyle w:val="NormalWeb"/>
        <w:shd w:val="clear" w:color="auto" w:fill="FFFFFF"/>
        <w:spacing w:before="0" w:beforeAutospacing="0" w:after="0" w:afterAutospacing="0"/>
        <w:rPr>
          <w:rFonts w:ascii="Cambria" w:hAnsi="Cambria"/>
          <w:color w:val="000000"/>
          <w:lang w:val="en-US"/>
        </w:rPr>
      </w:pPr>
      <w:r w:rsidRPr="00642FFC">
        <w:rPr>
          <w:rStyle w:val="FootnoteReference"/>
          <w:rFonts w:ascii="Cambria" w:hAnsi="Cambria"/>
        </w:rPr>
        <w:footnoteRef/>
      </w:r>
      <w:r w:rsidRPr="00642FFC">
        <w:rPr>
          <w:rFonts w:ascii="Cambria" w:hAnsi="Cambria"/>
          <w:lang w:val="en-US"/>
        </w:rPr>
        <w:t xml:space="preserve"> </w:t>
      </w:r>
      <w:r w:rsidRPr="00642FFC">
        <w:rPr>
          <w:rFonts w:ascii="Cambria" w:hAnsi="Cambria"/>
          <w:color w:val="000000"/>
          <w:sz w:val="20"/>
          <w:szCs w:val="20"/>
          <w:bdr w:val="none" w:sz="0" w:space="0" w:color="auto" w:frame="1"/>
          <w:lang w:val="en-US"/>
        </w:rPr>
        <w:t>Committee on the Rights of the Child, General Comment No. 10 Children’s rights in juvenile justice, 44th </w:t>
      </w:r>
      <w:proofErr w:type="spellStart"/>
      <w:r w:rsidRPr="00642FFC">
        <w:rPr>
          <w:rFonts w:ascii="Cambria" w:hAnsi="Cambria"/>
          <w:color w:val="000000"/>
          <w:sz w:val="20"/>
          <w:szCs w:val="20"/>
          <w:bdr w:val="none" w:sz="0" w:space="0" w:color="auto" w:frame="1"/>
          <w:lang w:val="en-US"/>
        </w:rPr>
        <w:t>sess</w:t>
      </w:r>
      <w:proofErr w:type="spellEnd"/>
      <w:r w:rsidRPr="00642FFC">
        <w:rPr>
          <w:rFonts w:ascii="Cambria" w:hAnsi="Cambria"/>
          <w:color w:val="000000"/>
          <w:sz w:val="20"/>
          <w:szCs w:val="20"/>
          <w:bdr w:val="none" w:sz="0" w:space="0" w:color="auto" w:frame="1"/>
          <w:lang w:val="en-US"/>
        </w:rPr>
        <w:t>, UN Doc CRC/C/ GC/10 (25 April 2007), paras 32–3.</w:t>
      </w:r>
      <w:r w:rsidRPr="00642FFC">
        <w:rPr>
          <w:rFonts w:ascii="Cambria" w:hAnsi="Cambria"/>
          <w:color w:val="000000"/>
          <w:bdr w:val="none" w:sz="0" w:space="0" w:color="auto" w:frame="1"/>
          <w:shd w:val="clear" w:color="auto" w:fill="FFFFFF"/>
          <w:lang w:val="en-US"/>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20D72"/>
    <w:multiLevelType w:val="hybridMultilevel"/>
    <w:tmpl w:val="285CBDF0"/>
    <w:lvl w:ilvl="0" w:tplc="39ACE3FE">
      <w:start w:val="4"/>
      <w:numFmt w:val="bullet"/>
      <w:lvlText w:val="-"/>
      <w:lvlJc w:val="left"/>
      <w:pPr>
        <w:ind w:left="720" w:hanging="360"/>
      </w:pPr>
      <w:rPr>
        <w:rFonts w:ascii="Cambria" w:eastAsiaTheme="minorHAnsi" w:hAnsi="Cambria"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650B0"/>
    <w:multiLevelType w:val="hybridMultilevel"/>
    <w:tmpl w:val="62D26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26B68"/>
    <w:multiLevelType w:val="hybridMultilevel"/>
    <w:tmpl w:val="D37CE9E6"/>
    <w:lvl w:ilvl="0" w:tplc="69C2CD84">
      <w:start w:val="4"/>
      <w:numFmt w:val="bullet"/>
      <w:lvlText w:val="-"/>
      <w:lvlJc w:val="left"/>
      <w:pPr>
        <w:ind w:left="720" w:hanging="360"/>
      </w:pPr>
      <w:rPr>
        <w:rFonts w:ascii="Cambria" w:eastAsiaTheme="minorHAnsi" w:hAnsi="Cambria"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1329F"/>
    <w:multiLevelType w:val="hybridMultilevel"/>
    <w:tmpl w:val="76E48556"/>
    <w:lvl w:ilvl="0" w:tplc="D77C66C8">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A7082"/>
    <w:multiLevelType w:val="hybridMultilevel"/>
    <w:tmpl w:val="1744F414"/>
    <w:lvl w:ilvl="0" w:tplc="83EC76FC">
      <w:start w:val="4"/>
      <w:numFmt w:val="bullet"/>
      <w:lvlText w:val="-"/>
      <w:lvlJc w:val="left"/>
      <w:pPr>
        <w:ind w:left="720" w:hanging="360"/>
      </w:pPr>
      <w:rPr>
        <w:rFonts w:ascii="Cambria" w:eastAsia="Times New Roman" w:hAnsi="Cambria" w:cs="Times New Roman" w:hint="default"/>
        <w:color w:val="000000" w:themeColor="text1"/>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305BD5"/>
    <w:multiLevelType w:val="hybridMultilevel"/>
    <w:tmpl w:val="29723D64"/>
    <w:lvl w:ilvl="0" w:tplc="67BE6A94">
      <w:start w:val="4"/>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C7B"/>
    <w:rsid w:val="000021B6"/>
    <w:rsid w:val="00061689"/>
    <w:rsid w:val="00090CDC"/>
    <w:rsid w:val="000F7C7B"/>
    <w:rsid w:val="00110A46"/>
    <w:rsid w:val="00163A7C"/>
    <w:rsid w:val="00166468"/>
    <w:rsid w:val="001C5DDB"/>
    <w:rsid w:val="002869DA"/>
    <w:rsid w:val="002C07D4"/>
    <w:rsid w:val="003426B7"/>
    <w:rsid w:val="0034462B"/>
    <w:rsid w:val="003543C1"/>
    <w:rsid w:val="00403E35"/>
    <w:rsid w:val="00480500"/>
    <w:rsid w:val="004F0D01"/>
    <w:rsid w:val="00532476"/>
    <w:rsid w:val="005E0AEC"/>
    <w:rsid w:val="00622B6C"/>
    <w:rsid w:val="00642FFC"/>
    <w:rsid w:val="00695BA0"/>
    <w:rsid w:val="006D39ED"/>
    <w:rsid w:val="007A2217"/>
    <w:rsid w:val="007A5C5F"/>
    <w:rsid w:val="007E56F5"/>
    <w:rsid w:val="00895E37"/>
    <w:rsid w:val="00A13E94"/>
    <w:rsid w:val="00A47E5D"/>
    <w:rsid w:val="00A7319B"/>
    <w:rsid w:val="00B1286F"/>
    <w:rsid w:val="00B13372"/>
    <w:rsid w:val="00B723E5"/>
    <w:rsid w:val="00D05C6C"/>
    <w:rsid w:val="00E01D2A"/>
    <w:rsid w:val="00E33976"/>
    <w:rsid w:val="00ED3F6B"/>
    <w:rsid w:val="00F501E6"/>
    <w:rsid w:val="00F62E94"/>
    <w:rsid w:val="00F8413F"/>
    <w:rsid w:val="00FC36E6"/>
    <w:rsid w:val="00FD2BE1"/>
    <w:rsid w:val="00FE48E2"/>
    <w:rsid w:val="00FF64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D564445"/>
  <w15:chartTrackingRefBased/>
  <w15:docId w15:val="{4483BE81-B2E9-E94C-8936-58638D3E5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6B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Text"/>
    <w:basedOn w:val="Normal"/>
    <w:link w:val="FootnoteTextChar"/>
    <w:unhideWhenUsed/>
    <w:rsid w:val="000F7C7B"/>
    <w:rPr>
      <w:rFonts w:asciiTheme="minorHAnsi" w:eastAsiaTheme="minorEastAsia" w:hAnsiTheme="minorHAnsi" w:cstheme="minorBidi"/>
      <w:lang w:val="en-US"/>
    </w:rPr>
  </w:style>
  <w:style w:type="character" w:customStyle="1" w:styleId="FootnoteTextChar">
    <w:name w:val="Footnote Text Char"/>
    <w:aliases w:val="Footnote Char,Text Char"/>
    <w:basedOn w:val="DefaultParagraphFont"/>
    <w:link w:val="FootnoteText"/>
    <w:rsid w:val="000F7C7B"/>
    <w:rPr>
      <w:rFonts w:eastAsiaTheme="minorEastAsia"/>
      <w:lang w:val="en-US"/>
    </w:rPr>
  </w:style>
  <w:style w:type="character" w:styleId="FootnoteReference">
    <w:name w:val="footnote reference"/>
    <w:basedOn w:val="DefaultParagraphFont"/>
    <w:unhideWhenUsed/>
    <w:rsid w:val="000F7C7B"/>
    <w:rPr>
      <w:vertAlign w:val="superscript"/>
    </w:rPr>
  </w:style>
  <w:style w:type="character" w:styleId="Hyperlink">
    <w:name w:val="Hyperlink"/>
    <w:basedOn w:val="DefaultParagraphFont"/>
    <w:uiPriority w:val="99"/>
    <w:unhideWhenUsed/>
    <w:rsid w:val="000F7C7B"/>
    <w:rPr>
      <w:color w:val="0563C1" w:themeColor="hyperlink"/>
      <w:u w:val="single"/>
    </w:rPr>
  </w:style>
  <w:style w:type="character" w:customStyle="1" w:styleId="apple-converted-space">
    <w:name w:val="apple-converted-space"/>
    <w:basedOn w:val="DefaultParagraphFont"/>
    <w:rsid w:val="000F7C7B"/>
  </w:style>
  <w:style w:type="paragraph" w:styleId="ListParagraph">
    <w:name w:val="List Paragraph"/>
    <w:basedOn w:val="Normal"/>
    <w:uiPriority w:val="34"/>
    <w:qFormat/>
    <w:rsid w:val="000F7C7B"/>
    <w:pPr>
      <w:ind w:left="720"/>
      <w:contextualSpacing/>
    </w:pPr>
    <w:rPr>
      <w:rFonts w:eastAsiaTheme="minorHAnsi"/>
      <w:lang w:val="en-AU" w:eastAsia="en-AU"/>
    </w:rPr>
  </w:style>
  <w:style w:type="paragraph" w:styleId="NormalWeb">
    <w:name w:val="Normal (Web)"/>
    <w:basedOn w:val="Normal"/>
    <w:uiPriority w:val="99"/>
    <w:unhideWhenUsed/>
    <w:rsid w:val="000F7C7B"/>
    <w:pPr>
      <w:spacing w:before="100" w:beforeAutospacing="1" w:after="100" w:afterAutospacing="1"/>
    </w:pPr>
  </w:style>
  <w:style w:type="character" w:styleId="UnresolvedMention">
    <w:name w:val="Unresolved Mention"/>
    <w:basedOn w:val="DefaultParagraphFont"/>
    <w:uiPriority w:val="99"/>
    <w:semiHidden/>
    <w:unhideWhenUsed/>
    <w:rsid w:val="000F7C7B"/>
    <w:rPr>
      <w:color w:val="605E5C"/>
      <w:shd w:val="clear" w:color="auto" w:fill="E1DFDD"/>
    </w:rPr>
  </w:style>
  <w:style w:type="paragraph" w:styleId="Footer">
    <w:name w:val="footer"/>
    <w:basedOn w:val="Normal"/>
    <w:link w:val="FooterChar"/>
    <w:uiPriority w:val="99"/>
    <w:unhideWhenUsed/>
    <w:rsid w:val="001C5DDB"/>
    <w:pPr>
      <w:tabs>
        <w:tab w:val="center" w:pos="4703"/>
        <w:tab w:val="right" w:pos="9406"/>
      </w:tabs>
    </w:pPr>
  </w:style>
  <w:style w:type="character" w:customStyle="1" w:styleId="FooterChar">
    <w:name w:val="Footer Char"/>
    <w:basedOn w:val="DefaultParagraphFont"/>
    <w:link w:val="Footer"/>
    <w:uiPriority w:val="99"/>
    <w:rsid w:val="001C5DDB"/>
    <w:rPr>
      <w:rFonts w:ascii="Times New Roman" w:eastAsia="Times New Roman" w:hAnsi="Times New Roman" w:cs="Times New Roman"/>
    </w:rPr>
  </w:style>
  <w:style w:type="character" w:styleId="PageNumber">
    <w:name w:val="page number"/>
    <w:basedOn w:val="DefaultParagraphFont"/>
    <w:uiPriority w:val="99"/>
    <w:semiHidden/>
    <w:unhideWhenUsed/>
    <w:rsid w:val="001C5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037590">
      <w:bodyDiv w:val="1"/>
      <w:marLeft w:val="0"/>
      <w:marRight w:val="0"/>
      <w:marTop w:val="0"/>
      <w:marBottom w:val="0"/>
      <w:divBdr>
        <w:top w:val="none" w:sz="0" w:space="0" w:color="auto"/>
        <w:left w:val="none" w:sz="0" w:space="0" w:color="auto"/>
        <w:bottom w:val="none" w:sz="0" w:space="0" w:color="auto"/>
        <w:right w:val="none" w:sz="0" w:space="0" w:color="auto"/>
      </w:divBdr>
    </w:div>
    <w:div w:id="676662901">
      <w:bodyDiv w:val="1"/>
      <w:marLeft w:val="0"/>
      <w:marRight w:val="0"/>
      <w:marTop w:val="0"/>
      <w:marBottom w:val="0"/>
      <w:divBdr>
        <w:top w:val="none" w:sz="0" w:space="0" w:color="auto"/>
        <w:left w:val="none" w:sz="0" w:space="0" w:color="auto"/>
        <w:bottom w:val="none" w:sz="0" w:space="0" w:color="auto"/>
        <w:right w:val="none" w:sz="0" w:space="0" w:color="auto"/>
      </w:divBdr>
    </w:div>
    <w:div w:id="791897467">
      <w:bodyDiv w:val="1"/>
      <w:marLeft w:val="0"/>
      <w:marRight w:val="0"/>
      <w:marTop w:val="0"/>
      <w:marBottom w:val="0"/>
      <w:divBdr>
        <w:top w:val="none" w:sz="0" w:space="0" w:color="auto"/>
        <w:left w:val="none" w:sz="0" w:space="0" w:color="auto"/>
        <w:bottom w:val="none" w:sz="0" w:space="0" w:color="auto"/>
        <w:right w:val="none" w:sz="0" w:space="0" w:color="auto"/>
      </w:divBdr>
    </w:div>
    <w:div w:id="1124612874">
      <w:bodyDiv w:val="1"/>
      <w:marLeft w:val="0"/>
      <w:marRight w:val="0"/>
      <w:marTop w:val="0"/>
      <w:marBottom w:val="0"/>
      <w:divBdr>
        <w:top w:val="none" w:sz="0" w:space="0" w:color="auto"/>
        <w:left w:val="none" w:sz="0" w:space="0" w:color="auto"/>
        <w:bottom w:val="none" w:sz="0" w:space="0" w:color="auto"/>
        <w:right w:val="none" w:sz="0" w:space="0" w:color="auto"/>
      </w:divBdr>
    </w:div>
    <w:div w:id="187191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gPolicy@justice.wa.gov.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jss.org.au/too-much-too-young-raise-the-age-of-criminal-responsibility-to-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2020-02-27T23:34:00Z</cp:lastPrinted>
  <dcterms:created xsi:type="dcterms:W3CDTF">2020-03-02T04:42:00Z</dcterms:created>
  <dcterms:modified xsi:type="dcterms:W3CDTF">2020-03-02T04:42:00Z</dcterms:modified>
</cp:coreProperties>
</file>