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CC" w:rsidRPr="00BC0D6B" w:rsidRDefault="007E3CCC" w:rsidP="007E3CCC">
      <w:pPr>
        <w:ind w:right="-347"/>
        <w:jc w:val="center"/>
        <w:rPr>
          <w:rFonts w:asciiTheme="minorHAnsi" w:hAnsiTheme="minorHAnsi"/>
        </w:rPr>
      </w:pPr>
      <w:r w:rsidRPr="00BC0D6B">
        <w:rPr>
          <w:rFonts w:asciiTheme="minorHAnsi" w:hAnsiTheme="minorHAnsi"/>
          <w:noProof/>
          <w:sz w:val="20"/>
          <w:szCs w:val="20"/>
        </w:rPr>
        <w:drawing>
          <wp:inline distT="0" distB="0" distL="0" distR="0" wp14:anchorId="5C66ED7E" wp14:editId="73B1E8D7">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7E3CCC" w:rsidRPr="004B5C98" w:rsidRDefault="007E3CCC" w:rsidP="007E3CCC">
      <w:pPr>
        <w:ind w:right="-347"/>
        <w:jc w:val="both"/>
        <w:rPr>
          <w:rFonts w:ascii="Cambria" w:hAnsi="Cambria"/>
          <w:color w:val="000000" w:themeColor="text1"/>
        </w:rPr>
      </w:pPr>
    </w:p>
    <w:p w:rsidR="007E3CCC" w:rsidRPr="004B5C98" w:rsidRDefault="007E3CCC" w:rsidP="007E3CCC">
      <w:pPr>
        <w:ind w:right="-205"/>
        <w:jc w:val="both"/>
        <w:rPr>
          <w:rFonts w:ascii="Cambria" w:hAnsi="Cambria"/>
          <w:color w:val="000000" w:themeColor="text1"/>
        </w:rPr>
      </w:pPr>
    </w:p>
    <w:p w:rsidR="007E3CCC" w:rsidRPr="004B5C98" w:rsidRDefault="00B54C66" w:rsidP="007E3CCC">
      <w:pPr>
        <w:ind w:right="-205"/>
        <w:jc w:val="both"/>
        <w:rPr>
          <w:rFonts w:ascii="Cambria" w:hAnsi="Cambria"/>
          <w:color w:val="000000" w:themeColor="text1"/>
        </w:rPr>
      </w:pPr>
      <w:r>
        <w:rPr>
          <w:rFonts w:ascii="Cambria" w:hAnsi="Cambria"/>
          <w:color w:val="000000" w:themeColor="text1"/>
        </w:rPr>
        <w:t>10 February</w:t>
      </w:r>
      <w:r w:rsidR="007E3CCC" w:rsidRPr="004B5C98">
        <w:rPr>
          <w:rFonts w:ascii="Cambria" w:hAnsi="Cambria"/>
          <w:color w:val="000000" w:themeColor="text1"/>
        </w:rPr>
        <w:t xml:space="preserve"> 20</w:t>
      </w:r>
      <w:r>
        <w:rPr>
          <w:rFonts w:ascii="Cambria" w:hAnsi="Cambria"/>
          <w:color w:val="000000" w:themeColor="text1"/>
        </w:rPr>
        <w:t>20</w:t>
      </w:r>
    </w:p>
    <w:p w:rsidR="007E3CCC" w:rsidRPr="004B5C98" w:rsidRDefault="007E3CCC" w:rsidP="007E3CCC">
      <w:pPr>
        <w:ind w:right="-205"/>
        <w:jc w:val="both"/>
        <w:rPr>
          <w:rFonts w:ascii="Cambria" w:hAnsi="Cambria"/>
          <w:color w:val="000000" w:themeColor="text1"/>
        </w:rPr>
      </w:pPr>
    </w:p>
    <w:p w:rsidR="007E3CCC" w:rsidRPr="004B5C98" w:rsidRDefault="007E3CCC" w:rsidP="007E3CCC">
      <w:pPr>
        <w:ind w:right="-205"/>
        <w:jc w:val="both"/>
        <w:rPr>
          <w:rFonts w:ascii="Cambria" w:hAnsi="Cambria"/>
          <w:color w:val="000000" w:themeColor="text1"/>
        </w:rPr>
      </w:pPr>
      <w:r w:rsidRPr="004B5C98">
        <w:rPr>
          <w:rFonts w:ascii="Cambria" w:hAnsi="Cambria"/>
          <w:color w:val="000000" w:themeColor="text1"/>
        </w:rPr>
        <w:t>Department of Justice</w:t>
      </w:r>
    </w:p>
    <w:p w:rsidR="007E3CCC" w:rsidRPr="004B5C98" w:rsidRDefault="007E3CCC" w:rsidP="007E3CCC">
      <w:pPr>
        <w:ind w:right="-205"/>
        <w:jc w:val="both"/>
        <w:rPr>
          <w:rFonts w:ascii="Cambria" w:hAnsi="Cambria"/>
          <w:color w:val="000000" w:themeColor="text1"/>
        </w:rPr>
      </w:pPr>
      <w:r w:rsidRPr="004B5C98">
        <w:rPr>
          <w:rFonts w:ascii="Cambria" w:hAnsi="Cambria"/>
          <w:color w:val="000000" w:themeColor="text1"/>
        </w:rPr>
        <w:t>GPO Box 308</w:t>
      </w:r>
    </w:p>
    <w:p w:rsidR="007E3CCC" w:rsidRPr="004B5C98" w:rsidRDefault="007E3CCC" w:rsidP="007E3CCC">
      <w:pPr>
        <w:ind w:right="-205"/>
        <w:jc w:val="both"/>
        <w:rPr>
          <w:rFonts w:ascii="Cambria" w:hAnsi="Cambria"/>
          <w:color w:val="000000" w:themeColor="text1"/>
        </w:rPr>
      </w:pPr>
      <w:r w:rsidRPr="004B5C98">
        <w:rPr>
          <w:rFonts w:ascii="Cambria" w:hAnsi="Cambria"/>
          <w:color w:val="000000" w:themeColor="text1"/>
        </w:rPr>
        <w:t>Hobart TAS 7001</w:t>
      </w:r>
    </w:p>
    <w:p w:rsidR="007E3CCC" w:rsidRPr="004B5C98" w:rsidRDefault="007E3CCC" w:rsidP="007E3CCC">
      <w:pPr>
        <w:ind w:right="-205"/>
        <w:jc w:val="both"/>
        <w:rPr>
          <w:rFonts w:ascii="Cambria" w:hAnsi="Cambria"/>
          <w:color w:val="000000" w:themeColor="text1"/>
        </w:rPr>
      </w:pPr>
      <w:proofErr w:type="spellStart"/>
      <w:r w:rsidRPr="004B5C98">
        <w:rPr>
          <w:rFonts w:ascii="Cambria" w:hAnsi="Cambria"/>
          <w:color w:val="000000" w:themeColor="text1"/>
        </w:rPr>
        <w:t>attn:</w:t>
      </w:r>
      <w:proofErr w:type="spellEnd"/>
      <w:r w:rsidRPr="004B5C98">
        <w:rPr>
          <w:rFonts w:ascii="Cambria" w:hAnsi="Cambria"/>
          <w:color w:val="000000" w:themeColor="text1"/>
        </w:rPr>
        <w:t xml:space="preserve"> Office of the Secretary </w:t>
      </w:r>
    </w:p>
    <w:p w:rsidR="007E3CCC" w:rsidRPr="004B5C98" w:rsidRDefault="007E3CCC" w:rsidP="007E3CCC">
      <w:pPr>
        <w:ind w:right="-205"/>
        <w:jc w:val="both"/>
        <w:rPr>
          <w:rFonts w:ascii="Cambria" w:hAnsi="Cambria"/>
          <w:color w:val="000000" w:themeColor="text1"/>
        </w:rPr>
      </w:pPr>
    </w:p>
    <w:p w:rsidR="007E3CCC" w:rsidRPr="004B5C98" w:rsidRDefault="007E3CCC" w:rsidP="007E3CCC">
      <w:pPr>
        <w:ind w:left="1440" w:firstLine="720"/>
        <w:rPr>
          <w:rFonts w:ascii="Cambria" w:eastAsia="Times New Roman" w:hAnsi="Cambria"/>
          <w:i/>
          <w:color w:val="000000" w:themeColor="text1"/>
        </w:rPr>
      </w:pPr>
      <w:r w:rsidRPr="004B5C98">
        <w:rPr>
          <w:rFonts w:ascii="Cambria" w:hAnsi="Cambria"/>
          <w:i/>
          <w:color w:val="000000" w:themeColor="text1"/>
        </w:rPr>
        <w:t xml:space="preserve">via email: </w:t>
      </w:r>
      <w:hyperlink r:id="rId7" w:history="1">
        <w:r w:rsidRPr="004B5C98">
          <w:rPr>
            <w:rStyle w:val="Hyperlink"/>
            <w:rFonts w:ascii="Cambria" w:hAnsi="Cambria"/>
            <w:i/>
          </w:rPr>
          <w:t>haveyoursay@justice.tas.gov.au</w:t>
        </w:r>
      </w:hyperlink>
      <w:r w:rsidRPr="004B5C98">
        <w:rPr>
          <w:rFonts w:ascii="Cambria" w:hAnsi="Cambria"/>
          <w:i/>
          <w:color w:val="000000" w:themeColor="text1"/>
        </w:rPr>
        <w:t xml:space="preserve">  </w:t>
      </w:r>
    </w:p>
    <w:p w:rsidR="007E3CCC" w:rsidRPr="004B5C98" w:rsidRDefault="007E3CCC" w:rsidP="007E3CCC">
      <w:pPr>
        <w:ind w:right="-205"/>
        <w:jc w:val="both"/>
        <w:rPr>
          <w:rFonts w:ascii="Cambria" w:hAnsi="Cambria"/>
          <w:b/>
          <w:i/>
          <w:color w:val="000000" w:themeColor="text1"/>
        </w:rPr>
      </w:pPr>
    </w:p>
    <w:p w:rsidR="007E3CCC" w:rsidRPr="004B5C98" w:rsidRDefault="007E3CCC" w:rsidP="007E3CCC">
      <w:pPr>
        <w:ind w:right="-64"/>
        <w:jc w:val="both"/>
        <w:rPr>
          <w:rFonts w:ascii="Cambria" w:hAnsi="Cambria"/>
          <w:color w:val="000000" w:themeColor="text1"/>
        </w:rPr>
      </w:pPr>
      <w:r w:rsidRPr="004B5C98">
        <w:rPr>
          <w:rFonts w:ascii="Cambria" w:hAnsi="Cambria"/>
          <w:color w:val="000000" w:themeColor="text1"/>
        </w:rPr>
        <w:t>To the Office of the Secretary,</w:t>
      </w:r>
    </w:p>
    <w:p w:rsidR="007E3CCC" w:rsidRPr="004B5C98" w:rsidRDefault="007E3CCC" w:rsidP="007E3CCC">
      <w:pPr>
        <w:pBdr>
          <w:bottom w:val="single" w:sz="6" w:space="1" w:color="auto"/>
        </w:pBdr>
        <w:jc w:val="both"/>
        <w:rPr>
          <w:rFonts w:ascii="Cambria" w:hAnsi="Cambria"/>
          <w:b/>
          <w:color w:val="000000" w:themeColor="text1"/>
        </w:rPr>
      </w:pPr>
      <w:r w:rsidRPr="004B5C98">
        <w:rPr>
          <w:rFonts w:ascii="Cambria" w:hAnsi="Cambria"/>
          <w:b/>
          <w:color w:val="000000" w:themeColor="text1"/>
        </w:rPr>
        <w:t xml:space="preserve">Re: </w:t>
      </w:r>
      <w:r w:rsidR="00B54C66">
        <w:rPr>
          <w:rFonts w:ascii="Cambria" w:hAnsi="Cambria"/>
          <w:b/>
          <w:i/>
          <w:color w:val="000000" w:themeColor="text1"/>
        </w:rPr>
        <w:t>Evidence Amendment Bill 2020</w:t>
      </w:r>
    </w:p>
    <w:p w:rsidR="007E3CCC" w:rsidRPr="007E3CCC" w:rsidRDefault="007E3CCC" w:rsidP="007E3CCC">
      <w:pPr>
        <w:ind w:right="-64"/>
        <w:jc w:val="both"/>
        <w:rPr>
          <w:rFonts w:ascii="Cambria" w:hAnsi="Cambria"/>
          <w:color w:val="000000" w:themeColor="text1"/>
        </w:rPr>
      </w:pPr>
      <w:r w:rsidRPr="007E3CCC">
        <w:rPr>
          <w:rFonts w:ascii="Cambria" w:hAnsi="Cambria"/>
          <w:color w:val="000000" w:themeColor="text1"/>
        </w:rPr>
        <w:t xml:space="preserve"> </w:t>
      </w:r>
    </w:p>
    <w:p w:rsidR="007E3CCC" w:rsidRDefault="007E3CCC" w:rsidP="007E3CCC">
      <w:pPr>
        <w:pStyle w:val="NormalWeb"/>
        <w:spacing w:before="0" w:beforeAutospacing="0" w:after="180" w:afterAutospacing="0"/>
        <w:jc w:val="both"/>
        <w:rPr>
          <w:rFonts w:ascii="Cambria" w:hAnsi="Cambria"/>
          <w:color w:val="000000"/>
        </w:rPr>
      </w:pPr>
      <w:r w:rsidRPr="007E3CCC">
        <w:rPr>
          <w:rFonts w:ascii="Cambria" w:hAnsi="Cambria"/>
          <w:color w:val="000000"/>
        </w:rPr>
        <w:t xml:space="preserve">Community Legal Centres Tasmania (CLC Tas) welcomes the opportunity to provide comment on the </w:t>
      </w:r>
      <w:r w:rsidRPr="007E3CCC">
        <w:rPr>
          <w:rFonts w:ascii="Cambria" w:hAnsi="Cambria"/>
          <w:i/>
          <w:iCs/>
          <w:color w:val="000000"/>
        </w:rPr>
        <w:t>Evidence Amendment Bill 2020</w:t>
      </w:r>
      <w:r>
        <w:rPr>
          <w:rFonts w:ascii="Cambria" w:hAnsi="Cambria"/>
          <w:color w:val="000000"/>
        </w:rPr>
        <w:t xml:space="preserve"> (‘the Bill’)</w:t>
      </w:r>
      <w:r w:rsidRPr="007E3CCC">
        <w:rPr>
          <w:rFonts w:ascii="Cambria" w:hAnsi="Cambria"/>
          <w:color w:val="000000"/>
        </w:rPr>
        <w:t>.</w:t>
      </w:r>
    </w:p>
    <w:p w:rsidR="007E3CCC" w:rsidRDefault="007E3CCC" w:rsidP="007E3CCC">
      <w:pPr>
        <w:pStyle w:val="NormalWeb"/>
        <w:spacing w:before="0" w:beforeAutospacing="0" w:after="180" w:afterAutospacing="0"/>
        <w:jc w:val="both"/>
        <w:rPr>
          <w:rFonts w:ascii="Cambria" w:hAnsi="Cambria"/>
          <w:color w:val="000000"/>
        </w:rPr>
      </w:pPr>
      <w:r w:rsidRPr="007E3CCC">
        <w:rPr>
          <w:rFonts w:ascii="Cambria" w:hAnsi="Cambria"/>
          <w:color w:val="000000"/>
        </w:rPr>
        <w:t>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w:t>
      </w:r>
    </w:p>
    <w:p w:rsidR="007E3CCC" w:rsidRDefault="007E3CCC" w:rsidP="007E3CCC">
      <w:pPr>
        <w:pStyle w:val="NormalWeb"/>
        <w:spacing w:before="0" w:beforeAutospacing="0" w:after="180" w:afterAutospacing="0"/>
        <w:jc w:val="both"/>
        <w:rPr>
          <w:rFonts w:ascii="Cambria" w:hAnsi="Cambria"/>
          <w:color w:val="000000"/>
        </w:rPr>
      </w:pPr>
      <w:r w:rsidRPr="007E3CCC">
        <w:rPr>
          <w:rFonts w:ascii="Cambria" w:hAnsi="Cambria"/>
          <w:color w:val="000000"/>
        </w:rPr>
        <w:t>We strongly support the Tasmanian Government’s intention to reform section 194K of the</w:t>
      </w:r>
      <w:r w:rsidRPr="007E3CCC">
        <w:rPr>
          <w:rStyle w:val="apple-converted-space"/>
          <w:rFonts w:ascii="Cambria" w:hAnsi="Cambria"/>
          <w:color w:val="000000"/>
        </w:rPr>
        <w:t> </w:t>
      </w:r>
      <w:r w:rsidRPr="007E3CCC">
        <w:rPr>
          <w:rFonts w:ascii="Cambria" w:hAnsi="Cambria"/>
          <w:i/>
          <w:iCs/>
          <w:color w:val="000000"/>
        </w:rPr>
        <w:t>Evidence Act 2001</w:t>
      </w:r>
      <w:r w:rsidRPr="007E3CCC">
        <w:rPr>
          <w:rStyle w:val="apple-converted-space"/>
          <w:rFonts w:ascii="Cambria" w:hAnsi="Cambria"/>
          <w:color w:val="000000"/>
        </w:rPr>
        <w:t> </w:t>
      </w:r>
      <w:r w:rsidRPr="007E3CCC">
        <w:rPr>
          <w:rFonts w:ascii="Cambria" w:hAnsi="Cambria"/>
          <w:color w:val="000000"/>
        </w:rPr>
        <w:t>(Tas) and note the extensive consultation engaged in by both the Tasmania Law Reform Institute</w:t>
      </w:r>
      <w:r>
        <w:rPr>
          <w:rStyle w:val="FootnoteReference"/>
          <w:rFonts w:ascii="Cambria" w:hAnsi="Cambria"/>
          <w:color w:val="000000"/>
        </w:rPr>
        <w:footnoteReference w:id="1"/>
      </w:r>
      <w:r w:rsidR="00387D48">
        <w:rPr>
          <w:rFonts w:ascii="Cambria" w:hAnsi="Cambria"/>
          <w:color w:val="000000"/>
        </w:rPr>
        <w:t xml:space="preserve"> </w:t>
      </w:r>
      <w:r w:rsidRPr="007E3CCC">
        <w:rPr>
          <w:rFonts w:ascii="Cambria" w:hAnsi="Cambria"/>
          <w:color w:val="000000"/>
        </w:rPr>
        <w:t>and the Department of Justice.</w:t>
      </w:r>
      <w:r w:rsidR="00387D48">
        <w:rPr>
          <w:rStyle w:val="FootnoteReference"/>
          <w:rFonts w:ascii="Cambria" w:hAnsi="Cambria"/>
          <w:color w:val="000000"/>
        </w:rPr>
        <w:footnoteReference w:id="2"/>
      </w:r>
      <w:r w:rsidRPr="007E3CCC">
        <w:rPr>
          <w:rFonts w:ascii="Cambria" w:hAnsi="Cambria"/>
          <w:color w:val="000000"/>
        </w:rPr>
        <w:t> </w:t>
      </w:r>
    </w:p>
    <w:p w:rsidR="007E3CCC" w:rsidRDefault="007E3CCC" w:rsidP="007E3CCC">
      <w:pPr>
        <w:pStyle w:val="NormalWeb"/>
        <w:spacing w:before="0" w:beforeAutospacing="0" w:after="180" w:afterAutospacing="0"/>
        <w:jc w:val="both"/>
        <w:rPr>
          <w:rFonts w:ascii="Cambria" w:hAnsi="Cambria"/>
          <w:color w:val="000000"/>
        </w:rPr>
      </w:pPr>
      <w:r w:rsidRPr="007E3CCC">
        <w:rPr>
          <w:rFonts w:ascii="Cambria" w:hAnsi="Cambria"/>
          <w:color w:val="000000"/>
        </w:rPr>
        <w:t>We strongly believe</w:t>
      </w:r>
      <w:r w:rsidRPr="007E3CCC">
        <w:rPr>
          <w:rStyle w:val="apple-converted-space"/>
          <w:rFonts w:ascii="Cambria" w:hAnsi="Cambria"/>
          <w:color w:val="000000"/>
        </w:rPr>
        <w:t> </w:t>
      </w:r>
      <w:r w:rsidRPr="007E3CCC">
        <w:rPr>
          <w:rFonts w:ascii="Cambria" w:hAnsi="Cambria"/>
          <w:color w:val="000000"/>
        </w:rPr>
        <w:t>that section 194K of the</w:t>
      </w:r>
      <w:r w:rsidRPr="007E3CCC">
        <w:rPr>
          <w:rStyle w:val="apple-converted-space"/>
          <w:rFonts w:ascii="Cambria" w:hAnsi="Cambria"/>
          <w:color w:val="000000"/>
        </w:rPr>
        <w:t> </w:t>
      </w:r>
      <w:r w:rsidRPr="007E3CCC">
        <w:rPr>
          <w:rFonts w:ascii="Cambria" w:hAnsi="Cambria"/>
          <w:i/>
          <w:iCs/>
          <w:color w:val="000000"/>
        </w:rPr>
        <w:t>Evidence Act 2001</w:t>
      </w:r>
      <w:r w:rsidRPr="007E3CCC">
        <w:rPr>
          <w:rStyle w:val="apple-converted-space"/>
          <w:rFonts w:ascii="Cambria" w:hAnsi="Cambria"/>
          <w:color w:val="000000"/>
        </w:rPr>
        <w:t> </w:t>
      </w:r>
      <w:r w:rsidRPr="007E3CCC">
        <w:rPr>
          <w:rFonts w:ascii="Cambria" w:hAnsi="Cambria"/>
          <w:color w:val="000000"/>
        </w:rPr>
        <w:t>should be amended to better protect victims of sexual assault from being identified and to provide victims of sexual assault with the opportunity to speak out. In our opinion, the prohibition from speaking out without first obtaining a court order contributes to the disempowerment encountered by many sexual assault victims and plays a role in the substantial under-reporting of sexual offences.</w:t>
      </w:r>
    </w:p>
    <w:p w:rsidR="00387D48" w:rsidRDefault="007E3CCC" w:rsidP="007E3CCC">
      <w:pPr>
        <w:pStyle w:val="NormalWeb"/>
        <w:spacing w:before="0" w:beforeAutospacing="0" w:after="180" w:afterAutospacing="0"/>
        <w:jc w:val="both"/>
        <w:rPr>
          <w:rFonts w:ascii="Cambria" w:hAnsi="Cambria"/>
          <w:color w:val="000000"/>
        </w:rPr>
      </w:pPr>
      <w:r w:rsidRPr="007E3CCC">
        <w:rPr>
          <w:rFonts w:ascii="Cambria" w:hAnsi="Cambria"/>
          <w:color w:val="000000"/>
        </w:rPr>
        <w:t xml:space="preserve">We support the Bill’s clarification of the phrases ‘likely to lead to the identification’ and ‘identifying information’. As we </w:t>
      </w:r>
      <w:r w:rsidR="00387D48">
        <w:rPr>
          <w:rFonts w:ascii="Cambria" w:hAnsi="Cambria"/>
          <w:color w:val="000000"/>
        </w:rPr>
        <w:t xml:space="preserve">have previously </w:t>
      </w:r>
      <w:r w:rsidRPr="007E3CCC">
        <w:rPr>
          <w:rFonts w:ascii="Cambria" w:hAnsi="Cambria"/>
          <w:color w:val="000000"/>
        </w:rPr>
        <w:t>noted in our response</w:t>
      </w:r>
      <w:r w:rsidR="00387D48">
        <w:rPr>
          <w:rFonts w:ascii="Cambria" w:hAnsi="Cambria"/>
          <w:color w:val="000000"/>
        </w:rPr>
        <w:t>s</w:t>
      </w:r>
      <w:r w:rsidRPr="007E3CCC">
        <w:rPr>
          <w:rFonts w:ascii="Cambria" w:hAnsi="Cambria"/>
          <w:color w:val="000000"/>
        </w:rPr>
        <w:t xml:space="preserve"> to the </w:t>
      </w:r>
      <w:r w:rsidR="00387D48">
        <w:rPr>
          <w:rFonts w:ascii="Cambria" w:hAnsi="Cambria"/>
          <w:color w:val="000000"/>
        </w:rPr>
        <w:t>reviews</w:t>
      </w:r>
      <w:r w:rsidRPr="007E3CCC">
        <w:rPr>
          <w:rFonts w:ascii="Cambria" w:hAnsi="Cambria"/>
          <w:color w:val="000000"/>
        </w:rPr>
        <w:t xml:space="preserve"> </w:t>
      </w:r>
      <w:r w:rsidR="00387D48">
        <w:rPr>
          <w:rFonts w:ascii="Cambria" w:hAnsi="Cambria"/>
          <w:color w:val="000000"/>
        </w:rPr>
        <w:t xml:space="preserve">carried out, </w:t>
      </w:r>
      <w:r w:rsidRPr="007E3CCC">
        <w:rPr>
          <w:rFonts w:ascii="Cambria" w:hAnsi="Cambria"/>
          <w:color w:val="000000"/>
        </w:rPr>
        <w:t xml:space="preserve">the ambiguity contained in the current provision “creates uncertainty in the law and may lead to a failure to adequately protect sexual </w:t>
      </w:r>
      <w:r w:rsidRPr="007E3CCC">
        <w:rPr>
          <w:rFonts w:ascii="Cambria" w:hAnsi="Cambria"/>
          <w:color w:val="000000"/>
        </w:rPr>
        <w:lastRenderedPageBreak/>
        <w:t>assault complainants”.</w:t>
      </w:r>
      <w:r w:rsidR="003267F2">
        <w:rPr>
          <w:rStyle w:val="FootnoteReference"/>
          <w:rFonts w:ascii="Cambria" w:hAnsi="Cambria"/>
          <w:color w:val="000000"/>
        </w:rPr>
        <w:footnoteReference w:id="3"/>
      </w:r>
      <w:r w:rsidRPr="007E3CCC">
        <w:rPr>
          <w:rFonts w:ascii="Cambria" w:hAnsi="Cambria"/>
          <w:color w:val="000000"/>
        </w:rPr>
        <w:t xml:space="preserve"> The clarification </w:t>
      </w:r>
      <w:r w:rsidR="00387D48">
        <w:rPr>
          <w:rFonts w:ascii="Cambria" w:hAnsi="Cambria"/>
          <w:color w:val="000000"/>
        </w:rPr>
        <w:t xml:space="preserve">provided by the Bill </w:t>
      </w:r>
      <w:r w:rsidRPr="007E3CCC">
        <w:rPr>
          <w:rFonts w:ascii="Cambria" w:hAnsi="Cambria"/>
          <w:color w:val="000000"/>
        </w:rPr>
        <w:t xml:space="preserve">is particularly important given that sexual offences are most frequently committed by family members, friends or other people known to the victim. </w:t>
      </w:r>
    </w:p>
    <w:p w:rsidR="00C6084A" w:rsidRDefault="007E3CCC" w:rsidP="00C6084A">
      <w:pPr>
        <w:pStyle w:val="NormalWeb"/>
        <w:spacing w:before="0" w:beforeAutospacing="0" w:after="180" w:afterAutospacing="0"/>
        <w:jc w:val="both"/>
        <w:rPr>
          <w:rFonts w:ascii="Cambria" w:hAnsi="Cambria"/>
          <w:color w:val="000000"/>
        </w:rPr>
      </w:pPr>
      <w:r w:rsidRPr="007E3CCC">
        <w:rPr>
          <w:rFonts w:ascii="Cambria" w:hAnsi="Cambria"/>
          <w:color w:val="000000"/>
        </w:rPr>
        <w:t>The proposed amendments will ensure that the complainant’s identity is better protected by making clear that the identification applies to both persons with prior knowledge of the complainant or access to other publicly available information, as well as the general public. Th</w:t>
      </w:r>
      <w:r w:rsidR="00C6084A">
        <w:rPr>
          <w:rFonts w:ascii="Cambria" w:hAnsi="Cambria"/>
          <w:color w:val="000000"/>
        </w:rPr>
        <w:t>ese</w:t>
      </w:r>
      <w:r w:rsidRPr="007E3CCC">
        <w:rPr>
          <w:rFonts w:ascii="Cambria" w:hAnsi="Cambria"/>
          <w:color w:val="000000"/>
        </w:rPr>
        <w:t xml:space="preserve"> amendment</w:t>
      </w:r>
      <w:r w:rsidR="00387D48">
        <w:rPr>
          <w:rFonts w:ascii="Cambria" w:hAnsi="Cambria"/>
          <w:color w:val="000000"/>
        </w:rPr>
        <w:t>s</w:t>
      </w:r>
      <w:r w:rsidRPr="007E3CCC">
        <w:rPr>
          <w:rFonts w:ascii="Cambria" w:hAnsi="Cambria"/>
          <w:color w:val="000000"/>
        </w:rPr>
        <w:t xml:space="preserve"> will also result in consistency with other Australian jurisdictions.</w:t>
      </w:r>
      <w:r w:rsidR="00387D48">
        <w:rPr>
          <w:rStyle w:val="FootnoteReference"/>
          <w:rFonts w:ascii="Cambria" w:hAnsi="Cambria"/>
          <w:color w:val="000000"/>
        </w:rPr>
        <w:footnoteReference w:id="4"/>
      </w:r>
    </w:p>
    <w:p w:rsidR="00C6084A" w:rsidRDefault="007E3CCC" w:rsidP="00C6084A">
      <w:pPr>
        <w:pStyle w:val="NormalWeb"/>
        <w:spacing w:before="0" w:beforeAutospacing="0" w:after="180" w:afterAutospacing="0"/>
        <w:jc w:val="both"/>
        <w:rPr>
          <w:rFonts w:ascii="Cambria" w:hAnsi="Cambria"/>
          <w:color w:val="000000"/>
        </w:rPr>
      </w:pPr>
      <w:r w:rsidRPr="007E3CCC">
        <w:rPr>
          <w:rFonts w:ascii="Cambria" w:hAnsi="Cambria"/>
          <w:color w:val="000000"/>
        </w:rPr>
        <w:t xml:space="preserve">We also strongly support the Bill’s intention to provide complainant’s with the right to waive their anonymity and consent to publication in circumstances where they are at least eighteen years of age, have consented in writing and their consent was not coerced. </w:t>
      </w:r>
    </w:p>
    <w:p w:rsidR="007E3CCC" w:rsidRPr="007E3CCC" w:rsidRDefault="007E3CCC" w:rsidP="00C6084A">
      <w:pPr>
        <w:pStyle w:val="NormalWeb"/>
        <w:spacing w:before="0" w:beforeAutospacing="0" w:after="180" w:afterAutospacing="0"/>
        <w:jc w:val="both"/>
        <w:rPr>
          <w:rFonts w:ascii="Cambria" w:hAnsi="Cambria"/>
          <w:color w:val="000000"/>
        </w:rPr>
      </w:pPr>
      <w:r w:rsidRPr="007E3CCC">
        <w:rPr>
          <w:rFonts w:ascii="Cambria" w:hAnsi="Cambria"/>
          <w:color w:val="000000"/>
        </w:rPr>
        <w:t>However, in our opinion the requirement that the information be published “only after the proceedings in court… were finally determined or otherwise completed” is unnecessary.</w:t>
      </w:r>
      <w:r w:rsidR="00C6084A">
        <w:rPr>
          <w:rStyle w:val="FootnoteReference"/>
          <w:rFonts w:ascii="Cambria" w:hAnsi="Cambria"/>
          <w:color w:val="000000"/>
        </w:rPr>
        <w:footnoteReference w:id="5"/>
      </w:r>
      <w:r w:rsidRPr="007E3CCC">
        <w:rPr>
          <w:rFonts w:ascii="Cambria" w:hAnsi="Cambria"/>
          <w:color w:val="000000"/>
        </w:rPr>
        <w:t xml:space="preserve"> It is unclear why the ability of a sexual offence complainant to speak out against the</w:t>
      </w:r>
      <w:r w:rsidR="00A05334">
        <w:rPr>
          <w:rFonts w:ascii="Cambria" w:hAnsi="Cambria"/>
          <w:color w:val="000000"/>
        </w:rPr>
        <w:t xml:space="preserve">ir </w:t>
      </w:r>
      <w:r w:rsidRPr="007E3CCC">
        <w:rPr>
          <w:rFonts w:ascii="Cambria" w:hAnsi="Cambria"/>
          <w:color w:val="000000"/>
        </w:rPr>
        <w:t>perpetrator</w:t>
      </w:r>
      <w:r w:rsidR="00A05334">
        <w:rPr>
          <w:rFonts w:ascii="Cambria" w:hAnsi="Cambria"/>
          <w:color w:val="000000"/>
        </w:rPr>
        <w:t xml:space="preserve"> </w:t>
      </w:r>
      <w:r w:rsidRPr="007E3CCC">
        <w:rPr>
          <w:rFonts w:ascii="Cambria" w:hAnsi="Cambria"/>
          <w:color w:val="000000"/>
        </w:rPr>
        <w:t>should be treated any differently to complainants of other offences.</w:t>
      </w:r>
      <w:r w:rsidR="00A05334">
        <w:rPr>
          <w:rStyle w:val="FootnoteReference"/>
          <w:rFonts w:ascii="Cambria" w:hAnsi="Cambria"/>
          <w:color w:val="000000"/>
        </w:rPr>
        <w:footnoteReference w:id="6"/>
      </w:r>
      <w:r w:rsidRPr="007E3CCC">
        <w:rPr>
          <w:rFonts w:ascii="Cambria" w:hAnsi="Cambria"/>
          <w:color w:val="000000"/>
        </w:rPr>
        <w:t xml:space="preserve"> We would also note that</w:t>
      </w:r>
      <w:r w:rsidR="00C6084A">
        <w:rPr>
          <w:rFonts w:ascii="Cambria" w:hAnsi="Cambria"/>
          <w:color w:val="000000"/>
        </w:rPr>
        <w:t xml:space="preserve"> this </w:t>
      </w:r>
      <w:r w:rsidR="00A05334">
        <w:rPr>
          <w:rFonts w:ascii="Cambria" w:hAnsi="Cambria"/>
          <w:color w:val="000000"/>
        </w:rPr>
        <w:t xml:space="preserve">restrictive </w:t>
      </w:r>
      <w:r w:rsidR="00C6084A">
        <w:rPr>
          <w:rFonts w:ascii="Cambria" w:hAnsi="Cambria"/>
          <w:color w:val="000000"/>
        </w:rPr>
        <w:t>clause</w:t>
      </w:r>
      <w:r w:rsidR="004911C0">
        <w:rPr>
          <w:rFonts w:ascii="Cambria" w:hAnsi="Cambria"/>
          <w:color w:val="000000"/>
        </w:rPr>
        <w:t xml:space="preserve"> is not found in </w:t>
      </w:r>
      <w:r w:rsidR="00A05334">
        <w:rPr>
          <w:rFonts w:ascii="Cambria" w:hAnsi="Cambria"/>
          <w:color w:val="000000"/>
        </w:rPr>
        <w:t>some</w:t>
      </w:r>
      <w:r w:rsidR="004911C0">
        <w:rPr>
          <w:rFonts w:ascii="Cambria" w:hAnsi="Cambria"/>
          <w:color w:val="000000"/>
        </w:rPr>
        <w:t xml:space="preserve"> other juris</w:t>
      </w:r>
      <w:r w:rsidR="00F723D6">
        <w:rPr>
          <w:rFonts w:ascii="Cambria" w:hAnsi="Cambria"/>
          <w:color w:val="000000"/>
        </w:rPr>
        <w:t>d</w:t>
      </w:r>
      <w:r w:rsidR="004911C0">
        <w:rPr>
          <w:rFonts w:ascii="Cambria" w:hAnsi="Cambria"/>
          <w:color w:val="000000"/>
        </w:rPr>
        <w:t>ictions</w:t>
      </w:r>
      <w:r w:rsidR="00A05334">
        <w:rPr>
          <w:rFonts w:ascii="Cambria" w:hAnsi="Cambria"/>
          <w:color w:val="000000"/>
        </w:rPr>
        <w:t>.</w:t>
      </w:r>
      <w:r w:rsidR="00A05334">
        <w:rPr>
          <w:rStyle w:val="FootnoteReference"/>
          <w:rFonts w:ascii="Cambria" w:hAnsi="Cambria"/>
          <w:color w:val="000000"/>
        </w:rPr>
        <w:footnoteReference w:id="7"/>
      </w:r>
      <w:r w:rsidR="004911C0">
        <w:rPr>
          <w:rFonts w:ascii="Cambria" w:hAnsi="Cambria"/>
          <w:color w:val="000000"/>
        </w:rPr>
        <w:t xml:space="preserve">  </w:t>
      </w:r>
      <w:r w:rsidR="00C6084A">
        <w:rPr>
          <w:rFonts w:ascii="Cambria" w:hAnsi="Cambria"/>
          <w:color w:val="000000"/>
        </w:rPr>
        <w:t xml:space="preserve"> </w:t>
      </w:r>
    </w:p>
    <w:p w:rsidR="007E3CCC" w:rsidRPr="004B5C98" w:rsidRDefault="007E3CCC" w:rsidP="007E3CCC">
      <w:pPr>
        <w:ind w:right="-347"/>
        <w:jc w:val="both"/>
        <w:rPr>
          <w:rFonts w:ascii="Cambria" w:hAnsi="Cambria" w:cs="Arial"/>
          <w:color w:val="000000" w:themeColor="text1"/>
        </w:rPr>
      </w:pPr>
      <w:r w:rsidRPr="004B5C98">
        <w:rPr>
          <w:rFonts w:ascii="Cambria" w:eastAsia="Times New Roman" w:hAnsi="Cambria"/>
          <w:bCs/>
          <w:color w:val="000000" w:themeColor="text1"/>
        </w:rPr>
        <w:t>If we can be of any further assistance, please do not hesitate to contact us.</w:t>
      </w:r>
    </w:p>
    <w:p w:rsidR="007E3CCC" w:rsidRPr="004B5C98" w:rsidRDefault="007E3CCC" w:rsidP="007E3CCC">
      <w:pPr>
        <w:shd w:val="clear" w:color="auto" w:fill="FFFFFF"/>
        <w:ind w:right="-347"/>
        <w:jc w:val="both"/>
        <w:rPr>
          <w:rFonts w:ascii="Cambria" w:eastAsia="Times New Roman" w:hAnsi="Cambria"/>
          <w:bCs/>
          <w:color w:val="000000" w:themeColor="text1"/>
        </w:rPr>
      </w:pPr>
    </w:p>
    <w:p w:rsidR="007E3CCC" w:rsidRPr="004B5C98" w:rsidRDefault="007E3CCC" w:rsidP="007E3CCC">
      <w:pPr>
        <w:shd w:val="clear" w:color="auto" w:fill="FFFFFF"/>
        <w:ind w:right="-347"/>
        <w:jc w:val="both"/>
        <w:rPr>
          <w:rFonts w:ascii="Cambria" w:eastAsia="Times New Roman" w:hAnsi="Cambria"/>
          <w:bCs/>
          <w:color w:val="000000" w:themeColor="text1"/>
        </w:rPr>
      </w:pPr>
    </w:p>
    <w:p w:rsidR="007E3CCC" w:rsidRPr="004B5C98" w:rsidRDefault="007E3CCC" w:rsidP="007E3CCC">
      <w:pPr>
        <w:shd w:val="clear" w:color="auto" w:fill="FFFFFF"/>
        <w:ind w:right="-347"/>
        <w:jc w:val="both"/>
        <w:rPr>
          <w:rFonts w:ascii="Cambria" w:eastAsia="Times New Roman" w:hAnsi="Cambria"/>
          <w:bCs/>
          <w:color w:val="000000" w:themeColor="text1"/>
        </w:rPr>
      </w:pPr>
      <w:r w:rsidRPr="004B5C98">
        <w:rPr>
          <w:rFonts w:ascii="Cambria" w:eastAsia="Times New Roman" w:hAnsi="Cambria"/>
          <w:bCs/>
          <w:color w:val="000000" w:themeColor="text1"/>
        </w:rPr>
        <w:t>Yours faithfully,</w:t>
      </w:r>
    </w:p>
    <w:p w:rsidR="007E3CCC" w:rsidRPr="004B5C98" w:rsidRDefault="007E3CCC" w:rsidP="007E3CCC">
      <w:pPr>
        <w:shd w:val="clear" w:color="auto" w:fill="FFFFFF"/>
        <w:ind w:right="-347"/>
        <w:jc w:val="both"/>
        <w:rPr>
          <w:rFonts w:ascii="Cambria" w:eastAsia="Times New Roman" w:hAnsi="Cambria"/>
          <w:bCs/>
          <w:color w:val="000000" w:themeColor="text1"/>
        </w:rPr>
      </w:pPr>
    </w:p>
    <w:p w:rsidR="007E3CCC" w:rsidRPr="004B5C98" w:rsidRDefault="007E3CCC" w:rsidP="007E3CCC">
      <w:pPr>
        <w:shd w:val="clear" w:color="auto" w:fill="FFFFFF"/>
        <w:ind w:right="-347"/>
        <w:jc w:val="both"/>
        <w:rPr>
          <w:rFonts w:ascii="Cambria" w:eastAsia="Times New Roman" w:hAnsi="Cambria"/>
          <w:bCs/>
          <w:color w:val="000000" w:themeColor="text1"/>
        </w:rPr>
      </w:pPr>
    </w:p>
    <w:p w:rsidR="007E3CCC" w:rsidRPr="004B5C98" w:rsidRDefault="007E3CCC" w:rsidP="007E3CCC">
      <w:pPr>
        <w:shd w:val="clear" w:color="auto" w:fill="FFFFFF"/>
        <w:ind w:right="-347"/>
        <w:jc w:val="both"/>
        <w:rPr>
          <w:rFonts w:ascii="Cambria" w:eastAsia="Times New Roman" w:hAnsi="Cambria"/>
          <w:bCs/>
          <w:color w:val="000000" w:themeColor="text1"/>
        </w:rPr>
      </w:pPr>
    </w:p>
    <w:p w:rsidR="007E3CCC" w:rsidRPr="004B5C98" w:rsidRDefault="007E3CCC" w:rsidP="007E3CCC">
      <w:pPr>
        <w:shd w:val="clear" w:color="auto" w:fill="FFFFFF"/>
        <w:ind w:right="-347"/>
        <w:jc w:val="both"/>
        <w:rPr>
          <w:rFonts w:ascii="Cambria" w:eastAsia="Times New Roman" w:hAnsi="Cambria"/>
          <w:bCs/>
          <w:color w:val="000000" w:themeColor="text1"/>
        </w:rPr>
      </w:pPr>
      <w:r w:rsidRPr="004B5C98">
        <w:rPr>
          <w:rFonts w:ascii="Cambria" w:eastAsia="Times New Roman" w:hAnsi="Cambria"/>
          <w:bCs/>
          <w:color w:val="000000" w:themeColor="text1"/>
        </w:rPr>
        <w:t xml:space="preserve">Benedict </w:t>
      </w:r>
      <w:proofErr w:type="spellStart"/>
      <w:r w:rsidRPr="004B5C98">
        <w:rPr>
          <w:rFonts w:ascii="Cambria" w:eastAsia="Times New Roman" w:hAnsi="Cambria"/>
          <w:bCs/>
          <w:color w:val="000000" w:themeColor="text1"/>
        </w:rPr>
        <w:t>Bartl</w:t>
      </w:r>
      <w:proofErr w:type="spellEnd"/>
    </w:p>
    <w:p w:rsidR="007E3CCC" w:rsidRPr="004B5C98" w:rsidRDefault="007E3CCC" w:rsidP="007E3CCC">
      <w:pPr>
        <w:shd w:val="clear" w:color="auto" w:fill="FFFFFF"/>
        <w:ind w:right="-347"/>
        <w:jc w:val="both"/>
        <w:rPr>
          <w:rFonts w:ascii="Cambria" w:eastAsia="Times New Roman" w:hAnsi="Cambria"/>
          <w:bCs/>
          <w:color w:val="000000" w:themeColor="text1"/>
        </w:rPr>
      </w:pPr>
      <w:r w:rsidRPr="004B5C98">
        <w:rPr>
          <w:rFonts w:ascii="Cambria" w:eastAsia="Times New Roman" w:hAnsi="Cambria"/>
          <w:bCs/>
          <w:color w:val="000000" w:themeColor="text1"/>
        </w:rPr>
        <w:t>Policy Officer</w:t>
      </w:r>
    </w:p>
    <w:p w:rsidR="007E3CCC" w:rsidRPr="004B5C98" w:rsidRDefault="007E3CCC" w:rsidP="007E3CCC">
      <w:pPr>
        <w:pBdr>
          <w:bottom w:val="single" w:sz="6" w:space="1" w:color="auto"/>
        </w:pBdr>
        <w:shd w:val="clear" w:color="auto" w:fill="FFFFFF"/>
        <w:ind w:right="-347"/>
        <w:jc w:val="both"/>
        <w:rPr>
          <w:rFonts w:ascii="Cambria" w:eastAsia="Times New Roman" w:hAnsi="Cambria"/>
          <w:b/>
          <w:bCs/>
          <w:color w:val="000000" w:themeColor="text1"/>
        </w:rPr>
      </w:pPr>
      <w:r w:rsidRPr="004B5C98">
        <w:rPr>
          <w:rFonts w:ascii="Cambria" w:eastAsia="Times New Roman" w:hAnsi="Cambria"/>
          <w:b/>
          <w:bCs/>
          <w:color w:val="000000" w:themeColor="text1"/>
        </w:rPr>
        <w:t>Community Legal Centres Tasmania</w:t>
      </w:r>
    </w:p>
    <w:p w:rsidR="007E3CCC" w:rsidRPr="004B5C98" w:rsidRDefault="007E3CCC" w:rsidP="007E3CCC">
      <w:pPr>
        <w:rPr>
          <w:rFonts w:ascii="Cambria" w:hAnsi="Cambria"/>
        </w:rPr>
      </w:pPr>
    </w:p>
    <w:p w:rsidR="000513F6" w:rsidRDefault="000513F6"/>
    <w:sectPr w:rsidR="000513F6" w:rsidSect="00810812">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E85" w:rsidRDefault="00A71E85" w:rsidP="007E3CCC">
      <w:r>
        <w:separator/>
      </w:r>
    </w:p>
  </w:endnote>
  <w:endnote w:type="continuationSeparator" w:id="0">
    <w:p w:rsidR="00A71E85" w:rsidRDefault="00A71E85" w:rsidP="007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F8" w:rsidRDefault="00DA5BDA" w:rsidP="008108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9F8" w:rsidRDefault="00A71E85" w:rsidP="00810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F8" w:rsidRDefault="00DA5BDA" w:rsidP="008108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59F8" w:rsidRDefault="00A71E85" w:rsidP="008108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E85" w:rsidRDefault="00A71E85" w:rsidP="007E3CCC">
      <w:r>
        <w:separator/>
      </w:r>
    </w:p>
  </w:footnote>
  <w:footnote w:type="continuationSeparator" w:id="0">
    <w:p w:rsidR="00A71E85" w:rsidRDefault="00A71E85" w:rsidP="007E3CCC">
      <w:r>
        <w:continuationSeparator/>
      </w:r>
    </w:p>
  </w:footnote>
  <w:footnote w:id="1">
    <w:p w:rsidR="007E3CCC" w:rsidRPr="003267F2" w:rsidRDefault="007E3CCC">
      <w:pPr>
        <w:pStyle w:val="FootnoteText"/>
        <w:rPr>
          <w:rFonts w:ascii="Cambria" w:hAnsi="Cambria"/>
        </w:rPr>
      </w:pPr>
      <w:r w:rsidRPr="003267F2">
        <w:rPr>
          <w:rStyle w:val="FootnoteReference"/>
          <w:rFonts w:ascii="Cambria" w:hAnsi="Cambria"/>
        </w:rPr>
        <w:footnoteRef/>
      </w:r>
      <w:r w:rsidRPr="003267F2">
        <w:rPr>
          <w:rFonts w:ascii="Cambria" w:hAnsi="Cambria"/>
        </w:rPr>
        <w:t xml:space="preserve"> </w:t>
      </w:r>
      <w:r w:rsidRPr="003267F2">
        <w:rPr>
          <w:rFonts w:ascii="Cambria" w:hAnsi="Cambria"/>
          <w:color w:val="000000"/>
          <w:sz w:val="20"/>
          <w:szCs w:val="20"/>
        </w:rPr>
        <w:t xml:space="preserve">Tasmanian Law Reform Institute, </w:t>
      </w:r>
      <w:r w:rsidRPr="003267F2">
        <w:rPr>
          <w:rFonts w:ascii="Cambria" w:hAnsi="Cambria"/>
          <w:i/>
          <w:iCs/>
          <w:color w:val="000000"/>
          <w:sz w:val="20"/>
          <w:szCs w:val="20"/>
        </w:rPr>
        <w:t>Protecting the Anonymity of Victims of Sexual Crimes</w:t>
      </w:r>
      <w:r w:rsidRPr="003267F2">
        <w:rPr>
          <w:rFonts w:ascii="Cambria" w:hAnsi="Cambria"/>
          <w:color w:val="000000"/>
          <w:sz w:val="20"/>
          <w:szCs w:val="20"/>
        </w:rPr>
        <w:t>, Final Report No. 19 (November 2013).</w:t>
      </w:r>
      <w:r w:rsidRPr="003267F2">
        <w:rPr>
          <w:rFonts w:ascii="Cambria" w:hAnsi="Cambria"/>
          <w:color w:val="000000"/>
        </w:rPr>
        <w:t xml:space="preserve"> </w:t>
      </w:r>
    </w:p>
  </w:footnote>
  <w:footnote w:id="2">
    <w:p w:rsidR="00387D48" w:rsidRPr="003267F2" w:rsidRDefault="00387D48">
      <w:pPr>
        <w:pStyle w:val="FootnoteText"/>
        <w:rPr>
          <w:rFonts w:ascii="Cambria" w:hAnsi="Cambria"/>
        </w:rPr>
      </w:pPr>
      <w:r w:rsidRPr="003267F2">
        <w:rPr>
          <w:rStyle w:val="FootnoteReference"/>
          <w:rFonts w:ascii="Cambria" w:hAnsi="Cambria"/>
        </w:rPr>
        <w:footnoteRef/>
      </w:r>
      <w:r w:rsidRPr="003267F2">
        <w:rPr>
          <w:rFonts w:ascii="Cambria" w:hAnsi="Cambria"/>
        </w:rPr>
        <w:t xml:space="preserve"> </w:t>
      </w:r>
      <w:r w:rsidRPr="003267F2">
        <w:rPr>
          <w:rFonts w:ascii="Cambria" w:hAnsi="Cambria"/>
          <w:sz w:val="20"/>
          <w:szCs w:val="20"/>
        </w:rPr>
        <w:t xml:space="preserve">Department of Justice, </w:t>
      </w:r>
      <w:r w:rsidRPr="003267F2">
        <w:rPr>
          <w:rFonts w:ascii="Cambria" w:hAnsi="Cambria"/>
          <w:i/>
          <w:iCs/>
          <w:color w:val="000000"/>
          <w:sz w:val="20"/>
          <w:szCs w:val="20"/>
        </w:rPr>
        <w:t>Section 194K Evidence Act Discussion Paper</w:t>
      </w:r>
      <w:r w:rsidRPr="003267F2">
        <w:rPr>
          <w:rFonts w:ascii="Cambria" w:hAnsi="Cambria"/>
          <w:color w:val="000000"/>
          <w:sz w:val="20"/>
          <w:szCs w:val="20"/>
        </w:rPr>
        <w:t xml:space="preserve"> 2019.</w:t>
      </w:r>
      <w:r w:rsidRPr="003267F2">
        <w:rPr>
          <w:rFonts w:ascii="Cambria" w:hAnsi="Cambria"/>
          <w:color w:val="000000"/>
        </w:rPr>
        <w:t xml:space="preserve"> </w:t>
      </w:r>
    </w:p>
  </w:footnote>
  <w:footnote w:id="3">
    <w:p w:rsidR="003267F2" w:rsidRPr="003267F2" w:rsidRDefault="003267F2" w:rsidP="003267F2">
      <w:pPr>
        <w:rPr>
          <w:rFonts w:ascii="Cambria" w:hAnsi="Cambria"/>
          <w:lang w:eastAsia="en-GB"/>
        </w:rPr>
      </w:pPr>
      <w:r w:rsidRPr="003267F2">
        <w:rPr>
          <w:rStyle w:val="FootnoteReference"/>
          <w:rFonts w:ascii="Cambria" w:hAnsi="Cambria"/>
        </w:rPr>
        <w:footnoteRef/>
      </w:r>
      <w:r w:rsidRPr="003267F2">
        <w:rPr>
          <w:rFonts w:ascii="Cambria" w:hAnsi="Cambria"/>
        </w:rPr>
        <w:t xml:space="preserve"> </w:t>
      </w:r>
      <w:r w:rsidRPr="003267F2">
        <w:rPr>
          <w:rFonts w:ascii="Cambria" w:hAnsi="Cambria"/>
          <w:sz w:val="20"/>
          <w:szCs w:val="20"/>
        </w:rPr>
        <w:t>See, for example our October 2012 response to the Tasmania Law Reform Institute ‘Consultation into Potential Reforms of section 194K of the Evidence Act 2001</w:t>
      </w:r>
      <w:r>
        <w:rPr>
          <w:rFonts w:ascii="Cambria" w:hAnsi="Cambria"/>
          <w:sz w:val="20"/>
          <w:szCs w:val="20"/>
        </w:rPr>
        <w:t>’</w:t>
      </w:r>
      <w:r w:rsidRPr="003267F2">
        <w:rPr>
          <w:rFonts w:ascii="Cambria" w:hAnsi="Cambria"/>
          <w:sz w:val="20"/>
          <w:szCs w:val="20"/>
        </w:rPr>
        <w:t xml:space="preserve">. As found at </w:t>
      </w:r>
      <w:hyperlink r:id="rId1" w:history="1">
        <w:r w:rsidRPr="003267F2">
          <w:rPr>
            <w:rStyle w:val="Hyperlink"/>
            <w:rFonts w:ascii="Cambria" w:hAnsi="Cambria"/>
            <w:sz w:val="20"/>
            <w:szCs w:val="20"/>
          </w:rPr>
          <w:t>http://www.clctas.org.au/what/reform/</w:t>
        </w:r>
      </w:hyperlink>
      <w:r w:rsidRPr="003267F2">
        <w:rPr>
          <w:rFonts w:ascii="Cambria" w:hAnsi="Cambria"/>
          <w:sz w:val="20"/>
          <w:szCs w:val="20"/>
        </w:rPr>
        <w:t xml:space="preserve"> (Accessed 10 February 2020).</w:t>
      </w:r>
      <w:r w:rsidRPr="003267F2">
        <w:rPr>
          <w:rFonts w:ascii="Cambria" w:hAnsi="Cambria"/>
        </w:rPr>
        <w:t xml:space="preserve"> </w:t>
      </w:r>
      <w:bookmarkStart w:id="0" w:name="_GoBack"/>
      <w:bookmarkEnd w:id="0"/>
    </w:p>
  </w:footnote>
  <w:footnote w:id="4">
    <w:p w:rsidR="00387D48" w:rsidRPr="003267F2" w:rsidRDefault="00387D48">
      <w:pPr>
        <w:pStyle w:val="FootnoteText"/>
        <w:rPr>
          <w:rFonts w:ascii="Cambria" w:hAnsi="Cambria"/>
        </w:rPr>
      </w:pPr>
      <w:r w:rsidRPr="003267F2">
        <w:rPr>
          <w:rStyle w:val="FootnoteReference"/>
          <w:rFonts w:ascii="Cambria" w:hAnsi="Cambria"/>
        </w:rPr>
        <w:footnoteRef/>
      </w:r>
      <w:r w:rsidRPr="003267F2">
        <w:rPr>
          <w:rFonts w:ascii="Cambria" w:hAnsi="Cambria"/>
        </w:rPr>
        <w:t xml:space="preserve"> </w:t>
      </w:r>
      <w:r w:rsidRPr="003267F2">
        <w:rPr>
          <w:rFonts w:ascii="Cambria" w:hAnsi="Cambria"/>
          <w:color w:val="000000"/>
          <w:sz w:val="20"/>
          <w:szCs w:val="20"/>
        </w:rPr>
        <w:t>See, for example</w:t>
      </w:r>
      <w:r w:rsidRPr="003267F2">
        <w:rPr>
          <w:rStyle w:val="apple-converted-space"/>
          <w:rFonts w:ascii="Cambria" w:hAnsi="Cambria"/>
          <w:color w:val="000000"/>
          <w:sz w:val="20"/>
          <w:szCs w:val="20"/>
        </w:rPr>
        <w:t> </w:t>
      </w:r>
      <w:r w:rsidRPr="003267F2">
        <w:rPr>
          <w:rFonts w:ascii="Cambria" w:hAnsi="Cambria"/>
          <w:i/>
          <w:iCs/>
          <w:color w:val="000000"/>
          <w:sz w:val="20"/>
          <w:szCs w:val="20"/>
        </w:rPr>
        <w:t xml:space="preserve">Bailey v </w:t>
      </w:r>
      <w:proofErr w:type="spellStart"/>
      <w:r w:rsidRPr="003267F2">
        <w:rPr>
          <w:rFonts w:ascii="Cambria" w:hAnsi="Cambria"/>
          <w:i/>
          <w:iCs/>
          <w:color w:val="000000"/>
          <w:sz w:val="20"/>
          <w:szCs w:val="20"/>
        </w:rPr>
        <w:t>Hinch</w:t>
      </w:r>
      <w:proofErr w:type="spellEnd"/>
      <w:r w:rsidRPr="003267F2">
        <w:rPr>
          <w:rStyle w:val="apple-converted-space"/>
          <w:rFonts w:ascii="Cambria" w:hAnsi="Cambria"/>
          <w:color w:val="000000"/>
          <w:sz w:val="20"/>
          <w:szCs w:val="20"/>
        </w:rPr>
        <w:t> </w:t>
      </w:r>
      <w:r w:rsidRPr="003267F2">
        <w:rPr>
          <w:rFonts w:ascii="Cambria" w:hAnsi="Cambria"/>
          <w:color w:val="000000"/>
          <w:sz w:val="20"/>
          <w:szCs w:val="20"/>
        </w:rPr>
        <w:t>where Gobbo J observed that ‘[t]he victim is not merely entitled to protection from the least astute members of the community’ [1989] VR 78 at 94.</w:t>
      </w:r>
    </w:p>
  </w:footnote>
  <w:footnote w:id="5">
    <w:p w:rsidR="00C6084A" w:rsidRPr="003267F2" w:rsidRDefault="00C6084A">
      <w:pPr>
        <w:pStyle w:val="FootnoteText"/>
        <w:rPr>
          <w:rFonts w:ascii="Cambria" w:hAnsi="Cambria"/>
        </w:rPr>
      </w:pPr>
      <w:r w:rsidRPr="003267F2">
        <w:rPr>
          <w:rStyle w:val="FootnoteReference"/>
          <w:rFonts w:ascii="Cambria" w:hAnsi="Cambria"/>
        </w:rPr>
        <w:footnoteRef/>
      </w:r>
      <w:r w:rsidRPr="003267F2">
        <w:rPr>
          <w:rFonts w:ascii="Cambria" w:hAnsi="Cambria"/>
        </w:rPr>
        <w:t xml:space="preserve"> </w:t>
      </w:r>
      <w:r w:rsidRPr="003267F2">
        <w:rPr>
          <w:rFonts w:ascii="Cambria" w:hAnsi="Cambria"/>
          <w:sz w:val="20"/>
          <w:szCs w:val="20"/>
        </w:rPr>
        <w:t xml:space="preserve">Clause </w:t>
      </w:r>
      <w:r w:rsidR="004911C0" w:rsidRPr="003267F2">
        <w:rPr>
          <w:rFonts w:ascii="Cambria" w:hAnsi="Cambria"/>
          <w:sz w:val="20"/>
          <w:szCs w:val="20"/>
        </w:rPr>
        <w:t>(3)(b)(v) of Bill.</w:t>
      </w:r>
      <w:r w:rsidR="004911C0" w:rsidRPr="003267F2">
        <w:rPr>
          <w:rFonts w:ascii="Cambria" w:hAnsi="Cambria"/>
        </w:rPr>
        <w:t xml:space="preserve"> </w:t>
      </w:r>
    </w:p>
  </w:footnote>
  <w:footnote w:id="6">
    <w:p w:rsidR="00A05334" w:rsidRPr="003267F2" w:rsidRDefault="00A05334">
      <w:pPr>
        <w:pStyle w:val="FootnoteText"/>
        <w:rPr>
          <w:rFonts w:ascii="Cambria" w:hAnsi="Cambria"/>
        </w:rPr>
      </w:pPr>
      <w:r w:rsidRPr="003267F2">
        <w:rPr>
          <w:rStyle w:val="FootnoteReference"/>
          <w:rFonts w:ascii="Cambria" w:hAnsi="Cambria"/>
        </w:rPr>
        <w:footnoteRef/>
      </w:r>
      <w:r w:rsidRPr="003267F2">
        <w:rPr>
          <w:rFonts w:ascii="Cambria" w:hAnsi="Cambria"/>
        </w:rPr>
        <w:t xml:space="preserve"> </w:t>
      </w:r>
      <w:r w:rsidRPr="003267F2">
        <w:rPr>
          <w:rFonts w:ascii="Cambria" w:hAnsi="Cambria"/>
          <w:sz w:val="20"/>
          <w:szCs w:val="20"/>
        </w:rPr>
        <w:t xml:space="preserve">We note however that this </w:t>
      </w:r>
      <w:r w:rsidR="004A1CAE" w:rsidRPr="003267F2">
        <w:rPr>
          <w:rFonts w:ascii="Cambria" w:hAnsi="Cambria"/>
          <w:sz w:val="20"/>
          <w:szCs w:val="20"/>
        </w:rPr>
        <w:t>should be restricted to circumstances where no other victim was identified or likely to be identified, unless they too provided their consent. See Clause (3)(v)(iv) of the Bill.</w:t>
      </w:r>
      <w:r w:rsidR="004A1CAE" w:rsidRPr="003267F2">
        <w:rPr>
          <w:rFonts w:ascii="Cambria" w:hAnsi="Cambria"/>
        </w:rPr>
        <w:t xml:space="preserve"> </w:t>
      </w:r>
    </w:p>
  </w:footnote>
  <w:footnote w:id="7">
    <w:p w:rsidR="00A05334" w:rsidRDefault="00A05334">
      <w:pPr>
        <w:pStyle w:val="FootnoteText"/>
      </w:pPr>
      <w:r w:rsidRPr="003267F2">
        <w:rPr>
          <w:rStyle w:val="FootnoteReference"/>
          <w:rFonts w:ascii="Cambria" w:hAnsi="Cambria"/>
        </w:rPr>
        <w:footnoteRef/>
      </w:r>
      <w:r w:rsidRPr="003267F2">
        <w:rPr>
          <w:rFonts w:ascii="Cambria" w:hAnsi="Cambria"/>
        </w:rPr>
        <w:t xml:space="preserve"> </w:t>
      </w:r>
      <w:r w:rsidRPr="003267F2">
        <w:rPr>
          <w:rFonts w:ascii="Cambria" w:hAnsi="Cambria"/>
          <w:sz w:val="20"/>
          <w:szCs w:val="20"/>
        </w:rPr>
        <w:t xml:space="preserve">See, for example, section 10(2) of the </w:t>
      </w:r>
      <w:r w:rsidRPr="003267F2">
        <w:rPr>
          <w:rFonts w:ascii="Cambria" w:hAnsi="Cambria"/>
          <w:i/>
          <w:iCs/>
          <w:sz w:val="20"/>
          <w:szCs w:val="20"/>
        </w:rPr>
        <w:t>Criminal Law (Sexual Offences) Act 1978</w:t>
      </w:r>
      <w:r w:rsidRPr="003267F2">
        <w:rPr>
          <w:rFonts w:ascii="Cambria" w:hAnsi="Cambria"/>
          <w:sz w:val="20"/>
          <w:szCs w:val="20"/>
        </w:rPr>
        <w:t xml:space="preserve"> (QLD).</w:t>
      </w:r>
      <w:r w:rsidRPr="003267F2">
        <w:rPr>
          <w:rFonts w:ascii="Cambria" w:hAnsi="Cambr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CC"/>
    <w:rsid w:val="000513F6"/>
    <w:rsid w:val="003267F2"/>
    <w:rsid w:val="00387D48"/>
    <w:rsid w:val="004911C0"/>
    <w:rsid w:val="004A1CAE"/>
    <w:rsid w:val="007E3CCC"/>
    <w:rsid w:val="00A05334"/>
    <w:rsid w:val="00A71E85"/>
    <w:rsid w:val="00B54C66"/>
    <w:rsid w:val="00C6084A"/>
    <w:rsid w:val="00DA5BDA"/>
    <w:rsid w:val="00F723D6"/>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300EE44"/>
  <w15:chartTrackingRefBased/>
  <w15:docId w15:val="{69041144-F5C0-9247-8CCA-156CD61D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CCC"/>
    <w:rPr>
      <w:rFonts w:ascii="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7E3CCC"/>
  </w:style>
  <w:style w:type="character" w:customStyle="1" w:styleId="FootnoteTextChar">
    <w:name w:val="Footnote Text Char"/>
    <w:aliases w:val="Footnote Char,Text Char"/>
    <w:basedOn w:val="DefaultParagraphFont"/>
    <w:link w:val="FootnoteText"/>
    <w:rsid w:val="007E3CCC"/>
    <w:rPr>
      <w:rFonts w:ascii="Times New Roman" w:hAnsi="Times New Roman" w:cs="Times New Roman"/>
      <w:lang w:eastAsia="en-AU"/>
    </w:rPr>
  </w:style>
  <w:style w:type="character" w:styleId="FootnoteReference">
    <w:name w:val="footnote reference"/>
    <w:basedOn w:val="DefaultParagraphFont"/>
    <w:unhideWhenUsed/>
    <w:rsid w:val="007E3CCC"/>
    <w:rPr>
      <w:vertAlign w:val="superscript"/>
    </w:rPr>
  </w:style>
  <w:style w:type="paragraph" w:styleId="Footer">
    <w:name w:val="footer"/>
    <w:basedOn w:val="Normal"/>
    <w:link w:val="FooterChar"/>
    <w:uiPriority w:val="99"/>
    <w:unhideWhenUsed/>
    <w:rsid w:val="007E3CCC"/>
    <w:pPr>
      <w:tabs>
        <w:tab w:val="center" w:pos="4513"/>
        <w:tab w:val="right" w:pos="9026"/>
      </w:tabs>
    </w:pPr>
  </w:style>
  <w:style w:type="character" w:customStyle="1" w:styleId="FooterChar">
    <w:name w:val="Footer Char"/>
    <w:basedOn w:val="DefaultParagraphFont"/>
    <w:link w:val="Footer"/>
    <w:uiPriority w:val="99"/>
    <w:rsid w:val="007E3CCC"/>
    <w:rPr>
      <w:rFonts w:ascii="Times New Roman" w:hAnsi="Times New Roman" w:cs="Times New Roman"/>
      <w:lang w:eastAsia="en-AU"/>
    </w:rPr>
  </w:style>
  <w:style w:type="character" w:styleId="PageNumber">
    <w:name w:val="page number"/>
    <w:basedOn w:val="DefaultParagraphFont"/>
    <w:uiPriority w:val="99"/>
    <w:semiHidden/>
    <w:unhideWhenUsed/>
    <w:rsid w:val="007E3CCC"/>
  </w:style>
  <w:style w:type="character" w:styleId="Hyperlink">
    <w:name w:val="Hyperlink"/>
    <w:basedOn w:val="DefaultParagraphFont"/>
    <w:uiPriority w:val="99"/>
    <w:unhideWhenUsed/>
    <w:rsid w:val="007E3CCC"/>
    <w:rPr>
      <w:color w:val="0563C1" w:themeColor="hyperlink"/>
      <w:u w:val="single"/>
    </w:rPr>
  </w:style>
  <w:style w:type="paragraph" w:styleId="NormalWeb">
    <w:name w:val="Normal (Web)"/>
    <w:basedOn w:val="Normal"/>
    <w:uiPriority w:val="99"/>
    <w:semiHidden/>
    <w:unhideWhenUsed/>
    <w:rsid w:val="007E3CCC"/>
    <w:pPr>
      <w:spacing w:before="100" w:beforeAutospacing="1" w:after="100" w:afterAutospacing="1"/>
    </w:pPr>
    <w:rPr>
      <w:rFonts w:eastAsia="Times New Roman"/>
      <w:lang w:eastAsia="en-GB"/>
    </w:rPr>
  </w:style>
  <w:style w:type="character" w:customStyle="1" w:styleId="apple-converted-space">
    <w:name w:val="apple-converted-space"/>
    <w:basedOn w:val="DefaultParagraphFont"/>
    <w:rsid w:val="007E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2966">
      <w:bodyDiv w:val="1"/>
      <w:marLeft w:val="0"/>
      <w:marRight w:val="0"/>
      <w:marTop w:val="0"/>
      <w:marBottom w:val="0"/>
      <w:divBdr>
        <w:top w:val="none" w:sz="0" w:space="0" w:color="auto"/>
        <w:left w:val="none" w:sz="0" w:space="0" w:color="auto"/>
        <w:bottom w:val="none" w:sz="0" w:space="0" w:color="auto"/>
        <w:right w:val="none" w:sz="0" w:space="0" w:color="auto"/>
      </w:divBdr>
    </w:div>
    <w:div w:id="7405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aveyoursay@justice.tas.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lctas.org.au/wha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2020-02-06T21:24:00Z</dcterms:created>
  <dcterms:modified xsi:type="dcterms:W3CDTF">2020-02-09T22:56:00Z</dcterms:modified>
</cp:coreProperties>
</file>