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70C56" w14:textId="77777777" w:rsidR="002B09D6" w:rsidRPr="00BC0D6B" w:rsidRDefault="002B09D6" w:rsidP="002B09D6">
      <w:pPr>
        <w:ind w:right="-347"/>
        <w:jc w:val="center"/>
        <w:rPr>
          <w:rFonts w:asciiTheme="minorHAnsi" w:hAnsiTheme="minorHAnsi"/>
        </w:rPr>
      </w:pPr>
      <w:r w:rsidRPr="00BC0D6B">
        <w:rPr>
          <w:rFonts w:asciiTheme="minorHAnsi" w:hAnsiTheme="minorHAnsi"/>
          <w:noProof/>
          <w:sz w:val="20"/>
          <w:szCs w:val="20"/>
        </w:rPr>
        <w:drawing>
          <wp:inline distT="0" distB="0" distL="0" distR="0" wp14:anchorId="77080420" wp14:editId="099337AA">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259127FE" w14:textId="77777777" w:rsidR="002B09D6" w:rsidRPr="004B5C98" w:rsidRDefault="002B09D6" w:rsidP="002B09D6">
      <w:pPr>
        <w:ind w:right="-347"/>
        <w:jc w:val="both"/>
        <w:rPr>
          <w:rFonts w:ascii="Cambria" w:hAnsi="Cambria"/>
          <w:color w:val="000000" w:themeColor="text1"/>
        </w:rPr>
      </w:pPr>
    </w:p>
    <w:p w14:paraId="4CB81290" w14:textId="77777777" w:rsidR="002B09D6" w:rsidRPr="004B5C98" w:rsidRDefault="002B09D6" w:rsidP="002B09D6">
      <w:pPr>
        <w:ind w:right="-205"/>
        <w:jc w:val="both"/>
        <w:rPr>
          <w:rFonts w:ascii="Cambria" w:hAnsi="Cambria"/>
          <w:color w:val="000000" w:themeColor="text1"/>
        </w:rPr>
      </w:pPr>
    </w:p>
    <w:p w14:paraId="4CAD0F9B" w14:textId="77777777" w:rsidR="002B09D6" w:rsidRPr="004B5C98" w:rsidRDefault="002B09D6" w:rsidP="002B09D6">
      <w:pPr>
        <w:ind w:right="-205"/>
        <w:jc w:val="both"/>
        <w:rPr>
          <w:rFonts w:ascii="Cambria" w:hAnsi="Cambria"/>
          <w:color w:val="000000" w:themeColor="text1"/>
        </w:rPr>
      </w:pPr>
      <w:r w:rsidRPr="004B5C98">
        <w:rPr>
          <w:rFonts w:ascii="Cambria" w:hAnsi="Cambria"/>
          <w:color w:val="000000" w:themeColor="text1"/>
        </w:rPr>
        <w:t>5 November 2019</w:t>
      </w:r>
    </w:p>
    <w:p w14:paraId="263C795D" w14:textId="77777777" w:rsidR="002B09D6" w:rsidRPr="004B5C98" w:rsidRDefault="002B09D6" w:rsidP="002B09D6">
      <w:pPr>
        <w:ind w:right="-205"/>
        <w:jc w:val="both"/>
        <w:rPr>
          <w:rFonts w:ascii="Cambria" w:hAnsi="Cambria"/>
          <w:color w:val="000000" w:themeColor="text1"/>
        </w:rPr>
      </w:pPr>
    </w:p>
    <w:p w14:paraId="7908A645" w14:textId="77777777" w:rsidR="002B09D6" w:rsidRPr="004B5C98" w:rsidRDefault="002B09D6" w:rsidP="002B09D6">
      <w:pPr>
        <w:ind w:right="-205"/>
        <w:jc w:val="both"/>
        <w:rPr>
          <w:rFonts w:ascii="Cambria" w:hAnsi="Cambria"/>
          <w:color w:val="000000" w:themeColor="text1"/>
        </w:rPr>
      </w:pPr>
      <w:r w:rsidRPr="004B5C98">
        <w:rPr>
          <w:rFonts w:ascii="Cambria" w:hAnsi="Cambria"/>
          <w:color w:val="000000" w:themeColor="text1"/>
        </w:rPr>
        <w:t>Department of Justice</w:t>
      </w:r>
    </w:p>
    <w:p w14:paraId="5BDF9BD4" w14:textId="77777777" w:rsidR="002B09D6" w:rsidRPr="004B5C98" w:rsidRDefault="002B09D6" w:rsidP="002B09D6">
      <w:pPr>
        <w:ind w:right="-205"/>
        <w:jc w:val="both"/>
        <w:rPr>
          <w:rFonts w:ascii="Cambria" w:hAnsi="Cambria"/>
          <w:color w:val="000000" w:themeColor="text1"/>
        </w:rPr>
      </w:pPr>
      <w:r w:rsidRPr="004B5C98">
        <w:rPr>
          <w:rFonts w:ascii="Cambria" w:hAnsi="Cambria"/>
          <w:color w:val="000000" w:themeColor="text1"/>
        </w:rPr>
        <w:t>GPO Box 308</w:t>
      </w:r>
    </w:p>
    <w:p w14:paraId="2C69EA1C" w14:textId="77777777" w:rsidR="002B09D6" w:rsidRPr="004B5C98" w:rsidRDefault="002B09D6" w:rsidP="002B09D6">
      <w:pPr>
        <w:ind w:right="-205"/>
        <w:jc w:val="both"/>
        <w:rPr>
          <w:rFonts w:ascii="Cambria" w:hAnsi="Cambria"/>
          <w:color w:val="000000" w:themeColor="text1"/>
        </w:rPr>
      </w:pPr>
      <w:r w:rsidRPr="004B5C98">
        <w:rPr>
          <w:rFonts w:ascii="Cambria" w:hAnsi="Cambria"/>
          <w:color w:val="000000" w:themeColor="text1"/>
        </w:rPr>
        <w:t>Hobart TAS 7001</w:t>
      </w:r>
    </w:p>
    <w:p w14:paraId="764702B2" w14:textId="77777777" w:rsidR="002B09D6" w:rsidRPr="004B5C98" w:rsidRDefault="002B09D6" w:rsidP="002B09D6">
      <w:pPr>
        <w:ind w:right="-205"/>
        <w:jc w:val="both"/>
        <w:rPr>
          <w:rFonts w:ascii="Cambria" w:hAnsi="Cambria"/>
          <w:color w:val="000000" w:themeColor="text1"/>
        </w:rPr>
      </w:pPr>
      <w:r w:rsidRPr="004B5C98">
        <w:rPr>
          <w:rFonts w:ascii="Cambria" w:hAnsi="Cambria"/>
          <w:color w:val="000000" w:themeColor="text1"/>
        </w:rPr>
        <w:t xml:space="preserve">attn: Office of the Secretary </w:t>
      </w:r>
    </w:p>
    <w:p w14:paraId="1D3F4E4B" w14:textId="77777777" w:rsidR="002B09D6" w:rsidRPr="004B5C98" w:rsidRDefault="002B09D6" w:rsidP="002B09D6">
      <w:pPr>
        <w:ind w:right="-205"/>
        <w:jc w:val="both"/>
        <w:rPr>
          <w:rFonts w:ascii="Cambria" w:hAnsi="Cambria"/>
          <w:color w:val="000000" w:themeColor="text1"/>
        </w:rPr>
      </w:pPr>
    </w:p>
    <w:p w14:paraId="20AB4ED1" w14:textId="77777777" w:rsidR="002B09D6" w:rsidRPr="004B5C98" w:rsidRDefault="002B09D6" w:rsidP="002B09D6">
      <w:pPr>
        <w:ind w:left="1440" w:firstLine="720"/>
        <w:rPr>
          <w:rFonts w:ascii="Cambria" w:eastAsia="Times New Roman" w:hAnsi="Cambria"/>
          <w:i/>
          <w:color w:val="000000" w:themeColor="text1"/>
        </w:rPr>
      </w:pPr>
      <w:r w:rsidRPr="004B5C98">
        <w:rPr>
          <w:rFonts w:ascii="Cambria" w:hAnsi="Cambria"/>
          <w:i/>
          <w:color w:val="000000" w:themeColor="text1"/>
        </w:rPr>
        <w:t xml:space="preserve">via email: </w:t>
      </w:r>
      <w:hyperlink r:id="rId8" w:history="1">
        <w:r w:rsidR="00293474" w:rsidRPr="004B5C98">
          <w:rPr>
            <w:rStyle w:val="Hyperlink"/>
            <w:rFonts w:ascii="Cambria" w:hAnsi="Cambria"/>
            <w:i/>
          </w:rPr>
          <w:t>haveyoursay@justice.tas.gov.au</w:t>
        </w:r>
      </w:hyperlink>
      <w:r w:rsidRPr="004B5C98">
        <w:rPr>
          <w:rFonts w:ascii="Cambria" w:hAnsi="Cambria"/>
          <w:i/>
          <w:color w:val="000000" w:themeColor="text1"/>
        </w:rPr>
        <w:t xml:space="preserve">  </w:t>
      </w:r>
    </w:p>
    <w:p w14:paraId="66FB6AE9" w14:textId="77777777" w:rsidR="002B09D6" w:rsidRPr="004B5C98" w:rsidRDefault="002B09D6" w:rsidP="002B09D6">
      <w:pPr>
        <w:ind w:right="-205"/>
        <w:jc w:val="both"/>
        <w:rPr>
          <w:rFonts w:ascii="Cambria" w:hAnsi="Cambria"/>
          <w:b/>
          <w:i/>
          <w:color w:val="000000" w:themeColor="text1"/>
        </w:rPr>
      </w:pPr>
    </w:p>
    <w:p w14:paraId="56415551" w14:textId="6D8E8198" w:rsidR="002B09D6" w:rsidRPr="004B5C98" w:rsidRDefault="002B09D6" w:rsidP="002B09D6">
      <w:pPr>
        <w:ind w:right="-64"/>
        <w:jc w:val="both"/>
        <w:rPr>
          <w:rFonts w:ascii="Cambria" w:hAnsi="Cambria"/>
          <w:color w:val="000000" w:themeColor="text1"/>
        </w:rPr>
      </w:pPr>
      <w:r w:rsidRPr="004B5C98">
        <w:rPr>
          <w:rFonts w:ascii="Cambria" w:hAnsi="Cambria"/>
          <w:color w:val="000000" w:themeColor="text1"/>
        </w:rPr>
        <w:t xml:space="preserve">To </w:t>
      </w:r>
      <w:r w:rsidR="00652AC6" w:rsidRPr="004B5C98">
        <w:rPr>
          <w:rFonts w:ascii="Cambria" w:hAnsi="Cambria"/>
          <w:color w:val="000000" w:themeColor="text1"/>
        </w:rPr>
        <w:t xml:space="preserve">the </w:t>
      </w:r>
      <w:r w:rsidR="00293474" w:rsidRPr="004B5C98">
        <w:rPr>
          <w:rFonts w:ascii="Cambria" w:hAnsi="Cambria"/>
          <w:color w:val="000000" w:themeColor="text1"/>
        </w:rPr>
        <w:t>Office of the Secretary</w:t>
      </w:r>
      <w:r w:rsidRPr="004B5C98">
        <w:rPr>
          <w:rFonts w:ascii="Cambria" w:hAnsi="Cambria"/>
          <w:color w:val="000000" w:themeColor="text1"/>
        </w:rPr>
        <w:t>,</w:t>
      </w:r>
    </w:p>
    <w:p w14:paraId="2372FB1D" w14:textId="77777777" w:rsidR="002B09D6" w:rsidRPr="004B5C98" w:rsidRDefault="002B09D6" w:rsidP="002B09D6">
      <w:pPr>
        <w:pBdr>
          <w:bottom w:val="single" w:sz="6" w:space="1" w:color="auto"/>
        </w:pBdr>
        <w:jc w:val="both"/>
        <w:rPr>
          <w:rFonts w:ascii="Cambria" w:hAnsi="Cambria"/>
          <w:b/>
          <w:color w:val="000000" w:themeColor="text1"/>
        </w:rPr>
      </w:pPr>
      <w:r w:rsidRPr="004B5C98">
        <w:rPr>
          <w:rFonts w:ascii="Cambria" w:hAnsi="Cambria"/>
          <w:b/>
          <w:color w:val="000000" w:themeColor="text1"/>
        </w:rPr>
        <w:t xml:space="preserve">Re: </w:t>
      </w:r>
      <w:r w:rsidRPr="004B5C98">
        <w:rPr>
          <w:rFonts w:ascii="Cambria" w:hAnsi="Cambria"/>
          <w:b/>
          <w:i/>
          <w:color w:val="000000" w:themeColor="text1"/>
        </w:rPr>
        <w:t>Justice Legislation Amendments (Criminal Responsibility) Bill 2019</w:t>
      </w:r>
    </w:p>
    <w:p w14:paraId="0D185697" w14:textId="77777777" w:rsidR="002B09D6" w:rsidRPr="004B5C98" w:rsidRDefault="002B09D6" w:rsidP="002B09D6">
      <w:pPr>
        <w:ind w:right="-64"/>
        <w:jc w:val="both"/>
        <w:rPr>
          <w:rFonts w:ascii="Cambria" w:hAnsi="Cambria"/>
          <w:color w:val="000000" w:themeColor="text1"/>
        </w:rPr>
      </w:pPr>
      <w:r w:rsidRPr="004B5C98">
        <w:rPr>
          <w:rFonts w:ascii="Cambria" w:hAnsi="Cambria"/>
          <w:color w:val="000000" w:themeColor="text1"/>
        </w:rPr>
        <w:t xml:space="preserve"> </w:t>
      </w:r>
    </w:p>
    <w:p w14:paraId="79BE842B" w14:textId="6F6B9D0B" w:rsidR="002B09D6" w:rsidRPr="004B5C98" w:rsidRDefault="002B09D6" w:rsidP="002B09D6">
      <w:pPr>
        <w:ind w:right="-347"/>
        <w:jc w:val="both"/>
        <w:rPr>
          <w:rFonts w:ascii="Cambria" w:hAnsi="Cambria"/>
          <w:color w:val="000000" w:themeColor="text1"/>
        </w:rPr>
      </w:pPr>
      <w:r w:rsidRPr="004B5C98">
        <w:rPr>
          <w:rFonts w:ascii="Cambria" w:hAnsi="Cambria" w:cs="Calibri"/>
          <w:color w:val="000000" w:themeColor="text1"/>
        </w:rPr>
        <w:t>Community Legal Centres Tasmania (CLC Tas)</w:t>
      </w:r>
      <w:r w:rsidRPr="004B5C98">
        <w:rPr>
          <w:rFonts w:ascii="Cambria" w:hAnsi="Cambria"/>
          <w:color w:val="000000" w:themeColor="text1"/>
        </w:rPr>
        <w:t xml:space="preserve"> welcomes the opportunity to provide comment on the </w:t>
      </w:r>
      <w:r w:rsidR="000F0482" w:rsidRPr="004B5C98">
        <w:rPr>
          <w:rFonts w:ascii="Cambria" w:hAnsi="Cambria"/>
          <w:i/>
          <w:color w:val="000000" w:themeColor="text1"/>
        </w:rPr>
        <w:t>Justice Legislation Amendments (Criminal Responsibility) Bill 2019</w:t>
      </w:r>
      <w:r w:rsidRPr="004B5C98">
        <w:rPr>
          <w:rFonts w:ascii="Cambria" w:hAnsi="Cambria"/>
          <w:color w:val="000000" w:themeColor="text1"/>
        </w:rPr>
        <w:t>.</w:t>
      </w:r>
    </w:p>
    <w:p w14:paraId="1CE150FF" w14:textId="77777777" w:rsidR="002B09D6" w:rsidRPr="004B5C98" w:rsidRDefault="002B09D6" w:rsidP="002B09D6">
      <w:pPr>
        <w:ind w:right="-347"/>
        <w:jc w:val="both"/>
        <w:rPr>
          <w:rFonts w:ascii="Cambria" w:hAnsi="Cambria"/>
          <w:color w:val="000000" w:themeColor="text1"/>
        </w:rPr>
      </w:pPr>
    </w:p>
    <w:p w14:paraId="0AED055B" w14:textId="77777777" w:rsidR="002B09D6" w:rsidRPr="004B5C98" w:rsidRDefault="002B09D6" w:rsidP="002B09D6">
      <w:pPr>
        <w:ind w:right="-347"/>
        <w:jc w:val="both"/>
        <w:rPr>
          <w:rFonts w:ascii="Cambria" w:hAnsi="Cambria" w:cstheme="minorBidi"/>
          <w:color w:val="000000" w:themeColor="text1"/>
        </w:rPr>
      </w:pPr>
      <w:r w:rsidRPr="004B5C98">
        <w:rPr>
          <w:rFonts w:ascii="Cambria" w:eastAsia="Times New Roman" w:hAnsi="Cambria" w:cs="Arial"/>
          <w:color w:val="000000" w:themeColor="text1"/>
        </w:rPr>
        <w:t xml:space="preserve">CLC Tas </w:t>
      </w:r>
      <w:r w:rsidRPr="004B5C98">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41F328CF" w14:textId="77777777" w:rsidR="002B09D6" w:rsidRPr="004B5C98" w:rsidRDefault="002B09D6" w:rsidP="002B09D6">
      <w:pPr>
        <w:ind w:right="-347"/>
        <w:jc w:val="both"/>
        <w:rPr>
          <w:rFonts w:ascii="Cambria" w:hAnsi="Cambria" w:cstheme="minorBidi"/>
          <w:color w:val="000000" w:themeColor="text1"/>
        </w:rPr>
      </w:pPr>
    </w:p>
    <w:p w14:paraId="5601D0A3" w14:textId="4D85B2EE" w:rsidR="00A25352" w:rsidRPr="004B5C98" w:rsidRDefault="00A25352" w:rsidP="002B09D6">
      <w:pPr>
        <w:ind w:right="-347"/>
        <w:jc w:val="both"/>
        <w:rPr>
          <w:rFonts w:ascii="Cambria" w:hAnsi="Cambria"/>
          <w:color w:val="000000" w:themeColor="text1"/>
        </w:rPr>
      </w:pPr>
      <w:r w:rsidRPr="004B5C98">
        <w:rPr>
          <w:rFonts w:ascii="Cambria" w:hAnsi="Cambria"/>
        </w:rPr>
        <w:t>We</w:t>
      </w:r>
      <w:r w:rsidR="002B09D6" w:rsidRPr="004B5C98">
        <w:rPr>
          <w:rFonts w:ascii="Cambria" w:hAnsi="Cambria"/>
        </w:rPr>
        <w:t xml:space="preserve"> support the </w:t>
      </w:r>
      <w:r w:rsidRPr="004B5C98">
        <w:rPr>
          <w:rFonts w:ascii="Cambria" w:hAnsi="Cambria"/>
        </w:rPr>
        <w:t xml:space="preserve">three </w:t>
      </w:r>
      <w:r w:rsidR="002B09D6" w:rsidRPr="004B5C98">
        <w:rPr>
          <w:rFonts w:ascii="Cambria" w:hAnsi="Cambria"/>
        </w:rPr>
        <w:t>proposed amendment</w:t>
      </w:r>
      <w:r w:rsidRPr="004B5C98">
        <w:rPr>
          <w:rFonts w:ascii="Cambria" w:hAnsi="Cambria"/>
        </w:rPr>
        <w:t>s</w:t>
      </w:r>
      <w:r w:rsidR="002B09D6" w:rsidRPr="004B5C98">
        <w:rPr>
          <w:rFonts w:ascii="Cambria" w:hAnsi="Cambria"/>
        </w:rPr>
        <w:t xml:space="preserve"> </w:t>
      </w:r>
      <w:r w:rsidRPr="004B5C98">
        <w:rPr>
          <w:rFonts w:ascii="Cambria" w:hAnsi="Cambria"/>
        </w:rPr>
        <w:t xml:space="preserve">contained in </w:t>
      </w:r>
      <w:r w:rsidR="002B09D6" w:rsidRPr="004B5C98">
        <w:rPr>
          <w:rFonts w:ascii="Cambria" w:hAnsi="Cambria"/>
        </w:rPr>
        <w:t xml:space="preserve">the </w:t>
      </w:r>
      <w:r w:rsidRPr="004B5C98">
        <w:rPr>
          <w:rFonts w:ascii="Cambria" w:hAnsi="Cambria"/>
          <w:i/>
        </w:rPr>
        <w:t>Justice Legislation Amendments (Criminal Responsibility) Bill 2019</w:t>
      </w:r>
      <w:r w:rsidRPr="004B5C98">
        <w:rPr>
          <w:rFonts w:ascii="Cambria" w:hAnsi="Cambria"/>
        </w:rPr>
        <w:t xml:space="preserve"> (‘the Bill</w:t>
      </w:r>
      <w:r w:rsidR="002B09D6" w:rsidRPr="004B5C98">
        <w:rPr>
          <w:rFonts w:ascii="Cambria" w:hAnsi="Cambria"/>
        </w:rPr>
        <w:t>’)</w:t>
      </w:r>
      <w:r w:rsidR="00DA250E" w:rsidRPr="004B5C98">
        <w:rPr>
          <w:rFonts w:ascii="Cambria" w:hAnsi="Cambria"/>
          <w:color w:val="000000" w:themeColor="text1"/>
        </w:rPr>
        <w:t xml:space="preserve"> which will</w:t>
      </w:r>
      <w:r w:rsidR="002B09D6" w:rsidRPr="004B5C98">
        <w:rPr>
          <w:rFonts w:ascii="Cambria" w:hAnsi="Cambria"/>
          <w:color w:val="000000" w:themeColor="text1"/>
        </w:rPr>
        <w:t xml:space="preserve"> </w:t>
      </w:r>
      <w:r w:rsidRPr="004B5C98">
        <w:rPr>
          <w:rFonts w:ascii="Cambria" w:hAnsi="Cambria"/>
          <w:color w:val="000000" w:themeColor="text1"/>
        </w:rPr>
        <w:t xml:space="preserve">enshrine common law principles in the </w:t>
      </w:r>
      <w:r w:rsidRPr="004B5C98">
        <w:rPr>
          <w:rFonts w:ascii="Cambria" w:hAnsi="Cambria"/>
          <w:i/>
          <w:color w:val="000000" w:themeColor="text1"/>
        </w:rPr>
        <w:t>Criminal Code Act 1924</w:t>
      </w:r>
      <w:r w:rsidRPr="004B5C98">
        <w:rPr>
          <w:rFonts w:ascii="Cambria" w:hAnsi="Cambria"/>
          <w:color w:val="000000" w:themeColor="text1"/>
        </w:rPr>
        <w:t xml:space="preserve"> (Tas) and the </w:t>
      </w:r>
      <w:r w:rsidRPr="004B5C98">
        <w:rPr>
          <w:rFonts w:ascii="Cambria" w:hAnsi="Cambria"/>
          <w:i/>
          <w:color w:val="000000" w:themeColor="text1"/>
        </w:rPr>
        <w:t>Sentencing Act 1997</w:t>
      </w:r>
      <w:r w:rsidRPr="004B5C98">
        <w:rPr>
          <w:rFonts w:ascii="Cambria" w:hAnsi="Cambria"/>
          <w:color w:val="000000" w:themeColor="text1"/>
        </w:rPr>
        <w:t xml:space="preserve"> (Tas).</w:t>
      </w:r>
      <w:r w:rsidR="00652AC6" w:rsidRPr="004B5C98">
        <w:rPr>
          <w:rFonts w:ascii="Cambria" w:hAnsi="Cambria"/>
          <w:color w:val="000000" w:themeColor="text1"/>
        </w:rPr>
        <w:t xml:space="preserve"> In our opinion, the </w:t>
      </w:r>
      <w:r w:rsidR="00DA250E" w:rsidRPr="004B5C98">
        <w:rPr>
          <w:rFonts w:ascii="Cambria" w:hAnsi="Cambria"/>
          <w:color w:val="000000" w:themeColor="text1"/>
        </w:rPr>
        <w:t xml:space="preserve">passing of the </w:t>
      </w:r>
      <w:r w:rsidR="00652AC6" w:rsidRPr="004B5C98">
        <w:rPr>
          <w:rFonts w:ascii="Cambria" w:hAnsi="Cambria"/>
          <w:color w:val="000000" w:themeColor="text1"/>
        </w:rPr>
        <w:t xml:space="preserve">Bill </w:t>
      </w:r>
      <w:r w:rsidR="00DA250E" w:rsidRPr="004B5C98">
        <w:rPr>
          <w:rFonts w:ascii="Cambria" w:hAnsi="Cambria"/>
          <w:color w:val="000000" w:themeColor="text1"/>
        </w:rPr>
        <w:t xml:space="preserve">into law </w:t>
      </w:r>
      <w:r w:rsidR="00652AC6" w:rsidRPr="004B5C98">
        <w:rPr>
          <w:rFonts w:ascii="Cambria" w:hAnsi="Cambria"/>
          <w:color w:val="000000" w:themeColor="text1"/>
        </w:rPr>
        <w:t>will assist in ensuring that our laws are</w:t>
      </w:r>
      <w:r w:rsidR="004B5C98">
        <w:rPr>
          <w:rFonts w:ascii="Cambria" w:hAnsi="Cambria"/>
          <w:color w:val="000000" w:themeColor="text1"/>
        </w:rPr>
        <w:t xml:space="preserve"> more</w:t>
      </w:r>
      <w:r w:rsidR="00652AC6" w:rsidRPr="004B5C98">
        <w:rPr>
          <w:rFonts w:ascii="Cambria" w:hAnsi="Cambria"/>
          <w:color w:val="000000" w:themeColor="text1"/>
        </w:rPr>
        <w:t xml:space="preserve"> accessible, certain and predictable.  </w:t>
      </w:r>
      <w:r w:rsidRPr="004B5C98">
        <w:rPr>
          <w:rFonts w:ascii="Cambria" w:hAnsi="Cambria"/>
          <w:color w:val="000000" w:themeColor="text1"/>
        </w:rPr>
        <w:t xml:space="preserve"> </w:t>
      </w:r>
    </w:p>
    <w:p w14:paraId="0F6A96E3" w14:textId="77777777" w:rsidR="00A25352" w:rsidRPr="004B5C98" w:rsidRDefault="00A25352" w:rsidP="002B09D6">
      <w:pPr>
        <w:ind w:right="-347"/>
        <w:jc w:val="both"/>
        <w:rPr>
          <w:rFonts w:ascii="Cambria" w:hAnsi="Cambria"/>
          <w:color w:val="000000" w:themeColor="text1"/>
        </w:rPr>
      </w:pPr>
    </w:p>
    <w:p w14:paraId="0C52D363" w14:textId="77777777" w:rsidR="00DA250E" w:rsidRPr="004B5C98" w:rsidRDefault="00DA250E" w:rsidP="00DA250E">
      <w:pPr>
        <w:ind w:right="-347"/>
        <w:jc w:val="both"/>
        <w:rPr>
          <w:rFonts w:ascii="Cambria" w:hAnsi="Cambria"/>
          <w:b/>
          <w:i/>
          <w:color w:val="000000" w:themeColor="text1"/>
        </w:rPr>
      </w:pPr>
      <w:r w:rsidRPr="004B5C98">
        <w:rPr>
          <w:rFonts w:ascii="Cambria" w:hAnsi="Cambria"/>
          <w:b/>
          <w:i/>
          <w:color w:val="000000" w:themeColor="text1"/>
        </w:rPr>
        <w:t xml:space="preserve">Criminal Code Amendments </w:t>
      </w:r>
    </w:p>
    <w:p w14:paraId="608430BD" w14:textId="5FF482BD" w:rsidR="00DA250E" w:rsidRPr="004B5C98" w:rsidRDefault="00DA250E" w:rsidP="00DA250E">
      <w:pPr>
        <w:ind w:right="-347"/>
        <w:jc w:val="both"/>
        <w:rPr>
          <w:rFonts w:ascii="Cambria" w:hAnsi="Cambria"/>
          <w:color w:val="000000" w:themeColor="text1"/>
        </w:rPr>
      </w:pPr>
      <w:r w:rsidRPr="004B5C98">
        <w:rPr>
          <w:rFonts w:ascii="Cambria" w:hAnsi="Cambria"/>
          <w:color w:val="000000" w:themeColor="text1"/>
        </w:rPr>
        <w:t xml:space="preserve">The test for criminal responsibility will be clarified as a result of the proposed amendment to the </w:t>
      </w:r>
      <w:r w:rsidRPr="004B5C98">
        <w:rPr>
          <w:rFonts w:ascii="Cambria" w:hAnsi="Cambria"/>
          <w:i/>
          <w:color w:val="000000" w:themeColor="text1"/>
        </w:rPr>
        <w:t xml:space="preserve">Criminal Code Act 1924 </w:t>
      </w:r>
      <w:r w:rsidRPr="004B5C98">
        <w:rPr>
          <w:rFonts w:ascii="Cambria" w:hAnsi="Cambria"/>
          <w:color w:val="000000" w:themeColor="text1"/>
        </w:rPr>
        <w:t xml:space="preserve">(Tas). Clause 4 of the Bill will result in the codification of the common law reasonable foreseeability test, as set down by Gibbs J in </w:t>
      </w:r>
      <w:r w:rsidRPr="004B5C98">
        <w:rPr>
          <w:rFonts w:ascii="Cambria" w:hAnsi="Cambria"/>
          <w:i/>
          <w:color w:val="000000" w:themeColor="text1"/>
        </w:rPr>
        <w:t>Kaporonovski</w:t>
      </w:r>
      <w:r w:rsidR="00165789" w:rsidRPr="004B5C98">
        <w:rPr>
          <w:rFonts w:ascii="Cambria" w:hAnsi="Cambria"/>
          <w:i/>
          <w:color w:val="000000" w:themeColor="text1"/>
        </w:rPr>
        <w:t xml:space="preserve"> v R</w:t>
      </w:r>
      <w:r w:rsidRPr="004B5C98">
        <w:rPr>
          <w:rFonts w:ascii="Cambria" w:hAnsi="Cambria"/>
          <w:color w:val="000000" w:themeColor="text1"/>
        </w:rPr>
        <w:t>:</w:t>
      </w:r>
      <w:r w:rsidRPr="004B5C98">
        <w:rPr>
          <w:rStyle w:val="FootnoteReference"/>
          <w:rFonts w:ascii="Cambria" w:hAnsi="Cambria"/>
          <w:color w:val="000000" w:themeColor="text1"/>
        </w:rPr>
        <w:footnoteReference w:id="1"/>
      </w:r>
      <w:r w:rsidRPr="004B5C98">
        <w:rPr>
          <w:rFonts w:ascii="Cambria" w:hAnsi="Cambria"/>
          <w:color w:val="000000" w:themeColor="text1"/>
        </w:rPr>
        <w:t xml:space="preserve"> </w:t>
      </w:r>
    </w:p>
    <w:p w14:paraId="4A4EB034" w14:textId="77777777" w:rsidR="00DA250E" w:rsidRPr="004B5C98" w:rsidRDefault="00DA250E" w:rsidP="00DA250E">
      <w:pPr>
        <w:ind w:right="-347"/>
        <w:jc w:val="both"/>
        <w:rPr>
          <w:rFonts w:ascii="Cambria" w:hAnsi="Cambria"/>
          <w:color w:val="000000" w:themeColor="text1"/>
        </w:rPr>
      </w:pPr>
    </w:p>
    <w:p w14:paraId="47CAAA29" w14:textId="11C92AAF" w:rsidR="00DA250E" w:rsidRPr="004B5C98" w:rsidRDefault="00DA250E" w:rsidP="00DA250E">
      <w:pPr>
        <w:ind w:left="426" w:right="220"/>
        <w:jc w:val="both"/>
        <w:rPr>
          <w:rFonts w:ascii="Cambria" w:hAnsi="Cambria"/>
          <w:color w:val="000000" w:themeColor="text1"/>
          <w:sz w:val="22"/>
          <w:szCs w:val="22"/>
        </w:rPr>
      </w:pPr>
      <w:r w:rsidRPr="004B5C98">
        <w:rPr>
          <w:rFonts w:ascii="Cambria" w:hAnsi="Cambria"/>
          <w:color w:val="000000" w:themeColor="text1"/>
          <w:sz w:val="22"/>
          <w:szCs w:val="22"/>
        </w:rPr>
        <w:t xml:space="preserve">It must now be regarded as settled that an event occurs by [chance]… if it was a consequence which was not in fact intended or foreseen by the accused and would not reasonably have been foreseen by an ordinary person.  </w:t>
      </w:r>
    </w:p>
    <w:p w14:paraId="44EEB69E" w14:textId="77777777" w:rsidR="00DA250E" w:rsidRPr="004B5C98" w:rsidRDefault="00DA250E" w:rsidP="00DA250E">
      <w:pPr>
        <w:ind w:right="-347"/>
        <w:jc w:val="both"/>
        <w:rPr>
          <w:rFonts w:ascii="Cambria" w:hAnsi="Cambria"/>
          <w:color w:val="000000" w:themeColor="text1"/>
        </w:rPr>
      </w:pPr>
    </w:p>
    <w:p w14:paraId="14E0AF6E" w14:textId="77777777" w:rsidR="00DA250E" w:rsidRPr="004B5C98" w:rsidRDefault="00DA250E" w:rsidP="00DA250E">
      <w:pPr>
        <w:ind w:right="-347"/>
        <w:jc w:val="both"/>
        <w:rPr>
          <w:rFonts w:ascii="Cambria" w:hAnsi="Cambria"/>
          <w:color w:val="000000" w:themeColor="text1"/>
        </w:rPr>
      </w:pPr>
      <w:r w:rsidRPr="004B5C98">
        <w:rPr>
          <w:rFonts w:ascii="Cambria" w:hAnsi="Cambria"/>
          <w:color w:val="000000" w:themeColor="text1"/>
        </w:rPr>
        <w:lastRenderedPageBreak/>
        <w:t>The amendment is likely to be welcomed by some academics who have observed that “numerous Australian cases have considered the meaning of the words ‘by chance’ and ‘accident’ but not in an entirely consistent way”</w:t>
      </w:r>
      <w:r w:rsidRPr="004B5C98">
        <w:rPr>
          <w:rStyle w:val="FootnoteReference"/>
          <w:rFonts w:ascii="Cambria" w:hAnsi="Cambria"/>
          <w:color w:val="000000" w:themeColor="text1"/>
        </w:rPr>
        <w:footnoteReference w:id="2"/>
      </w:r>
      <w:r w:rsidRPr="004B5C98">
        <w:rPr>
          <w:rFonts w:ascii="Cambria" w:hAnsi="Cambria"/>
          <w:color w:val="000000" w:themeColor="text1"/>
        </w:rPr>
        <w:t xml:space="preserve"> and that some decisions have been “unwarranted, unnecessary and wrong in principle”.</w:t>
      </w:r>
      <w:r w:rsidRPr="004B5C98">
        <w:rPr>
          <w:rStyle w:val="FootnoteReference"/>
          <w:rFonts w:ascii="Cambria" w:hAnsi="Cambria"/>
          <w:color w:val="000000" w:themeColor="text1"/>
        </w:rPr>
        <w:footnoteReference w:id="3"/>
      </w:r>
      <w:r w:rsidRPr="004B5C98">
        <w:rPr>
          <w:rFonts w:ascii="Cambria" w:hAnsi="Cambria"/>
          <w:color w:val="000000" w:themeColor="text1"/>
        </w:rPr>
        <w:t xml:space="preserve"> </w:t>
      </w:r>
    </w:p>
    <w:p w14:paraId="272F6C07" w14:textId="77777777" w:rsidR="007613BB" w:rsidRPr="004B5C98" w:rsidRDefault="007613BB" w:rsidP="00DA250E">
      <w:pPr>
        <w:ind w:right="-347"/>
        <w:jc w:val="both"/>
        <w:rPr>
          <w:rFonts w:ascii="Cambria" w:hAnsi="Cambria"/>
          <w:color w:val="000000" w:themeColor="text1"/>
        </w:rPr>
      </w:pPr>
    </w:p>
    <w:p w14:paraId="61501C29" w14:textId="399A8BE2" w:rsidR="007613BB" w:rsidRPr="004B5C98" w:rsidRDefault="007613BB" w:rsidP="00DA250E">
      <w:pPr>
        <w:ind w:right="-347"/>
        <w:jc w:val="both"/>
        <w:rPr>
          <w:rFonts w:ascii="Cambria" w:hAnsi="Cambria"/>
          <w:color w:val="000000" w:themeColor="text1"/>
        </w:rPr>
      </w:pPr>
      <w:r w:rsidRPr="004B5C98">
        <w:rPr>
          <w:rFonts w:ascii="Cambria" w:hAnsi="Cambria"/>
          <w:color w:val="000000" w:themeColor="text1"/>
        </w:rPr>
        <w:t xml:space="preserve">Clause 4 of the Bill will also enshrine the common law ‘eggshell skull’ test to prevent an accused </w:t>
      </w:r>
      <w:bookmarkStart w:id="0" w:name="_GoBack"/>
      <w:bookmarkEnd w:id="0"/>
      <w:r w:rsidRPr="004B5C98">
        <w:rPr>
          <w:rFonts w:ascii="Cambria" w:hAnsi="Cambria"/>
          <w:color w:val="000000" w:themeColor="text1"/>
        </w:rPr>
        <w:t>avoiding criminal responsibility on the basis that the victim had a ‘defect, weakness or abnormality’.</w:t>
      </w:r>
      <w:r w:rsidR="00C95FB8" w:rsidRPr="004B5C98">
        <w:rPr>
          <w:rFonts w:ascii="Cambria" w:hAnsi="Cambria"/>
          <w:color w:val="000000" w:themeColor="text1"/>
        </w:rPr>
        <w:t xml:space="preserve"> As Taylor and Owen JJ noted in </w:t>
      </w:r>
      <w:r w:rsidR="00C95FB8" w:rsidRPr="004B5C98">
        <w:rPr>
          <w:rFonts w:ascii="Cambria" w:hAnsi="Cambria"/>
          <w:i/>
          <w:color w:val="000000" w:themeColor="text1"/>
        </w:rPr>
        <w:t>R v Mamote-Kulang of Tamagot</w:t>
      </w:r>
      <w:r w:rsidR="00C95FB8" w:rsidRPr="004B5C98">
        <w:rPr>
          <w:rFonts w:ascii="Cambria" w:hAnsi="Cambria"/>
          <w:color w:val="000000" w:themeColor="text1"/>
        </w:rPr>
        <w:t>:</w:t>
      </w:r>
      <w:r w:rsidR="00C95FB8" w:rsidRPr="004B5C98">
        <w:rPr>
          <w:rStyle w:val="FootnoteReference"/>
          <w:rFonts w:ascii="Cambria" w:hAnsi="Cambria"/>
          <w:color w:val="000000" w:themeColor="text1"/>
        </w:rPr>
        <w:footnoteReference w:id="4"/>
      </w:r>
    </w:p>
    <w:p w14:paraId="4BA4E086" w14:textId="77777777" w:rsidR="00C95FB8" w:rsidRPr="004B5C98" w:rsidRDefault="00C95FB8" w:rsidP="00DA250E">
      <w:pPr>
        <w:ind w:right="-347"/>
        <w:jc w:val="both"/>
        <w:rPr>
          <w:rFonts w:ascii="Cambria" w:hAnsi="Cambria"/>
          <w:color w:val="000000" w:themeColor="text1"/>
        </w:rPr>
      </w:pPr>
    </w:p>
    <w:p w14:paraId="199ABAD5" w14:textId="3F55F725" w:rsidR="00C95FB8" w:rsidRPr="004B5C98" w:rsidRDefault="00C95FB8" w:rsidP="00C95FB8">
      <w:pPr>
        <w:ind w:left="426" w:right="220"/>
        <w:jc w:val="both"/>
        <w:rPr>
          <w:rFonts w:ascii="Cambria" w:hAnsi="Cambria"/>
          <w:color w:val="000000" w:themeColor="text1"/>
          <w:sz w:val="22"/>
          <w:szCs w:val="22"/>
        </w:rPr>
      </w:pPr>
      <w:r w:rsidRPr="004B5C98">
        <w:rPr>
          <w:rFonts w:ascii="Cambria" w:hAnsi="Cambria"/>
          <w:color w:val="000000" w:themeColor="text1"/>
          <w:sz w:val="22"/>
          <w:szCs w:val="22"/>
        </w:rPr>
        <w:t xml:space="preserve">If… death is the immediate and direct result of an intentional blow, the fact that the person struck has some constitutional defect, be it an enlarged spleen or an egg-shell skull, unknown to the person striking the blow and which makes the recipient of the blow more susceptible to death than would be a person in normal health does not enable the accused to assert that he is being sought to be made criminally liable for an ‘event’ occurring by accident. </w:t>
      </w:r>
    </w:p>
    <w:p w14:paraId="56F0ECF5" w14:textId="77777777" w:rsidR="00DA250E" w:rsidRPr="004B5C98" w:rsidRDefault="00DA250E" w:rsidP="002B09D6">
      <w:pPr>
        <w:ind w:right="-347"/>
        <w:jc w:val="both"/>
        <w:rPr>
          <w:rFonts w:ascii="Cambria" w:hAnsi="Cambria"/>
          <w:b/>
          <w:color w:val="000000" w:themeColor="text1"/>
        </w:rPr>
      </w:pPr>
    </w:p>
    <w:p w14:paraId="414D6EAD" w14:textId="20129D25" w:rsidR="00C95FB8" w:rsidRPr="004B5C98" w:rsidRDefault="001259F8" w:rsidP="002B09D6">
      <w:pPr>
        <w:ind w:right="-347"/>
        <w:jc w:val="both"/>
        <w:rPr>
          <w:rFonts w:ascii="Cambria" w:hAnsi="Cambria"/>
          <w:color w:val="000000" w:themeColor="text1"/>
        </w:rPr>
      </w:pPr>
      <w:r w:rsidRPr="004B5C98">
        <w:rPr>
          <w:rFonts w:ascii="Cambria" w:hAnsi="Cambria"/>
          <w:color w:val="000000" w:themeColor="text1"/>
        </w:rPr>
        <w:t>Although it may seem unfair that an accused person is found guilty of an offence for an unforeseeable outcome, there is an</w:t>
      </w:r>
      <w:r w:rsidR="00C95FB8" w:rsidRPr="004B5C98">
        <w:rPr>
          <w:rFonts w:ascii="Cambria" w:hAnsi="Cambria"/>
          <w:color w:val="000000" w:themeColor="text1"/>
        </w:rPr>
        <w:t xml:space="preserve"> important policy considerations </w:t>
      </w:r>
      <w:r w:rsidRPr="004B5C98">
        <w:rPr>
          <w:rFonts w:ascii="Cambria" w:hAnsi="Cambria"/>
          <w:color w:val="000000" w:themeColor="text1"/>
        </w:rPr>
        <w:t>warranting the enshrining of the test, namely the role of the law in setting boundaries about acceptable forms of behaviour.</w:t>
      </w:r>
      <w:r w:rsidR="00A962E2" w:rsidRPr="004B5C98">
        <w:rPr>
          <w:rStyle w:val="FootnoteReference"/>
          <w:rFonts w:ascii="Cambria" w:hAnsi="Cambria"/>
          <w:color w:val="000000" w:themeColor="text1"/>
        </w:rPr>
        <w:footnoteReference w:id="5"/>
      </w:r>
      <w:r w:rsidRPr="004B5C98">
        <w:rPr>
          <w:rFonts w:ascii="Cambria" w:hAnsi="Cambria"/>
          <w:color w:val="000000" w:themeColor="text1"/>
        </w:rPr>
        <w:t xml:space="preserve"> </w:t>
      </w:r>
    </w:p>
    <w:p w14:paraId="73BF48A5" w14:textId="77777777" w:rsidR="00DA250E" w:rsidRPr="004B5C98" w:rsidRDefault="00DA250E" w:rsidP="002B09D6">
      <w:pPr>
        <w:ind w:right="-347"/>
        <w:jc w:val="both"/>
        <w:rPr>
          <w:rFonts w:ascii="Cambria" w:hAnsi="Cambria"/>
          <w:b/>
          <w:i/>
          <w:color w:val="000000" w:themeColor="text1"/>
        </w:rPr>
      </w:pPr>
    </w:p>
    <w:p w14:paraId="072B4E4C" w14:textId="51E4AAFA" w:rsidR="00A25352" w:rsidRPr="004B5C98" w:rsidRDefault="00652AC6" w:rsidP="002B09D6">
      <w:pPr>
        <w:ind w:right="-347"/>
        <w:jc w:val="both"/>
        <w:rPr>
          <w:rFonts w:ascii="Cambria" w:hAnsi="Cambria"/>
          <w:b/>
          <w:color w:val="000000" w:themeColor="text1"/>
        </w:rPr>
      </w:pPr>
      <w:r w:rsidRPr="004B5C98">
        <w:rPr>
          <w:rFonts w:ascii="Cambria" w:hAnsi="Cambria"/>
          <w:b/>
          <w:i/>
          <w:color w:val="000000" w:themeColor="text1"/>
        </w:rPr>
        <w:t>Sentencing Act</w:t>
      </w:r>
      <w:r w:rsidRPr="004B5C98">
        <w:rPr>
          <w:rFonts w:ascii="Cambria" w:hAnsi="Cambria"/>
          <w:b/>
          <w:color w:val="000000" w:themeColor="text1"/>
        </w:rPr>
        <w:t xml:space="preserve"> Amendment</w:t>
      </w:r>
    </w:p>
    <w:p w14:paraId="41C6045B" w14:textId="6E1B3B64" w:rsidR="007C54D2" w:rsidRPr="004B5C98" w:rsidRDefault="00810812" w:rsidP="002B09D6">
      <w:pPr>
        <w:ind w:right="-347"/>
        <w:jc w:val="both"/>
        <w:rPr>
          <w:rFonts w:ascii="Cambria" w:hAnsi="Cambria"/>
          <w:color w:val="000000" w:themeColor="text1"/>
        </w:rPr>
      </w:pPr>
      <w:r w:rsidRPr="004B5C98">
        <w:rPr>
          <w:rFonts w:ascii="Cambria" w:hAnsi="Cambria"/>
          <w:color w:val="000000" w:themeColor="text1"/>
        </w:rPr>
        <w:t xml:space="preserve">The </w:t>
      </w:r>
      <w:r w:rsidR="00F14D1F" w:rsidRPr="004B5C98">
        <w:rPr>
          <w:rFonts w:ascii="Cambria" w:hAnsi="Cambria"/>
          <w:color w:val="000000" w:themeColor="text1"/>
        </w:rPr>
        <w:t xml:space="preserve">proposed amendment to the </w:t>
      </w:r>
      <w:r w:rsidR="00F14D1F" w:rsidRPr="004B5C98">
        <w:rPr>
          <w:rFonts w:ascii="Cambria" w:hAnsi="Cambria"/>
          <w:i/>
          <w:color w:val="000000" w:themeColor="text1"/>
        </w:rPr>
        <w:t xml:space="preserve">Sentencing Act 1997 </w:t>
      </w:r>
      <w:r w:rsidR="00F14D1F" w:rsidRPr="004B5C98">
        <w:rPr>
          <w:rFonts w:ascii="Cambria" w:hAnsi="Cambria"/>
          <w:color w:val="000000" w:themeColor="text1"/>
        </w:rPr>
        <w:t>(Tas)</w:t>
      </w:r>
      <w:r w:rsidRPr="004B5C98">
        <w:rPr>
          <w:rFonts w:ascii="Cambria" w:hAnsi="Cambria"/>
          <w:color w:val="000000" w:themeColor="text1"/>
        </w:rPr>
        <w:t xml:space="preserve"> </w:t>
      </w:r>
      <w:r w:rsidR="00124616" w:rsidRPr="004B5C98">
        <w:rPr>
          <w:rFonts w:ascii="Cambria" w:hAnsi="Cambria"/>
          <w:color w:val="000000" w:themeColor="text1"/>
        </w:rPr>
        <w:t>will</w:t>
      </w:r>
      <w:r w:rsidR="00F14D1F" w:rsidRPr="004B5C98">
        <w:rPr>
          <w:rFonts w:ascii="Cambria" w:hAnsi="Cambria"/>
          <w:color w:val="000000" w:themeColor="text1"/>
        </w:rPr>
        <w:t xml:space="preserve"> </w:t>
      </w:r>
      <w:r w:rsidR="00DA250E" w:rsidRPr="004B5C98">
        <w:rPr>
          <w:rFonts w:ascii="Cambria" w:hAnsi="Cambria"/>
          <w:color w:val="000000" w:themeColor="text1"/>
        </w:rPr>
        <w:t>make clear</w:t>
      </w:r>
      <w:r w:rsidR="00F14D1F" w:rsidRPr="004B5C98">
        <w:rPr>
          <w:rFonts w:ascii="Cambria" w:hAnsi="Cambria"/>
          <w:color w:val="000000" w:themeColor="text1"/>
        </w:rPr>
        <w:t xml:space="preserve"> </w:t>
      </w:r>
      <w:r w:rsidRPr="004B5C98">
        <w:rPr>
          <w:rFonts w:ascii="Cambria" w:hAnsi="Cambria"/>
          <w:color w:val="000000" w:themeColor="text1"/>
        </w:rPr>
        <w:t>that</w:t>
      </w:r>
      <w:r w:rsidR="00F14D1F" w:rsidRPr="004B5C98">
        <w:rPr>
          <w:rFonts w:ascii="Cambria" w:hAnsi="Cambria"/>
          <w:color w:val="000000" w:themeColor="text1"/>
        </w:rPr>
        <w:t xml:space="preserve"> “the</w:t>
      </w:r>
      <w:r w:rsidRPr="004B5C98">
        <w:rPr>
          <w:rFonts w:ascii="Cambria" w:hAnsi="Cambria"/>
          <w:color w:val="000000" w:themeColor="text1"/>
        </w:rPr>
        <w:t xml:space="preserve"> </w:t>
      </w:r>
      <w:r w:rsidR="00F14D1F" w:rsidRPr="004B5C98">
        <w:rPr>
          <w:rFonts w:ascii="Cambria" w:hAnsi="Cambria"/>
          <w:color w:val="000000" w:themeColor="text1"/>
        </w:rPr>
        <w:t xml:space="preserve">self-induced intoxication of the offender at the time the offence was committed is not to be taken into account as </w:t>
      </w:r>
      <w:r w:rsidRPr="004B5C98">
        <w:rPr>
          <w:rFonts w:ascii="Cambria" w:hAnsi="Cambria"/>
          <w:color w:val="000000" w:themeColor="text1"/>
        </w:rPr>
        <w:t>a mitigating factor</w:t>
      </w:r>
      <w:r w:rsidR="00F14D1F" w:rsidRPr="004B5C98">
        <w:rPr>
          <w:rFonts w:ascii="Cambria" w:hAnsi="Cambria"/>
          <w:color w:val="000000" w:themeColor="text1"/>
        </w:rPr>
        <w:t>”</w:t>
      </w:r>
      <w:r w:rsidRPr="004B5C98">
        <w:rPr>
          <w:rFonts w:ascii="Cambria" w:hAnsi="Cambria"/>
          <w:color w:val="000000" w:themeColor="text1"/>
        </w:rPr>
        <w:t>.</w:t>
      </w:r>
      <w:r w:rsidR="004E6606" w:rsidRPr="004B5C98">
        <w:rPr>
          <w:rStyle w:val="FootnoteReference"/>
          <w:rFonts w:ascii="Cambria" w:hAnsi="Cambria"/>
          <w:color w:val="000000" w:themeColor="text1"/>
        </w:rPr>
        <w:footnoteReference w:id="6"/>
      </w:r>
      <w:r w:rsidRPr="004B5C98">
        <w:rPr>
          <w:rFonts w:ascii="Cambria" w:hAnsi="Cambria"/>
          <w:color w:val="000000" w:themeColor="text1"/>
        </w:rPr>
        <w:t xml:space="preserve"> </w:t>
      </w:r>
      <w:r w:rsidR="007C54D2" w:rsidRPr="004B5C98">
        <w:rPr>
          <w:rFonts w:ascii="Cambria" w:hAnsi="Cambria"/>
          <w:color w:val="000000" w:themeColor="text1"/>
        </w:rPr>
        <w:t xml:space="preserve">As a general rule, this is already the position at common law with </w:t>
      </w:r>
      <w:r w:rsidR="00124616" w:rsidRPr="004B5C98">
        <w:rPr>
          <w:rFonts w:ascii="Cambria" w:hAnsi="Cambria"/>
          <w:color w:val="000000" w:themeColor="text1"/>
        </w:rPr>
        <w:t xml:space="preserve">the textbook </w:t>
      </w:r>
      <w:r w:rsidR="007C54D2" w:rsidRPr="004B5C98">
        <w:rPr>
          <w:rFonts w:ascii="Cambria" w:hAnsi="Cambria"/>
          <w:i/>
          <w:color w:val="000000" w:themeColor="text1"/>
        </w:rPr>
        <w:t xml:space="preserve">Sentencing in Tasmania </w:t>
      </w:r>
      <w:r w:rsidR="001E61CE" w:rsidRPr="004B5C98">
        <w:rPr>
          <w:rFonts w:ascii="Cambria" w:hAnsi="Cambria"/>
          <w:color w:val="000000" w:themeColor="text1"/>
        </w:rPr>
        <w:t>observing that “the degree of intoxication is aggravating”</w:t>
      </w:r>
      <w:r w:rsidR="00124616" w:rsidRPr="004B5C98">
        <w:rPr>
          <w:rFonts w:ascii="Cambria" w:hAnsi="Cambria"/>
          <w:color w:val="000000" w:themeColor="text1"/>
        </w:rPr>
        <w:t xml:space="preserve"> and “the assertion that an offender is addicted to drugs is not regarded with much sympathy”.</w:t>
      </w:r>
      <w:r w:rsidR="00124616" w:rsidRPr="004B5C98">
        <w:rPr>
          <w:rStyle w:val="FootnoteReference"/>
          <w:rFonts w:ascii="Cambria" w:hAnsi="Cambria"/>
          <w:color w:val="000000" w:themeColor="text1"/>
        </w:rPr>
        <w:footnoteReference w:id="7"/>
      </w:r>
      <w:r w:rsidR="00124616" w:rsidRPr="004B5C98">
        <w:rPr>
          <w:rFonts w:ascii="Cambria" w:hAnsi="Cambria"/>
          <w:color w:val="000000" w:themeColor="text1"/>
        </w:rPr>
        <w:t xml:space="preserve"> </w:t>
      </w:r>
    </w:p>
    <w:p w14:paraId="5F164ECA" w14:textId="77777777" w:rsidR="005338C3" w:rsidRPr="004B5C98" w:rsidRDefault="005338C3" w:rsidP="002B09D6">
      <w:pPr>
        <w:ind w:right="-347"/>
        <w:jc w:val="both"/>
        <w:rPr>
          <w:rFonts w:ascii="Cambria" w:hAnsi="Cambria"/>
          <w:color w:val="000000" w:themeColor="text1"/>
        </w:rPr>
      </w:pPr>
    </w:p>
    <w:p w14:paraId="75D98FE5" w14:textId="32210149" w:rsidR="005338C3" w:rsidRPr="004B5C98" w:rsidRDefault="003F5FF5" w:rsidP="002B09D6">
      <w:pPr>
        <w:ind w:right="-347"/>
        <w:jc w:val="both"/>
        <w:rPr>
          <w:rFonts w:ascii="Cambria" w:hAnsi="Cambria" w:cs="Arial"/>
        </w:rPr>
      </w:pPr>
      <w:r w:rsidRPr="004B5C98">
        <w:rPr>
          <w:rFonts w:ascii="Cambria" w:hAnsi="Cambria"/>
          <w:color w:val="000000" w:themeColor="text1"/>
        </w:rPr>
        <w:t>Whilst it is acknowledged that one of the aims of the criminal justice system is to punish those who have committed criminal offences</w:t>
      </w:r>
      <w:r w:rsidR="00094A5E" w:rsidRPr="004B5C98">
        <w:rPr>
          <w:rFonts w:ascii="Cambria" w:hAnsi="Cambria"/>
          <w:color w:val="000000" w:themeColor="text1"/>
        </w:rPr>
        <w:t>,</w:t>
      </w:r>
      <w:r w:rsidRPr="004B5C98">
        <w:rPr>
          <w:rFonts w:ascii="Cambria" w:hAnsi="Cambria"/>
          <w:color w:val="000000" w:themeColor="text1"/>
        </w:rPr>
        <w:t xml:space="preserve"> it is equally as important –if </w:t>
      </w:r>
      <w:r w:rsidR="00094A5E" w:rsidRPr="004B5C98">
        <w:rPr>
          <w:rFonts w:ascii="Cambria" w:hAnsi="Cambria"/>
          <w:color w:val="000000" w:themeColor="text1"/>
        </w:rPr>
        <w:t>not more important–</w:t>
      </w:r>
      <w:r w:rsidRPr="004B5C98">
        <w:rPr>
          <w:rFonts w:ascii="Cambria" w:hAnsi="Cambria"/>
          <w:color w:val="000000" w:themeColor="text1"/>
        </w:rPr>
        <w:t xml:space="preserve"> to provide rehabilitation and treatment services so that the cause of the offending is addressed. </w:t>
      </w:r>
      <w:r w:rsidR="005338C3" w:rsidRPr="004B5C98">
        <w:rPr>
          <w:rFonts w:ascii="Cambria" w:hAnsi="Cambria"/>
          <w:color w:val="000000" w:themeColor="text1"/>
        </w:rPr>
        <w:t xml:space="preserve">Whilst the government has taken steps to improve </w:t>
      </w:r>
      <w:r w:rsidRPr="004B5C98">
        <w:rPr>
          <w:rFonts w:ascii="Cambria" w:hAnsi="Cambria"/>
          <w:color w:val="000000" w:themeColor="text1"/>
        </w:rPr>
        <w:t>treatment services for</w:t>
      </w:r>
      <w:r w:rsidR="005338C3" w:rsidRPr="004B5C98">
        <w:rPr>
          <w:rFonts w:ascii="Cambria" w:hAnsi="Cambria"/>
          <w:color w:val="000000" w:themeColor="text1"/>
        </w:rPr>
        <w:t xml:space="preserve"> offenders who abuse alcohol and oth</w:t>
      </w:r>
      <w:r w:rsidR="005E01D7" w:rsidRPr="004B5C98">
        <w:rPr>
          <w:rFonts w:ascii="Cambria" w:hAnsi="Cambria"/>
          <w:color w:val="000000" w:themeColor="text1"/>
        </w:rPr>
        <w:t xml:space="preserve">er drugs, more needs to be done, particularly when it is recognised </w:t>
      </w:r>
      <w:r w:rsidR="005E01D7" w:rsidRPr="004B5C98">
        <w:rPr>
          <w:rFonts w:ascii="Cambria" w:hAnsi="Cambria" w:cs="Arial"/>
        </w:rPr>
        <w:t xml:space="preserve">that </w:t>
      </w:r>
      <w:r w:rsidR="00A962E2" w:rsidRPr="004B5C98">
        <w:rPr>
          <w:rFonts w:ascii="Cambria" w:hAnsi="Cambria" w:cs="Arial"/>
        </w:rPr>
        <w:t xml:space="preserve">of offenders sentenced to a custodial sentence </w:t>
      </w:r>
      <w:r w:rsidR="005E01D7" w:rsidRPr="004B5C98">
        <w:rPr>
          <w:rFonts w:ascii="Cambria" w:hAnsi="Cambria" w:cs="Arial"/>
        </w:rPr>
        <w:t xml:space="preserve">in Tasmania 85 per cent had a history of alcohol abuse and almost 75 per cent </w:t>
      </w:r>
      <w:r w:rsidR="00A962E2" w:rsidRPr="004B5C98">
        <w:rPr>
          <w:rFonts w:ascii="Cambria" w:hAnsi="Cambria" w:cs="Arial"/>
        </w:rPr>
        <w:t>had a history of problematic drug use.</w:t>
      </w:r>
      <w:r w:rsidR="00A962E2" w:rsidRPr="004B5C98">
        <w:rPr>
          <w:rStyle w:val="FootnoteReference"/>
          <w:rFonts w:ascii="Cambria" w:hAnsi="Cambria" w:cs="Arial"/>
        </w:rPr>
        <w:footnoteReference w:id="8"/>
      </w:r>
      <w:r w:rsidR="00A962E2" w:rsidRPr="004B5C98">
        <w:rPr>
          <w:rFonts w:ascii="Cambria" w:hAnsi="Cambria" w:cs="Arial"/>
        </w:rPr>
        <w:t xml:space="preserve"> </w:t>
      </w:r>
    </w:p>
    <w:p w14:paraId="4D1C2613" w14:textId="77777777" w:rsidR="00A25352" w:rsidRPr="004B5C98" w:rsidRDefault="00A25352" w:rsidP="002B09D6">
      <w:pPr>
        <w:ind w:right="-347"/>
        <w:jc w:val="both"/>
        <w:rPr>
          <w:rFonts w:ascii="Cambria" w:hAnsi="Cambria"/>
          <w:color w:val="000000" w:themeColor="text1"/>
        </w:rPr>
      </w:pPr>
    </w:p>
    <w:p w14:paraId="20C03A0C" w14:textId="5D4F7D45" w:rsidR="004B5C98" w:rsidRPr="004B5C98" w:rsidRDefault="001259F8" w:rsidP="004B5C98">
      <w:pPr>
        <w:ind w:right="-347"/>
        <w:jc w:val="both"/>
        <w:rPr>
          <w:rFonts w:ascii="Cambria" w:eastAsia="Times New Roman" w:hAnsi="Cambria"/>
          <w:bCs/>
          <w:color w:val="000000" w:themeColor="text1"/>
        </w:rPr>
      </w:pPr>
      <w:r w:rsidRPr="004B5C98">
        <w:rPr>
          <w:rFonts w:ascii="Cambria" w:eastAsia="Times New Roman" w:hAnsi="Cambria"/>
          <w:bCs/>
          <w:color w:val="000000" w:themeColor="text1"/>
        </w:rPr>
        <w:t>In summary, we</w:t>
      </w:r>
      <w:r w:rsidR="002B09D6" w:rsidRPr="004B5C98">
        <w:rPr>
          <w:rFonts w:ascii="Cambria" w:eastAsia="Times New Roman" w:hAnsi="Cambria"/>
          <w:bCs/>
          <w:color w:val="000000" w:themeColor="text1"/>
        </w:rPr>
        <w:t xml:space="preserve"> support </w:t>
      </w:r>
      <w:r w:rsidR="004B5C98" w:rsidRPr="004B5C98">
        <w:rPr>
          <w:rFonts w:ascii="Cambria" w:hAnsi="Cambria"/>
        </w:rPr>
        <w:t>the three proposed amendments contained in the Bill</w:t>
      </w:r>
      <w:r w:rsidR="004B5C98" w:rsidRPr="004B5C98">
        <w:rPr>
          <w:rFonts w:ascii="Cambria" w:hAnsi="Cambria"/>
          <w:color w:val="000000" w:themeColor="text1"/>
        </w:rPr>
        <w:t xml:space="preserve"> which will enshrine common law principles in </w:t>
      </w:r>
      <w:r w:rsidR="004B5C98">
        <w:rPr>
          <w:rFonts w:ascii="Cambria" w:hAnsi="Cambria"/>
          <w:color w:val="000000" w:themeColor="text1"/>
        </w:rPr>
        <w:t xml:space="preserve">Statute and </w:t>
      </w:r>
      <w:r w:rsidR="004B5C98" w:rsidRPr="004B5C98">
        <w:rPr>
          <w:rFonts w:ascii="Cambria" w:hAnsi="Cambria"/>
          <w:color w:val="000000" w:themeColor="text1"/>
        </w:rPr>
        <w:t xml:space="preserve">assist in ensuring that our laws are </w:t>
      </w:r>
      <w:r w:rsidR="004B5C98">
        <w:rPr>
          <w:rFonts w:ascii="Cambria" w:hAnsi="Cambria"/>
          <w:color w:val="000000" w:themeColor="text1"/>
        </w:rPr>
        <w:t xml:space="preserve">more </w:t>
      </w:r>
      <w:r w:rsidR="004B5C98" w:rsidRPr="004B5C98">
        <w:rPr>
          <w:rFonts w:ascii="Cambria" w:hAnsi="Cambria"/>
          <w:color w:val="000000" w:themeColor="text1"/>
        </w:rPr>
        <w:t xml:space="preserve">accessible, certain and predictable.   </w:t>
      </w:r>
    </w:p>
    <w:p w14:paraId="4B94A664" w14:textId="77777777" w:rsidR="004B5C98" w:rsidRPr="004B5C98" w:rsidRDefault="004B5C98" w:rsidP="002B09D6">
      <w:pPr>
        <w:ind w:right="-347"/>
        <w:jc w:val="both"/>
        <w:rPr>
          <w:rFonts w:ascii="Cambria" w:eastAsia="Times New Roman" w:hAnsi="Cambria"/>
          <w:bCs/>
          <w:color w:val="000000" w:themeColor="text1"/>
        </w:rPr>
      </w:pPr>
    </w:p>
    <w:p w14:paraId="192AA4D4" w14:textId="77777777" w:rsidR="002B09D6" w:rsidRPr="004B5C98" w:rsidRDefault="002B09D6" w:rsidP="002B09D6">
      <w:pPr>
        <w:ind w:right="-347"/>
        <w:jc w:val="both"/>
        <w:rPr>
          <w:rFonts w:ascii="Cambria" w:eastAsia="Times New Roman" w:hAnsi="Cambria"/>
          <w:bCs/>
          <w:color w:val="000000" w:themeColor="text1"/>
        </w:rPr>
      </w:pPr>
    </w:p>
    <w:p w14:paraId="14022944" w14:textId="77777777" w:rsidR="002B09D6" w:rsidRPr="004B5C98" w:rsidRDefault="002B09D6" w:rsidP="002B09D6">
      <w:pPr>
        <w:ind w:right="-347"/>
        <w:jc w:val="both"/>
        <w:rPr>
          <w:rFonts w:ascii="Cambria" w:hAnsi="Cambria" w:cs="Arial"/>
          <w:color w:val="000000" w:themeColor="text1"/>
        </w:rPr>
      </w:pPr>
      <w:r w:rsidRPr="004B5C98">
        <w:rPr>
          <w:rFonts w:ascii="Cambria" w:eastAsia="Times New Roman" w:hAnsi="Cambria"/>
          <w:bCs/>
          <w:color w:val="000000" w:themeColor="text1"/>
        </w:rPr>
        <w:t>If we can be of any further assistance, please do not hesitate to contact us.</w:t>
      </w:r>
    </w:p>
    <w:p w14:paraId="31F5DDC9" w14:textId="77777777" w:rsidR="002B09D6" w:rsidRPr="004B5C98" w:rsidRDefault="002B09D6" w:rsidP="002B09D6">
      <w:pPr>
        <w:shd w:val="clear" w:color="auto" w:fill="FFFFFF"/>
        <w:ind w:right="-347"/>
        <w:jc w:val="both"/>
        <w:rPr>
          <w:rFonts w:ascii="Cambria" w:eastAsia="Times New Roman" w:hAnsi="Cambria"/>
          <w:bCs/>
          <w:color w:val="000000" w:themeColor="text1"/>
        </w:rPr>
      </w:pPr>
    </w:p>
    <w:p w14:paraId="404A37D2" w14:textId="77777777" w:rsidR="002B09D6" w:rsidRPr="004B5C98" w:rsidRDefault="002B09D6" w:rsidP="002B09D6">
      <w:pPr>
        <w:shd w:val="clear" w:color="auto" w:fill="FFFFFF"/>
        <w:ind w:right="-347"/>
        <w:jc w:val="both"/>
        <w:rPr>
          <w:rFonts w:ascii="Cambria" w:eastAsia="Times New Roman" w:hAnsi="Cambria"/>
          <w:bCs/>
          <w:color w:val="000000" w:themeColor="text1"/>
        </w:rPr>
      </w:pPr>
    </w:p>
    <w:p w14:paraId="7A4C37EC" w14:textId="77777777" w:rsidR="002B09D6" w:rsidRPr="004B5C98" w:rsidRDefault="002B09D6" w:rsidP="002B09D6">
      <w:pPr>
        <w:shd w:val="clear" w:color="auto" w:fill="FFFFFF"/>
        <w:ind w:right="-347"/>
        <w:jc w:val="both"/>
        <w:rPr>
          <w:rFonts w:ascii="Cambria" w:eastAsia="Times New Roman" w:hAnsi="Cambria"/>
          <w:bCs/>
          <w:color w:val="000000" w:themeColor="text1"/>
        </w:rPr>
      </w:pPr>
      <w:r w:rsidRPr="004B5C98">
        <w:rPr>
          <w:rFonts w:ascii="Cambria" w:eastAsia="Times New Roman" w:hAnsi="Cambria"/>
          <w:bCs/>
          <w:color w:val="000000" w:themeColor="text1"/>
        </w:rPr>
        <w:t>Yours faithfully,</w:t>
      </w:r>
    </w:p>
    <w:p w14:paraId="590A4142" w14:textId="77777777" w:rsidR="002B09D6" w:rsidRPr="004B5C98" w:rsidRDefault="002B09D6" w:rsidP="002B09D6">
      <w:pPr>
        <w:shd w:val="clear" w:color="auto" w:fill="FFFFFF"/>
        <w:ind w:right="-347"/>
        <w:jc w:val="both"/>
        <w:rPr>
          <w:rFonts w:ascii="Cambria" w:eastAsia="Times New Roman" w:hAnsi="Cambria"/>
          <w:bCs/>
          <w:color w:val="000000" w:themeColor="text1"/>
        </w:rPr>
      </w:pPr>
    </w:p>
    <w:p w14:paraId="797669CC" w14:textId="77777777" w:rsidR="002B09D6" w:rsidRPr="004B5C98" w:rsidRDefault="002B09D6" w:rsidP="002B09D6">
      <w:pPr>
        <w:shd w:val="clear" w:color="auto" w:fill="FFFFFF"/>
        <w:ind w:right="-347"/>
        <w:jc w:val="both"/>
        <w:rPr>
          <w:rFonts w:ascii="Cambria" w:eastAsia="Times New Roman" w:hAnsi="Cambria"/>
          <w:bCs/>
          <w:color w:val="000000" w:themeColor="text1"/>
        </w:rPr>
      </w:pPr>
    </w:p>
    <w:p w14:paraId="4EC5BBBB" w14:textId="77777777" w:rsidR="002B09D6" w:rsidRPr="004B5C98" w:rsidRDefault="002B09D6" w:rsidP="002B09D6">
      <w:pPr>
        <w:shd w:val="clear" w:color="auto" w:fill="FFFFFF"/>
        <w:ind w:right="-347"/>
        <w:jc w:val="both"/>
        <w:rPr>
          <w:rFonts w:ascii="Cambria" w:eastAsia="Times New Roman" w:hAnsi="Cambria"/>
          <w:bCs/>
          <w:color w:val="000000" w:themeColor="text1"/>
        </w:rPr>
      </w:pPr>
    </w:p>
    <w:p w14:paraId="12BFE242" w14:textId="77777777" w:rsidR="002B09D6" w:rsidRPr="004B5C98" w:rsidRDefault="002B09D6" w:rsidP="002B09D6">
      <w:pPr>
        <w:shd w:val="clear" w:color="auto" w:fill="FFFFFF"/>
        <w:ind w:right="-347"/>
        <w:jc w:val="both"/>
        <w:rPr>
          <w:rFonts w:ascii="Cambria" w:eastAsia="Times New Roman" w:hAnsi="Cambria"/>
          <w:bCs/>
          <w:color w:val="000000" w:themeColor="text1"/>
        </w:rPr>
      </w:pPr>
      <w:r w:rsidRPr="004B5C98">
        <w:rPr>
          <w:rFonts w:ascii="Cambria" w:eastAsia="Times New Roman" w:hAnsi="Cambria"/>
          <w:bCs/>
          <w:color w:val="000000" w:themeColor="text1"/>
        </w:rPr>
        <w:t>Benedict Bartl</w:t>
      </w:r>
    </w:p>
    <w:p w14:paraId="6657B1FA" w14:textId="77777777" w:rsidR="002B09D6" w:rsidRPr="004B5C98" w:rsidRDefault="002B09D6" w:rsidP="002B09D6">
      <w:pPr>
        <w:shd w:val="clear" w:color="auto" w:fill="FFFFFF"/>
        <w:ind w:right="-347"/>
        <w:jc w:val="both"/>
        <w:rPr>
          <w:rFonts w:ascii="Cambria" w:eastAsia="Times New Roman" w:hAnsi="Cambria"/>
          <w:bCs/>
          <w:color w:val="000000" w:themeColor="text1"/>
        </w:rPr>
      </w:pPr>
      <w:r w:rsidRPr="004B5C98">
        <w:rPr>
          <w:rFonts w:ascii="Cambria" w:eastAsia="Times New Roman" w:hAnsi="Cambria"/>
          <w:bCs/>
          <w:color w:val="000000" w:themeColor="text1"/>
        </w:rPr>
        <w:t>Policy Officer</w:t>
      </w:r>
    </w:p>
    <w:p w14:paraId="4D539FE8" w14:textId="77777777" w:rsidR="002B09D6" w:rsidRPr="004B5C98" w:rsidRDefault="002B09D6" w:rsidP="002B09D6">
      <w:pPr>
        <w:pBdr>
          <w:bottom w:val="single" w:sz="6" w:space="1" w:color="auto"/>
        </w:pBdr>
        <w:shd w:val="clear" w:color="auto" w:fill="FFFFFF"/>
        <w:ind w:right="-347"/>
        <w:jc w:val="both"/>
        <w:rPr>
          <w:rFonts w:ascii="Cambria" w:eastAsia="Times New Roman" w:hAnsi="Cambria"/>
          <w:b/>
          <w:bCs/>
          <w:color w:val="000000" w:themeColor="text1"/>
        </w:rPr>
      </w:pPr>
      <w:r w:rsidRPr="004B5C98">
        <w:rPr>
          <w:rFonts w:ascii="Cambria" w:eastAsia="Times New Roman" w:hAnsi="Cambria"/>
          <w:b/>
          <w:bCs/>
          <w:color w:val="000000" w:themeColor="text1"/>
        </w:rPr>
        <w:t>Community Legal Centres Tasmania</w:t>
      </w:r>
    </w:p>
    <w:p w14:paraId="1C2A6A30" w14:textId="77777777" w:rsidR="002B09D6" w:rsidRPr="004B5C98" w:rsidRDefault="002B09D6" w:rsidP="002B09D6">
      <w:pPr>
        <w:rPr>
          <w:rFonts w:ascii="Cambria" w:hAnsi="Cambria"/>
        </w:rPr>
      </w:pPr>
    </w:p>
    <w:sectPr w:rsidR="002B09D6" w:rsidRPr="004B5C98" w:rsidSect="00810812">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4A97C" w14:textId="77777777" w:rsidR="00161C96" w:rsidRDefault="00161C96" w:rsidP="002B09D6">
      <w:r>
        <w:separator/>
      </w:r>
    </w:p>
  </w:endnote>
  <w:endnote w:type="continuationSeparator" w:id="0">
    <w:p w14:paraId="79DFC7BD" w14:textId="77777777" w:rsidR="00161C96" w:rsidRDefault="00161C96" w:rsidP="002B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39B6C" w14:textId="77777777" w:rsidR="001259F8" w:rsidRDefault="001259F8" w:rsidP="008108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E81A9" w14:textId="77777777" w:rsidR="001259F8" w:rsidRDefault="001259F8" w:rsidP="008108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0BDA" w14:textId="77777777" w:rsidR="001259F8" w:rsidRDefault="001259F8" w:rsidP="008108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C96">
      <w:rPr>
        <w:rStyle w:val="PageNumber"/>
        <w:noProof/>
      </w:rPr>
      <w:t>1</w:t>
    </w:r>
    <w:r>
      <w:rPr>
        <w:rStyle w:val="PageNumber"/>
      </w:rPr>
      <w:fldChar w:fldCharType="end"/>
    </w:r>
  </w:p>
  <w:p w14:paraId="721B8049" w14:textId="77777777" w:rsidR="001259F8" w:rsidRDefault="001259F8" w:rsidP="008108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30961" w14:textId="77777777" w:rsidR="00161C96" w:rsidRDefault="00161C96" w:rsidP="002B09D6">
      <w:r>
        <w:separator/>
      </w:r>
    </w:p>
  </w:footnote>
  <w:footnote w:type="continuationSeparator" w:id="0">
    <w:p w14:paraId="0FC8AC74" w14:textId="77777777" w:rsidR="00161C96" w:rsidRDefault="00161C96" w:rsidP="002B09D6">
      <w:r>
        <w:continuationSeparator/>
      </w:r>
    </w:p>
  </w:footnote>
  <w:footnote w:id="1">
    <w:p w14:paraId="0AB6D53F" w14:textId="42487C01" w:rsidR="001259F8" w:rsidRPr="004B5C98" w:rsidRDefault="001259F8" w:rsidP="00DA250E">
      <w:pPr>
        <w:pStyle w:val="FootnoteText"/>
        <w:rPr>
          <w:rFonts w:ascii="Cambria" w:hAnsi="Cambria"/>
          <w:lang w:val="en-US"/>
        </w:rPr>
      </w:pPr>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lang w:val="en-US"/>
        </w:rPr>
        <w:t xml:space="preserve">(1973) 133 CLR 209 at 231. Also see </w:t>
      </w:r>
      <w:r w:rsidRPr="004B5C98">
        <w:rPr>
          <w:rFonts w:ascii="Cambria" w:hAnsi="Cambria"/>
          <w:i/>
          <w:sz w:val="20"/>
          <w:szCs w:val="20"/>
          <w:lang w:val="en-US"/>
        </w:rPr>
        <w:t>R v Van den Bemd</w:t>
      </w:r>
      <w:r w:rsidRPr="004B5C98">
        <w:rPr>
          <w:rFonts w:ascii="Cambria" w:hAnsi="Cambria"/>
          <w:sz w:val="20"/>
          <w:szCs w:val="20"/>
          <w:lang w:val="en-US"/>
        </w:rPr>
        <w:t xml:space="preserve"> [1995] 1 Qd R 401; </w:t>
      </w:r>
      <w:r w:rsidRPr="004B5C98">
        <w:rPr>
          <w:rFonts w:ascii="Cambria" w:hAnsi="Cambria"/>
          <w:i/>
          <w:sz w:val="20"/>
          <w:szCs w:val="20"/>
          <w:lang w:val="en-US"/>
        </w:rPr>
        <w:t>Vallance v R</w:t>
      </w:r>
      <w:r w:rsidRPr="004B5C98">
        <w:rPr>
          <w:rFonts w:ascii="Cambria" w:hAnsi="Cambria"/>
          <w:sz w:val="20"/>
          <w:szCs w:val="20"/>
          <w:lang w:val="en-US"/>
        </w:rPr>
        <w:t xml:space="preserve"> (1961) 108 CLR 56. </w:t>
      </w:r>
      <w:r w:rsidRPr="004B5C98">
        <w:rPr>
          <w:rFonts w:ascii="Cambria" w:hAnsi="Cambria"/>
          <w:lang w:val="en-US"/>
        </w:rPr>
        <w:t xml:space="preserve"> </w:t>
      </w:r>
    </w:p>
  </w:footnote>
  <w:footnote w:id="2">
    <w:p w14:paraId="231F93E7" w14:textId="77777777" w:rsidR="001259F8" w:rsidRPr="004B5C98" w:rsidRDefault="001259F8" w:rsidP="00DA250E">
      <w:pPr>
        <w:pStyle w:val="FootnoteText"/>
        <w:rPr>
          <w:rFonts w:ascii="Cambria" w:hAnsi="Cambria"/>
          <w:lang w:val="en-US"/>
        </w:rPr>
      </w:pPr>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lang w:val="en-US"/>
        </w:rPr>
        <w:t xml:space="preserve">John Blackwood, Humpty Dumpty Was Pushed Off the Wall Humpty Dumpy Died From the Fall – An Accidental Death or Manslaughter in Tasmania? (1996) 15 </w:t>
      </w:r>
      <w:r w:rsidRPr="004B5C98">
        <w:rPr>
          <w:rFonts w:ascii="Cambria" w:hAnsi="Cambria"/>
          <w:i/>
          <w:sz w:val="20"/>
          <w:szCs w:val="20"/>
          <w:lang w:val="en-US"/>
        </w:rPr>
        <w:t>University of Tasmania Law Review</w:t>
      </w:r>
      <w:r w:rsidRPr="004B5C98">
        <w:rPr>
          <w:rFonts w:ascii="Cambria" w:hAnsi="Cambria"/>
          <w:sz w:val="20"/>
          <w:szCs w:val="20"/>
          <w:lang w:val="en-US"/>
        </w:rPr>
        <w:t xml:space="preserve"> 306 at 307.</w:t>
      </w:r>
      <w:r w:rsidRPr="004B5C98">
        <w:rPr>
          <w:rFonts w:ascii="Cambria" w:hAnsi="Cambria"/>
          <w:lang w:val="en-US"/>
        </w:rPr>
        <w:t xml:space="preserve"> </w:t>
      </w:r>
    </w:p>
  </w:footnote>
  <w:footnote w:id="3">
    <w:p w14:paraId="0D79B95F" w14:textId="57751062" w:rsidR="001259F8" w:rsidRPr="004B5C98" w:rsidRDefault="001259F8" w:rsidP="00DA250E">
      <w:pPr>
        <w:pStyle w:val="FootnoteText"/>
        <w:rPr>
          <w:rFonts w:ascii="Cambria" w:hAnsi="Cambria"/>
          <w:lang w:val="en-US"/>
        </w:rPr>
      </w:pPr>
      <w:r w:rsidRPr="004B5C98">
        <w:rPr>
          <w:rStyle w:val="FootnoteReference"/>
          <w:rFonts w:ascii="Cambria" w:hAnsi="Cambria"/>
        </w:rPr>
        <w:footnoteRef/>
      </w:r>
      <w:r w:rsidRPr="004B5C98">
        <w:rPr>
          <w:rFonts w:ascii="Cambria" w:hAnsi="Cambria"/>
        </w:rPr>
        <w:t xml:space="preserve"> </w:t>
      </w:r>
      <w:r w:rsidR="00A65C68" w:rsidRPr="004B5C98">
        <w:rPr>
          <w:rFonts w:ascii="Cambria" w:hAnsi="Cambria"/>
          <w:sz w:val="20"/>
          <w:szCs w:val="20"/>
          <w:lang w:val="en-US"/>
        </w:rPr>
        <w:t>Ibid.</w:t>
      </w:r>
      <w:r w:rsidRPr="004B5C98">
        <w:rPr>
          <w:rFonts w:ascii="Cambria" w:hAnsi="Cambria"/>
          <w:sz w:val="20"/>
          <w:szCs w:val="20"/>
          <w:lang w:val="en-US"/>
        </w:rPr>
        <w:t xml:space="preserve"> </w:t>
      </w:r>
      <w:r w:rsidRPr="004B5C98">
        <w:rPr>
          <w:rFonts w:ascii="Cambria" w:hAnsi="Cambria"/>
          <w:sz w:val="20"/>
          <w:szCs w:val="20"/>
        </w:rPr>
        <w:t>at 323.</w:t>
      </w:r>
    </w:p>
  </w:footnote>
  <w:footnote w:id="4">
    <w:p w14:paraId="43D18CD2" w14:textId="7AEA3B52" w:rsidR="001259F8" w:rsidRPr="004B5C98" w:rsidRDefault="001259F8">
      <w:pPr>
        <w:pStyle w:val="FootnoteText"/>
        <w:rPr>
          <w:rFonts w:ascii="Cambria" w:hAnsi="Cambria"/>
          <w:lang w:val="en-US"/>
        </w:rPr>
      </w:pPr>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lang w:val="en-US"/>
        </w:rPr>
        <w:t xml:space="preserve">(1964) 111 CLR 62 at 70. </w:t>
      </w:r>
    </w:p>
  </w:footnote>
  <w:footnote w:id="5">
    <w:p w14:paraId="05236418" w14:textId="6FC42220" w:rsidR="00A962E2" w:rsidRPr="004B5C98" w:rsidRDefault="00A962E2">
      <w:pPr>
        <w:pStyle w:val="FootnoteText"/>
        <w:rPr>
          <w:rFonts w:ascii="Cambria" w:hAnsi="Cambria"/>
        </w:rPr>
      </w:pPr>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rPr>
        <w:t xml:space="preserve">See, for example, Jennifer Porter, The Implications of Uncertainty in the Law of Criminal causation for the One-Punch Homicide Offence in Western Australia (2015) 27(1) </w:t>
      </w:r>
      <w:r w:rsidRPr="004B5C98">
        <w:rPr>
          <w:rFonts w:ascii="Cambria" w:hAnsi="Cambria"/>
          <w:i/>
          <w:sz w:val="20"/>
          <w:szCs w:val="20"/>
        </w:rPr>
        <w:t>Bond law Review</w:t>
      </w:r>
      <w:r w:rsidRPr="004B5C98">
        <w:rPr>
          <w:rFonts w:ascii="Cambria" w:hAnsi="Cambria"/>
          <w:sz w:val="20"/>
          <w:szCs w:val="20"/>
        </w:rPr>
        <w:t xml:space="preserve"> 5 at 21.</w:t>
      </w:r>
      <w:r w:rsidRPr="004B5C98">
        <w:rPr>
          <w:rFonts w:ascii="Cambria" w:hAnsi="Cambria"/>
        </w:rPr>
        <w:t xml:space="preserve">  </w:t>
      </w:r>
    </w:p>
  </w:footnote>
  <w:footnote w:id="6">
    <w:p w14:paraId="37C01D90" w14:textId="17FB15F6" w:rsidR="001259F8" w:rsidRPr="004B5C98" w:rsidRDefault="001259F8">
      <w:pPr>
        <w:pStyle w:val="FootnoteText"/>
        <w:rPr>
          <w:rFonts w:ascii="Cambria" w:hAnsi="Cambria"/>
          <w:lang w:val="en-US"/>
        </w:rPr>
      </w:pPr>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lang w:val="en-US"/>
        </w:rPr>
        <w:t xml:space="preserve">Clause 6 of the </w:t>
      </w:r>
      <w:r w:rsidRPr="004B5C98">
        <w:rPr>
          <w:rFonts w:ascii="Cambria" w:hAnsi="Cambria"/>
          <w:i/>
          <w:color w:val="000000" w:themeColor="text1"/>
          <w:sz w:val="20"/>
          <w:szCs w:val="20"/>
        </w:rPr>
        <w:t>Justice Legislation Amendments (Criminal Responsibility) Bill 2019</w:t>
      </w:r>
      <w:r w:rsidRPr="004B5C98">
        <w:rPr>
          <w:rFonts w:ascii="Cambria" w:hAnsi="Cambria"/>
          <w:color w:val="000000" w:themeColor="text1"/>
          <w:sz w:val="20"/>
          <w:szCs w:val="20"/>
        </w:rPr>
        <w:t>.</w:t>
      </w:r>
      <w:r w:rsidRPr="004B5C98">
        <w:rPr>
          <w:rFonts w:ascii="Cambria" w:hAnsi="Cambria"/>
          <w:lang w:val="en-US"/>
        </w:rPr>
        <w:t xml:space="preserve"> </w:t>
      </w:r>
    </w:p>
  </w:footnote>
  <w:footnote w:id="7">
    <w:p w14:paraId="0979A44D" w14:textId="77777777" w:rsidR="001259F8" w:rsidRPr="004B5C98" w:rsidRDefault="001259F8" w:rsidP="00124616">
      <w:pPr>
        <w:pStyle w:val="FootnoteText"/>
        <w:rPr>
          <w:rFonts w:ascii="Cambria" w:hAnsi="Cambria"/>
          <w:lang w:val="en-US"/>
        </w:rPr>
      </w:pPr>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lang w:val="en-US"/>
        </w:rPr>
        <w:t xml:space="preserve">Kate Warner, </w:t>
      </w:r>
      <w:r w:rsidRPr="004B5C98">
        <w:rPr>
          <w:rFonts w:ascii="Cambria" w:hAnsi="Cambria"/>
          <w:i/>
          <w:sz w:val="20"/>
          <w:szCs w:val="20"/>
          <w:lang w:val="en-US"/>
        </w:rPr>
        <w:t>Sentencing in Tasmania</w:t>
      </w:r>
      <w:r w:rsidRPr="004B5C98">
        <w:rPr>
          <w:rFonts w:ascii="Cambria" w:hAnsi="Cambria"/>
          <w:sz w:val="20"/>
          <w:szCs w:val="20"/>
          <w:lang w:val="en-US"/>
        </w:rPr>
        <w:t xml:space="preserve"> (2</w:t>
      </w:r>
      <w:r w:rsidRPr="004B5C98">
        <w:rPr>
          <w:rFonts w:ascii="Cambria" w:hAnsi="Cambria"/>
          <w:sz w:val="20"/>
          <w:szCs w:val="20"/>
          <w:vertAlign w:val="superscript"/>
          <w:lang w:val="en-US"/>
        </w:rPr>
        <w:t>nd</w:t>
      </w:r>
      <w:r w:rsidRPr="004B5C98">
        <w:rPr>
          <w:rFonts w:ascii="Cambria" w:hAnsi="Cambria"/>
          <w:sz w:val="20"/>
          <w:szCs w:val="20"/>
          <w:lang w:val="en-US"/>
        </w:rPr>
        <w:t xml:space="preserve"> Edition, Federation Press: 2002) at 101-103.</w:t>
      </w:r>
      <w:r w:rsidRPr="004B5C98">
        <w:rPr>
          <w:rFonts w:ascii="Cambria" w:hAnsi="Cambria"/>
          <w:lang w:val="en-US"/>
        </w:rPr>
        <w:t xml:space="preserve"> </w:t>
      </w:r>
    </w:p>
  </w:footnote>
  <w:footnote w:id="8">
    <w:p w14:paraId="6A98B181" w14:textId="055AD443" w:rsidR="00A962E2" w:rsidRDefault="00A962E2" w:rsidP="00A962E2">
      <w:r w:rsidRPr="004B5C98">
        <w:rPr>
          <w:rStyle w:val="FootnoteReference"/>
          <w:rFonts w:ascii="Cambria" w:hAnsi="Cambria"/>
        </w:rPr>
        <w:footnoteRef/>
      </w:r>
      <w:r w:rsidRPr="004B5C98">
        <w:rPr>
          <w:rFonts w:ascii="Cambria" w:hAnsi="Cambria"/>
        </w:rPr>
        <w:t xml:space="preserve"> </w:t>
      </w:r>
      <w:r w:rsidRPr="004B5C98">
        <w:rPr>
          <w:rFonts w:ascii="Cambria" w:hAnsi="Cambria"/>
          <w:sz w:val="20"/>
          <w:szCs w:val="20"/>
        </w:rPr>
        <w:t xml:space="preserve">As found in Tasmanian Law Reform Institute, </w:t>
      </w:r>
      <w:r w:rsidRPr="004B5C98">
        <w:rPr>
          <w:rFonts w:ascii="Cambria" w:hAnsi="Cambria"/>
          <w:i/>
          <w:sz w:val="20"/>
          <w:szCs w:val="20"/>
        </w:rPr>
        <w:t>Responding to the Problem of Recidivist Drink Drivers</w:t>
      </w:r>
      <w:r w:rsidRPr="004B5C98">
        <w:rPr>
          <w:rFonts w:ascii="Cambria" w:hAnsi="Cambria"/>
          <w:sz w:val="20"/>
          <w:szCs w:val="20"/>
        </w:rPr>
        <w:t xml:space="preserve"> (Issues Paper No 23) at 12.</w:t>
      </w:r>
      <w:r w:rsidRPr="004B5C98">
        <w:rPr>
          <w:rFonts w:ascii="Cambria" w:hAnsi="Cambria"/>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90430"/>
    <w:multiLevelType w:val="hybridMultilevel"/>
    <w:tmpl w:val="CDFA7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D6"/>
    <w:rsid w:val="00094A5E"/>
    <w:rsid w:val="000F0482"/>
    <w:rsid w:val="00124616"/>
    <w:rsid w:val="001259F8"/>
    <w:rsid w:val="00161C96"/>
    <w:rsid w:val="00165789"/>
    <w:rsid w:val="001C0563"/>
    <w:rsid w:val="001D108C"/>
    <w:rsid w:val="001E61CE"/>
    <w:rsid w:val="00216295"/>
    <w:rsid w:val="00291FF3"/>
    <w:rsid w:val="00293474"/>
    <w:rsid w:val="002B09D6"/>
    <w:rsid w:val="003F5FF5"/>
    <w:rsid w:val="0048754A"/>
    <w:rsid w:val="004B5C98"/>
    <w:rsid w:val="004C14B8"/>
    <w:rsid w:val="004C6DAD"/>
    <w:rsid w:val="004E6606"/>
    <w:rsid w:val="005338C3"/>
    <w:rsid w:val="005741AC"/>
    <w:rsid w:val="00593087"/>
    <w:rsid w:val="005E01D7"/>
    <w:rsid w:val="00652AC6"/>
    <w:rsid w:val="006C7716"/>
    <w:rsid w:val="0071056D"/>
    <w:rsid w:val="007613BB"/>
    <w:rsid w:val="00785846"/>
    <w:rsid w:val="007C54D2"/>
    <w:rsid w:val="00810812"/>
    <w:rsid w:val="00921BE3"/>
    <w:rsid w:val="00931798"/>
    <w:rsid w:val="009E0A33"/>
    <w:rsid w:val="00A25352"/>
    <w:rsid w:val="00A65C68"/>
    <w:rsid w:val="00A962E2"/>
    <w:rsid w:val="00B62680"/>
    <w:rsid w:val="00C261B0"/>
    <w:rsid w:val="00C95FB8"/>
    <w:rsid w:val="00CE422B"/>
    <w:rsid w:val="00DA0DD8"/>
    <w:rsid w:val="00DA250E"/>
    <w:rsid w:val="00E1413F"/>
    <w:rsid w:val="00E179D3"/>
    <w:rsid w:val="00F14D1F"/>
    <w:rsid w:val="00FB04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928DD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E3"/>
    <w:rPr>
      <w:rFonts w:ascii="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2B09D6"/>
  </w:style>
  <w:style w:type="character" w:customStyle="1" w:styleId="FootnoteTextChar">
    <w:name w:val="Footnote Text Char"/>
    <w:aliases w:val="Footnote Char,Text Char"/>
    <w:basedOn w:val="DefaultParagraphFont"/>
    <w:link w:val="FootnoteText"/>
    <w:rsid w:val="002B09D6"/>
    <w:rPr>
      <w:rFonts w:ascii="Times New Roman" w:hAnsi="Times New Roman" w:cs="Times New Roman"/>
      <w:lang w:eastAsia="en-AU"/>
    </w:rPr>
  </w:style>
  <w:style w:type="character" w:styleId="FootnoteReference">
    <w:name w:val="footnote reference"/>
    <w:basedOn w:val="DefaultParagraphFont"/>
    <w:unhideWhenUsed/>
    <w:rsid w:val="002B09D6"/>
    <w:rPr>
      <w:vertAlign w:val="superscript"/>
    </w:rPr>
  </w:style>
  <w:style w:type="paragraph" w:styleId="Footer">
    <w:name w:val="footer"/>
    <w:basedOn w:val="Normal"/>
    <w:link w:val="FooterChar"/>
    <w:uiPriority w:val="99"/>
    <w:unhideWhenUsed/>
    <w:rsid w:val="002B09D6"/>
    <w:pPr>
      <w:tabs>
        <w:tab w:val="center" w:pos="4513"/>
        <w:tab w:val="right" w:pos="9026"/>
      </w:tabs>
    </w:pPr>
  </w:style>
  <w:style w:type="character" w:customStyle="1" w:styleId="FooterChar">
    <w:name w:val="Footer Char"/>
    <w:basedOn w:val="DefaultParagraphFont"/>
    <w:link w:val="Footer"/>
    <w:uiPriority w:val="99"/>
    <w:rsid w:val="002B09D6"/>
    <w:rPr>
      <w:rFonts w:ascii="Times New Roman" w:hAnsi="Times New Roman" w:cs="Times New Roman"/>
      <w:lang w:eastAsia="en-AU"/>
    </w:rPr>
  </w:style>
  <w:style w:type="character" w:styleId="PageNumber">
    <w:name w:val="page number"/>
    <w:basedOn w:val="DefaultParagraphFont"/>
    <w:uiPriority w:val="99"/>
    <w:semiHidden/>
    <w:unhideWhenUsed/>
    <w:rsid w:val="002B09D6"/>
  </w:style>
  <w:style w:type="character" w:styleId="Hyperlink">
    <w:name w:val="Hyperlink"/>
    <w:basedOn w:val="DefaultParagraphFont"/>
    <w:uiPriority w:val="99"/>
    <w:unhideWhenUsed/>
    <w:rsid w:val="002B09D6"/>
    <w:rPr>
      <w:color w:val="0563C1" w:themeColor="hyperlink"/>
      <w:u w:val="single"/>
    </w:rPr>
  </w:style>
  <w:style w:type="paragraph" w:styleId="NoSpacing">
    <w:name w:val="No Spacing"/>
    <w:uiPriority w:val="1"/>
    <w:qFormat/>
    <w:rsid w:val="002B09D6"/>
    <w:rPr>
      <w:rFonts w:ascii="Times New Roman" w:hAnsi="Times New Roman" w:cs="Times New Roman"/>
      <w:lang w:eastAsia="en-AU"/>
    </w:rPr>
  </w:style>
  <w:style w:type="paragraph" w:styleId="ListParagraph">
    <w:name w:val="List Paragraph"/>
    <w:basedOn w:val="Normal"/>
    <w:uiPriority w:val="34"/>
    <w:qFormat/>
    <w:rsid w:val="002B09D6"/>
    <w:pPr>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A25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352"/>
    <w:rPr>
      <w:rFonts w:ascii="Lucida Grande" w:hAnsi="Lucida Grande" w:cs="Lucida Grande"/>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24551">
      <w:bodyDiv w:val="1"/>
      <w:marLeft w:val="0"/>
      <w:marRight w:val="0"/>
      <w:marTop w:val="0"/>
      <w:marBottom w:val="0"/>
      <w:divBdr>
        <w:top w:val="none" w:sz="0" w:space="0" w:color="auto"/>
        <w:left w:val="none" w:sz="0" w:space="0" w:color="auto"/>
        <w:bottom w:val="none" w:sz="0" w:space="0" w:color="auto"/>
        <w:right w:val="none" w:sz="0" w:space="0" w:color="auto"/>
      </w:divBdr>
    </w:div>
    <w:div w:id="1497574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haveyoursay@justice.tas.gov.a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3904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2019-11-04T08:51:00Z</cp:lastPrinted>
  <dcterms:created xsi:type="dcterms:W3CDTF">2019-11-04T08:54:00Z</dcterms:created>
  <dcterms:modified xsi:type="dcterms:W3CDTF">2019-11-04T08:54:00Z</dcterms:modified>
</cp:coreProperties>
</file>