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CAD90" w14:textId="18A0DF9D" w:rsidR="000D29B3" w:rsidRDefault="000D29B3" w:rsidP="00235A62">
      <w:pPr>
        <w:ind w:right="-347"/>
        <w:jc w:val="center"/>
      </w:pPr>
      <w:r>
        <w:rPr>
          <w:noProof/>
          <w:sz w:val="20"/>
          <w:szCs w:val="20"/>
        </w:rPr>
        <w:drawing>
          <wp:inline distT="0" distB="0" distL="0" distR="0" wp14:anchorId="3FD3BAC2" wp14:editId="38B0879C">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0EDB25A9" w14:textId="77777777" w:rsidR="000D29B3" w:rsidRPr="000842D0" w:rsidRDefault="000D29B3" w:rsidP="000D29B3">
      <w:pPr>
        <w:ind w:right="-347"/>
        <w:rPr>
          <w:rFonts w:ascii="Cambria" w:hAnsi="Cambria"/>
        </w:rPr>
      </w:pPr>
    </w:p>
    <w:p w14:paraId="08408EA7" w14:textId="77777777" w:rsidR="000D29B3" w:rsidRPr="000842D0" w:rsidRDefault="000D29B3" w:rsidP="000D29B3">
      <w:pPr>
        <w:ind w:right="-347"/>
        <w:rPr>
          <w:rFonts w:ascii="Cambria" w:hAnsi="Cambria"/>
          <w:color w:val="000000" w:themeColor="text1"/>
        </w:rPr>
      </w:pPr>
    </w:p>
    <w:p w14:paraId="2FAD505F" w14:textId="77777777" w:rsidR="000D29B3" w:rsidRPr="000842D0" w:rsidRDefault="000D29B3" w:rsidP="000D29B3">
      <w:pPr>
        <w:ind w:right="-347"/>
        <w:rPr>
          <w:rFonts w:ascii="Cambria" w:hAnsi="Cambria"/>
          <w:color w:val="000000" w:themeColor="text1"/>
        </w:rPr>
      </w:pPr>
    </w:p>
    <w:p w14:paraId="26F10CBA" w14:textId="6EDD2F05" w:rsidR="000D29B3" w:rsidRPr="000842D0" w:rsidRDefault="007B3F4F" w:rsidP="000D29B3">
      <w:pPr>
        <w:ind w:right="-347"/>
        <w:rPr>
          <w:rFonts w:ascii="Cambria" w:hAnsi="Cambria"/>
          <w:color w:val="000000" w:themeColor="text1"/>
        </w:rPr>
      </w:pPr>
      <w:r w:rsidRPr="000842D0">
        <w:rPr>
          <w:rFonts w:ascii="Cambria" w:hAnsi="Cambria"/>
          <w:color w:val="000000" w:themeColor="text1"/>
        </w:rPr>
        <w:t>11</w:t>
      </w:r>
      <w:r w:rsidR="000D29B3" w:rsidRPr="000842D0">
        <w:rPr>
          <w:rFonts w:ascii="Cambria" w:hAnsi="Cambria"/>
          <w:color w:val="000000" w:themeColor="text1"/>
        </w:rPr>
        <w:t xml:space="preserve"> October 2019</w:t>
      </w:r>
      <w:bookmarkStart w:id="0" w:name="_GoBack"/>
      <w:bookmarkEnd w:id="0"/>
    </w:p>
    <w:p w14:paraId="0882089A" w14:textId="77777777" w:rsidR="000D29B3" w:rsidRPr="000842D0" w:rsidRDefault="000D29B3" w:rsidP="000D29B3">
      <w:pPr>
        <w:ind w:right="-347"/>
        <w:rPr>
          <w:rFonts w:ascii="Cambria" w:hAnsi="Cambria"/>
          <w:color w:val="000000" w:themeColor="text1"/>
        </w:rPr>
      </w:pPr>
    </w:p>
    <w:p w14:paraId="7F90A4ED" w14:textId="77777777" w:rsidR="000D29B3" w:rsidRPr="000842D0" w:rsidRDefault="000D29B3" w:rsidP="000D29B3">
      <w:pPr>
        <w:ind w:right="-347"/>
        <w:rPr>
          <w:rFonts w:ascii="Cambria" w:hAnsi="Cambria"/>
          <w:color w:val="000000" w:themeColor="text1"/>
        </w:rPr>
      </w:pPr>
      <w:r w:rsidRPr="000842D0">
        <w:rPr>
          <w:rFonts w:ascii="Cambria" w:hAnsi="Cambria"/>
          <w:color w:val="000000" w:themeColor="text1"/>
        </w:rPr>
        <w:t>Tasmania Law Reform Institute</w:t>
      </w:r>
    </w:p>
    <w:p w14:paraId="6B142602" w14:textId="77777777" w:rsidR="000D29B3" w:rsidRPr="000842D0" w:rsidRDefault="000D29B3" w:rsidP="000D29B3">
      <w:pPr>
        <w:ind w:right="-347"/>
        <w:rPr>
          <w:rFonts w:ascii="Cambria" w:hAnsi="Cambria"/>
          <w:color w:val="000000" w:themeColor="text1"/>
        </w:rPr>
      </w:pPr>
      <w:r w:rsidRPr="000842D0">
        <w:rPr>
          <w:rFonts w:ascii="Cambria" w:hAnsi="Cambria"/>
          <w:color w:val="000000" w:themeColor="text1"/>
        </w:rPr>
        <w:t>Private Bag 89</w:t>
      </w:r>
    </w:p>
    <w:p w14:paraId="7F031C20" w14:textId="77777777" w:rsidR="000D29B3" w:rsidRPr="000842D0" w:rsidRDefault="000D29B3" w:rsidP="000D29B3">
      <w:pPr>
        <w:ind w:right="-347"/>
        <w:rPr>
          <w:rFonts w:ascii="Cambria" w:hAnsi="Cambria"/>
          <w:color w:val="000000" w:themeColor="text1"/>
        </w:rPr>
      </w:pPr>
      <w:r w:rsidRPr="000842D0">
        <w:rPr>
          <w:rFonts w:ascii="Cambria" w:hAnsi="Cambria"/>
          <w:color w:val="000000" w:themeColor="text1"/>
        </w:rPr>
        <w:t>HOBART TAS 7001</w:t>
      </w:r>
    </w:p>
    <w:p w14:paraId="355AEC24" w14:textId="77777777" w:rsidR="000D29B3" w:rsidRPr="000842D0" w:rsidRDefault="000D29B3" w:rsidP="000D29B3">
      <w:pPr>
        <w:ind w:right="-347"/>
        <w:rPr>
          <w:rFonts w:ascii="Cambria" w:hAnsi="Cambria"/>
          <w:color w:val="000000" w:themeColor="text1"/>
        </w:rPr>
      </w:pPr>
      <w:proofErr w:type="spellStart"/>
      <w:r w:rsidRPr="000842D0">
        <w:rPr>
          <w:rFonts w:ascii="Cambria" w:hAnsi="Cambria"/>
          <w:color w:val="000000" w:themeColor="text1"/>
        </w:rPr>
        <w:t>attn:</w:t>
      </w:r>
      <w:proofErr w:type="spellEnd"/>
      <w:r w:rsidRPr="000842D0">
        <w:rPr>
          <w:rFonts w:ascii="Cambria" w:hAnsi="Cambria"/>
          <w:color w:val="000000" w:themeColor="text1"/>
        </w:rPr>
        <w:t xml:space="preserve"> Jemma Holt</w:t>
      </w:r>
    </w:p>
    <w:p w14:paraId="7C21E5EF" w14:textId="77777777" w:rsidR="000D29B3" w:rsidRPr="000842D0" w:rsidRDefault="000D29B3" w:rsidP="000D29B3">
      <w:pPr>
        <w:ind w:right="-347"/>
        <w:rPr>
          <w:rFonts w:ascii="Cambria" w:hAnsi="Cambria"/>
          <w:color w:val="000000" w:themeColor="text1"/>
        </w:rPr>
      </w:pPr>
    </w:p>
    <w:p w14:paraId="3B7EFF41" w14:textId="77777777" w:rsidR="000D29B3" w:rsidRPr="000842D0" w:rsidRDefault="000D29B3" w:rsidP="000D29B3">
      <w:pPr>
        <w:ind w:right="-347"/>
        <w:rPr>
          <w:rFonts w:ascii="Cambria" w:hAnsi="Cambria"/>
          <w:color w:val="000000" w:themeColor="text1"/>
        </w:rPr>
      </w:pPr>
      <w:r w:rsidRPr="000842D0">
        <w:rPr>
          <w:rFonts w:ascii="Cambria" w:hAnsi="Cambria"/>
          <w:color w:val="000000" w:themeColor="text1"/>
        </w:rPr>
        <w:t xml:space="preserve">via email: </w:t>
      </w:r>
      <w:hyperlink r:id="rId8" w:history="1">
        <w:r w:rsidRPr="000842D0">
          <w:rPr>
            <w:rStyle w:val="Hyperlink"/>
            <w:rFonts w:ascii="Cambria" w:hAnsi="Cambria"/>
          </w:rPr>
          <w:t>law.reform@utas.edu.au</w:t>
        </w:r>
      </w:hyperlink>
      <w:r w:rsidRPr="000842D0">
        <w:rPr>
          <w:rFonts w:ascii="Cambria" w:hAnsi="Cambria"/>
          <w:color w:val="000000" w:themeColor="text1"/>
        </w:rPr>
        <w:t xml:space="preserve">  </w:t>
      </w:r>
    </w:p>
    <w:p w14:paraId="12133D27" w14:textId="77777777" w:rsidR="000D29B3" w:rsidRPr="000842D0" w:rsidRDefault="000D29B3" w:rsidP="000D29B3">
      <w:pPr>
        <w:ind w:right="-347"/>
        <w:rPr>
          <w:rFonts w:ascii="Cambria" w:hAnsi="Cambria"/>
          <w:color w:val="000000" w:themeColor="text1"/>
        </w:rPr>
      </w:pPr>
      <w:r w:rsidRPr="000842D0">
        <w:rPr>
          <w:rFonts w:ascii="Cambria" w:hAnsi="Cambria"/>
          <w:color w:val="000000" w:themeColor="text1"/>
        </w:rPr>
        <w:t> </w:t>
      </w:r>
    </w:p>
    <w:p w14:paraId="071DC129" w14:textId="77777777" w:rsidR="000D29B3" w:rsidRPr="000842D0" w:rsidRDefault="000D29B3" w:rsidP="000D29B3">
      <w:pPr>
        <w:ind w:right="-347"/>
        <w:rPr>
          <w:rFonts w:ascii="Cambria" w:hAnsi="Cambria"/>
          <w:color w:val="000000" w:themeColor="text1"/>
        </w:rPr>
      </w:pPr>
      <w:r w:rsidRPr="000842D0">
        <w:rPr>
          <w:rFonts w:ascii="Cambria" w:hAnsi="Cambria"/>
          <w:color w:val="000000" w:themeColor="text1"/>
        </w:rPr>
        <w:t xml:space="preserve">Dear Jemma, </w:t>
      </w:r>
    </w:p>
    <w:p w14:paraId="1B87FA05" w14:textId="77777777" w:rsidR="000D29B3" w:rsidRPr="000842D0" w:rsidRDefault="000D29B3" w:rsidP="000D29B3">
      <w:pPr>
        <w:pBdr>
          <w:bottom w:val="single" w:sz="6" w:space="1" w:color="auto"/>
        </w:pBdr>
        <w:ind w:right="-347"/>
        <w:rPr>
          <w:rFonts w:ascii="Cambria" w:hAnsi="Cambria"/>
          <w:b/>
          <w:bCs/>
          <w:color w:val="000000" w:themeColor="text1"/>
        </w:rPr>
      </w:pPr>
      <w:r w:rsidRPr="000842D0">
        <w:rPr>
          <w:rFonts w:ascii="Cambria" w:hAnsi="Cambria"/>
          <w:b/>
          <w:bCs/>
          <w:color w:val="000000" w:themeColor="text1"/>
        </w:rPr>
        <w:t xml:space="preserve">Re: </w:t>
      </w:r>
      <w:r w:rsidRPr="000842D0">
        <w:rPr>
          <w:rFonts w:ascii="Cambria" w:hAnsi="Cambria"/>
          <w:b/>
          <w:i/>
          <w:color w:val="000000" w:themeColor="text1"/>
        </w:rPr>
        <w:t>Jurors, Social Media and the Right of an Accused to a Fair Trial Issues Paper</w:t>
      </w:r>
    </w:p>
    <w:p w14:paraId="4A8F472A" w14:textId="77777777" w:rsidR="000D29B3" w:rsidRPr="000842D0" w:rsidRDefault="000D29B3" w:rsidP="000D29B3">
      <w:pPr>
        <w:ind w:right="-347"/>
        <w:jc w:val="both"/>
        <w:rPr>
          <w:rFonts w:ascii="Cambria" w:hAnsi="Cambria" w:cs="Arial"/>
          <w:color w:val="000000" w:themeColor="text1"/>
        </w:rPr>
      </w:pPr>
    </w:p>
    <w:p w14:paraId="75A9FCAF" w14:textId="5EDE3B89" w:rsidR="000D29B3" w:rsidRPr="000842D0" w:rsidRDefault="000D29B3" w:rsidP="000D29B3">
      <w:pPr>
        <w:ind w:right="-347"/>
        <w:jc w:val="both"/>
        <w:rPr>
          <w:rFonts w:ascii="Cambria" w:hAnsi="Cambria"/>
          <w:color w:val="000000" w:themeColor="text1"/>
        </w:rPr>
      </w:pPr>
      <w:r w:rsidRPr="000842D0">
        <w:rPr>
          <w:rFonts w:ascii="Cambria" w:hAnsi="Cambria" w:cs="Calibri"/>
          <w:color w:val="000000" w:themeColor="text1"/>
        </w:rPr>
        <w:t xml:space="preserve">Community Legal </w:t>
      </w:r>
      <w:proofErr w:type="spellStart"/>
      <w:r w:rsidRPr="000842D0">
        <w:rPr>
          <w:rFonts w:ascii="Cambria" w:hAnsi="Cambria" w:cs="Calibri"/>
          <w:color w:val="000000" w:themeColor="text1"/>
        </w:rPr>
        <w:t>Centres</w:t>
      </w:r>
      <w:proofErr w:type="spellEnd"/>
      <w:r w:rsidRPr="000842D0">
        <w:rPr>
          <w:rFonts w:ascii="Cambria" w:hAnsi="Cambria" w:cs="Calibri"/>
          <w:color w:val="000000" w:themeColor="text1"/>
        </w:rPr>
        <w:t xml:space="preserve"> Tasmania (CLC </w:t>
      </w:r>
      <w:proofErr w:type="spellStart"/>
      <w:r w:rsidRPr="000842D0">
        <w:rPr>
          <w:rFonts w:ascii="Cambria" w:hAnsi="Cambria" w:cs="Calibri"/>
          <w:color w:val="000000" w:themeColor="text1"/>
        </w:rPr>
        <w:t>Tas</w:t>
      </w:r>
      <w:proofErr w:type="spellEnd"/>
      <w:r w:rsidRPr="000842D0">
        <w:rPr>
          <w:rFonts w:ascii="Cambria" w:hAnsi="Cambria" w:cs="Calibri"/>
          <w:color w:val="000000" w:themeColor="text1"/>
        </w:rPr>
        <w:t>)</w:t>
      </w:r>
      <w:r w:rsidRPr="000842D0">
        <w:rPr>
          <w:rFonts w:ascii="Cambria" w:hAnsi="Cambria"/>
          <w:color w:val="000000" w:themeColor="text1"/>
        </w:rPr>
        <w:t xml:space="preserve"> welcomes the opportunity to </w:t>
      </w:r>
      <w:r w:rsidR="007B3F4F" w:rsidRPr="000842D0">
        <w:rPr>
          <w:rFonts w:ascii="Cambria" w:hAnsi="Cambria"/>
          <w:color w:val="000000" w:themeColor="text1"/>
        </w:rPr>
        <w:t>respond to</w:t>
      </w:r>
      <w:r w:rsidRPr="000842D0">
        <w:rPr>
          <w:rFonts w:ascii="Cambria" w:hAnsi="Cambria"/>
          <w:color w:val="000000" w:themeColor="text1"/>
        </w:rPr>
        <w:t xml:space="preserve"> the Tasmania Law Reform Institute’s </w:t>
      </w:r>
      <w:r w:rsidRPr="000842D0">
        <w:rPr>
          <w:rFonts w:ascii="Cambria" w:hAnsi="Cambria"/>
          <w:i/>
          <w:color w:val="000000" w:themeColor="text1"/>
        </w:rPr>
        <w:t xml:space="preserve">Jurors, Social Media and the Right of an Accused to a Fair Trial </w:t>
      </w:r>
      <w:r w:rsidRPr="000842D0">
        <w:rPr>
          <w:rFonts w:ascii="Cambria" w:hAnsi="Cambria"/>
          <w:color w:val="000000" w:themeColor="text1"/>
        </w:rPr>
        <w:t>Issues Paper (‘the Issues Paper’).</w:t>
      </w:r>
    </w:p>
    <w:p w14:paraId="154FAB08" w14:textId="77777777" w:rsidR="000D29B3" w:rsidRPr="000842D0" w:rsidRDefault="000D29B3" w:rsidP="000D29B3">
      <w:pPr>
        <w:ind w:right="-347"/>
        <w:jc w:val="both"/>
        <w:rPr>
          <w:rFonts w:ascii="Cambria" w:hAnsi="Cambria"/>
          <w:color w:val="000000" w:themeColor="text1"/>
        </w:rPr>
      </w:pPr>
    </w:p>
    <w:p w14:paraId="7E485BBF" w14:textId="77777777" w:rsidR="007B3F4F" w:rsidRPr="000842D0" w:rsidRDefault="000D29B3" w:rsidP="00B06928">
      <w:pPr>
        <w:ind w:right="-347"/>
        <w:jc w:val="both"/>
        <w:rPr>
          <w:rFonts w:ascii="Cambria" w:hAnsi="Cambria" w:cs="Arial"/>
          <w:color w:val="000000" w:themeColor="text1"/>
        </w:rPr>
      </w:pPr>
      <w:r w:rsidRPr="000842D0">
        <w:rPr>
          <w:rFonts w:ascii="Cambria" w:eastAsia="Times New Roman" w:hAnsi="Cambria" w:cs="Arial"/>
          <w:color w:val="000000" w:themeColor="text1"/>
        </w:rPr>
        <w:t xml:space="preserve">CLC </w:t>
      </w:r>
      <w:proofErr w:type="spellStart"/>
      <w:r w:rsidRPr="000842D0">
        <w:rPr>
          <w:rFonts w:ascii="Cambria" w:eastAsia="Times New Roman" w:hAnsi="Cambria" w:cs="Arial"/>
          <w:color w:val="000000" w:themeColor="text1"/>
        </w:rPr>
        <w:t>Tas</w:t>
      </w:r>
      <w:proofErr w:type="spellEnd"/>
      <w:r w:rsidRPr="000842D0">
        <w:rPr>
          <w:rFonts w:ascii="Cambria" w:eastAsia="Times New Roman" w:hAnsi="Cambria" w:cs="Arial"/>
          <w:color w:val="000000" w:themeColor="text1"/>
        </w:rPr>
        <w:t xml:space="preserve"> </w:t>
      </w:r>
      <w:r w:rsidRPr="000842D0">
        <w:rPr>
          <w:rFonts w:ascii="Cambria" w:hAnsi="Cambria" w:cs="Arial"/>
          <w:color w:val="000000" w:themeColor="text1"/>
        </w:rPr>
        <w:t xml:space="preserve">is the peak body representing the interests of nine </w:t>
      </w:r>
      <w:proofErr w:type="gramStart"/>
      <w:r w:rsidRPr="000842D0">
        <w:rPr>
          <w:rFonts w:ascii="Cambria" w:hAnsi="Cambria" w:cs="Arial"/>
          <w:color w:val="000000" w:themeColor="text1"/>
        </w:rPr>
        <w:t>community</w:t>
      </w:r>
      <w:proofErr w:type="gramEnd"/>
      <w:r w:rsidRPr="000842D0">
        <w:rPr>
          <w:rFonts w:ascii="Cambria" w:hAnsi="Cambria" w:cs="Arial"/>
          <w:color w:val="000000" w:themeColor="text1"/>
        </w:rPr>
        <w:t xml:space="preserve"> legal </w:t>
      </w:r>
      <w:proofErr w:type="spellStart"/>
      <w:r w:rsidRPr="000842D0">
        <w:rPr>
          <w:rFonts w:ascii="Cambria" w:hAnsi="Cambria" w:cs="Arial"/>
          <w:color w:val="000000" w:themeColor="text1"/>
        </w:rPr>
        <w:t>centres</w:t>
      </w:r>
      <w:proofErr w:type="spellEnd"/>
      <w:r w:rsidRPr="000842D0">
        <w:rPr>
          <w:rFonts w:ascii="Cambria" w:hAnsi="Cambria" w:cs="Arial"/>
          <w:color w:val="000000" w:themeColor="text1"/>
        </w:rPr>
        <w:t xml:space="preserve"> (CLCs) located throughout Tasmania. We are a member-based, independent, not-for-profit and incorporated </w:t>
      </w:r>
      <w:proofErr w:type="spellStart"/>
      <w:r w:rsidRPr="000842D0">
        <w:rPr>
          <w:rFonts w:ascii="Cambria" w:hAnsi="Cambria" w:cs="Arial"/>
          <w:color w:val="000000" w:themeColor="text1"/>
        </w:rPr>
        <w:t>organisation</w:t>
      </w:r>
      <w:proofErr w:type="spellEnd"/>
      <w:r w:rsidRPr="000842D0">
        <w:rPr>
          <w:rFonts w:ascii="Cambria" w:hAnsi="Cambria" w:cs="Arial"/>
          <w:color w:val="000000" w:themeColor="text1"/>
        </w:rPr>
        <w:t xml:space="preserve"> that advocates for law reform on a range of public interest matters aimed at improving access to justice, reducing discrimination and protect</w:t>
      </w:r>
      <w:r w:rsidR="00651DB9" w:rsidRPr="000842D0">
        <w:rPr>
          <w:rFonts w:ascii="Cambria" w:hAnsi="Cambria" w:cs="Arial"/>
          <w:color w:val="000000" w:themeColor="text1"/>
        </w:rPr>
        <w:t xml:space="preserve">ing and promoting human rights. </w:t>
      </w:r>
    </w:p>
    <w:p w14:paraId="1B0928FE" w14:textId="77777777" w:rsidR="007B3F4F" w:rsidRPr="000842D0" w:rsidRDefault="007B3F4F" w:rsidP="00B06928">
      <w:pPr>
        <w:ind w:right="-347"/>
        <w:jc w:val="both"/>
        <w:rPr>
          <w:rFonts w:ascii="Cambria" w:hAnsi="Cambria" w:cs="Arial"/>
          <w:color w:val="000000" w:themeColor="text1"/>
        </w:rPr>
      </w:pPr>
    </w:p>
    <w:p w14:paraId="5F07C132" w14:textId="478B7BAC" w:rsidR="00B25C42" w:rsidRPr="000842D0" w:rsidRDefault="00B25C42" w:rsidP="00B06928">
      <w:pPr>
        <w:ind w:right="-347"/>
        <w:jc w:val="both"/>
        <w:rPr>
          <w:rFonts w:ascii="Cambria" w:hAnsi="Cambria"/>
          <w:b/>
          <w:i/>
          <w:color w:val="000000" w:themeColor="text1"/>
        </w:rPr>
      </w:pPr>
      <w:r w:rsidRPr="000842D0">
        <w:rPr>
          <w:rFonts w:ascii="Cambria" w:hAnsi="Cambria"/>
          <w:b/>
          <w:i/>
          <w:color w:val="000000" w:themeColor="text1"/>
        </w:rPr>
        <w:t>Internet and social media</w:t>
      </w:r>
    </w:p>
    <w:p w14:paraId="6B918A36" w14:textId="1B83F407" w:rsidR="007B3F4F" w:rsidRPr="000842D0" w:rsidRDefault="00651DB9" w:rsidP="00B06928">
      <w:pPr>
        <w:ind w:right="-347"/>
        <w:jc w:val="both"/>
        <w:rPr>
          <w:rFonts w:ascii="Cambria" w:hAnsi="Cambria" w:cs="Arial"/>
          <w:color w:val="000000" w:themeColor="text1"/>
        </w:rPr>
      </w:pPr>
      <w:r w:rsidRPr="000842D0">
        <w:rPr>
          <w:rFonts w:ascii="Cambria" w:hAnsi="Cambria"/>
          <w:color w:val="000000" w:themeColor="text1"/>
        </w:rPr>
        <w:t xml:space="preserve">We strongly </w:t>
      </w:r>
      <w:r w:rsidR="00E80A1B" w:rsidRPr="000842D0">
        <w:rPr>
          <w:rFonts w:ascii="Cambria" w:hAnsi="Cambria"/>
          <w:color w:val="000000" w:themeColor="text1"/>
        </w:rPr>
        <w:t xml:space="preserve">support the right of an accused </w:t>
      </w:r>
      <w:r w:rsidR="00B15F43" w:rsidRPr="000842D0">
        <w:rPr>
          <w:rFonts w:ascii="Cambria" w:hAnsi="Cambria"/>
          <w:color w:val="000000" w:themeColor="text1"/>
        </w:rPr>
        <w:t>to a trial before an impartial jury that makes its determinat</w:t>
      </w:r>
      <w:r w:rsidR="00E80A1B" w:rsidRPr="000842D0">
        <w:rPr>
          <w:rFonts w:ascii="Cambria" w:hAnsi="Cambria"/>
          <w:color w:val="000000" w:themeColor="text1"/>
        </w:rPr>
        <w:t xml:space="preserve">ion in accordance with evidence </w:t>
      </w:r>
      <w:r w:rsidR="00B15F43" w:rsidRPr="000842D0">
        <w:rPr>
          <w:rFonts w:ascii="Cambria" w:hAnsi="Cambria"/>
          <w:color w:val="000000" w:themeColor="text1"/>
        </w:rPr>
        <w:t>properly admitted and tested during the course of the trial.</w:t>
      </w:r>
      <w:r w:rsidR="00B15F43" w:rsidRPr="000842D0">
        <w:rPr>
          <w:rStyle w:val="FootnoteReference"/>
          <w:rFonts w:ascii="Cambria" w:hAnsi="Cambria"/>
          <w:color w:val="000000" w:themeColor="text1"/>
        </w:rPr>
        <w:footnoteReference w:id="1"/>
      </w:r>
      <w:r w:rsidR="00B706E8" w:rsidRPr="000842D0">
        <w:rPr>
          <w:rFonts w:ascii="Cambria" w:hAnsi="Cambria"/>
          <w:color w:val="000000" w:themeColor="text1"/>
        </w:rPr>
        <w:t xml:space="preserve"> </w:t>
      </w:r>
      <w:r w:rsidR="00E80A1B" w:rsidRPr="000842D0">
        <w:rPr>
          <w:rFonts w:ascii="Cambria" w:hAnsi="Cambria"/>
          <w:color w:val="000000" w:themeColor="text1"/>
        </w:rPr>
        <w:t xml:space="preserve">In our opinion, the </w:t>
      </w:r>
      <w:r w:rsidR="0076683F" w:rsidRPr="000842D0">
        <w:rPr>
          <w:rFonts w:ascii="Cambria" w:hAnsi="Cambria"/>
          <w:color w:val="000000" w:themeColor="text1"/>
        </w:rPr>
        <w:t>use</w:t>
      </w:r>
      <w:r w:rsidR="00E80A1B" w:rsidRPr="000842D0">
        <w:rPr>
          <w:rFonts w:ascii="Cambria" w:hAnsi="Cambria"/>
          <w:color w:val="000000" w:themeColor="text1"/>
        </w:rPr>
        <w:t xml:space="preserve"> of</w:t>
      </w:r>
      <w:r w:rsidR="00B15F43" w:rsidRPr="000842D0">
        <w:rPr>
          <w:rFonts w:ascii="Cambria" w:hAnsi="Cambria"/>
          <w:color w:val="000000" w:themeColor="text1"/>
        </w:rPr>
        <w:t xml:space="preserve"> </w:t>
      </w:r>
      <w:r w:rsidR="00B25C42" w:rsidRPr="000842D0">
        <w:rPr>
          <w:rFonts w:ascii="Cambria" w:hAnsi="Cambria"/>
          <w:color w:val="000000" w:themeColor="text1"/>
        </w:rPr>
        <w:t xml:space="preserve">extraneous material including the Internet and social media </w:t>
      </w:r>
      <w:r w:rsidR="00E80A1B" w:rsidRPr="000842D0">
        <w:rPr>
          <w:rFonts w:ascii="Cambria" w:hAnsi="Cambria"/>
          <w:color w:val="000000" w:themeColor="text1"/>
        </w:rPr>
        <w:t>undermine</w:t>
      </w:r>
      <w:r w:rsidR="006E1374" w:rsidRPr="000842D0">
        <w:rPr>
          <w:rFonts w:ascii="Cambria" w:hAnsi="Cambria"/>
          <w:color w:val="000000" w:themeColor="text1"/>
        </w:rPr>
        <w:t>s</w:t>
      </w:r>
      <w:r w:rsidR="00E80A1B" w:rsidRPr="000842D0">
        <w:rPr>
          <w:rFonts w:ascii="Cambria" w:hAnsi="Cambria"/>
          <w:color w:val="000000" w:themeColor="text1"/>
        </w:rPr>
        <w:t xml:space="preserve"> the fairness of the trial</w:t>
      </w:r>
      <w:r w:rsidR="006B5D38" w:rsidRPr="000842D0">
        <w:rPr>
          <w:rFonts w:ascii="Cambria" w:hAnsi="Cambria"/>
          <w:color w:val="000000" w:themeColor="text1"/>
        </w:rPr>
        <w:t>,</w:t>
      </w:r>
      <w:r w:rsidR="00CE595F" w:rsidRPr="000842D0">
        <w:rPr>
          <w:rFonts w:ascii="Cambria" w:hAnsi="Cambria"/>
          <w:color w:val="000000" w:themeColor="text1"/>
        </w:rPr>
        <w:t xml:space="preserve"> lead</w:t>
      </w:r>
      <w:r w:rsidR="006B5D38" w:rsidRPr="000842D0">
        <w:rPr>
          <w:rFonts w:ascii="Cambria" w:hAnsi="Cambria"/>
          <w:color w:val="000000" w:themeColor="text1"/>
        </w:rPr>
        <w:t>ing</w:t>
      </w:r>
      <w:r w:rsidR="00CE595F" w:rsidRPr="000842D0">
        <w:rPr>
          <w:rFonts w:ascii="Cambria" w:hAnsi="Cambria"/>
          <w:color w:val="000000" w:themeColor="text1"/>
        </w:rPr>
        <w:t xml:space="preserve"> to unfair outcomes </w:t>
      </w:r>
      <w:r w:rsidR="0076683F" w:rsidRPr="000842D0">
        <w:rPr>
          <w:rFonts w:ascii="Cambria" w:hAnsi="Cambria"/>
          <w:color w:val="000000" w:themeColor="text1"/>
        </w:rPr>
        <w:t>and further delay as</w:t>
      </w:r>
      <w:r w:rsidR="00CE595F" w:rsidRPr="000842D0">
        <w:rPr>
          <w:rFonts w:ascii="Cambria" w:hAnsi="Cambria"/>
          <w:color w:val="000000" w:themeColor="text1"/>
        </w:rPr>
        <w:t xml:space="preserve"> verdicts are challenged</w:t>
      </w:r>
      <w:r w:rsidR="00E80A1B" w:rsidRPr="000842D0">
        <w:rPr>
          <w:rFonts w:ascii="Cambria" w:hAnsi="Cambria"/>
          <w:color w:val="000000" w:themeColor="text1"/>
        </w:rPr>
        <w:t>.</w:t>
      </w:r>
      <w:r w:rsidR="006B5D38" w:rsidRPr="000842D0">
        <w:rPr>
          <w:rFonts w:ascii="Cambria" w:hAnsi="Cambria"/>
          <w:color w:val="000000" w:themeColor="text1"/>
        </w:rPr>
        <w:t xml:space="preserve"> </w:t>
      </w:r>
      <w:r w:rsidR="00B02A1D" w:rsidRPr="000842D0">
        <w:rPr>
          <w:rFonts w:ascii="Cambria" w:hAnsi="Cambria"/>
          <w:color w:val="000000" w:themeColor="text1"/>
        </w:rPr>
        <w:t xml:space="preserve">This view </w:t>
      </w:r>
      <w:r w:rsidR="00B02A1D" w:rsidRPr="000842D0">
        <w:rPr>
          <w:rFonts w:ascii="Cambria" w:hAnsi="Cambria" w:cs="Calibri Bold Italic"/>
          <w:color w:val="000000"/>
        </w:rPr>
        <w:t>is highlighted in an Australian study carried out in 2013 which surveyed</w:t>
      </w:r>
      <w:r w:rsidR="000C405D" w:rsidRPr="000842D0">
        <w:rPr>
          <w:rFonts w:ascii="Cambria" w:hAnsi="Cambria"/>
          <w:color w:val="000000" w:themeColor="text1"/>
        </w:rPr>
        <w:t xml:space="preserve"> a number of</w:t>
      </w:r>
      <w:r w:rsidR="00B02A1D" w:rsidRPr="000842D0">
        <w:rPr>
          <w:rFonts w:ascii="Cambria" w:hAnsi="Cambria"/>
          <w:color w:val="000000" w:themeColor="text1"/>
        </w:rPr>
        <w:t xml:space="preserve"> experts </w:t>
      </w:r>
      <w:r w:rsidR="00ED01F5" w:rsidRPr="000842D0">
        <w:rPr>
          <w:rFonts w:ascii="Cambria" w:hAnsi="Cambria"/>
          <w:color w:val="000000" w:themeColor="text1"/>
        </w:rPr>
        <w:t>working in the field of judicial administration</w:t>
      </w:r>
      <w:r w:rsidR="000C405D" w:rsidRPr="000842D0">
        <w:rPr>
          <w:rFonts w:ascii="Cambria" w:hAnsi="Cambria"/>
          <w:color w:val="000000" w:themeColor="text1"/>
        </w:rPr>
        <w:t>,</w:t>
      </w:r>
      <w:r w:rsidR="00ED01F5" w:rsidRPr="000842D0">
        <w:rPr>
          <w:rFonts w:ascii="Cambria" w:hAnsi="Cambria"/>
          <w:color w:val="000000" w:themeColor="text1"/>
        </w:rPr>
        <w:t xml:space="preserve"> </w:t>
      </w:r>
      <w:r w:rsidR="007B3F4F" w:rsidRPr="000842D0">
        <w:rPr>
          <w:rFonts w:ascii="Cambria" w:hAnsi="Cambria"/>
          <w:color w:val="000000" w:themeColor="text1"/>
        </w:rPr>
        <w:t>including judges and magistrates</w:t>
      </w:r>
      <w:r w:rsidR="00B02A1D" w:rsidRPr="000842D0">
        <w:rPr>
          <w:rFonts w:ascii="Cambria" w:hAnsi="Cambria"/>
          <w:color w:val="000000" w:themeColor="text1"/>
        </w:rPr>
        <w:t>.</w:t>
      </w:r>
      <w:r w:rsidR="00B02A1D" w:rsidRPr="000842D0">
        <w:rPr>
          <w:rStyle w:val="FootnoteReference"/>
          <w:rFonts w:ascii="Cambria" w:hAnsi="Cambria"/>
          <w:color w:val="000000" w:themeColor="text1"/>
        </w:rPr>
        <w:footnoteReference w:id="2"/>
      </w:r>
      <w:r w:rsidR="007B3F4F" w:rsidRPr="000842D0">
        <w:rPr>
          <w:rFonts w:ascii="Cambria" w:hAnsi="Cambria"/>
          <w:color w:val="000000" w:themeColor="text1"/>
        </w:rPr>
        <w:t xml:space="preserve"> The survey found that the most significant concern expressed </w:t>
      </w:r>
      <w:r w:rsidR="001D3D51" w:rsidRPr="000842D0">
        <w:rPr>
          <w:rFonts w:ascii="Cambria" w:hAnsi="Cambria"/>
          <w:color w:val="000000" w:themeColor="text1"/>
        </w:rPr>
        <w:t>was ‘</w:t>
      </w:r>
      <w:r w:rsidR="00B02A1D" w:rsidRPr="000842D0">
        <w:rPr>
          <w:rFonts w:ascii="Cambria" w:hAnsi="Cambria"/>
          <w:color w:val="000000" w:themeColor="text1"/>
        </w:rPr>
        <w:t>juror misuse of social media (and digital media) l</w:t>
      </w:r>
      <w:r w:rsidR="001D3D51" w:rsidRPr="000842D0">
        <w:rPr>
          <w:rFonts w:ascii="Cambria" w:hAnsi="Cambria"/>
          <w:color w:val="000000" w:themeColor="text1"/>
        </w:rPr>
        <w:t>eading to aborted trials’</w:t>
      </w:r>
      <w:r w:rsidR="00B02A1D" w:rsidRPr="000842D0">
        <w:rPr>
          <w:rFonts w:ascii="Cambria" w:hAnsi="Cambria"/>
          <w:color w:val="000000" w:themeColor="text1"/>
        </w:rPr>
        <w:t>.</w:t>
      </w:r>
      <w:r w:rsidR="00B02A1D" w:rsidRPr="000842D0">
        <w:rPr>
          <w:rStyle w:val="FootnoteReference"/>
          <w:rFonts w:ascii="Cambria" w:hAnsi="Cambria"/>
          <w:color w:val="000000" w:themeColor="text1"/>
        </w:rPr>
        <w:footnoteReference w:id="3"/>
      </w:r>
      <w:r w:rsidR="00B02A1D" w:rsidRPr="000842D0">
        <w:rPr>
          <w:rFonts w:ascii="Cambria" w:hAnsi="Cambria"/>
          <w:color w:val="000000" w:themeColor="text1"/>
        </w:rPr>
        <w:t xml:space="preserve"> </w:t>
      </w:r>
    </w:p>
    <w:p w14:paraId="715B7F8D" w14:textId="77777777" w:rsidR="007B3F4F" w:rsidRPr="000842D0" w:rsidRDefault="007B3F4F" w:rsidP="00B06928">
      <w:pPr>
        <w:ind w:right="-347"/>
        <w:jc w:val="both"/>
        <w:rPr>
          <w:rFonts w:ascii="Cambria" w:hAnsi="Cambria" w:cs="Arial"/>
          <w:color w:val="000000" w:themeColor="text1"/>
        </w:rPr>
      </w:pPr>
    </w:p>
    <w:p w14:paraId="2CCC38D1" w14:textId="44EF42E6" w:rsidR="00B06928" w:rsidRPr="000842D0" w:rsidRDefault="00B02A1D" w:rsidP="00B06928">
      <w:pPr>
        <w:ind w:right="-347"/>
        <w:jc w:val="both"/>
        <w:rPr>
          <w:rFonts w:ascii="Cambria" w:hAnsi="Cambria" w:cs="Arial"/>
          <w:color w:val="000000" w:themeColor="text1"/>
        </w:rPr>
      </w:pPr>
      <w:r w:rsidRPr="000842D0">
        <w:rPr>
          <w:rFonts w:ascii="Cambria" w:hAnsi="Cambria"/>
          <w:color w:val="000000" w:themeColor="text1"/>
        </w:rPr>
        <w:t xml:space="preserve">The concern that extraneous material may lead to an unfair outcome is reinforced in evidence from overseas. </w:t>
      </w:r>
      <w:r w:rsidR="006B5D38" w:rsidRPr="000842D0">
        <w:rPr>
          <w:rFonts w:ascii="Cambria" w:hAnsi="Cambria" w:cs="Calibri Bold Italic"/>
          <w:color w:val="000000"/>
        </w:rPr>
        <w:t xml:space="preserve">In </w:t>
      </w:r>
      <w:r w:rsidR="00B06928" w:rsidRPr="000842D0">
        <w:rPr>
          <w:rFonts w:ascii="Cambria" w:hAnsi="Cambria" w:cs="Calibri Bold Italic"/>
          <w:color w:val="000000"/>
        </w:rPr>
        <w:t xml:space="preserve">the United States </w:t>
      </w:r>
      <w:r w:rsidR="006B5D38" w:rsidRPr="000842D0">
        <w:rPr>
          <w:rFonts w:ascii="Cambria" w:hAnsi="Cambria" w:cs="Calibri Bold Italic"/>
          <w:color w:val="000000"/>
        </w:rPr>
        <w:t xml:space="preserve">for example, </w:t>
      </w:r>
      <w:r w:rsidR="00B06928" w:rsidRPr="000842D0">
        <w:rPr>
          <w:rFonts w:ascii="Cambria" w:hAnsi="Cambria" w:cs="Calibri Bold Italic"/>
          <w:color w:val="000000"/>
        </w:rPr>
        <w:t xml:space="preserve">a review of </w:t>
      </w:r>
      <w:r w:rsidR="00E80A1B" w:rsidRPr="000842D0">
        <w:rPr>
          <w:rFonts w:ascii="Cambria" w:hAnsi="Cambria" w:cs="Calibri Bold Italic"/>
          <w:color w:val="000000"/>
        </w:rPr>
        <w:t xml:space="preserve">case law identified at </w:t>
      </w:r>
      <w:r w:rsidR="00E80A1B" w:rsidRPr="000842D0">
        <w:rPr>
          <w:rFonts w:ascii="Cambria" w:hAnsi="Cambria" w:cs="Calibri Bold Italic"/>
          <w:color w:val="000000" w:themeColor="text1"/>
        </w:rPr>
        <w:t xml:space="preserve">least 90 verdicts between 1999 and 2010 </w:t>
      </w:r>
      <w:r w:rsidR="000C405D" w:rsidRPr="000842D0">
        <w:rPr>
          <w:rFonts w:ascii="Cambria" w:hAnsi="Cambria" w:cs="Calibri Bold Italic"/>
          <w:color w:val="000000" w:themeColor="text1"/>
        </w:rPr>
        <w:t xml:space="preserve">which resulted in mistrials, appeals and </w:t>
      </w:r>
      <w:r w:rsidR="000C405D" w:rsidRPr="000842D0">
        <w:rPr>
          <w:rFonts w:ascii="Cambria" w:hAnsi="Cambria" w:cs="Calibri Bold Italic"/>
          <w:color w:val="000000" w:themeColor="text1"/>
        </w:rPr>
        <w:lastRenderedPageBreak/>
        <w:t>overturned verdicts</w:t>
      </w:r>
      <w:r w:rsidR="00B06928" w:rsidRPr="000842D0">
        <w:rPr>
          <w:rFonts w:ascii="Cambria" w:hAnsi="Cambria" w:cs="Calibri Bold Italic"/>
          <w:color w:val="000000" w:themeColor="text1"/>
        </w:rPr>
        <w:t xml:space="preserve">, </w:t>
      </w:r>
      <w:r w:rsidR="00B06928" w:rsidRPr="000842D0">
        <w:rPr>
          <w:rFonts w:ascii="Cambria" w:hAnsi="Cambria" w:cs="Calibri Bold Italic"/>
          <w:color w:val="000000"/>
        </w:rPr>
        <w:t>in whole or in part, because of juror actions related to the Internet.</w:t>
      </w:r>
      <w:r w:rsidR="00B06928" w:rsidRPr="000842D0">
        <w:rPr>
          <w:rStyle w:val="FootnoteReference"/>
          <w:rFonts w:ascii="Cambria" w:hAnsi="Cambria" w:cs="Calibri Bold Italic"/>
          <w:color w:val="000000"/>
        </w:rPr>
        <w:footnoteReference w:id="4"/>
      </w:r>
      <w:r w:rsidR="00B06928" w:rsidRPr="000842D0">
        <w:rPr>
          <w:rFonts w:ascii="Cambria" w:hAnsi="Cambria" w:cs="Calibri Bold Italic"/>
          <w:color w:val="000000"/>
        </w:rPr>
        <w:t xml:space="preserve"> Whilst in the United Kingdom, the Law Commi</w:t>
      </w:r>
      <w:r w:rsidR="00E80C13" w:rsidRPr="000842D0">
        <w:rPr>
          <w:rFonts w:ascii="Cambria" w:hAnsi="Cambria" w:cs="Calibri Bold Italic"/>
          <w:color w:val="000000"/>
        </w:rPr>
        <w:t>ssion has identified at least 21</w:t>
      </w:r>
      <w:r w:rsidR="00B06928" w:rsidRPr="000842D0">
        <w:rPr>
          <w:rFonts w:ascii="Cambria" w:hAnsi="Cambria" w:cs="Calibri Bold Italic"/>
          <w:color w:val="000000"/>
        </w:rPr>
        <w:t xml:space="preserve"> appeals since 2005 related to juror misconduct during criminal trials, some of which involved Internet access or social media use.</w:t>
      </w:r>
      <w:r w:rsidR="00B06928" w:rsidRPr="000842D0">
        <w:rPr>
          <w:rStyle w:val="FootnoteReference"/>
          <w:rFonts w:ascii="Cambria" w:hAnsi="Cambria" w:cs="Calibri Bold Italic"/>
          <w:color w:val="000000"/>
        </w:rPr>
        <w:footnoteReference w:id="5"/>
      </w:r>
      <w:r w:rsidR="00B06928" w:rsidRPr="000842D0">
        <w:rPr>
          <w:rFonts w:ascii="Cambria" w:hAnsi="Cambria" w:cs="Calibri Bold Italic"/>
          <w:color w:val="000000"/>
        </w:rPr>
        <w:t xml:space="preserve"> </w:t>
      </w:r>
    </w:p>
    <w:p w14:paraId="15907FDF" w14:textId="77777777" w:rsidR="006E1374" w:rsidRPr="000842D0" w:rsidRDefault="006E1374" w:rsidP="00B06928">
      <w:pPr>
        <w:ind w:right="-347"/>
        <w:jc w:val="both"/>
        <w:rPr>
          <w:rFonts w:ascii="Cambria" w:hAnsi="Cambria" w:cs="Calibri Bold Italic"/>
          <w:color w:val="000000"/>
        </w:rPr>
      </w:pPr>
    </w:p>
    <w:p w14:paraId="3E5DDD32" w14:textId="77777777" w:rsidR="00760DAA" w:rsidRPr="000842D0" w:rsidRDefault="00F639AF" w:rsidP="00477D15">
      <w:pPr>
        <w:ind w:right="-347"/>
        <w:jc w:val="both"/>
        <w:rPr>
          <w:rFonts w:ascii="Cambria" w:hAnsi="Cambria" w:cs="Calibri Bold Italic"/>
          <w:color w:val="000000"/>
        </w:rPr>
      </w:pPr>
      <w:r w:rsidRPr="000842D0">
        <w:rPr>
          <w:rFonts w:ascii="Cambria" w:hAnsi="Cambria" w:cs="Calibri Bold Italic"/>
          <w:color w:val="000000"/>
        </w:rPr>
        <w:t>In Tasmania, measures hav</w:t>
      </w:r>
      <w:r w:rsidR="007B3F4F" w:rsidRPr="000842D0">
        <w:rPr>
          <w:rFonts w:ascii="Cambria" w:hAnsi="Cambria" w:cs="Calibri Bold Italic"/>
          <w:color w:val="000000"/>
        </w:rPr>
        <w:t xml:space="preserve">e been put in place to mitigate </w:t>
      </w:r>
      <w:r w:rsidRPr="000842D0">
        <w:rPr>
          <w:rFonts w:ascii="Cambria" w:hAnsi="Cambria" w:cs="Calibri Bold Italic"/>
          <w:color w:val="000000"/>
        </w:rPr>
        <w:t xml:space="preserve">against </w:t>
      </w:r>
      <w:r w:rsidRPr="000842D0">
        <w:rPr>
          <w:rFonts w:ascii="Cambria" w:hAnsi="Cambria"/>
          <w:color w:val="000000" w:themeColor="text1"/>
        </w:rPr>
        <w:t>the use of extraneous material. For example</w:t>
      </w:r>
      <w:r w:rsidR="007B3F4F" w:rsidRPr="000842D0">
        <w:rPr>
          <w:rFonts w:ascii="Cambria" w:hAnsi="Cambria"/>
          <w:color w:val="000000" w:themeColor="text1"/>
        </w:rPr>
        <w:t>,</w:t>
      </w:r>
      <w:r w:rsidRPr="000842D0">
        <w:rPr>
          <w:rFonts w:ascii="Cambria" w:hAnsi="Cambria"/>
          <w:color w:val="000000" w:themeColor="text1"/>
        </w:rPr>
        <w:t xml:space="preserve"> </w:t>
      </w:r>
      <w:r w:rsidR="00700703" w:rsidRPr="000842D0">
        <w:rPr>
          <w:rFonts w:ascii="Cambria" w:hAnsi="Cambria"/>
          <w:color w:val="000000" w:themeColor="text1"/>
        </w:rPr>
        <w:t>the Supreme Court does not permit jurors</w:t>
      </w:r>
      <w:r w:rsidRPr="000842D0">
        <w:rPr>
          <w:rFonts w:ascii="Cambria" w:hAnsi="Cambria"/>
          <w:color w:val="000000" w:themeColor="text1"/>
        </w:rPr>
        <w:t xml:space="preserve"> to have their mobile phones with them du</w:t>
      </w:r>
      <w:r w:rsidR="00700703" w:rsidRPr="000842D0">
        <w:rPr>
          <w:rFonts w:ascii="Cambria" w:hAnsi="Cambria"/>
          <w:color w:val="000000" w:themeColor="text1"/>
        </w:rPr>
        <w:t>ring the trial or deliberations</w:t>
      </w:r>
      <w:r w:rsidRPr="000842D0">
        <w:rPr>
          <w:rStyle w:val="FootnoteReference"/>
          <w:rFonts w:ascii="Cambria" w:hAnsi="Cambria"/>
          <w:color w:val="000000" w:themeColor="text1"/>
        </w:rPr>
        <w:footnoteReference w:id="6"/>
      </w:r>
      <w:r w:rsidR="00700703" w:rsidRPr="000842D0">
        <w:rPr>
          <w:rFonts w:ascii="Cambria" w:hAnsi="Cambria"/>
          <w:color w:val="000000" w:themeColor="text1"/>
        </w:rPr>
        <w:t xml:space="preserve"> and comments on passing sentence are temporarily removed from the Supreme Court database when an accused is on trial for new offences.</w:t>
      </w:r>
      <w:r w:rsidR="00760DAA" w:rsidRPr="000842D0">
        <w:rPr>
          <w:rFonts w:ascii="Cambria" w:hAnsi="Cambria"/>
          <w:color w:val="000000" w:themeColor="text1"/>
        </w:rPr>
        <w:t xml:space="preserve"> </w:t>
      </w:r>
      <w:r w:rsidR="00700703" w:rsidRPr="000842D0">
        <w:rPr>
          <w:rFonts w:ascii="Cambria" w:hAnsi="Cambria" w:cs="Calibri Bold Italic"/>
          <w:color w:val="000000"/>
        </w:rPr>
        <w:t>Nevertheless, we believe that more can be done</w:t>
      </w:r>
      <w:r w:rsidR="00760DAA" w:rsidRPr="000842D0">
        <w:rPr>
          <w:rFonts w:ascii="Cambria" w:hAnsi="Cambria" w:cs="Calibri Bold Italic"/>
          <w:color w:val="000000"/>
        </w:rPr>
        <w:t xml:space="preserve">, particularly as jurors are not sequestered for the length of the trial and therefore have access to the Internet and social media overnight. </w:t>
      </w:r>
    </w:p>
    <w:p w14:paraId="1B9C0936" w14:textId="77777777" w:rsidR="00760DAA" w:rsidRPr="000842D0" w:rsidRDefault="00760DAA" w:rsidP="00477D15">
      <w:pPr>
        <w:ind w:right="-347"/>
        <w:jc w:val="both"/>
        <w:rPr>
          <w:rFonts w:ascii="Cambria" w:hAnsi="Cambria" w:cs="Calibri Bold Italic"/>
          <w:color w:val="000000"/>
        </w:rPr>
      </w:pPr>
    </w:p>
    <w:p w14:paraId="4B5904F3" w14:textId="5A8AE34D" w:rsidR="00477D15" w:rsidRPr="000842D0" w:rsidRDefault="00477D15" w:rsidP="00477D15">
      <w:pPr>
        <w:ind w:right="-347"/>
        <w:jc w:val="both"/>
        <w:rPr>
          <w:rFonts w:ascii="Cambria" w:hAnsi="Cambria"/>
          <w:color w:val="000000" w:themeColor="text1"/>
        </w:rPr>
      </w:pPr>
      <w:r w:rsidRPr="000842D0">
        <w:rPr>
          <w:rFonts w:ascii="Cambria" w:hAnsi="Cambria" w:cs="Calibri Bold Italic"/>
          <w:color w:val="000000"/>
        </w:rPr>
        <w:t>Whilst t</w:t>
      </w:r>
      <w:r w:rsidR="00CE595F" w:rsidRPr="000842D0">
        <w:rPr>
          <w:rFonts w:ascii="Cambria" w:hAnsi="Cambria" w:cs="Calibri Bold Italic"/>
          <w:color w:val="000000"/>
        </w:rPr>
        <w:t>he H</w:t>
      </w:r>
      <w:r w:rsidRPr="000842D0">
        <w:rPr>
          <w:rFonts w:ascii="Cambria" w:hAnsi="Cambria" w:cs="Calibri Bold Italic"/>
          <w:color w:val="000000"/>
        </w:rPr>
        <w:t>igh Court has held that</w:t>
      </w:r>
      <w:r w:rsidR="00CE595F" w:rsidRPr="000842D0">
        <w:rPr>
          <w:rFonts w:ascii="Cambria" w:hAnsi="Cambria" w:cs="Calibri Bold Italic"/>
          <w:color w:val="000000"/>
        </w:rPr>
        <w:t xml:space="preserve"> directions given by the trial judge are sufficient to relieve against the unfair consequences of pre-trial publicity</w:t>
      </w:r>
      <w:r w:rsidR="00CE595F" w:rsidRPr="000842D0">
        <w:rPr>
          <w:rStyle w:val="FootnoteReference"/>
          <w:rFonts w:ascii="Cambria" w:hAnsi="Cambria" w:cs="Calibri Bold Italic"/>
          <w:color w:val="000000"/>
        </w:rPr>
        <w:footnoteReference w:id="7"/>
      </w:r>
      <w:r w:rsidR="00CE595F" w:rsidRPr="000842D0">
        <w:rPr>
          <w:rFonts w:ascii="Cambria" w:hAnsi="Cambria" w:cs="Calibri Bold Italic"/>
          <w:color w:val="000000"/>
        </w:rPr>
        <w:t xml:space="preserve"> </w:t>
      </w:r>
      <w:r w:rsidR="00D5389D" w:rsidRPr="000842D0">
        <w:rPr>
          <w:rFonts w:ascii="Cambria" w:hAnsi="Cambria" w:cs="Calibri Bold Italic"/>
          <w:color w:val="000000"/>
        </w:rPr>
        <w:t xml:space="preserve">we believe that </w:t>
      </w:r>
      <w:r w:rsidR="007B3F4F" w:rsidRPr="000842D0">
        <w:rPr>
          <w:rFonts w:ascii="Cambria" w:hAnsi="Cambria" w:cs="Calibri Bold Italic"/>
          <w:color w:val="000000"/>
        </w:rPr>
        <w:t xml:space="preserve">directions can be improved, </w:t>
      </w:r>
      <w:r w:rsidRPr="000842D0">
        <w:rPr>
          <w:rFonts w:ascii="Cambria" w:hAnsi="Cambria" w:cs="Calibri Bold Italic"/>
          <w:color w:val="000000"/>
        </w:rPr>
        <w:t xml:space="preserve">to expressly include the use of social media. </w:t>
      </w:r>
      <w:r w:rsidR="00184A28" w:rsidRPr="000842D0">
        <w:rPr>
          <w:rFonts w:ascii="Cambria" w:hAnsi="Cambria" w:cs="Calibri Bold Italic"/>
          <w:color w:val="000000"/>
        </w:rPr>
        <w:t>Currently, Tasmania does not have model directions</w:t>
      </w:r>
      <w:r w:rsidR="00ED01F5" w:rsidRPr="000842D0">
        <w:rPr>
          <w:rFonts w:ascii="Cambria" w:hAnsi="Cambria" w:cs="Calibri Bold Italic"/>
          <w:color w:val="000000"/>
        </w:rPr>
        <w:t>, meaning that trial judges may</w:t>
      </w:r>
      <w:r w:rsidR="00184A28" w:rsidRPr="000842D0">
        <w:rPr>
          <w:rFonts w:ascii="Cambria" w:hAnsi="Cambria" w:cs="Calibri Bold Italic"/>
          <w:color w:val="000000"/>
        </w:rPr>
        <w:t xml:space="preserve"> make different directions about </w:t>
      </w:r>
      <w:r w:rsidR="00906FD7" w:rsidRPr="000842D0">
        <w:rPr>
          <w:rFonts w:ascii="Cambria" w:hAnsi="Cambria" w:cs="Calibri Bold Italic"/>
          <w:color w:val="000000"/>
        </w:rPr>
        <w:t xml:space="preserve">jurors </w:t>
      </w:r>
      <w:r w:rsidR="00184A28" w:rsidRPr="000842D0">
        <w:rPr>
          <w:rFonts w:ascii="Cambria" w:hAnsi="Cambria" w:cs="Calibri Bold Italic"/>
          <w:color w:val="000000"/>
        </w:rPr>
        <w:t>use of the Internet and social media. In our opinion, directions about the use of the Internet and s</w:t>
      </w:r>
      <w:r w:rsidR="00665131">
        <w:rPr>
          <w:rFonts w:ascii="Cambria" w:hAnsi="Cambria" w:cs="Calibri Bold Italic"/>
          <w:color w:val="000000"/>
        </w:rPr>
        <w:t>ocial media should be standardis</w:t>
      </w:r>
      <w:r w:rsidR="00184A28" w:rsidRPr="000842D0">
        <w:rPr>
          <w:rFonts w:ascii="Cambria" w:hAnsi="Cambria" w:cs="Calibri Bold Italic"/>
          <w:color w:val="000000"/>
        </w:rPr>
        <w:t>ed</w:t>
      </w:r>
      <w:r w:rsidR="00906FD7" w:rsidRPr="000842D0">
        <w:rPr>
          <w:rFonts w:ascii="Cambria" w:hAnsi="Cambria" w:cs="Calibri Bold Italic"/>
          <w:color w:val="000000"/>
        </w:rPr>
        <w:t xml:space="preserve"> as has occurred in New South Wales and Victoria</w:t>
      </w:r>
      <w:r w:rsidR="00184A28" w:rsidRPr="000842D0">
        <w:rPr>
          <w:rFonts w:ascii="Cambria" w:hAnsi="Cambria" w:cs="Calibri Bold Italic"/>
          <w:color w:val="000000"/>
        </w:rPr>
        <w:t xml:space="preserve">. </w:t>
      </w:r>
      <w:r w:rsidRPr="000842D0">
        <w:rPr>
          <w:rFonts w:ascii="Cambria" w:hAnsi="Cambria" w:cs="Calibri Bold Italic"/>
          <w:color w:val="000000"/>
        </w:rPr>
        <w:t>A good example is New South Wales where Model Directions include a wa</w:t>
      </w:r>
      <w:r w:rsidR="00D5389D" w:rsidRPr="000842D0">
        <w:rPr>
          <w:rFonts w:ascii="Cambria" w:hAnsi="Cambria" w:cs="Calibri Bold Italic"/>
          <w:color w:val="000000"/>
        </w:rPr>
        <w:t>rning to jurors to not use the I</w:t>
      </w:r>
      <w:r w:rsidRPr="000842D0">
        <w:rPr>
          <w:rFonts w:ascii="Cambria" w:hAnsi="Cambria" w:cs="Calibri Bold Italic"/>
          <w:color w:val="000000"/>
        </w:rPr>
        <w:t>nternet to research any matter related to the trial:</w:t>
      </w:r>
      <w:r w:rsidRPr="000842D0">
        <w:rPr>
          <w:rStyle w:val="FootnoteReference"/>
          <w:rFonts w:ascii="Cambria" w:hAnsi="Cambria" w:cs="Calibri Bold Italic"/>
          <w:color w:val="000000"/>
        </w:rPr>
        <w:footnoteReference w:id="8"/>
      </w:r>
      <w:r w:rsidRPr="000842D0">
        <w:rPr>
          <w:rFonts w:ascii="Cambria" w:hAnsi="Cambria" w:cs="Calibri Bold Italic"/>
          <w:color w:val="000000"/>
        </w:rPr>
        <w:t xml:space="preserve"> </w:t>
      </w:r>
    </w:p>
    <w:p w14:paraId="2A45D8CB" w14:textId="77777777" w:rsidR="00477D15" w:rsidRPr="000842D0" w:rsidRDefault="00477D15" w:rsidP="00477D15">
      <w:pPr>
        <w:ind w:right="-347"/>
        <w:jc w:val="both"/>
        <w:rPr>
          <w:rFonts w:ascii="Cambria" w:hAnsi="Cambria" w:cs="Calibri Bold Italic"/>
          <w:color w:val="000000"/>
        </w:rPr>
      </w:pPr>
    </w:p>
    <w:p w14:paraId="2BB420D7" w14:textId="379D9749" w:rsidR="00911350" w:rsidRPr="000842D0" w:rsidRDefault="00B02A1D" w:rsidP="00B02A1D">
      <w:pPr>
        <w:ind w:left="567" w:right="656"/>
        <w:jc w:val="both"/>
        <w:rPr>
          <w:rFonts w:ascii="Cambria" w:hAnsi="Cambria" w:cs="Calibri Bold Italic"/>
          <w:color w:val="000000"/>
          <w:sz w:val="22"/>
          <w:szCs w:val="22"/>
        </w:rPr>
      </w:pPr>
      <w:r w:rsidRPr="000842D0">
        <w:rPr>
          <w:rFonts w:ascii="Cambria" w:hAnsi="Cambria"/>
          <w:sz w:val="22"/>
          <w:szCs w:val="22"/>
        </w:rPr>
        <w:t>You should keep away from the internet and the other communication sources which may pass comment upon the issues in this trial. You may not communicate with anyone about the case on your mobile phone, smart phone, through email, text messaging, or on Twitter, through any blog or website, any internet chatroom, or by way of any other social networking websites including Facebook, MySpace, LinkedIn and YouTube. You should avoid any communication which may expose you to other people’s opinions or views.</w:t>
      </w:r>
      <w:r w:rsidR="00477D15" w:rsidRPr="000842D0">
        <w:rPr>
          <w:rFonts w:ascii="Cambria" w:hAnsi="Cambria" w:cs="Calibri Bold Italic"/>
          <w:color w:val="000000"/>
          <w:sz w:val="22"/>
          <w:szCs w:val="22"/>
        </w:rPr>
        <w:t xml:space="preserve"> </w:t>
      </w:r>
      <w:r w:rsidR="00CE595F" w:rsidRPr="000842D0">
        <w:rPr>
          <w:rFonts w:ascii="Cambria" w:hAnsi="Cambria" w:cs="Calibri Bold Italic"/>
          <w:color w:val="000000"/>
          <w:sz w:val="22"/>
          <w:szCs w:val="22"/>
        </w:rPr>
        <w:t xml:space="preserve"> </w:t>
      </w:r>
    </w:p>
    <w:p w14:paraId="332EC713" w14:textId="77777777" w:rsidR="00906FD7" w:rsidRPr="000842D0" w:rsidRDefault="00906FD7" w:rsidP="00B02A1D">
      <w:pPr>
        <w:ind w:left="567" w:right="656"/>
        <w:jc w:val="both"/>
        <w:rPr>
          <w:rFonts w:ascii="Cambria" w:hAnsi="Cambria" w:cs="Calibri Bold Italic"/>
          <w:color w:val="000000"/>
          <w:sz w:val="22"/>
          <w:szCs w:val="22"/>
        </w:rPr>
      </w:pPr>
    </w:p>
    <w:p w14:paraId="1D55BAEE" w14:textId="0E9F77C6" w:rsidR="00700703" w:rsidRPr="000842D0" w:rsidRDefault="00D5389D" w:rsidP="00700703">
      <w:pPr>
        <w:ind w:right="-347"/>
        <w:jc w:val="both"/>
        <w:rPr>
          <w:rFonts w:ascii="Cambria" w:hAnsi="Cambria"/>
          <w:color w:val="000000" w:themeColor="text1"/>
        </w:rPr>
      </w:pPr>
      <w:r w:rsidRPr="000842D0">
        <w:rPr>
          <w:rFonts w:ascii="Cambria" w:hAnsi="Cambria"/>
          <w:color w:val="000000" w:themeColor="text1"/>
        </w:rPr>
        <w:t xml:space="preserve">As well as </w:t>
      </w:r>
      <w:r w:rsidR="00665131">
        <w:rPr>
          <w:rFonts w:ascii="Cambria" w:hAnsi="Cambria"/>
          <w:color w:val="000000" w:themeColor="text1"/>
        </w:rPr>
        <w:t>standardis</w:t>
      </w:r>
      <w:r w:rsidR="00B741E7" w:rsidRPr="000842D0">
        <w:rPr>
          <w:rFonts w:ascii="Cambria" w:hAnsi="Cambria"/>
          <w:color w:val="000000" w:themeColor="text1"/>
        </w:rPr>
        <w:t xml:space="preserve">ed </w:t>
      </w:r>
      <w:r w:rsidRPr="000842D0">
        <w:rPr>
          <w:rFonts w:ascii="Cambria" w:hAnsi="Cambria"/>
          <w:color w:val="000000" w:themeColor="text1"/>
        </w:rPr>
        <w:t>oral directions</w:t>
      </w:r>
      <w:r w:rsidR="005E0CB7" w:rsidRPr="000842D0">
        <w:rPr>
          <w:rFonts w:ascii="Cambria" w:hAnsi="Cambria"/>
          <w:color w:val="000000" w:themeColor="text1"/>
        </w:rPr>
        <w:t xml:space="preserve"> being provided by the trial judge</w:t>
      </w:r>
      <w:r w:rsidRPr="000842D0">
        <w:rPr>
          <w:rFonts w:ascii="Cambria" w:hAnsi="Cambria"/>
          <w:color w:val="000000" w:themeColor="text1"/>
        </w:rPr>
        <w:t xml:space="preserve">, we strongly believe that these should be supplemented with written directions, which either reproduce </w:t>
      </w:r>
      <w:r w:rsidR="00B741E7" w:rsidRPr="000842D0">
        <w:rPr>
          <w:rFonts w:ascii="Cambria" w:hAnsi="Cambria"/>
          <w:color w:val="000000" w:themeColor="text1"/>
        </w:rPr>
        <w:t xml:space="preserve">the </w:t>
      </w:r>
      <w:r w:rsidRPr="000842D0">
        <w:rPr>
          <w:rFonts w:ascii="Cambria" w:hAnsi="Cambria"/>
          <w:color w:val="000000" w:themeColor="text1"/>
        </w:rPr>
        <w:t xml:space="preserve">oral directions, or are provided </w:t>
      </w:r>
      <w:r w:rsidR="00B741E7" w:rsidRPr="000842D0">
        <w:rPr>
          <w:rFonts w:ascii="Cambria" w:hAnsi="Cambria"/>
          <w:color w:val="000000" w:themeColor="text1"/>
        </w:rPr>
        <w:t>in addition</w:t>
      </w:r>
      <w:r w:rsidR="00ED01F5" w:rsidRPr="000842D0">
        <w:rPr>
          <w:rFonts w:ascii="Cambria" w:hAnsi="Cambria"/>
          <w:color w:val="000000" w:themeColor="text1"/>
        </w:rPr>
        <w:t xml:space="preserve"> to the</w:t>
      </w:r>
      <w:r w:rsidRPr="000842D0">
        <w:rPr>
          <w:rFonts w:ascii="Cambria" w:hAnsi="Cambria"/>
          <w:color w:val="000000" w:themeColor="text1"/>
        </w:rPr>
        <w:t xml:space="preserve"> oral directions. </w:t>
      </w:r>
      <w:r w:rsidR="00B741E7" w:rsidRPr="000842D0">
        <w:rPr>
          <w:rFonts w:ascii="Cambria" w:hAnsi="Cambria"/>
          <w:color w:val="000000" w:themeColor="text1"/>
        </w:rPr>
        <w:t xml:space="preserve">Support for this reinforcement is found in </w:t>
      </w:r>
      <w:r w:rsidR="00667183" w:rsidRPr="000842D0">
        <w:rPr>
          <w:rFonts w:ascii="Cambria" w:hAnsi="Cambria"/>
          <w:color w:val="000000" w:themeColor="text1"/>
        </w:rPr>
        <w:t>a study</w:t>
      </w:r>
      <w:r w:rsidR="008941FE" w:rsidRPr="000842D0">
        <w:rPr>
          <w:rFonts w:ascii="Cambria" w:hAnsi="Cambria"/>
          <w:color w:val="000000" w:themeColor="text1"/>
        </w:rPr>
        <w:t xml:space="preserve"> </w:t>
      </w:r>
      <w:r w:rsidR="00B741E7" w:rsidRPr="000842D0">
        <w:rPr>
          <w:rFonts w:ascii="Cambria" w:hAnsi="Cambria"/>
          <w:color w:val="000000" w:themeColor="text1"/>
        </w:rPr>
        <w:t>which</w:t>
      </w:r>
      <w:r w:rsidR="00235A62" w:rsidRPr="000842D0">
        <w:rPr>
          <w:rFonts w:ascii="Cambria" w:hAnsi="Cambria"/>
          <w:color w:val="000000" w:themeColor="text1"/>
        </w:rPr>
        <w:t xml:space="preserve"> found </w:t>
      </w:r>
      <w:r w:rsidR="005E0CB7" w:rsidRPr="000842D0">
        <w:rPr>
          <w:rFonts w:ascii="Cambria" w:hAnsi="Cambria"/>
          <w:color w:val="000000" w:themeColor="text1"/>
        </w:rPr>
        <w:t>that written directions are</w:t>
      </w:r>
      <w:r w:rsidRPr="000842D0">
        <w:rPr>
          <w:rFonts w:ascii="Cambria" w:hAnsi="Cambria"/>
          <w:color w:val="000000" w:themeColor="text1"/>
        </w:rPr>
        <w:t xml:space="preserve"> </w:t>
      </w:r>
      <w:r w:rsidR="000151CA" w:rsidRPr="000842D0">
        <w:rPr>
          <w:rFonts w:ascii="Cambria" w:hAnsi="Cambria"/>
          <w:color w:val="000000" w:themeColor="text1"/>
        </w:rPr>
        <w:t xml:space="preserve">almost </w:t>
      </w:r>
      <w:r w:rsidRPr="000842D0">
        <w:rPr>
          <w:rFonts w:ascii="Cambria" w:hAnsi="Cambria"/>
          <w:color w:val="000000" w:themeColor="text1"/>
        </w:rPr>
        <w:t>twice as effective as oral directions.</w:t>
      </w:r>
      <w:r w:rsidRPr="000842D0">
        <w:rPr>
          <w:rStyle w:val="FootnoteReference"/>
          <w:rFonts w:ascii="Cambria" w:hAnsi="Cambria"/>
          <w:color w:val="000000" w:themeColor="text1"/>
        </w:rPr>
        <w:footnoteReference w:id="9"/>
      </w:r>
    </w:p>
    <w:p w14:paraId="25918091" w14:textId="77777777" w:rsidR="00235A62" w:rsidRPr="000842D0" w:rsidRDefault="00235A62" w:rsidP="00700703">
      <w:pPr>
        <w:ind w:right="-347"/>
        <w:jc w:val="both"/>
        <w:rPr>
          <w:rFonts w:ascii="Cambria" w:hAnsi="Cambria"/>
        </w:rPr>
      </w:pPr>
    </w:p>
    <w:p w14:paraId="59FA2F69" w14:textId="3840E011" w:rsidR="00700703" w:rsidRPr="000842D0" w:rsidRDefault="00700703" w:rsidP="00700703">
      <w:pPr>
        <w:ind w:right="-347"/>
        <w:jc w:val="both"/>
        <w:rPr>
          <w:rFonts w:ascii="Cambria" w:hAnsi="Cambria"/>
          <w:color w:val="000000" w:themeColor="text1"/>
        </w:rPr>
      </w:pPr>
      <w:r w:rsidRPr="000842D0">
        <w:rPr>
          <w:rFonts w:ascii="Cambria" w:hAnsi="Cambria"/>
        </w:rPr>
        <w:t xml:space="preserve">We also support, as has been recommended by some academics, the implementation of low cost and low interference measures that reinforce the need to remain impartial including written signs, </w:t>
      </w:r>
      <w:r w:rsidR="00277D48" w:rsidRPr="000842D0">
        <w:rPr>
          <w:rFonts w:ascii="Cambria" w:hAnsi="Cambria"/>
        </w:rPr>
        <w:t>posters and other</w:t>
      </w:r>
      <w:r w:rsidRPr="000842D0">
        <w:rPr>
          <w:rFonts w:ascii="Cambria" w:hAnsi="Cambria"/>
        </w:rPr>
        <w:t xml:space="preserve"> visual aids in the jury room and/or court precinct</w:t>
      </w:r>
      <w:r w:rsidRPr="000842D0">
        <w:rPr>
          <w:rFonts w:ascii="Cambria" w:hAnsi="Cambria"/>
          <w:color w:val="000000" w:themeColor="text1"/>
        </w:rPr>
        <w:t>.</w:t>
      </w:r>
      <w:bookmarkStart w:id="1" w:name="_Ref16363105"/>
      <w:r w:rsidRPr="000842D0">
        <w:rPr>
          <w:rStyle w:val="FootnoteReference"/>
          <w:rFonts w:ascii="Cambria" w:hAnsi="Cambria"/>
          <w:color w:val="000000" w:themeColor="text1"/>
        </w:rPr>
        <w:footnoteReference w:id="10"/>
      </w:r>
      <w:bookmarkEnd w:id="1"/>
      <w:r w:rsidRPr="000842D0">
        <w:rPr>
          <w:rFonts w:ascii="Cambria" w:hAnsi="Cambria"/>
          <w:color w:val="000000" w:themeColor="text1"/>
        </w:rPr>
        <w:t xml:space="preserve"> </w:t>
      </w:r>
    </w:p>
    <w:p w14:paraId="5AA62773" w14:textId="77777777" w:rsidR="00B25C42" w:rsidRPr="000842D0" w:rsidRDefault="00B25C42" w:rsidP="00700703">
      <w:pPr>
        <w:ind w:right="-347"/>
        <w:jc w:val="both"/>
        <w:rPr>
          <w:rFonts w:ascii="Cambria" w:hAnsi="Cambria"/>
          <w:color w:val="000000" w:themeColor="text1"/>
        </w:rPr>
      </w:pPr>
    </w:p>
    <w:p w14:paraId="334451ED" w14:textId="573E1317" w:rsidR="00B25C42" w:rsidRPr="000842D0" w:rsidRDefault="00B25C42" w:rsidP="00700703">
      <w:pPr>
        <w:ind w:right="-347"/>
        <w:jc w:val="both"/>
        <w:rPr>
          <w:rFonts w:ascii="Cambria" w:hAnsi="Cambria"/>
          <w:b/>
          <w:i/>
          <w:color w:val="000000" w:themeColor="text1"/>
        </w:rPr>
      </w:pPr>
      <w:r w:rsidRPr="000842D0">
        <w:rPr>
          <w:rFonts w:ascii="Cambria" w:hAnsi="Cambria"/>
          <w:b/>
          <w:i/>
          <w:color w:val="000000" w:themeColor="text1"/>
        </w:rPr>
        <w:t>Juror Misconduct</w:t>
      </w:r>
    </w:p>
    <w:p w14:paraId="769F459A" w14:textId="00273A65" w:rsidR="00B25C42" w:rsidRPr="000842D0" w:rsidRDefault="00B25C42" w:rsidP="00700703">
      <w:pPr>
        <w:ind w:right="-347"/>
        <w:jc w:val="both"/>
        <w:rPr>
          <w:rFonts w:ascii="Cambria" w:hAnsi="Cambria"/>
          <w:color w:val="000000" w:themeColor="text1"/>
        </w:rPr>
      </w:pPr>
      <w:r w:rsidRPr="000842D0">
        <w:rPr>
          <w:rFonts w:ascii="Cambria" w:hAnsi="Cambria"/>
          <w:color w:val="000000" w:themeColor="text1"/>
        </w:rPr>
        <w:t xml:space="preserve">As well as the unlawful use of the Internet and social media during a trial, juror misconduct may also include seeking to influence </w:t>
      </w:r>
      <w:r w:rsidR="001227F6" w:rsidRPr="000842D0">
        <w:rPr>
          <w:rFonts w:ascii="Cambria" w:hAnsi="Cambria"/>
          <w:color w:val="000000" w:themeColor="text1"/>
        </w:rPr>
        <w:t xml:space="preserve">other </w:t>
      </w:r>
      <w:r w:rsidRPr="000842D0">
        <w:rPr>
          <w:rFonts w:ascii="Cambria" w:hAnsi="Cambria"/>
          <w:color w:val="000000" w:themeColor="text1"/>
        </w:rPr>
        <w:t>jurors. In our op</w:t>
      </w:r>
      <w:r w:rsidR="001227F6" w:rsidRPr="000842D0">
        <w:rPr>
          <w:rFonts w:ascii="Cambria" w:hAnsi="Cambria"/>
          <w:color w:val="000000" w:themeColor="text1"/>
        </w:rPr>
        <w:t>inion,</w:t>
      </w:r>
      <w:r w:rsidRPr="000842D0">
        <w:rPr>
          <w:rFonts w:ascii="Cambria" w:hAnsi="Cambria"/>
          <w:color w:val="000000" w:themeColor="text1"/>
        </w:rPr>
        <w:t xml:space="preserve"> </w:t>
      </w:r>
      <w:r w:rsidR="001227F6" w:rsidRPr="000842D0">
        <w:rPr>
          <w:rFonts w:ascii="Cambria" w:hAnsi="Cambria"/>
          <w:color w:val="000000" w:themeColor="text1"/>
        </w:rPr>
        <w:t>measures should be implemented to ensure that jurors are able to easily re</w:t>
      </w:r>
      <w:r w:rsidR="00371A27" w:rsidRPr="000842D0">
        <w:rPr>
          <w:rFonts w:ascii="Cambria" w:hAnsi="Cambria"/>
          <w:color w:val="000000" w:themeColor="text1"/>
        </w:rPr>
        <w:t>port incidents</w:t>
      </w:r>
      <w:r w:rsidR="001227F6" w:rsidRPr="000842D0">
        <w:rPr>
          <w:rFonts w:ascii="Cambria" w:hAnsi="Cambria"/>
          <w:color w:val="000000" w:themeColor="text1"/>
        </w:rPr>
        <w:t xml:space="preserve"> of juror misconduct. An easy to follow process for reporting juror misconduct is likely to deter jurors from engaging in misconduct due to the risk of detection as well as increasing the chance that jurors do not share the results of their misconduct with other jurors. </w:t>
      </w:r>
      <w:r w:rsidR="00371A27" w:rsidRPr="000842D0">
        <w:rPr>
          <w:rFonts w:ascii="Cambria" w:hAnsi="Cambria"/>
          <w:color w:val="000000" w:themeColor="text1"/>
        </w:rPr>
        <w:t xml:space="preserve">With research from the United Kingdom demonstrating that almost half of all jurors </w:t>
      </w:r>
      <w:r w:rsidR="00C27C20" w:rsidRPr="000842D0">
        <w:rPr>
          <w:rFonts w:ascii="Cambria" w:hAnsi="Cambria"/>
          <w:color w:val="000000" w:themeColor="text1"/>
        </w:rPr>
        <w:t>are unsure what to do if something improper occurred during jury deliberations</w:t>
      </w:r>
      <w:r w:rsidR="00C27C20" w:rsidRPr="000842D0">
        <w:rPr>
          <w:rStyle w:val="FootnoteReference"/>
          <w:rFonts w:ascii="Cambria" w:hAnsi="Cambria"/>
          <w:color w:val="000000" w:themeColor="text1"/>
        </w:rPr>
        <w:footnoteReference w:id="11"/>
      </w:r>
      <w:r w:rsidR="00C27C20" w:rsidRPr="000842D0">
        <w:rPr>
          <w:rFonts w:ascii="Cambria" w:hAnsi="Cambria"/>
          <w:color w:val="000000" w:themeColor="text1"/>
        </w:rPr>
        <w:t xml:space="preserve"> w</w:t>
      </w:r>
      <w:r w:rsidR="001227F6" w:rsidRPr="000842D0">
        <w:rPr>
          <w:rFonts w:ascii="Cambria" w:hAnsi="Cambria"/>
          <w:color w:val="000000" w:themeColor="text1"/>
        </w:rPr>
        <w:t>e believe that</w:t>
      </w:r>
      <w:r w:rsidR="00C11CFD" w:rsidRPr="000842D0">
        <w:rPr>
          <w:rFonts w:ascii="Cambria" w:hAnsi="Cambria"/>
          <w:color w:val="000000" w:themeColor="text1"/>
        </w:rPr>
        <w:t xml:space="preserve"> </w:t>
      </w:r>
      <w:r w:rsidR="00A300AB">
        <w:rPr>
          <w:rFonts w:ascii="Cambria" w:hAnsi="Cambria"/>
          <w:color w:val="000000" w:themeColor="text1"/>
        </w:rPr>
        <w:t xml:space="preserve">current procedures should be reviewed. Options that could be considered include </w:t>
      </w:r>
      <w:r w:rsidR="00C11CFD" w:rsidRPr="000842D0">
        <w:rPr>
          <w:rFonts w:ascii="Cambria" w:hAnsi="Cambria"/>
          <w:color w:val="000000" w:themeColor="text1"/>
        </w:rPr>
        <w:t xml:space="preserve">the installation of a box in the vicinity of the jury room that notes could be dropped into, a hotline that people could call or an email address that anonymous information could be sent to. </w:t>
      </w:r>
      <w:r w:rsidR="001227F6" w:rsidRPr="000842D0">
        <w:rPr>
          <w:rFonts w:ascii="Cambria" w:hAnsi="Cambria"/>
          <w:color w:val="000000" w:themeColor="text1"/>
        </w:rPr>
        <w:t xml:space="preserve">  </w:t>
      </w:r>
    </w:p>
    <w:p w14:paraId="1E887815" w14:textId="77777777" w:rsidR="00725E79" w:rsidRPr="000842D0" w:rsidRDefault="00725E79" w:rsidP="00700703">
      <w:pPr>
        <w:ind w:right="-347"/>
        <w:jc w:val="both"/>
        <w:rPr>
          <w:rFonts w:ascii="Cambria" w:hAnsi="Cambria"/>
          <w:color w:val="000000" w:themeColor="text1"/>
        </w:rPr>
      </w:pPr>
    </w:p>
    <w:p w14:paraId="385C9360" w14:textId="77777777" w:rsidR="000D29B3" w:rsidRPr="000842D0" w:rsidRDefault="000D29B3" w:rsidP="000D29B3">
      <w:pPr>
        <w:ind w:right="-347"/>
        <w:jc w:val="both"/>
        <w:rPr>
          <w:rFonts w:ascii="Cambria" w:hAnsi="Cambria"/>
          <w:color w:val="000000" w:themeColor="text1"/>
        </w:rPr>
      </w:pPr>
      <w:r w:rsidRPr="000842D0">
        <w:rPr>
          <w:rFonts w:ascii="Cambria" w:eastAsia="Times New Roman" w:hAnsi="Cambria"/>
          <w:bCs/>
          <w:color w:val="000000" w:themeColor="text1"/>
        </w:rPr>
        <w:t>If we can be of any further assistance, please do not hesitate to contact us.</w:t>
      </w:r>
    </w:p>
    <w:p w14:paraId="528E975A" w14:textId="77777777" w:rsidR="000D29B3" w:rsidRPr="000842D0" w:rsidRDefault="000D29B3" w:rsidP="000D29B3">
      <w:pPr>
        <w:shd w:val="clear" w:color="auto" w:fill="FFFFFF"/>
        <w:ind w:right="-347"/>
        <w:jc w:val="both"/>
        <w:rPr>
          <w:rFonts w:ascii="Cambria" w:eastAsia="Times New Roman" w:hAnsi="Cambria"/>
          <w:bCs/>
          <w:color w:val="000000" w:themeColor="text1"/>
        </w:rPr>
      </w:pPr>
    </w:p>
    <w:p w14:paraId="43512A7E" w14:textId="77777777" w:rsidR="000D29B3" w:rsidRPr="000842D0" w:rsidRDefault="000D29B3" w:rsidP="000D29B3">
      <w:pPr>
        <w:shd w:val="clear" w:color="auto" w:fill="FFFFFF"/>
        <w:ind w:right="-347"/>
        <w:jc w:val="both"/>
        <w:rPr>
          <w:rFonts w:ascii="Cambria" w:eastAsia="Times New Roman" w:hAnsi="Cambria"/>
          <w:bCs/>
          <w:color w:val="000000" w:themeColor="text1"/>
        </w:rPr>
      </w:pPr>
    </w:p>
    <w:p w14:paraId="1BD7F29A" w14:textId="77777777" w:rsidR="000D29B3" w:rsidRPr="000842D0" w:rsidRDefault="000D29B3" w:rsidP="000D29B3">
      <w:pPr>
        <w:shd w:val="clear" w:color="auto" w:fill="FFFFFF"/>
        <w:ind w:right="-347"/>
        <w:jc w:val="both"/>
        <w:rPr>
          <w:rFonts w:ascii="Cambria" w:eastAsia="Times New Roman" w:hAnsi="Cambria"/>
          <w:bCs/>
          <w:color w:val="000000" w:themeColor="text1"/>
        </w:rPr>
      </w:pPr>
      <w:r w:rsidRPr="000842D0">
        <w:rPr>
          <w:rFonts w:ascii="Cambria" w:eastAsia="Times New Roman" w:hAnsi="Cambria"/>
          <w:bCs/>
          <w:color w:val="000000" w:themeColor="text1"/>
        </w:rPr>
        <w:t>Yours faithfully,</w:t>
      </w:r>
    </w:p>
    <w:p w14:paraId="4682B4B8" w14:textId="77777777" w:rsidR="000D29B3" w:rsidRPr="000842D0" w:rsidRDefault="000D29B3" w:rsidP="000D29B3">
      <w:pPr>
        <w:shd w:val="clear" w:color="auto" w:fill="FFFFFF"/>
        <w:ind w:right="-347"/>
        <w:jc w:val="both"/>
        <w:rPr>
          <w:rFonts w:ascii="Cambria" w:eastAsia="Times New Roman" w:hAnsi="Cambria"/>
          <w:bCs/>
          <w:color w:val="000000" w:themeColor="text1"/>
        </w:rPr>
      </w:pPr>
    </w:p>
    <w:p w14:paraId="1F5BC838" w14:textId="77777777" w:rsidR="000D29B3" w:rsidRPr="000842D0" w:rsidRDefault="000D29B3" w:rsidP="000D29B3">
      <w:pPr>
        <w:shd w:val="clear" w:color="auto" w:fill="FFFFFF"/>
        <w:ind w:right="-347"/>
        <w:jc w:val="both"/>
        <w:rPr>
          <w:rFonts w:ascii="Cambria" w:eastAsia="Times New Roman" w:hAnsi="Cambria"/>
          <w:bCs/>
          <w:color w:val="000000" w:themeColor="text1"/>
        </w:rPr>
      </w:pPr>
    </w:p>
    <w:p w14:paraId="1F1CC9DD" w14:textId="77777777" w:rsidR="000D29B3" w:rsidRPr="000842D0" w:rsidRDefault="000D29B3" w:rsidP="000D29B3">
      <w:pPr>
        <w:shd w:val="clear" w:color="auto" w:fill="FFFFFF"/>
        <w:ind w:right="-347"/>
        <w:jc w:val="both"/>
        <w:rPr>
          <w:rFonts w:ascii="Cambria" w:eastAsia="Times New Roman" w:hAnsi="Cambria"/>
          <w:bCs/>
          <w:color w:val="000000" w:themeColor="text1"/>
        </w:rPr>
      </w:pPr>
    </w:p>
    <w:p w14:paraId="2E78DBA2" w14:textId="77777777" w:rsidR="000D29B3" w:rsidRPr="000842D0" w:rsidRDefault="000D29B3" w:rsidP="000D29B3">
      <w:pPr>
        <w:shd w:val="clear" w:color="auto" w:fill="FFFFFF"/>
        <w:ind w:right="-347"/>
        <w:jc w:val="both"/>
        <w:rPr>
          <w:rFonts w:ascii="Cambria" w:eastAsia="Times New Roman" w:hAnsi="Cambria"/>
          <w:bCs/>
          <w:color w:val="000000" w:themeColor="text1"/>
        </w:rPr>
      </w:pPr>
      <w:r w:rsidRPr="000842D0">
        <w:rPr>
          <w:rFonts w:ascii="Cambria" w:eastAsia="Times New Roman" w:hAnsi="Cambria"/>
          <w:bCs/>
          <w:color w:val="000000" w:themeColor="text1"/>
        </w:rPr>
        <w:t xml:space="preserve">Benedict </w:t>
      </w:r>
      <w:proofErr w:type="spellStart"/>
      <w:r w:rsidRPr="000842D0">
        <w:rPr>
          <w:rFonts w:ascii="Cambria" w:eastAsia="Times New Roman" w:hAnsi="Cambria"/>
          <w:bCs/>
          <w:color w:val="000000" w:themeColor="text1"/>
        </w:rPr>
        <w:t>Bartl</w:t>
      </w:r>
      <w:proofErr w:type="spellEnd"/>
    </w:p>
    <w:p w14:paraId="6D8EA01A" w14:textId="77777777" w:rsidR="000D29B3" w:rsidRPr="000842D0" w:rsidRDefault="000D29B3" w:rsidP="000D29B3">
      <w:pPr>
        <w:shd w:val="clear" w:color="auto" w:fill="FFFFFF"/>
        <w:ind w:right="-347"/>
        <w:jc w:val="both"/>
        <w:rPr>
          <w:rFonts w:ascii="Cambria" w:eastAsia="Times New Roman" w:hAnsi="Cambria"/>
          <w:bCs/>
          <w:color w:val="000000" w:themeColor="text1"/>
        </w:rPr>
      </w:pPr>
      <w:r w:rsidRPr="000842D0">
        <w:rPr>
          <w:rFonts w:ascii="Cambria" w:eastAsia="Times New Roman" w:hAnsi="Cambria"/>
          <w:bCs/>
          <w:color w:val="000000" w:themeColor="text1"/>
        </w:rPr>
        <w:t>Policy Officer</w:t>
      </w:r>
    </w:p>
    <w:p w14:paraId="13A105E0" w14:textId="77777777" w:rsidR="000D29B3" w:rsidRPr="000842D0" w:rsidRDefault="000D29B3" w:rsidP="000D29B3">
      <w:pPr>
        <w:pBdr>
          <w:bottom w:val="single" w:sz="6" w:space="1" w:color="auto"/>
        </w:pBdr>
        <w:shd w:val="clear" w:color="auto" w:fill="FFFFFF"/>
        <w:ind w:right="-347"/>
        <w:jc w:val="both"/>
        <w:rPr>
          <w:rFonts w:ascii="Cambria" w:eastAsia="Times New Roman" w:hAnsi="Cambria"/>
          <w:b/>
          <w:bCs/>
          <w:color w:val="000000" w:themeColor="text1"/>
        </w:rPr>
      </w:pPr>
      <w:r w:rsidRPr="000842D0">
        <w:rPr>
          <w:rFonts w:ascii="Cambria" w:eastAsia="Times New Roman" w:hAnsi="Cambria"/>
          <w:b/>
          <w:bCs/>
          <w:color w:val="000000" w:themeColor="text1"/>
        </w:rPr>
        <w:t xml:space="preserve">Community Legal </w:t>
      </w:r>
      <w:proofErr w:type="spellStart"/>
      <w:r w:rsidRPr="000842D0">
        <w:rPr>
          <w:rFonts w:ascii="Cambria" w:eastAsia="Times New Roman" w:hAnsi="Cambria"/>
          <w:b/>
          <w:bCs/>
          <w:color w:val="000000" w:themeColor="text1"/>
        </w:rPr>
        <w:t>Centres</w:t>
      </w:r>
      <w:proofErr w:type="spellEnd"/>
      <w:r w:rsidRPr="000842D0">
        <w:rPr>
          <w:rFonts w:ascii="Cambria" w:eastAsia="Times New Roman" w:hAnsi="Cambria"/>
          <w:b/>
          <w:bCs/>
          <w:color w:val="000000" w:themeColor="text1"/>
        </w:rPr>
        <w:t xml:space="preserve"> Tasmania</w:t>
      </w:r>
    </w:p>
    <w:p w14:paraId="236B22BE" w14:textId="77777777" w:rsidR="00E80A1B" w:rsidRPr="000842D0" w:rsidRDefault="00E80A1B">
      <w:pPr>
        <w:rPr>
          <w:rFonts w:ascii="Cambria" w:hAnsi="Cambria"/>
        </w:rPr>
      </w:pPr>
    </w:p>
    <w:p w14:paraId="523B8EF6" w14:textId="77777777" w:rsidR="00C8145C" w:rsidRPr="000842D0" w:rsidRDefault="00C8145C" w:rsidP="008617BC">
      <w:pPr>
        <w:rPr>
          <w:rFonts w:ascii="Cambria" w:eastAsia="Times New Roman" w:hAnsi="Cambria"/>
        </w:rPr>
      </w:pPr>
    </w:p>
    <w:sectPr w:rsidR="00C8145C" w:rsidRPr="000842D0" w:rsidSect="004C14B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EFED4" w14:textId="77777777" w:rsidR="00064693" w:rsidRDefault="00064693" w:rsidP="000D29B3">
      <w:r>
        <w:separator/>
      </w:r>
    </w:p>
  </w:endnote>
  <w:endnote w:type="continuationSeparator" w:id="0">
    <w:p w14:paraId="0BD77421" w14:textId="77777777" w:rsidR="00064693" w:rsidRDefault="00064693" w:rsidP="000D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Bold Italic">
    <w:charset w:val="00"/>
    <w:family w:val="auto"/>
    <w:pitch w:val="variable"/>
    <w:sig w:usb0="E10002FF" w:usb1="4000ACFF" w:usb2="00000009" w:usb3="00000000" w:csb0="0000019F" w:csb1="00000000"/>
  </w:font>
  <w:font w:name="Times Roman">
    <w:charset w:val="00"/>
    <w:family w:val="auto"/>
    <w:pitch w:val="variable"/>
    <w:sig w:usb0="E00002FF" w:usb1="5000205A"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63E88" w14:textId="77777777" w:rsidR="00064693" w:rsidRDefault="00064693" w:rsidP="000D29B3">
      <w:r>
        <w:separator/>
      </w:r>
    </w:p>
  </w:footnote>
  <w:footnote w:type="continuationSeparator" w:id="0">
    <w:p w14:paraId="7BC946AB" w14:textId="77777777" w:rsidR="00064693" w:rsidRDefault="00064693" w:rsidP="000D29B3">
      <w:r>
        <w:continuationSeparator/>
      </w:r>
    </w:p>
  </w:footnote>
  <w:footnote w:id="1">
    <w:p w14:paraId="081DDAE2" w14:textId="13F479A3" w:rsidR="00371A27" w:rsidRPr="000842D0" w:rsidRDefault="00371A27" w:rsidP="00B15F43">
      <w:pPr>
        <w:pStyle w:val="FootnoteTextTLRI"/>
        <w:rPr>
          <w:rFonts w:ascii="Cambria" w:hAnsi="Cambria"/>
        </w:rPr>
      </w:pPr>
      <w:r w:rsidRPr="000842D0">
        <w:rPr>
          <w:rStyle w:val="FootnoteReference"/>
          <w:rFonts w:ascii="Cambria" w:hAnsi="Cambria"/>
          <w:sz w:val="24"/>
        </w:rPr>
        <w:footnoteRef/>
      </w:r>
      <w:r w:rsidRPr="000842D0">
        <w:rPr>
          <w:rFonts w:ascii="Cambria" w:hAnsi="Cambria"/>
          <w:sz w:val="24"/>
        </w:rPr>
        <w:t xml:space="preserve"> </w:t>
      </w:r>
      <w:r w:rsidRPr="000842D0">
        <w:rPr>
          <w:rFonts w:ascii="Cambria" w:hAnsi="Cambria"/>
          <w:i/>
          <w:iCs/>
        </w:rPr>
        <w:t xml:space="preserve">Murphy v R </w:t>
      </w:r>
      <w:r w:rsidRPr="000842D0">
        <w:rPr>
          <w:rFonts w:ascii="Cambria" w:hAnsi="Cambria"/>
        </w:rPr>
        <w:t xml:space="preserve">(1989) 167 CLR 94 at 98–99 per Mason CJ and </w:t>
      </w:r>
      <w:proofErr w:type="spellStart"/>
      <w:r w:rsidRPr="000842D0">
        <w:rPr>
          <w:rFonts w:ascii="Cambria" w:hAnsi="Cambria"/>
        </w:rPr>
        <w:t>Toohey</w:t>
      </w:r>
      <w:proofErr w:type="spellEnd"/>
      <w:r w:rsidRPr="000842D0">
        <w:rPr>
          <w:rFonts w:ascii="Cambria" w:hAnsi="Cambria"/>
        </w:rPr>
        <w:t xml:space="preserve"> J. </w:t>
      </w:r>
    </w:p>
  </w:footnote>
  <w:footnote w:id="2">
    <w:p w14:paraId="11667D0B" w14:textId="34FDCDA3" w:rsidR="00371A27" w:rsidRPr="000842D0" w:rsidRDefault="00371A27">
      <w:pPr>
        <w:pStyle w:val="FootnoteText"/>
        <w:rPr>
          <w:rFonts w:ascii="Cambria" w:hAnsi="Cambria"/>
        </w:rPr>
      </w:pPr>
      <w:r w:rsidRPr="000842D0">
        <w:rPr>
          <w:rStyle w:val="FootnoteReference"/>
          <w:rFonts w:ascii="Cambria" w:hAnsi="Cambria"/>
        </w:rPr>
        <w:footnoteRef/>
      </w:r>
      <w:r w:rsidRPr="000842D0">
        <w:rPr>
          <w:rFonts w:ascii="Cambria" w:hAnsi="Cambria"/>
        </w:rPr>
        <w:t xml:space="preserve"> </w:t>
      </w:r>
      <w:r w:rsidR="000C405D" w:rsidRPr="000842D0">
        <w:rPr>
          <w:rFonts w:ascii="Cambria" w:hAnsi="Cambria"/>
          <w:sz w:val="20"/>
          <w:szCs w:val="20"/>
        </w:rPr>
        <w:t xml:space="preserve">Patrick </w:t>
      </w:r>
      <w:proofErr w:type="spellStart"/>
      <w:r w:rsidR="000C405D" w:rsidRPr="000842D0">
        <w:rPr>
          <w:rFonts w:ascii="Cambria" w:hAnsi="Cambria"/>
          <w:sz w:val="20"/>
          <w:szCs w:val="20"/>
        </w:rPr>
        <w:t>Keyzer</w:t>
      </w:r>
      <w:proofErr w:type="spellEnd"/>
      <w:r w:rsidR="000C405D" w:rsidRPr="000842D0">
        <w:rPr>
          <w:rFonts w:ascii="Cambria" w:hAnsi="Cambria"/>
          <w:sz w:val="20"/>
          <w:szCs w:val="20"/>
        </w:rPr>
        <w:t>, Jane Johnstone, Mark Pearson, Sharon Rodrick and Anne Wallace</w:t>
      </w:r>
      <w:r w:rsidRPr="000842D0">
        <w:rPr>
          <w:rFonts w:ascii="Cambria" w:hAnsi="Cambria"/>
          <w:sz w:val="20"/>
          <w:szCs w:val="20"/>
        </w:rPr>
        <w:t>,</w:t>
      </w:r>
      <w:r w:rsidR="000C405D" w:rsidRPr="000842D0">
        <w:rPr>
          <w:rFonts w:ascii="Cambria" w:hAnsi="Cambria"/>
          <w:sz w:val="20"/>
          <w:szCs w:val="20"/>
        </w:rPr>
        <w:t xml:space="preserve"> ‘The courts and social media: what do judges and court workers t</w:t>
      </w:r>
      <w:r w:rsidRPr="000842D0">
        <w:rPr>
          <w:rFonts w:ascii="Cambria" w:hAnsi="Cambria"/>
          <w:sz w:val="20"/>
          <w:szCs w:val="20"/>
        </w:rPr>
        <w:t xml:space="preserve">hink?’ (2013) 25(6) </w:t>
      </w:r>
      <w:r w:rsidR="000C405D" w:rsidRPr="000842D0">
        <w:rPr>
          <w:rFonts w:ascii="Cambria" w:hAnsi="Cambria"/>
          <w:i/>
          <w:iCs/>
          <w:sz w:val="20"/>
          <w:szCs w:val="20"/>
        </w:rPr>
        <w:t>Judicial Officer</w:t>
      </w:r>
      <w:r w:rsidRPr="000842D0">
        <w:rPr>
          <w:rFonts w:ascii="Cambria" w:hAnsi="Cambria"/>
          <w:i/>
          <w:iCs/>
          <w:sz w:val="20"/>
          <w:szCs w:val="20"/>
        </w:rPr>
        <w:t>s</w:t>
      </w:r>
      <w:r w:rsidR="000C405D" w:rsidRPr="000842D0">
        <w:rPr>
          <w:rFonts w:ascii="Cambria" w:hAnsi="Cambria"/>
          <w:i/>
          <w:iCs/>
          <w:sz w:val="20"/>
          <w:szCs w:val="20"/>
        </w:rPr>
        <w:t>’</w:t>
      </w:r>
      <w:r w:rsidRPr="000842D0">
        <w:rPr>
          <w:rFonts w:ascii="Cambria" w:hAnsi="Cambria"/>
          <w:i/>
          <w:iCs/>
          <w:sz w:val="20"/>
          <w:szCs w:val="20"/>
        </w:rPr>
        <w:t xml:space="preserve"> Bulletin</w:t>
      </w:r>
      <w:r w:rsidR="000C405D" w:rsidRPr="000842D0">
        <w:rPr>
          <w:rFonts w:ascii="Cambria" w:hAnsi="Cambria"/>
          <w:sz w:val="20"/>
          <w:szCs w:val="20"/>
        </w:rPr>
        <w:t xml:space="preserve"> </w:t>
      </w:r>
      <w:r w:rsidRPr="000842D0">
        <w:rPr>
          <w:rFonts w:ascii="Cambria" w:hAnsi="Cambria"/>
          <w:sz w:val="20"/>
          <w:szCs w:val="20"/>
        </w:rPr>
        <w:t>47.</w:t>
      </w:r>
    </w:p>
  </w:footnote>
  <w:footnote w:id="3">
    <w:p w14:paraId="044B65D3" w14:textId="761CD2AF" w:rsidR="00371A27" w:rsidRPr="000842D0" w:rsidRDefault="00371A27" w:rsidP="00B02A1D">
      <w:pPr>
        <w:pStyle w:val="FootnoteText"/>
        <w:rPr>
          <w:rFonts w:ascii="Cambria" w:hAnsi="Cambria"/>
          <w:szCs w:val="18"/>
        </w:rPr>
      </w:pPr>
      <w:r w:rsidRPr="000842D0">
        <w:rPr>
          <w:rStyle w:val="FootnoteReference"/>
          <w:rFonts w:ascii="Cambria" w:hAnsi="Cambria"/>
          <w:szCs w:val="18"/>
        </w:rPr>
        <w:footnoteRef/>
      </w:r>
      <w:r w:rsidRPr="000842D0">
        <w:rPr>
          <w:rFonts w:ascii="Cambria" w:hAnsi="Cambria"/>
          <w:szCs w:val="18"/>
        </w:rPr>
        <w:t xml:space="preserve"> </w:t>
      </w:r>
      <w:r w:rsidRPr="000842D0">
        <w:rPr>
          <w:rFonts w:ascii="Cambria" w:hAnsi="Cambria"/>
          <w:sz w:val="20"/>
          <w:szCs w:val="20"/>
        </w:rPr>
        <w:t>Ibid</w:t>
      </w:r>
      <w:r w:rsidR="000C405D" w:rsidRPr="000842D0">
        <w:rPr>
          <w:rFonts w:ascii="Cambria" w:hAnsi="Cambria"/>
          <w:sz w:val="20"/>
          <w:szCs w:val="20"/>
        </w:rPr>
        <w:t xml:space="preserve"> at 48</w:t>
      </w:r>
      <w:r w:rsidRPr="000842D0">
        <w:rPr>
          <w:rFonts w:ascii="Cambria" w:hAnsi="Cambria"/>
          <w:sz w:val="20"/>
          <w:szCs w:val="20"/>
        </w:rPr>
        <w:t>.</w:t>
      </w:r>
    </w:p>
  </w:footnote>
  <w:footnote w:id="4">
    <w:p w14:paraId="7736CDE0" w14:textId="42363DF5" w:rsidR="00371A27" w:rsidRPr="000842D0" w:rsidRDefault="00371A27" w:rsidP="00B06928">
      <w:pPr>
        <w:pStyle w:val="FootnoteTextTLRI"/>
        <w:ind w:left="0" w:firstLine="0"/>
        <w:jc w:val="left"/>
        <w:rPr>
          <w:rFonts w:ascii="Cambria" w:hAnsi="Cambria" w:cs="Times Roman"/>
        </w:rPr>
      </w:pPr>
      <w:r w:rsidRPr="000842D0">
        <w:rPr>
          <w:rStyle w:val="FootnoteReference"/>
          <w:rFonts w:ascii="Cambria" w:hAnsi="Cambria"/>
          <w:sz w:val="24"/>
        </w:rPr>
        <w:footnoteRef/>
      </w:r>
      <w:r w:rsidRPr="000842D0">
        <w:rPr>
          <w:rFonts w:ascii="Cambria" w:hAnsi="Cambria"/>
          <w:sz w:val="24"/>
        </w:rPr>
        <w:t xml:space="preserve"> </w:t>
      </w:r>
      <w:r w:rsidRPr="000842D0">
        <w:rPr>
          <w:rFonts w:ascii="Cambria" w:hAnsi="Cambria"/>
        </w:rPr>
        <w:t xml:space="preserve">Brian Grow, ‘As jurors go online, US trials go off track’, </w:t>
      </w:r>
      <w:r w:rsidR="000C405D" w:rsidRPr="000842D0">
        <w:rPr>
          <w:rFonts w:ascii="Cambria" w:hAnsi="Cambria"/>
          <w:i/>
        </w:rPr>
        <w:t>Reuters</w:t>
      </w:r>
      <w:r w:rsidR="000C405D" w:rsidRPr="000842D0">
        <w:rPr>
          <w:rFonts w:ascii="Cambria" w:hAnsi="Cambria"/>
        </w:rPr>
        <w:t>, 9 December</w:t>
      </w:r>
      <w:r w:rsidRPr="000842D0">
        <w:rPr>
          <w:rFonts w:ascii="Cambria" w:hAnsi="Cambria"/>
        </w:rPr>
        <w:t xml:space="preserve"> 2010. As found at </w:t>
      </w:r>
    </w:p>
    <w:p w14:paraId="7AF2AFA5" w14:textId="62F69C16" w:rsidR="00371A27" w:rsidRPr="000842D0" w:rsidRDefault="00064693" w:rsidP="00334285">
      <w:pPr>
        <w:pStyle w:val="FootnoteTextTLRI"/>
        <w:ind w:left="0" w:firstLine="0"/>
        <w:jc w:val="left"/>
        <w:rPr>
          <w:rFonts w:ascii="Cambria" w:hAnsi="Cambria" w:cs="Times Roman"/>
        </w:rPr>
      </w:pPr>
      <w:hyperlink r:id="rId1" w:history="1">
        <w:r w:rsidR="00371A27" w:rsidRPr="000842D0">
          <w:rPr>
            <w:rStyle w:val="Hyperlink"/>
            <w:rFonts w:ascii="Cambria" w:hAnsi="Cambria"/>
          </w:rPr>
          <w:t>http://www.reuters.com/article/2010/12/08/internetInternet-jurors-idUSN0816547120101208</w:t>
        </w:r>
      </w:hyperlink>
      <w:r w:rsidR="000C405D" w:rsidRPr="000842D0">
        <w:rPr>
          <w:rFonts w:ascii="Cambria" w:hAnsi="Cambria"/>
          <w:color w:val="0000FF"/>
        </w:rPr>
        <w:t xml:space="preserve"> </w:t>
      </w:r>
      <w:r w:rsidR="00371A27" w:rsidRPr="000842D0">
        <w:rPr>
          <w:rFonts w:ascii="Cambria" w:hAnsi="Cambria"/>
        </w:rPr>
        <w:t xml:space="preserve">(Accessed 8 October 2019).  </w:t>
      </w:r>
      <w:r w:rsidR="00371A27" w:rsidRPr="000842D0">
        <w:rPr>
          <w:rFonts w:ascii="Cambria" w:hAnsi="Cambria"/>
          <w:color w:val="0000FF"/>
        </w:rPr>
        <w:t xml:space="preserve"> </w:t>
      </w:r>
    </w:p>
  </w:footnote>
  <w:footnote w:id="5">
    <w:p w14:paraId="00FD1CCA" w14:textId="61C2B380" w:rsidR="00371A27" w:rsidRPr="000842D0" w:rsidRDefault="00371A27" w:rsidP="000D148B">
      <w:pPr>
        <w:pStyle w:val="NoSpacing"/>
        <w:rPr>
          <w:rFonts w:ascii="Cambria" w:eastAsiaTheme="minorHAnsi" w:hAnsi="Cambria" w:cs="Times Roman"/>
          <w:color w:val="000000"/>
        </w:rPr>
      </w:pPr>
      <w:r w:rsidRPr="000842D0">
        <w:rPr>
          <w:rStyle w:val="FootnoteReference"/>
          <w:rFonts w:ascii="Cambria" w:hAnsi="Cambria"/>
        </w:rPr>
        <w:footnoteRef/>
      </w:r>
      <w:r w:rsidRPr="000842D0">
        <w:rPr>
          <w:rFonts w:ascii="Cambria" w:hAnsi="Cambria"/>
        </w:rPr>
        <w:t xml:space="preserve"> </w:t>
      </w:r>
      <w:r w:rsidRPr="000842D0">
        <w:rPr>
          <w:rStyle w:val="FootnoteTextTLRIChar"/>
          <w:rFonts w:ascii="Cambria" w:hAnsi="Cambria"/>
        </w:rPr>
        <w:t xml:space="preserve">United Kingdom Law Commission, </w:t>
      </w:r>
      <w:r w:rsidRPr="000842D0">
        <w:rPr>
          <w:rStyle w:val="FootnoteTextTLRIChar"/>
          <w:rFonts w:ascii="Cambria" w:hAnsi="Cambria"/>
          <w:i/>
        </w:rPr>
        <w:t xml:space="preserve">Contempt of Court: </w:t>
      </w:r>
      <w:r w:rsidR="00E80C13" w:rsidRPr="000842D0">
        <w:rPr>
          <w:rStyle w:val="FootnoteTextTLRIChar"/>
          <w:rFonts w:ascii="Cambria" w:hAnsi="Cambria"/>
          <w:i/>
        </w:rPr>
        <w:t xml:space="preserve">A </w:t>
      </w:r>
      <w:r w:rsidRPr="000842D0">
        <w:rPr>
          <w:rStyle w:val="FootnoteTextTLRIChar"/>
          <w:rFonts w:ascii="Cambria" w:hAnsi="Cambria"/>
          <w:i/>
        </w:rPr>
        <w:t>Consultation Paper</w:t>
      </w:r>
      <w:r w:rsidRPr="000842D0">
        <w:rPr>
          <w:rStyle w:val="FootnoteTextTLRIChar"/>
          <w:rFonts w:ascii="Cambria" w:hAnsi="Cambria"/>
        </w:rPr>
        <w:t xml:space="preserve"> (</w:t>
      </w:r>
      <w:r w:rsidR="00E80C13" w:rsidRPr="000842D0">
        <w:rPr>
          <w:rStyle w:val="FootnoteTextTLRIChar"/>
          <w:rFonts w:ascii="Cambria" w:hAnsi="Cambria"/>
        </w:rPr>
        <w:t xml:space="preserve">Consultation Paper No 209: </w:t>
      </w:r>
      <w:r w:rsidRPr="000842D0">
        <w:rPr>
          <w:rStyle w:val="FootnoteTextTLRIChar"/>
          <w:rFonts w:ascii="Cambria" w:hAnsi="Cambria"/>
        </w:rPr>
        <w:t>2012) at 62.</w:t>
      </w:r>
      <w:r w:rsidRPr="000842D0">
        <w:rPr>
          <w:rFonts w:ascii="Cambria" w:eastAsiaTheme="minorHAnsi" w:hAnsi="Cambria" w:cs="Times Roman"/>
          <w:color w:val="000000"/>
          <w:sz w:val="26"/>
          <w:szCs w:val="26"/>
        </w:rPr>
        <w:t xml:space="preserve">  </w:t>
      </w:r>
    </w:p>
  </w:footnote>
  <w:footnote w:id="6">
    <w:p w14:paraId="139258AF" w14:textId="018E4129" w:rsidR="00371A27" w:rsidRPr="000842D0" w:rsidRDefault="00371A27" w:rsidP="00E80C13">
      <w:pPr>
        <w:rPr>
          <w:rFonts w:ascii="Cambria" w:eastAsia="Times New Roman" w:hAnsi="Cambria"/>
        </w:rPr>
      </w:pPr>
      <w:r w:rsidRPr="000842D0">
        <w:rPr>
          <w:rStyle w:val="FootnoteReference"/>
          <w:rFonts w:ascii="Cambria" w:hAnsi="Cambria"/>
          <w:szCs w:val="18"/>
        </w:rPr>
        <w:footnoteRef/>
      </w:r>
      <w:r w:rsidRPr="000842D0">
        <w:rPr>
          <w:rFonts w:ascii="Cambria" w:hAnsi="Cambria"/>
          <w:szCs w:val="18"/>
        </w:rPr>
        <w:t xml:space="preserve"> </w:t>
      </w:r>
      <w:r w:rsidR="00E80C13" w:rsidRPr="000842D0">
        <w:rPr>
          <w:rFonts w:ascii="Cambria" w:hAnsi="Cambria"/>
          <w:sz w:val="20"/>
          <w:szCs w:val="20"/>
        </w:rPr>
        <w:t xml:space="preserve">Supreme Court of Tasmania, </w:t>
      </w:r>
      <w:r w:rsidRPr="000842D0">
        <w:rPr>
          <w:rFonts w:ascii="Cambria" w:hAnsi="Cambria"/>
          <w:sz w:val="20"/>
          <w:szCs w:val="20"/>
        </w:rPr>
        <w:t>‘First Day of Trial’</w:t>
      </w:r>
      <w:r w:rsidR="00E80C13" w:rsidRPr="000842D0">
        <w:rPr>
          <w:rFonts w:ascii="Cambria" w:hAnsi="Cambria"/>
          <w:sz w:val="20"/>
          <w:szCs w:val="20"/>
        </w:rPr>
        <w:t xml:space="preserve">. </w:t>
      </w:r>
      <w:r w:rsidRPr="000842D0">
        <w:rPr>
          <w:rFonts w:ascii="Cambria" w:hAnsi="Cambria"/>
          <w:sz w:val="20"/>
          <w:szCs w:val="20"/>
        </w:rPr>
        <w:t xml:space="preserve">As found at </w:t>
      </w:r>
      <w:hyperlink r:id="rId2" w:history="1">
        <w:r w:rsidR="00E80C13" w:rsidRPr="000842D0">
          <w:rPr>
            <w:rStyle w:val="Hyperlink"/>
            <w:rFonts w:ascii="Cambria" w:eastAsia="Times New Roman" w:hAnsi="Cambria"/>
            <w:sz w:val="20"/>
            <w:szCs w:val="20"/>
          </w:rPr>
          <w:t>https://www.supremecourt.tas.gov.au/jurors/first-day-trial/</w:t>
        </w:r>
      </w:hyperlink>
      <w:r w:rsidR="00E80C13" w:rsidRPr="000842D0">
        <w:rPr>
          <w:rFonts w:ascii="Cambria" w:hAnsi="Cambria"/>
          <w:sz w:val="20"/>
          <w:szCs w:val="20"/>
        </w:rPr>
        <w:t xml:space="preserve"> </w:t>
      </w:r>
      <w:r w:rsidRPr="000842D0">
        <w:rPr>
          <w:rFonts w:ascii="Cambria" w:hAnsi="Cambria"/>
          <w:sz w:val="20"/>
          <w:szCs w:val="20"/>
        </w:rPr>
        <w:t>(Accessed 8 October 2019).</w:t>
      </w:r>
    </w:p>
  </w:footnote>
  <w:footnote w:id="7">
    <w:p w14:paraId="06E1FEE4" w14:textId="40A5DEF8" w:rsidR="00371A27" w:rsidRPr="000842D0" w:rsidRDefault="00371A27">
      <w:pPr>
        <w:pStyle w:val="FootnoteText"/>
        <w:rPr>
          <w:rFonts w:ascii="Cambria" w:hAnsi="Cambria"/>
        </w:rPr>
      </w:pPr>
      <w:r w:rsidRPr="000842D0">
        <w:rPr>
          <w:rStyle w:val="FootnoteReference"/>
          <w:rFonts w:ascii="Cambria" w:hAnsi="Cambria"/>
        </w:rPr>
        <w:footnoteRef/>
      </w:r>
      <w:r w:rsidRPr="000842D0">
        <w:rPr>
          <w:rFonts w:ascii="Cambria" w:hAnsi="Cambria"/>
        </w:rPr>
        <w:t xml:space="preserve"> </w:t>
      </w:r>
      <w:proofErr w:type="spellStart"/>
      <w:r w:rsidRPr="000842D0">
        <w:rPr>
          <w:rFonts w:ascii="Cambria" w:hAnsi="Cambria"/>
          <w:i/>
          <w:sz w:val="20"/>
          <w:szCs w:val="20"/>
        </w:rPr>
        <w:t>Dupas</w:t>
      </w:r>
      <w:proofErr w:type="spellEnd"/>
      <w:r w:rsidRPr="000842D0">
        <w:rPr>
          <w:rFonts w:ascii="Cambria" w:hAnsi="Cambria"/>
          <w:i/>
          <w:sz w:val="20"/>
          <w:szCs w:val="20"/>
        </w:rPr>
        <w:t xml:space="preserve"> v The Queen</w:t>
      </w:r>
      <w:r w:rsidRPr="000842D0">
        <w:rPr>
          <w:rFonts w:ascii="Cambria" w:hAnsi="Cambria"/>
          <w:sz w:val="20"/>
          <w:szCs w:val="20"/>
        </w:rPr>
        <w:t xml:space="preserve"> (2010) 241 CLR 237 at 247.</w:t>
      </w:r>
      <w:r w:rsidRPr="000842D0">
        <w:rPr>
          <w:rFonts w:ascii="Cambria" w:hAnsi="Cambria"/>
        </w:rPr>
        <w:t xml:space="preserve"> </w:t>
      </w:r>
    </w:p>
  </w:footnote>
  <w:footnote w:id="8">
    <w:p w14:paraId="0D93EFC9" w14:textId="33293F28" w:rsidR="00371A27" w:rsidRPr="000842D0" w:rsidRDefault="00371A27" w:rsidP="004234EA">
      <w:pPr>
        <w:rPr>
          <w:rFonts w:ascii="Cambria" w:eastAsia="Times New Roman" w:hAnsi="Cambria"/>
        </w:rPr>
      </w:pPr>
      <w:r w:rsidRPr="000842D0">
        <w:rPr>
          <w:rStyle w:val="FootnoteReference"/>
          <w:rFonts w:ascii="Cambria" w:hAnsi="Cambria"/>
        </w:rPr>
        <w:footnoteRef/>
      </w:r>
      <w:r w:rsidRPr="000842D0">
        <w:rPr>
          <w:rFonts w:ascii="Cambria" w:hAnsi="Cambria"/>
        </w:rPr>
        <w:t xml:space="preserve"> </w:t>
      </w:r>
      <w:r w:rsidRPr="000842D0">
        <w:rPr>
          <w:rStyle w:val="FootnoteTextTLRIChar"/>
          <w:rFonts w:ascii="Cambria" w:hAnsi="Cambria"/>
          <w:szCs w:val="20"/>
        </w:rPr>
        <w:t xml:space="preserve">Judicial Commission of New South Wales, </w:t>
      </w:r>
      <w:r w:rsidRPr="000842D0">
        <w:rPr>
          <w:rStyle w:val="FootnoteTextTLRIChar"/>
          <w:rFonts w:ascii="Cambria" w:hAnsi="Cambria"/>
          <w:i/>
          <w:szCs w:val="20"/>
        </w:rPr>
        <w:t>Criminal Trial Courts Bench Bo</w:t>
      </w:r>
      <w:r w:rsidR="00B741E7" w:rsidRPr="000842D0">
        <w:rPr>
          <w:rStyle w:val="FootnoteTextTLRIChar"/>
          <w:rFonts w:ascii="Cambria" w:hAnsi="Cambria"/>
          <w:i/>
          <w:szCs w:val="20"/>
        </w:rPr>
        <w:t>ok</w:t>
      </w:r>
      <w:r w:rsidR="00B741E7" w:rsidRPr="000842D0">
        <w:rPr>
          <w:rStyle w:val="FootnoteTextTLRIChar"/>
          <w:rFonts w:ascii="Cambria" w:hAnsi="Cambria"/>
          <w:szCs w:val="20"/>
        </w:rPr>
        <w:t xml:space="preserve"> (December 2018) part</w:t>
      </w:r>
      <w:r w:rsidR="00906FD7" w:rsidRPr="000842D0">
        <w:rPr>
          <w:rStyle w:val="FootnoteTextTLRIChar"/>
          <w:rFonts w:ascii="Cambria" w:hAnsi="Cambria"/>
          <w:szCs w:val="20"/>
        </w:rPr>
        <w:t xml:space="preserve"> 1-490</w:t>
      </w:r>
      <w:r w:rsidRPr="000842D0">
        <w:rPr>
          <w:rStyle w:val="FootnoteTextTLRIChar"/>
          <w:rFonts w:ascii="Cambria" w:hAnsi="Cambria"/>
          <w:szCs w:val="20"/>
        </w:rPr>
        <w:t xml:space="preserve">. Also see Judicial College of Victoria, </w:t>
      </w:r>
      <w:r w:rsidRPr="000842D0">
        <w:rPr>
          <w:rStyle w:val="FootnoteTextTLRIChar"/>
          <w:rFonts w:ascii="Cambria" w:hAnsi="Cambria"/>
          <w:i/>
          <w:szCs w:val="20"/>
        </w:rPr>
        <w:t>Criminal Charge Book</w:t>
      </w:r>
      <w:r w:rsidRPr="000842D0">
        <w:rPr>
          <w:rStyle w:val="FootnoteTextTLRIChar"/>
          <w:rFonts w:ascii="Cambria" w:hAnsi="Cambria"/>
          <w:szCs w:val="20"/>
        </w:rPr>
        <w:t>, part 1.11.</w:t>
      </w:r>
      <w:r w:rsidRPr="000842D0">
        <w:rPr>
          <w:rStyle w:val="FootnoteTextTLRIChar"/>
          <w:rFonts w:ascii="Cambria" w:hAnsi="Cambria"/>
        </w:rPr>
        <w:t xml:space="preserve"> </w:t>
      </w:r>
    </w:p>
  </w:footnote>
  <w:footnote w:id="9">
    <w:p w14:paraId="66CB2A36" w14:textId="09090417" w:rsidR="00371A27" w:rsidRPr="000842D0" w:rsidRDefault="00371A27" w:rsidP="00D5389D">
      <w:pPr>
        <w:pStyle w:val="FootnoteText"/>
        <w:rPr>
          <w:rFonts w:ascii="Cambria" w:hAnsi="Cambria"/>
        </w:rPr>
      </w:pPr>
      <w:r w:rsidRPr="000842D0">
        <w:rPr>
          <w:rStyle w:val="FootnoteReference"/>
          <w:rFonts w:ascii="Cambria" w:hAnsi="Cambria"/>
        </w:rPr>
        <w:footnoteRef/>
      </w:r>
      <w:r w:rsidRPr="000842D0">
        <w:rPr>
          <w:rFonts w:ascii="Cambria" w:hAnsi="Cambria"/>
        </w:rPr>
        <w:t xml:space="preserve"> </w:t>
      </w:r>
      <w:r w:rsidRPr="000842D0">
        <w:rPr>
          <w:rFonts w:ascii="Cambria" w:hAnsi="Cambria"/>
          <w:sz w:val="20"/>
          <w:szCs w:val="20"/>
        </w:rPr>
        <w:t>Cheryl Thomas, ‘Are Juries Fair?’ (</w:t>
      </w:r>
      <w:r w:rsidR="001D3D51" w:rsidRPr="000842D0">
        <w:rPr>
          <w:rFonts w:ascii="Cambria" w:hAnsi="Cambria"/>
          <w:sz w:val="20"/>
          <w:szCs w:val="20"/>
        </w:rPr>
        <w:t xml:space="preserve">Ministry of Justice, </w:t>
      </w:r>
      <w:r w:rsidR="001D3D51" w:rsidRPr="000842D0">
        <w:rPr>
          <w:rFonts w:ascii="Cambria" w:hAnsi="Cambria"/>
          <w:sz w:val="20"/>
          <w:szCs w:val="20"/>
        </w:rPr>
        <w:t>Research Series 1/10:</w:t>
      </w:r>
      <w:r w:rsidRPr="000842D0">
        <w:rPr>
          <w:rFonts w:ascii="Cambria" w:hAnsi="Cambria"/>
          <w:sz w:val="20"/>
          <w:szCs w:val="20"/>
        </w:rPr>
        <w:t xml:space="preserve"> 2010)</w:t>
      </w:r>
      <w:r w:rsidR="00667183" w:rsidRPr="000842D0">
        <w:rPr>
          <w:rFonts w:ascii="Cambria" w:hAnsi="Cambria"/>
          <w:sz w:val="20"/>
          <w:szCs w:val="20"/>
        </w:rPr>
        <w:t xml:space="preserve"> at 38-39.</w:t>
      </w:r>
      <w:r w:rsidR="000842D0" w:rsidRPr="000842D0">
        <w:rPr>
          <w:rFonts w:ascii="Cambria" w:hAnsi="Cambria"/>
          <w:sz w:val="20"/>
          <w:szCs w:val="20"/>
        </w:rPr>
        <w:t xml:space="preserve"> </w:t>
      </w:r>
      <w:r w:rsidR="00667183" w:rsidRPr="000842D0">
        <w:rPr>
          <w:rFonts w:ascii="Cambria" w:hAnsi="Cambria"/>
          <w:sz w:val="20"/>
          <w:szCs w:val="20"/>
        </w:rPr>
        <w:t xml:space="preserve">See also </w:t>
      </w:r>
      <w:r w:rsidRPr="000842D0">
        <w:rPr>
          <w:rFonts w:ascii="Cambria" w:hAnsi="Cambria"/>
          <w:sz w:val="20"/>
          <w:szCs w:val="20"/>
        </w:rPr>
        <w:t xml:space="preserve">Jill Hunter, </w:t>
      </w:r>
      <w:r w:rsidRPr="000842D0">
        <w:rPr>
          <w:rFonts w:ascii="Cambria" w:hAnsi="Cambria"/>
          <w:i/>
          <w:sz w:val="20"/>
          <w:szCs w:val="20"/>
        </w:rPr>
        <w:t xml:space="preserve">UNSW Jury Study: Jurors’ Notions of Justice: An Empirical Study of Motivations to Investigate &amp; Obedience to Judicial Directions </w:t>
      </w:r>
      <w:r w:rsidR="00667183" w:rsidRPr="000842D0">
        <w:rPr>
          <w:rFonts w:ascii="Cambria" w:hAnsi="Cambria"/>
          <w:sz w:val="20"/>
          <w:szCs w:val="20"/>
        </w:rPr>
        <w:t xml:space="preserve">(2013) recommendation 4. </w:t>
      </w:r>
    </w:p>
  </w:footnote>
  <w:footnote w:id="10">
    <w:p w14:paraId="6D4048F5" w14:textId="127087F7" w:rsidR="00371A27" w:rsidRPr="000842D0" w:rsidRDefault="00371A27" w:rsidP="00700703">
      <w:pPr>
        <w:pStyle w:val="FootnoteText"/>
        <w:rPr>
          <w:rFonts w:ascii="Cambria" w:hAnsi="Cambria"/>
        </w:rPr>
      </w:pPr>
      <w:r w:rsidRPr="000842D0">
        <w:rPr>
          <w:rStyle w:val="FootnoteReference"/>
          <w:rFonts w:ascii="Cambria" w:hAnsi="Cambria"/>
        </w:rPr>
        <w:footnoteRef/>
      </w:r>
      <w:r w:rsidRPr="000842D0">
        <w:rPr>
          <w:rFonts w:ascii="Cambria" w:hAnsi="Cambria"/>
        </w:rPr>
        <w:t xml:space="preserve"> </w:t>
      </w:r>
      <w:r w:rsidRPr="000842D0">
        <w:rPr>
          <w:rFonts w:ascii="Cambria" w:hAnsi="Cambria"/>
          <w:sz w:val="20"/>
          <w:szCs w:val="20"/>
        </w:rPr>
        <w:t xml:space="preserve">Meghan Dunn, </w:t>
      </w:r>
      <w:r w:rsidRPr="000842D0">
        <w:rPr>
          <w:rFonts w:ascii="Cambria" w:hAnsi="Cambria"/>
          <w:i/>
          <w:sz w:val="20"/>
          <w:szCs w:val="20"/>
        </w:rPr>
        <w:t>Jurors’ and Attorneys’ Use of Social</w:t>
      </w:r>
      <w:r w:rsidR="00277D48" w:rsidRPr="000842D0">
        <w:rPr>
          <w:rFonts w:ascii="Cambria" w:hAnsi="Cambria"/>
          <w:i/>
          <w:sz w:val="20"/>
          <w:szCs w:val="20"/>
        </w:rPr>
        <w:t xml:space="preserve"> Media During </w:t>
      </w:r>
      <w:proofErr w:type="spellStart"/>
      <w:r w:rsidR="00277D48" w:rsidRPr="000842D0">
        <w:rPr>
          <w:rFonts w:ascii="Cambria" w:hAnsi="Cambria"/>
          <w:i/>
          <w:sz w:val="20"/>
          <w:szCs w:val="20"/>
        </w:rPr>
        <w:t>Voir</w:t>
      </w:r>
      <w:proofErr w:type="spellEnd"/>
      <w:r w:rsidR="00277D48" w:rsidRPr="000842D0">
        <w:rPr>
          <w:rFonts w:ascii="Cambria" w:hAnsi="Cambria"/>
          <w:i/>
          <w:sz w:val="20"/>
          <w:szCs w:val="20"/>
        </w:rPr>
        <w:t xml:space="preserve"> Dire, Trials, </w:t>
      </w:r>
      <w:r w:rsidRPr="000842D0">
        <w:rPr>
          <w:rFonts w:ascii="Cambria" w:hAnsi="Cambria"/>
          <w:i/>
          <w:sz w:val="20"/>
          <w:szCs w:val="20"/>
        </w:rPr>
        <w:t>and Deliberations</w:t>
      </w:r>
      <w:r w:rsidR="00277D48" w:rsidRPr="000842D0">
        <w:rPr>
          <w:rFonts w:ascii="Cambria" w:hAnsi="Cambria"/>
          <w:i/>
          <w:sz w:val="20"/>
          <w:szCs w:val="20"/>
        </w:rPr>
        <w:t xml:space="preserve">: </w:t>
      </w:r>
      <w:r w:rsidRPr="000842D0">
        <w:rPr>
          <w:rFonts w:ascii="Cambria" w:hAnsi="Cambria"/>
          <w:i/>
          <w:sz w:val="20"/>
          <w:szCs w:val="20"/>
        </w:rPr>
        <w:t>A Report to the Judicial Conference Committee on Court Admi</w:t>
      </w:r>
      <w:r w:rsidR="00277D48" w:rsidRPr="000842D0">
        <w:rPr>
          <w:rFonts w:ascii="Cambria" w:hAnsi="Cambria"/>
          <w:i/>
          <w:sz w:val="20"/>
          <w:szCs w:val="20"/>
        </w:rPr>
        <w:t>nistration and Case Management</w:t>
      </w:r>
      <w:r w:rsidR="00277D48" w:rsidRPr="000842D0">
        <w:rPr>
          <w:rFonts w:ascii="Cambria" w:hAnsi="Cambria"/>
          <w:sz w:val="20"/>
          <w:szCs w:val="20"/>
        </w:rPr>
        <w:t xml:space="preserve"> (</w:t>
      </w:r>
      <w:r w:rsidRPr="000842D0">
        <w:rPr>
          <w:rFonts w:ascii="Cambria" w:hAnsi="Cambria"/>
          <w:sz w:val="20"/>
          <w:szCs w:val="20"/>
        </w:rPr>
        <w:t>Fede</w:t>
      </w:r>
      <w:r w:rsidR="00277D48" w:rsidRPr="000842D0">
        <w:rPr>
          <w:rFonts w:ascii="Cambria" w:hAnsi="Cambria"/>
          <w:sz w:val="20"/>
          <w:szCs w:val="20"/>
        </w:rPr>
        <w:t>ral Judicial Center: 2014) at 10</w:t>
      </w:r>
      <w:r w:rsidRPr="000842D0">
        <w:rPr>
          <w:rFonts w:ascii="Cambria" w:hAnsi="Cambria"/>
          <w:sz w:val="20"/>
          <w:szCs w:val="20"/>
        </w:rPr>
        <w:t xml:space="preserve">. </w:t>
      </w:r>
      <w:r w:rsidR="000842D0" w:rsidRPr="000842D0">
        <w:rPr>
          <w:rFonts w:ascii="Cambria" w:hAnsi="Cambria"/>
          <w:sz w:val="20"/>
          <w:szCs w:val="20"/>
        </w:rPr>
        <w:t xml:space="preserve">Also see </w:t>
      </w:r>
      <w:r w:rsidRPr="000842D0">
        <w:rPr>
          <w:rFonts w:ascii="Cambria" w:hAnsi="Cambria"/>
          <w:color w:val="000000"/>
          <w:sz w:val="20"/>
          <w:szCs w:val="20"/>
        </w:rPr>
        <w:t xml:space="preserve">Marilyn </w:t>
      </w:r>
      <w:proofErr w:type="spellStart"/>
      <w:r w:rsidRPr="000842D0">
        <w:rPr>
          <w:rFonts w:ascii="Cambria" w:hAnsi="Cambria"/>
          <w:color w:val="000000"/>
          <w:sz w:val="20"/>
          <w:szCs w:val="20"/>
        </w:rPr>
        <w:t>Krawitz</w:t>
      </w:r>
      <w:proofErr w:type="spellEnd"/>
      <w:r w:rsidRPr="000842D0">
        <w:rPr>
          <w:rFonts w:ascii="Cambria" w:hAnsi="Cambria"/>
          <w:color w:val="000000"/>
          <w:sz w:val="20"/>
          <w:szCs w:val="20"/>
        </w:rPr>
        <w:t xml:space="preserve">, ‘Guilty </w:t>
      </w:r>
      <w:proofErr w:type="gramStart"/>
      <w:r w:rsidRPr="000842D0">
        <w:rPr>
          <w:rFonts w:ascii="Cambria" w:hAnsi="Cambria"/>
          <w:color w:val="000000"/>
          <w:sz w:val="20"/>
          <w:szCs w:val="20"/>
        </w:rPr>
        <w:t>As</w:t>
      </w:r>
      <w:proofErr w:type="gramEnd"/>
      <w:r w:rsidRPr="000842D0">
        <w:rPr>
          <w:rFonts w:ascii="Cambria" w:hAnsi="Cambria"/>
          <w:color w:val="000000"/>
          <w:sz w:val="20"/>
          <w:szCs w:val="20"/>
        </w:rPr>
        <w:t xml:space="preserve"> Tweeted: Jurors Using Social Media Inappropriately During the Trial Process’ (University of Western Australia,</w:t>
      </w:r>
      <w:r w:rsidR="00277D48" w:rsidRPr="000842D0">
        <w:rPr>
          <w:rFonts w:ascii="Cambria" w:hAnsi="Cambria"/>
          <w:color w:val="000000"/>
          <w:sz w:val="20"/>
          <w:szCs w:val="20"/>
        </w:rPr>
        <w:t xml:space="preserve"> Faculty of Law </w:t>
      </w:r>
      <w:r w:rsidR="00277D48" w:rsidRPr="000842D0">
        <w:rPr>
          <w:rFonts w:ascii="Cambria" w:hAnsi="Cambria"/>
          <w:color w:val="000000"/>
          <w:sz w:val="20"/>
          <w:szCs w:val="20"/>
        </w:rPr>
        <w:t>Research Paper N</w:t>
      </w:r>
      <w:r w:rsidR="00277D48" w:rsidRPr="000842D0">
        <w:rPr>
          <w:rFonts w:ascii="Cambria" w:hAnsi="Cambria"/>
          <w:color w:val="000000"/>
          <w:sz w:val="20"/>
          <w:szCs w:val="20"/>
        </w:rPr>
        <w:t xml:space="preserve">o 2012-02: </w:t>
      </w:r>
      <w:r w:rsidRPr="000842D0">
        <w:rPr>
          <w:rFonts w:ascii="Cambria" w:hAnsi="Cambria"/>
          <w:color w:val="000000"/>
          <w:sz w:val="20"/>
          <w:szCs w:val="20"/>
        </w:rPr>
        <w:t xml:space="preserve">2012) </w:t>
      </w:r>
      <w:r w:rsidR="00277D48" w:rsidRPr="000842D0">
        <w:rPr>
          <w:rFonts w:ascii="Cambria" w:hAnsi="Cambria"/>
          <w:color w:val="000000"/>
          <w:sz w:val="20"/>
          <w:szCs w:val="20"/>
        </w:rPr>
        <w:t xml:space="preserve">at </w:t>
      </w:r>
      <w:r w:rsidRPr="000842D0">
        <w:rPr>
          <w:rFonts w:ascii="Cambria" w:hAnsi="Cambria"/>
          <w:color w:val="000000"/>
          <w:sz w:val="20"/>
          <w:szCs w:val="20"/>
        </w:rPr>
        <w:t>35.</w:t>
      </w:r>
    </w:p>
  </w:footnote>
  <w:footnote w:id="11">
    <w:p w14:paraId="4DC4EAF7" w14:textId="5686F125" w:rsidR="00C27C20" w:rsidRDefault="00C27C20">
      <w:pPr>
        <w:pStyle w:val="FootnoteText"/>
      </w:pPr>
      <w:r w:rsidRPr="000842D0">
        <w:rPr>
          <w:rStyle w:val="FootnoteReference"/>
          <w:rFonts w:ascii="Cambria" w:hAnsi="Cambria"/>
        </w:rPr>
        <w:footnoteRef/>
      </w:r>
      <w:r w:rsidRPr="000842D0">
        <w:rPr>
          <w:rFonts w:ascii="Cambria" w:hAnsi="Cambria"/>
        </w:rPr>
        <w:t xml:space="preserve"> </w:t>
      </w:r>
      <w:r w:rsidR="00277D48" w:rsidRPr="000842D0">
        <w:rPr>
          <w:rFonts w:ascii="Cambria" w:hAnsi="Cambria"/>
          <w:sz w:val="20"/>
          <w:szCs w:val="20"/>
        </w:rPr>
        <w:t>Cheryl Thomas, ‘Are Juries Fair?’ (Ministry of Justice, Research Series 1/10: 2010)</w:t>
      </w:r>
      <w:r w:rsidR="00277D48" w:rsidRPr="000842D0">
        <w:rPr>
          <w:rFonts w:ascii="Cambria" w:hAnsi="Cambria"/>
          <w:sz w:val="20"/>
          <w:szCs w:val="20"/>
        </w:rPr>
        <w:t xml:space="preserve"> at </w:t>
      </w:r>
      <w:r w:rsidR="00277D48" w:rsidRPr="000842D0">
        <w:rPr>
          <w:rFonts w:ascii="Cambria" w:hAnsi="Cambria"/>
          <w:sz w:val="20"/>
          <w:szCs w:val="20"/>
        </w:rPr>
        <w:t>39.</w:t>
      </w:r>
      <w:r w:rsidR="00277D48">
        <w:rPr>
          <w:rFonts w:ascii="Cambria" w:hAnsi="Cambria"/>
          <w:sz w:val="20"/>
          <w:szCs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90EA2"/>
    <w:multiLevelType w:val="hybridMultilevel"/>
    <w:tmpl w:val="33F22468"/>
    <w:lvl w:ilvl="0" w:tplc="F1CCC404">
      <w:start w:val="1"/>
      <w:numFmt w:val="lowerLetter"/>
      <w:lvlText w:val="(%1)"/>
      <w:lvlJc w:val="left"/>
      <w:pPr>
        <w:ind w:left="720" w:hanging="360"/>
      </w:pPr>
      <w:rPr>
        <w:rFonts w:hint="default"/>
      </w:rPr>
    </w:lvl>
    <w:lvl w:ilvl="1" w:tplc="CE5E803E">
      <w:start w:val="1"/>
      <w:numFmt w:val="none"/>
      <w:lvlText w:val="(ii)"/>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477D9"/>
    <w:multiLevelType w:val="hybridMultilevel"/>
    <w:tmpl w:val="1CC052C2"/>
    <w:lvl w:ilvl="0" w:tplc="FB02084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B160FA"/>
    <w:multiLevelType w:val="hybridMultilevel"/>
    <w:tmpl w:val="7CF09048"/>
    <w:lvl w:ilvl="0" w:tplc="CB2E4C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CD5EA2"/>
    <w:multiLevelType w:val="hybridMultilevel"/>
    <w:tmpl w:val="CD6EB4CC"/>
    <w:lvl w:ilvl="0" w:tplc="F1CCC4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4C4666D"/>
    <w:multiLevelType w:val="hybridMultilevel"/>
    <w:tmpl w:val="608A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DE3E5A"/>
    <w:multiLevelType w:val="hybridMultilevel"/>
    <w:tmpl w:val="520E6A2C"/>
    <w:lvl w:ilvl="0" w:tplc="F1CCC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EC5DFF"/>
    <w:multiLevelType w:val="hybridMultilevel"/>
    <w:tmpl w:val="45ECBBF8"/>
    <w:lvl w:ilvl="0" w:tplc="F1CCC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056126"/>
    <w:multiLevelType w:val="multilevel"/>
    <w:tmpl w:val="22683680"/>
    <w:lvl w:ilvl="0">
      <w:start w:val="1"/>
      <w:numFmt w:val="decimal"/>
      <w:pStyle w:val="PartNoTLRI"/>
      <w:suff w:val="nothing"/>
      <w:lvlText w:val="Part %1"/>
      <w:lvlJc w:val="left"/>
      <w:pPr>
        <w:ind w:left="4392" w:hanging="432"/>
      </w:pPr>
      <w:rPr>
        <w:b/>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rPr>
    </w:lvl>
    <w:lvl w:ilvl="1">
      <w:start w:val="1"/>
      <w:numFmt w:val="decimal"/>
      <w:pStyle w:val="NumberedHeadingTLRI"/>
      <w:lvlText w:val="%1.%2"/>
      <w:lvlJc w:val="left"/>
      <w:pPr>
        <w:tabs>
          <w:tab w:val="num" w:pos="720"/>
        </w:tabs>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pStyle w:val="NormalNumberedTextTLRI"/>
      <w:lvlText w:val="%1.%2.%3"/>
      <w:lvlJc w:val="left"/>
      <w:pPr>
        <w:tabs>
          <w:tab w:val="num" w:pos="720"/>
        </w:tabs>
        <w:ind w:left="0" w:firstLine="0"/>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3">
      <w:start w:val="2"/>
      <w:numFmt w:val="none"/>
      <w:lvlText w:val=""/>
      <w:lvlJc w:val="left"/>
      <w:pPr>
        <w:tabs>
          <w:tab w:val="num" w:pos="1211"/>
        </w:tabs>
        <w:ind w:left="851" w:firstLine="0"/>
      </w:pPr>
      <w:rPr>
        <w:rFonts w:hint="default"/>
      </w:rPr>
    </w:lvl>
    <w:lvl w:ilvl="4">
      <w:start w:val="1"/>
      <w:numFmt w:val="none"/>
      <w:lvlText w:val=""/>
      <w:lvlJc w:val="left"/>
      <w:pPr>
        <w:tabs>
          <w:tab w:val="num" w:pos="1008"/>
        </w:tabs>
        <w:ind w:left="1008" w:hanging="1008"/>
      </w:pPr>
      <w:rPr>
        <w:rFonts w:ascii="Times New Roman" w:hAnsi="Times New Roman" w:hint="default"/>
        <w:b/>
        <w:i w:val="0"/>
        <w:sz w:val="52"/>
      </w:rPr>
    </w:lvl>
    <w:lvl w:ilvl="5">
      <w:start w:val="1"/>
      <w:numFmt w:val="none"/>
      <w:lvlRestart w:val="1"/>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nsid w:val="72F3369F"/>
    <w:multiLevelType w:val="hybridMultilevel"/>
    <w:tmpl w:val="F8241B70"/>
    <w:lvl w:ilvl="0" w:tplc="8758C4FC">
      <w:start w:val="1"/>
      <w:numFmt w:val="bullet"/>
      <w:pStyle w:val="DotPointTLRI"/>
      <w:lvlText w:val=""/>
      <w:lvlJc w:val="left"/>
      <w:pPr>
        <w:ind w:left="1211" w:hanging="360"/>
      </w:pPr>
      <w:rPr>
        <w:rFonts w:ascii="Symbol" w:hAnsi="Symbol" w:hint="default"/>
        <w:sz w:val="22"/>
        <w:szCs w:val="22"/>
      </w:rPr>
    </w:lvl>
    <w:lvl w:ilvl="1" w:tplc="04090003">
      <w:start w:val="1"/>
      <w:numFmt w:val="bullet"/>
      <w:lvlText w:val="o"/>
      <w:lvlJc w:val="left"/>
      <w:pPr>
        <w:ind w:left="1931" w:hanging="360"/>
      </w:pPr>
      <w:rPr>
        <w:rFonts w:ascii="Courier New" w:hAnsi="Courier New" w:hint="default"/>
      </w:rPr>
    </w:lvl>
    <w:lvl w:ilvl="2" w:tplc="04090005">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9B3"/>
    <w:rsid w:val="000151CA"/>
    <w:rsid w:val="00022B16"/>
    <w:rsid w:val="00037F3C"/>
    <w:rsid w:val="00064693"/>
    <w:rsid w:val="000842D0"/>
    <w:rsid w:val="000C405D"/>
    <w:rsid w:val="000D148B"/>
    <w:rsid w:val="000D29B3"/>
    <w:rsid w:val="000D7A62"/>
    <w:rsid w:val="000E68D1"/>
    <w:rsid w:val="000F1985"/>
    <w:rsid w:val="001227F6"/>
    <w:rsid w:val="00184A28"/>
    <w:rsid w:val="001B7892"/>
    <w:rsid w:val="001D3D51"/>
    <w:rsid w:val="00235A62"/>
    <w:rsid w:val="00271D0D"/>
    <w:rsid w:val="00277D48"/>
    <w:rsid w:val="002C29E4"/>
    <w:rsid w:val="002C3DCA"/>
    <w:rsid w:val="002E150D"/>
    <w:rsid w:val="00311BEB"/>
    <w:rsid w:val="00334285"/>
    <w:rsid w:val="00371A27"/>
    <w:rsid w:val="004234EA"/>
    <w:rsid w:val="004542F2"/>
    <w:rsid w:val="00477D15"/>
    <w:rsid w:val="004C14B8"/>
    <w:rsid w:val="005E0CB7"/>
    <w:rsid w:val="005E50DE"/>
    <w:rsid w:val="00651DB9"/>
    <w:rsid w:val="00665131"/>
    <w:rsid w:val="00667183"/>
    <w:rsid w:val="006B5D38"/>
    <w:rsid w:val="006C7716"/>
    <w:rsid w:val="006E1374"/>
    <w:rsid w:val="006E2778"/>
    <w:rsid w:val="00700703"/>
    <w:rsid w:val="00725E79"/>
    <w:rsid w:val="00760DAA"/>
    <w:rsid w:val="0076683F"/>
    <w:rsid w:val="007B3F4F"/>
    <w:rsid w:val="008617BC"/>
    <w:rsid w:val="00872234"/>
    <w:rsid w:val="008941FE"/>
    <w:rsid w:val="008F1847"/>
    <w:rsid w:val="00906FD7"/>
    <w:rsid w:val="00911350"/>
    <w:rsid w:val="00A300AB"/>
    <w:rsid w:val="00A41293"/>
    <w:rsid w:val="00A533A1"/>
    <w:rsid w:val="00B02A1D"/>
    <w:rsid w:val="00B06928"/>
    <w:rsid w:val="00B15F43"/>
    <w:rsid w:val="00B25C42"/>
    <w:rsid w:val="00B706E8"/>
    <w:rsid w:val="00B741E7"/>
    <w:rsid w:val="00C11CFD"/>
    <w:rsid w:val="00C27C20"/>
    <w:rsid w:val="00C8145C"/>
    <w:rsid w:val="00CB5442"/>
    <w:rsid w:val="00CE595F"/>
    <w:rsid w:val="00D5389D"/>
    <w:rsid w:val="00D5791C"/>
    <w:rsid w:val="00E80A1B"/>
    <w:rsid w:val="00E80C13"/>
    <w:rsid w:val="00ED01F5"/>
    <w:rsid w:val="00F15326"/>
    <w:rsid w:val="00F639A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E014A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4EA"/>
    <w:rPr>
      <w:rFonts w:ascii="Times New Roman" w:hAnsi="Times New Roman"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rsid w:val="000D29B3"/>
    <w:rPr>
      <w:rFonts w:asciiTheme="minorHAnsi" w:eastAsiaTheme="minorEastAsia" w:hAnsiTheme="minorHAnsi" w:cstheme="minorBidi"/>
      <w:lang w:val="en-US" w:eastAsia="en-US"/>
    </w:rPr>
  </w:style>
  <w:style w:type="character" w:customStyle="1" w:styleId="FootnoteTextChar">
    <w:name w:val="Footnote Text Char"/>
    <w:aliases w:val="Footnote Char,Text Char"/>
    <w:basedOn w:val="DefaultParagraphFont"/>
    <w:link w:val="FootnoteText"/>
    <w:rsid w:val="000D29B3"/>
    <w:rPr>
      <w:rFonts w:eastAsiaTheme="minorEastAsia"/>
      <w:lang w:val="en-US"/>
    </w:rPr>
  </w:style>
  <w:style w:type="character" w:styleId="FootnoteReference">
    <w:name w:val="footnote reference"/>
    <w:basedOn w:val="DefaultParagraphFont"/>
    <w:unhideWhenUsed/>
    <w:rsid w:val="000D29B3"/>
    <w:rPr>
      <w:vertAlign w:val="superscript"/>
    </w:rPr>
  </w:style>
  <w:style w:type="character" w:styleId="Hyperlink">
    <w:name w:val="Hyperlink"/>
    <w:basedOn w:val="DefaultParagraphFont"/>
    <w:uiPriority w:val="99"/>
    <w:unhideWhenUsed/>
    <w:rsid w:val="000D29B3"/>
    <w:rPr>
      <w:color w:val="0563C1" w:themeColor="hyperlink"/>
      <w:u w:val="single"/>
    </w:rPr>
  </w:style>
  <w:style w:type="paragraph" w:styleId="NoSpacing">
    <w:name w:val="No Spacing"/>
    <w:uiPriority w:val="1"/>
    <w:qFormat/>
    <w:rsid w:val="000D29B3"/>
    <w:rPr>
      <w:rFonts w:eastAsiaTheme="minorEastAsia"/>
    </w:rPr>
  </w:style>
  <w:style w:type="paragraph" w:styleId="ListParagraph">
    <w:name w:val="List Paragraph"/>
    <w:basedOn w:val="Normal"/>
    <w:uiPriority w:val="34"/>
    <w:qFormat/>
    <w:rsid w:val="000D29B3"/>
    <w:pPr>
      <w:ind w:left="720"/>
      <w:contextualSpacing/>
    </w:pPr>
    <w:rPr>
      <w:rFonts w:asciiTheme="minorHAnsi" w:eastAsiaTheme="minorEastAsia" w:hAnsiTheme="minorHAnsi" w:cstheme="minorBidi"/>
      <w:lang w:val="en-US" w:eastAsia="en-US"/>
    </w:rPr>
  </w:style>
  <w:style w:type="paragraph" w:customStyle="1" w:styleId="NumberlessNormalText">
    <w:name w:val="Numberless Normal Text"/>
    <w:rsid w:val="006E2778"/>
    <w:pPr>
      <w:tabs>
        <w:tab w:val="left" w:pos="851"/>
      </w:tabs>
      <w:spacing w:before="120" w:after="120" w:line="271" w:lineRule="auto"/>
      <w:jc w:val="both"/>
    </w:pPr>
    <w:rPr>
      <w:rFonts w:ascii="Times New Roman" w:eastAsia="Times" w:hAnsi="Times New Roman" w:cs="Times New Roman"/>
      <w:sz w:val="22"/>
      <w:szCs w:val="22"/>
    </w:rPr>
  </w:style>
  <w:style w:type="paragraph" w:customStyle="1" w:styleId="NormalNumberedTextTLRI">
    <w:name w:val="Normal Numbered Text TLRI"/>
    <w:basedOn w:val="Normal"/>
    <w:link w:val="NormalNumberedTextTLRIChar"/>
    <w:qFormat/>
    <w:rsid w:val="00B15F43"/>
    <w:pPr>
      <w:numPr>
        <w:ilvl w:val="2"/>
        <w:numId w:val="7"/>
      </w:numPr>
      <w:tabs>
        <w:tab w:val="left" w:pos="851"/>
      </w:tabs>
      <w:spacing w:before="220" w:after="220" w:line="271" w:lineRule="auto"/>
      <w:jc w:val="both"/>
    </w:pPr>
    <w:rPr>
      <w:rFonts w:eastAsia="Times"/>
      <w:sz w:val="22"/>
      <w:szCs w:val="20"/>
      <w:lang w:eastAsia="zh-CN"/>
    </w:rPr>
  </w:style>
  <w:style w:type="character" w:customStyle="1" w:styleId="NormalNumberedTextTLRIChar">
    <w:name w:val="Normal Numbered Text TLRI Char"/>
    <w:basedOn w:val="DefaultParagraphFont"/>
    <w:link w:val="NormalNumberedTextTLRI"/>
    <w:rsid w:val="00B15F43"/>
    <w:rPr>
      <w:rFonts w:ascii="Times New Roman" w:eastAsia="Times" w:hAnsi="Times New Roman" w:cs="Times New Roman"/>
      <w:sz w:val="22"/>
      <w:szCs w:val="20"/>
      <w:lang w:eastAsia="zh-CN"/>
    </w:rPr>
  </w:style>
  <w:style w:type="paragraph" w:customStyle="1" w:styleId="NumberedHeadingTLRI">
    <w:name w:val="Numbered Heading TLRI"/>
    <w:basedOn w:val="Normal"/>
    <w:next w:val="NormalNumberedTextTLRI"/>
    <w:qFormat/>
    <w:rsid w:val="00B15F43"/>
    <w:pPr>
      <w:keepNext/>
      <w:numPr>
        <w:ilvl w:val="1"/>
        <w:numId w:val="7"/>
      </w:numPr>
      <w:spacing w:before="480" w:after="220"/>
    </w:pPr>
    <w:rPr>
      <w:rFonts w:eastAsia="Times"/>
      <w:b/>
      <w:sz w:val="28"/>
      <w:szCs w:val="20"/>
      <w:lang w:eastAsia="en-US"/>
    </w:rPr>
  </w:style>
  <w:style w:type="paragraph" w:customStyle="1" w:styleId="PartNoTLRI">
    <w:name w:val="Part No TLRI"/>
    <w:basedOn w:val="Normal"/>
    <w:qFormat/>
    <w:rsid w:val="00B15F43"/>
    <w:pPr>
      <w:numPr>
        <w:numId w:val="7"/>
      </w:numPr>
      <w:spacing w:after="120"/>
      <w:jc w:val="center"/>
    </w:pPr>
    <w:rPr>
      <w:rFonts w:eastAsia="Times"/>
      <w:b/>
      <w:sz w:val="36"/>
      <w:szCs w:val="20"/>
      <w:lang w:eastAsia="zh-CN"/>
    </w:rPr>
  </w:style>
  <w:style w:type="paragraph" w:customStyle="1" w:styleId="FootnoteTextTLRI">
    <w:name w:val="Footnote Text TLRI"/>
    <w:basedOn w:val="FootnoteText"/>
    <w:link w:val="FootnoteTextTLRIChar"/>
    <w:qFormat/>
    <w:rsid w:val="00B15F43"/>
    <w:pPr>
      <w:spacing w:after="40"/>
      <w:ind w:left="284" w:hanging="284"/>
      <w:jc w:val="both"/>
    </w:pPr>
    <w:rPr>
      <w:rFonts w:ascii="Times New Roman" w:eastAsiaTheme="minorHAnsi" w:hAnsi="Times New Roman"/>
      <w:sz w:val="20"/>
    </w:rPr>
  </w:style>
  <w:style w:type="character" w:customStyle="1" w:styleId="FootnoteTextTLRIChar">
    <w:name w:val="Footnote Text TLRI Char"/>
    <w:link w:val="FootnoteTextTLRI"/>
    <w:rsid w:val="00B15F43"/>
    <w:rPr>
      <w:rFonts w:ascii="Times New Roman" w:hAnsi="Times New Roman"/>
      <w:sz w:val="20"/>
      <w:lang w:val="en-US"/>
    </w:rPr>
  </w:style>
  <w:style w:type="character" w:customStyle="1" w:styleId="apple-converted-space">
    <w:name w:val="apple-converted-space"/>
    <w:basedOn w:val="DefaultParagraphFont"/>
    <w:rsid w:val="00C8145C"/>
  </w:style>
  <w:style w:type="paragraph" w:styleId="BalloonText">
    <w:name w:val="Balloon Text"/>
    <w:basedOn w:val="Normal"/>
    <w:link w:val="BalloonTextChar"/>
    <w:uiPriority w:val="99"/>
    <w:semiHidden/>
    <w:unhideWhenUsed/>
    <w:rsid w:val="00651DB9"/>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651DB9"/>
    <w:rPr>
      <w:rFonts w:ascii="Lucida Grande" w:eastAsiaTheme="minorEastAsia" w:hAnsi="Lucida Grande" w:cs="Lucida Grande"/>
      <w:sz w:val="18"/>
      <w:szCs w:val="18"/>
      <w:lang w:val="en-US"/>
    </w:rPr>
  </w:style>
  <w:style w:type="paragraph" w:customStyle="1" w:styleId="QuoteTLRI">
    <w:name w:val="Quote TLRI"/>
    <w:basedOn w:val="Normal"/>
    <w:rsid w:val="00F639AF"/>
    <w:pPr>
      <w:spacing w:after="220" w:line="276" w:lineRule="auto"/>
      <w:ind w:left="709" w:right="851"/>
      <w:jc w:val="both"/>
    </w:pPr>
    <w:rPr>
      <w:rFonts w:eastAsia="Times" w:cstheme="minorBidi"/>
      <w:sz w:val="20"/>
      <w:szCs w:val="20"/>
      <w:lang w:eastAsia="ja-JP"/>
    </w:rPr>
  </w:style>
  <w:style w:type="paragraph" w:customStyle="1" w:styleId="DotPointTLRI">
    <w:name w:val="Dot Point TLRI"/>
    <w:basedOn w:val="ListParagraph"/>
    <w:qFormat/>
    <w:rsid w:val="00725E79"/>
    <w:pPr>
      <w:numPr>
        <w:numId w:val="9"/>
      </w:numPr>
      <w:tabs>
        <w:tab w:val="num" w:pos="360"/>
      </w:tabs>
      <w:spacing w:after="120" w:line="271" w:lineRule="auto"/>
      <w:ind w:left="720" w:firstLine="0"/>
      <w:contextualSpacing w:val="0"/>
      <w:jc w:val="both"/>
    </w:pPr>
    <w:rPr>
      <w:rFonts w:ascii="Times New Roman" w:eastAsia="Times New Roman" w:hAnsi="Times New Roman" w:cs="Times New Roman"/>
      <w:sz w:val="22"/>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5451">
      <w:bodyDiv w:val="1"/>
      <w:marLeft w:val="0"/>
      <w:marRight w:val="0"/>
      <w:marTop w:val="0"/>
      <w:marBottom w:val="0"/>
      <w:divBdr>
        <w:top w:val="none" w:sz="0" w:space="0" w:color="auto"/>
        <w:left w:val="none" w:sz="0" w:space="0" w:color="auto"/>
        <w:bottom w:val="none" w:sz="0" w:space="0" w:color="auto"/>
        <w:right w:val="none" w:sz="0" w:space="0" w:color="auto"/>
      </w:divBdr>
    </w:div>
    <w:div w:id="262299863">
      <w:bodyDiv w:val="1"/>
      <w:marLeft w:val="0"/>
      <w:marRight w:val="0"/>
      <w:marTop w:val="0"/>
      <w:marBottom w:val="0"/>
      <w:divBdr>
        <w:top w:val="none" w:sz="0" w:space="0" w:color="auto"/>
        <w:left w:val="none" w:sz="0" w:space="0" w:color="auto"/>
        <w:bottom w:val="none" w:sz="0" w:space="0" w:color="auto"/>
        <w:right w:val="none" w:sz="0" w:space="0" w:color="auto"/>
      </w:divBdr>
    </w:div>
    <w:div w:id="301428634">
      <w:bodyDiv w:val="1"/>
      <w:marLeft w:val="0"/>
      <w:marRight w:val="0"/>
      <w:marTop w:val="0"/>
      <w:marBottom w:val="0"/>
      <w:divBdr>
        <w:top w:val="none" w:sz="0" w:space="0" w:color="auto"/>
        <w:left w:val="none" w:sz="0" w:space="0" w:color="auto"/>
        <w:bottom w:val="none" w:sz="0" w:space="0" w:color="auto"/>
        <w:right w:val="none" w:sz="0" w:space="0" w:color="auto"/>
      </w:divBdr>
    </w:div>
    <w:div w:id="328866949">
      <w:bodyDiv w:val="1"/>
      <w:marLeft w:val="0"/>
      <w:marRight w:val="0"/>
      <w:marTop w:val="0"/>
      <w:marBottom w:val="0"/>
      <w:divBdr>
        <w:top w:val="none" w:sz="0" w:space="0" w:color="auto"/>
        <w:left w:val="none" w:sz="0" w:space="0" w:color="auto"/>
        <w:bottom w:val="none" w:sz="0" w:space="0" w:color="auto"/>
        <w:right w:val="none" w:sz="0" w:space="0" w:color="auto"/>
      </w:divBdr>
    </w:div>
    <w:div w:id="432213215">
      <w:bodyDiv w:val="1"/>
      <w:marLeft w:val="0"/>
      <w:marRight w:val="0"/>
      <w:marTop w:val="0"/>
      <w:marBottom w:val="0"/>
      <w:divBdr>
        <w:top w:val="none" w:sz="0" w:space="0" w:color="auto"/>
        <w:left w:val="none" w:sz="0" w:space="0" w:color="auto"/>
        <w:bottom w:val="none" w:sz="0" w:space="0" w:color="auto"/>
        <w:right w:val="none" w:sz="0" w:space="0" w:color="auto"/>
      </w:divBdr>
    </w:div>
    <w:div w:id="434986856">
      <w:bodyDiv w:val="1"/>
      <w:marLeft w:val="0"/>
      <w:marRight w:val="0"/>
      <w:marTop w:val="0"/>
      <w:marBottom w:val="0"/>
      <w:divBdr>
        <w:top w:val="none" w:sz="0" w:space="0" w:color="auto"/>
        <w:left w:val="none" w:sz="0" w:space="0" w:color="auto"/>
        <w:bottom w:val="none" w:sz="0" w:space="0" w:color="auto"/>
        <w:right w:val="none" w:sz="0" w:space="0" w:color="auto"/>
      </w:divBdr>
    </w:div>
    <w:div w:id="530338509">
      <w:bodyDiv w:val="1"/>
      <w:marLeft w:val="0"/>
      <w:marRight w:val="0"/>
      <w:marTop w:val="0"/>
      <w:marBottom w:val="0"/>
      <w:divBdr>
        <w:top w:val="none" w:sz="0" w:space="0" w:color="auto"/>
        <w:left w:val="none" w:sz="0" w:space="0" w:color="auto"/>
        <w:bottom w:val="none" w:sz="0" w:space="0" w:color="auto"/>
        <w:right w:val="none" w:sz="0" w:space="0" w:color="auto"/>
      </w:divBdr>
    </w:div>
    <w:div w:id="661588099">
      <w:bodyDiv w:val="1"/>
      <w:marLeft w:val="0"/>
      <w:marRight w:val="0"/>
      <w:marTop w:val="0"/>
      <w:marBottom w:val="0"/>
      <w:divBdr>
        <w:top w:val="none" w:sz="0" w:space="0" w:color="auto"/>
        <w:left w:val="none" w:sz="0" w:space="0" w:color="auto"/>
        <w:bottom w:val="none" w:sz="0" w:space="0" w:color="auto"/>
        <w:right w:val="none" w:sz="0" w:space="0" w:color="auto"/>
      </w:divBdr>
    </w:div>
    <w:div w:id="714621423">
      <w:bodyDiv w:val="1"/>
      <w:marLeft w:val="0"/>
      <w:marRight w:val="0"/>
      <w:marTop w:val="0"/>
      <w:marBottom w:val="0"/>
      <w:divBdr>
        <w:top w:val="none" w:sz="0" w:space="0" w:color="auto"/>
        <w:left w:val="none" w:sz="0" w:space="0" w:color="auto"/>
        <w:bottom w:val="none" w:sz="0" w:space="0" w:color="auto"/>
        <w:right w:val="none" w:sz="0" w:space="0" w:color="auto"/>
      </w:divBdr>
    </w:div>
    <w:div w:id="751271000">
      <w:bodyDiv w:val="1"/>
      <w:marLeft w:val="0"/>
      <w:marRight w:val="0"/>
      <w:marTop w:val="0"/>
      <w:marBottom w:val="0"/>
      <w:divBdr>
        <w:top w:val="none" w:sz="0" w:space="0" w:color="auto"/>
        <w:left w:val="none" w:sz="0" w:space="0" w:color="auto"/>
        <w:bottom w:val="none" w:sz="0" w:space="0" w:color="auto"/>
        <w:right w:val="none" w:sz="0" w:space="0" w:color="auto"/>
      </w:divBdr>
    </w:div>
    <w:div w:id="771435180">
      <w:bodyDiv w:val="1"/>
      <w:marLeft w:val="0"/>
      <w:marRight w:val="0"/>
      <w:marTop w:val="0"/>
      <w:marBottom w:val="0"/>
      <w:divBdr>
        <w:top w:val="none" w:sz="0" w:space="0" w:color="auto"/>
        <w:left w:val="none" w:sz="0" w:space="0" w:color="auto"/>
        <w:bottom w:val="none" w:sz="0" w:space="0" w:color="auto"/>
        <w:right w:val="none" w:sz="0" w:space="0" w:color="auto"/>
      </w:divBdr>
    </w:div>
    <w:div w:id="899901756">
      <w:bodyDiv w:val="1"/>
      <w:marLeft w:val="0"/>
      <w:marRight w:val="0"/>
      <w:marTop w:val="0"/>
      <w:marBottom w:val="0"/>
      <w:divBdr>
        <w:top w:val="none" w:sz="0" w:space="0" w:color="auto"/>
        <w:left w:val="none" w:sz="0" w:space="0" w:color="auto"/>
        <w:bottom w:val="none" w:sz="0" w:space="0" w:color="auto"/>
        <w:right w:val="none" w:sz="0" w:space="0" w:color="auto"/>
      </w:divBdr>
    </w:div>
    <w:div w:id="905728809">
      <w:bodyDiv w:val="1"/>
      <w:marLeft w:val="0"/>
      <w:marRight w:val="0"/>
      <w:marTop w:val="0"/>
      <w:marBottom w:val="0"/>
      <w:divBdr>
        <w:top w:val="none" w:sz="0" w:space="0" w:color="auto"/>
        <w:left w:val="none" w:sz="0" w:space="0" w:color="auto"/>
        <w:bottom w:val="none" w:sz="0" w:space="0" w:color="auto"/>
        <w:right w:val="none" w:sz="0" w:space="0" w:color="auto"/>
      </w:divBdr>
    </w:div>
    <w:div w:id="1007636262">
      <w:bodyDiv w:val="1"/>
      <w:marLeft w:val="0"/>
      <w:marRight w:val="0"/>
      <w:marTop w:val="0"/>
      <w:marBottom w:val="0"/>
      <w:divBdr>
        <w:top w:val="none" w:sz="0" w:space="0" w:color="auto"/>
        <w:left w:val="none" w:sz="0" w:space="0" w:color="auto"/>
        <w:bottom w:val="none" w:sz="0" w:space="0" w:color="auto"/>
        <w:right w:val="none" w:sz="0" w:space="0" w:color="auto"/>
      </w:divBdr>
    </w:div>
    <w:div w:id="1049647793">
      <w:bodyDiv w:val="1"/>
      <w:marLeft w:val="0"/>
      <w:marRight w:val="0"/>
      <w:marTop w:val="0"/>
      <w:marBottom w:val="0"/>
      <w:divBdr>
        <w:top w:val="none" w:sz="0" w:space="0" w:color="auto"/>
        <w:left w:val="none" w:sz="0" w:space="0" w:color="auto"/>
        <w:bottom w:val="none" w:sz="0" w:space="0" w:color="auto"/>
        <w:right w:val="none" w:sz="0" w:space="0" w:color="auto"/>
      </w:divBdr>
    </w:div>
    <w:div w:id="1117331096">
      <w:bodyDiv w:val="1"/>
      <w:marLeft w:val="0"/>
      <w:marRight w:val="0"/>
      <w:marTop w:val="0"/>
      <w:marBottom w:val="0"/>
      <w:divBdr>
        <w:top w:val="none" w:sz="0" w:space="0" w:color="auto"/>
        <w:left w:val="none" w:sz="0" w:space="0" w:color="auto"/>
        <w:bottom w:val="none" w:sz="0" w:space="0" w:color="auto"/>
        <w:right w:val="none" w:sz="0" w:space="0" w:color="auto"/>
      </w:divBdr>
    </w:div>
    <w:div w:id="1130784554">
      <w:bodyDiv w:val="1"/>
      <w:marLeft w:val="0"/>
      <w:marRight w:val="0"/>
      <w:marTop w:val="0"/>
      <w:marBottom w:val="0"/>
      <w:divBdr>
        <w:top w:val="none" w:sz="0" w:space="0" w:color="auto"/>
        <w:left w:val="none" w:sz="0" w:space="0" w:color="auto"/>
        <w:bottom w:val="none" w:sz="0" w:space="0" w:color="auto"/>
        <w:right w:val="none" w:sz="0" w:space="0" w:color="auto"/>
      </w:divBdr>
    </w:div>
    <w:div w:id="1168792571">
      <w:bodyDiv w:val="1"/>
      <w:marLeft w:val="0"/>
      <w:marRight w:val="0"/>
      <w:marTop w:val="0"/>
      <w:marBottom w:val="0"/>
      <w:divBdr>
        <w:top w:val="none" w:sz="0" w:space="0" w:color="auto"/>
        <w:left w:val="none" w:sz="0" w:space="0" w:color="auto"/>
        <w:bottom w:val="none" w:sz="0" w:space="0" w:color="auto"/>
        <w:right w:val="none" w:sz="0" w:space="0" w:color="auto"/>
      </w:divBdr>
    </w:div>
    <w:div w:id="1207910906">
      <w:bodyDiv w:val="1"/>
      <w:marLeft w:val="0"/>
      <w:marRight w:val="0"/>
      <w:marTop w:val="0"/>
      <w:marBottom w:val="0"/>
      <w:divBdr>
        <w:top w:val="none" w:sz="0" w:space="0" w:color="auto"/>
        <w:left w:val="none" w:sz="0" w:space="0" w:color="auto"/>
        <w:bottom w:val="none" w:sz="0" w:space="0" w:color="auto"/>
        <w:right w:val="none" w:sz="0" w:space="0" w:color="auto"/>
      </w:divBdr>
    </w:div>
    <w:div w:id="1341735602">
      <w:bodyDiv w:val="1"/>
      <w:marLeft w:val="0"/>
      <w:marRight w:val="0"/>
      <w:marTop w:val="0"/>
      <w:marBottom w:val="0"/>
      <w:divBdr>
        <w:top w:val="none" w:sz="0" w:space="0" w:color="auto"/>
        <w:left w:val="none" w:sz="0" w:space="0" w:color="auto"/>
        <w:bottom w:val="none" w:sz="0" w:space="0" w:color="auto"/>
        <w:right w:val="none" w:sz="0" w:space="0" w:color="auto"/>
      </w:divBdr>
    </w:div>
    <w:div w:id="1373652057">
      <w:bodyDiv w:val="1"/>
      <w:marLeft w:val="0"/>
      <w:marRight w:val="0"/>
      <w:marTop w:val="0"/>
      <w:marBottom w:val="0"/>
      <w:divBdr>
        <w:top w:val="none" w:sz="0" w:space="0" w:color="auto"/>
        <w:left w:val="none" w:sz="0" w:space="0" w:color="auto"/>
        <w:bottom w:val="none" w:sz="0" w:space="0" w:color="auto"/>
        <w:right w:val="none" w:sz="0" w:space="0" w:color="auto"/>
      </w:divBdr>
    </w:div>
    <w:div w:id="1375809030">
      <w:bodyDiv w:val="1"/>
      <w:marLeft w:val="0"/>
      <w:marRight w:val="0"/>
      <w:marTop w:val="0"/>
      <w:marBottom w:val="0"/>
      <w:divBdr>
        <w:top w:val="none" w:sz="0" w:space="0" w:color="auto"/>
        <w:left w:val="none" w:sz="0" w:space="0" w:color="auto"/>
        <w:bottom w:val="none" w:sz="0" w:space="0" w:color="auto"/>
        <w:right w:val="none" w:sz="0" w:space="0" w:color="auto"/>
      </w:divBdr>
    </w:div>
    <w:div w:id="1422293616">
      <w:bodyDiv w:val="1"/>
      <w:marLeft w:val="0"/>
      <w:marRight w:val="0"/>
      <w:marTop w:val="0"/>
      <w:marBottom w:val="0"/>
      <w:divBdr>
        <w:top w:val="none" w:sz="0" w:space="0" w:color="auto"/>
        <w:left w:val="none" w:sz="0" w:space="0" w:color="auto"/>
        <w:bottom w:val="none" w:sz="0" w:space="0" w:color="auto"/>
        <w:right w:val="none" w:sz="0" w:space="0" w:color="auto"/>
      </w:divBdr>
    </w:div>
    <w:div w:id="1455514607">
      <w:bodyDiv w:val="1"/>
      <w:marLeft w:val="0"/>
      <w:marRight w:val="0"/>
      <w:marTop w:val="0"/>
      <w:marBottom w:val="0"/>
      <w:divBdr>
        <w:top w:val="none" w:sz="0" w:space="0" w:color="auto"/>
        <w:left w:val="none" w:sz="0" w:space="0" w:color="auto"/>
        <w:bottom w:val="none" w:sz="0" w:space="0" w:color="auto"/>
        <w:right w:val="none" w:sz="0" w:space="0" w:color="auto"/>
      </w:divBdr>
    </w:div>
    <w:div w:id="1459949589">
      <w:bodyDiv w:val="1"/>
      <w:marLeft w:val="0"/>
      <w:marRight w:val="0"/>
      <w:marTop w:val="0"/>
      <w:marBottom w:val="0"/>
      <w:divBdr>
        <w:top w:val="none" w:sz="0" w:space="0" w:color="auto"/>
        <w:left w:val="none" w:sz="0" w:space="0" w:color="auto"/>
        <w:bottom w:val="none" w:sz="0" w:space="0" w:color="auto"/>
        <w:right w:val="none" w:sz="0" w:space="0" w:color="auto"/>
      </w:divBdr>
    </w:div>
    <w:div w:id="1481537442">
      <w:bodyDiv w:val="1"/>
      <w:marLeft w:val="0"/>
      <w:marRight w:val="0"/>
      <w:marTop w:val="0"/>
      <w:marBottom w:val="0"/>
      <w:divBdr>
        <w:top w:val="none" w:sz="0" w:space="0" w:color="auto"/>
        <w:left w:val="none" w:sz="0" w:space="0" w:color="auto"/>
        <w:bottom w:val="none" w:sz="0" w:space="0" w:color="auto"/>
        <w:right w:val="none" w:sz="0" w:space="0" w:color="auto"/>
      </w:divBdr>
    </w:div>
    <w:div w:id="1558931603">
      <w:bodyDiv w:val="1"/>
      <w:marLeft w:val="0"/>
      <w:marRight w:val="0"/>
      <w:marTop w:val="0"/>
      <w:marBottom w:val="0"/>
      <w:divBdr>
        <w:top w:val="none" w:sz="0" w:space="0" w:color="auto"/>
        <w:left w:val="none" w:sz="0" w:space="0" w:color="auto"/>
        <w:bottom w:val="none" w:sz="0" w:space="0" w:color="auto"/>
        <w:right w:val="none" w:sz="0" w:space="0" w:color="auto"/>
      </w:divBdr>
    </w:div>
    <w:div w:id="1653026435">
      <w:bodyDiv w:val="1"/>
      <w:marLeft w:val="0"/>
      <w:marRight w:val="0"/>
      <w:marTop w:val="0"/>
      <w:marBottom w:val="0"/>
      <w:divBdr>
        <w:top w:val="none" w:sz="0" w:space="0" w:color="auto"/>
        <w:left w:val="none" w:sz="0" w:space="0" w:color="auto"/>
        <w:bottom w:val="none" w:sz="0" w:space="0" w:color="auto"/>
        <w:right w:val="none" w:sz="0" w:space="0" w:color="auto"/>
      </w:divBdr>
    </w:div>
    <w:div w:id="1832481677">
      <w:bodyDiv w:val="1"/>
      <w:marLeft w:val="0"/>
      <w:marRight w:val="0"/>
      <w:marTop w:val="0"/>
      <w:marBottom w:val="0"/>
      <w:divBdr>
        <w:top w:val="none" w:sz="0" w:space="0" w:color="auto"/>
        <w:left w:val="none" w:sz="0" w:space="0" w:color="auto"/>
        <w:bottom w:val="none" w:sz="0" w:space="0" w:color="auto"/>
        <w:right w:val="none" w:sz="0" w:space="0" w:color="auto"/>
      </w:divBdr>
    </w:div>
    <w:div w:id="1859350067">
      <w:bodyDiv w:val="1"/>
      <w:marLeft w:val="0"/>
      <w:marRight w:val="0"/>
      <w:marTop w:val="0"/>
      <w:marBottom w:val="0"/>
      <w:divBdr>
        <w:top w:val="none" w:sz="0" w:space="0" w:color="auto"/>
        <w:left w:val="none" w:sz="0" w:space="0" w:color="auto"/>
        <w:bottom w:val="none" w:sz="0" w:space="0" w:color="auto"/>
        <w:right w:val="none" w:sz="0" w:space="0" w:color="auto"/>
      </w:divBdr>
    </w:div>
    <w:div w:id="1868637285">
      <w:bodyDiv w:val="1"/>
      <w:marLeft w:val="0"/>
      <w:marRight w:val="0"/>
      <w:marTop w:val="0"/>
      <w:marBottom w:val="0"/>
      <w:divBdr>
        <w:top w:val="none" w:sz="0" w:space="0" w:color="auto"/>
        <w:left w:val="none" w:sz="0" w:space="0" w:color="auto"/>
        <w:bottom w:val="none" w:sz="0" w:space="0" w:color="auto"/>
        <w:right w:val="none" w:sz="0" w:space="0" w:color="auto"/>
      </w:divBdr>
    </w:div>
    <w:div w:id="1870071284">
      <w:bodyDiv w:val="1"/>
      <w:marLeft w:val="0"/>
      <w:marRight w:val="0"/>
      <w:marTop w:val="0"/>
      <w:marBottom w:val="0"/>
      <w:divBdr>
        <w:top w:val="none" w:sz="0" w:space="0" w:color="auto"/>
        <w:left w:val="none" w:sz="0" w:space="0" w:color="auto"/>
        <w:bottom w:val="none" w:sz="0" w:space="0" w:color="auto"/>
        <w:right w:val="none" w:sz="0" w:space="0" w:color="auto"/>
      </w:divBdr>
    </w:div>
    <w:div w:id="2043631966">
      <w:bodyDiv w:val="1"/>
      <w:marLeft w:val="0"/>
      <w:marRight w:val="0"/>
      <w:marTop w:val="0"/>
      <w:marBottom w:val="0"/>
      <w:divBdr>
        <w:top w:val="none" w:sz="0" w:space="0" w:color="auto"/>
        <w:left w:val="none" w:sz="0" w:space="0" w:color="auto"/>
        <w:bottom w:val="none" w:sz="0" w:space="0" w:color="auto"/>
        <w:right w:val="none" w:sz="0" w:space="0" w:color="auto"/>
      </w:divBdr>
    </w:div>
    <w:div w:id="20591599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law.reform@utas.edu.a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reuters.com/article/2010/12/08/internetInternet-jurors-idUSN0816547120101208" TargetMode="External"/><Relationship Id="rId2" Type="http://schemas.openxmlformats.org/officeDocument/2006/relationships/hyperlink" Target="https://www.supremecourt.tas.gov.au/jurors/first-day-t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861</Words>
  <Characters>4908</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TACLC</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2019-10-11T05:04:00Z</cp:lastPrinted>
  <dcterms:created xsi:type="dcterms:W3CDTF">2019-10-10T22:03:00Z</dcterms:created>
  <dcterms:modified xsi:type="dcterms:W3CDTF">2019-10-11T05:07:00Z</dcterms:modified>
</cp:coreProperties>
</file>