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75C64" w14:textId="77777777" w:rsidR="00BC4B26" w:rsidRDefault="00BC4B26" w:rsidP="00BC4B26">
      <w:pPr>
        <w:ind w:right="-347"/>
        <w:jc w:val="center"/>
      </w:pPr>
      <w:r>
        <w:rPr>
          <w:noProof/>
          <w:sz w:val="20"/>
          <w:szCs w:val="20"/>
        </w:rPr>
        <w:drawing>
          <wp:inline distT="0" distB="0" distL="0" distR="0" wp14:anchorId="3ABF5AFE" wp14:editId="5A128422">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3AE82A9E" w14:textId="77777777" w:rsidR="00BC4B26" w:rsidRDefault="00BC4B26" w:rsidP="00BC4B26">
      <w:pPr>
        <w:ind w:right="-347"/>
        <w:rPr>
          <w:rFonts w:asciiTheme="minorHAnsi" w:hAnsiTheme="minorHAnsi"/>
        </w:rPr>
      </w:pPr>
    </w:p>
    <w:p w14:paraId="66C36F0F" w14:textId="77777777" w:rsidR="009C2216" w:rsidRPr="003E6031" w:rsidRDefault="009C2216" w:rsidP="00BC4B26">
      <w:pPr>
        <w:ind w:right="-347"/>
        <w:rPr>
          <w:rFonts w:asciiTheme="minorHAnsi" w:hAnsiTheme="minorHAnsi"/>
          <w:color w:val="000000" w:themeColor="text1"/>
        </w:rPr>
      </w:pPr>
    </w:p>
    <w:p w14:paraId="77B7BBBF" w14:textId="04CF3C66" w:rsidR="00BC4B26" w:rsidRPr="003E6031" w:rsidRDefault="009C2216" w:rsidP="00BC4B26">
      <w:pPr>
        <w:ind w:right="-347"/>
        <w:rPr>
          <w:rFonts w:asciiTheme="minorHAnsi" w:hAnsiTheme="minorHAnsi"/>
          <w:color w:val="000000" w:themeColor="text1"/>
        </w:rPr>
      </w:pPr>
      <w:r>
        <w:rPr>
          <w:rFonts w:asciiTheme="minorHAnsi" w:hAnsiTheme="minorHAnsi"/>
          <w:color w:val="000000" w:themeColor="text1"/>
        </w:rPr>
        <w:t>23</w:t>
      </w:r>
      <w:r w:rsidR="00BC4B26" w:rsidRPr="003E6031">
        <w:rPr>
          <w:rFonts w:asciiTheme="minorHAnsi" w:hAnsiTheme="minorHAnsi"/>
          <w:color w:val="000000" w:themeColor="text1"/>
        </w:rPr>
        <w:t xml:space="preserve"> August 2019</w:t>
      </w:r>
    </w:p>
    <w:p w14:paraId="5EAA921C" w14:textId="77777777" w:rsidR="00BC4B26" w:rsidRPr="003E6031" w:rsidRDefault="00BC4B26" w:rsidP="00BC4B26">
      <w:pPr>
        <w:ind w:right="-347"/>
        <w:rPr>
          <w:rFonts w:asciiTheme="minorHAnsi" w:hAnsiTheme="minorHAnsi"/>
          <w:color w:val="000000" w:themeColor="text1"/>
        </w:rPr>
      </w:pPr>
    </w:p>
    <w:p w14:paraId="50B42299" w14:textId="77777777" w:rsidR="00BC4B26" w:rsidRPr="003E6031" w:rsidRDefault="00BC4B26" w:rsidP="00BC4B26">
      <w:pPr>
        <w:rPr>
          <w:rFonts w:asciiTheme="minorHAnsi" w:hAnsiTheme="minorHAnsi"/>
          <w:color w:val="000000" w:themeColor="text1"/>
        </w:rPr>
      </w:pPr>
      <w:r w:rsidRPr="003E6031">
        <w:rPr>
          <w:rFonts w:asciiTheme="minorHAnsi" w:hAnsiTheme="minorHAnsi"/>
          <w:color w:val="000000" w:themeColor="text1"/>
        </w:rPr>
        <w:t>Department of Justice</w:t>
      </w:r>
    </w:p>
    <w:p w14:paraId="29A02D09" w14:textId="77777777" w:rsidR="00BC4B26" w:rsidRPr="003E6031" w:rsidRDefault="00BC4B26" w:rsidP="00BC4B26">
      <w:pPr>
        <w:rPr>
          <w:rFonts w:asciiTheme="minorHAnsi" w:hAnsiTheme="minorHAnsi"/>
          <w:color w:val="000000" w:themeColor="text1"/>
        </w:rPr>
      </w:pPr>
      <w:r w:rsidRPr="003E6031">
        <w:rPr>
          <w:rFonts w:asciiTheme="minorHAnsi" w:hAnsiTheme="minorHAnsi"/>
          <w:color w:val="000000" w:themeColor="text1"/>
        </w:rPr>
        <w:t>Office of the Secretary</w:t>
      </w:r>
    </w:p>
    <w:p w14:paraId="00EC89DD" w14:textId="77777777" w:rsidR="00BC4B26" w:rsidRPr="003E6031" w:rsidRDefault="00BC4B26" w:rsidP="00BC4B26">
      <w:pPr>
        <w:rPr>
          <w:rFonts w:asciiTheme="minorHAnsi" w:hAnsiTheme="minorHAnsi"/>
          <w:color w:val="000000" w:themeColor="text1"/>
        </w:rPr>
      </w:pPr>
      <w:r w:rsidRPr="003E6031">
        <w:rPr>
          <w:rFonts w:asciiTheme="minorHAnsi" w:hAnsiTheme="minorHAnsi"/>
          <w:color w:val="000000" w:themeColor="text1"/>
        </w:rPr>
        <w:t>GPO Box 825</w:t>
      </w:r>
    </w:p>
    <w:p w14:paraId="0D71A3BA" w14:textId="77777777" w:rsidR="00BC4B26" w:rsidRPr="003E6031" w:rsidRDefault="00BC4B26" w:rsidP="00BC4B26">
      <w:pPr>
        <w:rPr>
          <w:rFonts w:asciiTheme="minorHAnsi" w:hAnsiTheme="minorHAnsi"/>
          <w:color w:val="000000" w:themeColor="text1"/>
        </w:rPr>
      </w:pPr>
      <w:r w:rsidRPr="003E6031">
        <w:rPr>
          <w:rFonts w:asciiTheme="minorHAnsi" w:hAnsiTheme="minorHAnsi"/>
          <w:color w:val="000000" w:themeColor="text1"/>
        </w:rPr>
        <w:t>Hobart TAS 7001</w:t>
      </w:r>
    </w:p>
    <w:p w14:paraId="5BA2D223" w14:textId="77777777" w:rsidR="00BC4B26" w:rsidRPr="003E6031" w:rsidRDefault="00BC4B26" w:rsidP="00BC4B26">
      <w:pPr>
        <w:rPr>
          <w:rFonts w:asciiTheme="minorHAnsi" w:hAnsiTheme="minorHAnsi"/>
          <w:color w:val="000000" w:themeColor="text1"/>
        </w:rPr>
      </w:pPr>
      <w:proofErr w:type="spellStart"/>
      <w:r w:rsidRPr="003E6031">
        <w:rPr>
          <w:rFonts w:asciiTheme="minorHAnsi" w:hAnsiTheme="minorHAnsi"/>
          <w:color w:val="000000" w:themeColor="text1"/>
        </w:rPr>
        <w:t>attn:</w:t>
      </w:r>
      <w:proofErr w:type="spellEnd"/>
      <w:r w:rsidRPr="003E6031">
        <w:rPr>
          <w:rFonts w:asciiTheme="minorHAnsi" w:hAnsiTheme="minorHAnsi"/>
          <w:color w:val="000000" w:themeColor="text1"/>
        </w:rPr>
        <w:t xml:space="preserve"> Director, Strategic Legislation and Policy</w:t>
      </w:r>
    </w:p>
    <w:p w14:paraId="0AABB2D6" w14:textId="77777777" w:rsidR="0029459F" w:rsidRPr="003E6031" w:rsidRDefault="0029459F" w:rsidP="00BC4B26">
      <w:pPr>
        <w:rPr>
          <w:rFonts w:asciiTheme="minorHAnsi" w:hAnsiTheme="minorHAnsi"/>
          <w:color w:val="000000" w:themeColor="text1"/>
        </w:rPr>
      </w:pPr>
    </w:p>
    <w:p w14:paraId="7A31F498" w14:textId="77777777" w:rsidR="00BC4B26" w:rsidRPr="003E6031" w:rsidRDefault="00BC4B26" w:rsidP="00372C84">
      <w:pPr>
        <w:ind w:left="2160"/>
        <w:rPr>
          <w:rFonts w:asciiTheme="minorHAnsi" w:eastAsia="Times New Roman" w:hAnsiTheme="minorHAnsi"/>
          <w:i/>
        </w:rPr>
      </w:pPr>
      <w:r w:rsidRPr="003E6031">
        <w:rPr>
          <w:rFonts w:asciiTheme="minorHAnsi" w:hAnsiTheme="minorHAnsi"/>
          <w:i/>
          <w:color w:val="000000" w:themeColor="text1"/>
        </w:rPr>
        <w:t xml:space="preserve">via email: </w:t>
      </w:r>
      <w:hyperlink r:id="rId8" w:history="1">
        <w:r w:rsidRPr="003E6031">
          <w:rPr>
            <w:rFonts w:asciiTheme="minorHAnsi" w:eastAsia="Times New Roman" w:hAnsiTheme="minorHAnsi" w:cs="Segoe UI"/>
            <w:i/>
            <w:color w:val="0000FF"/>
            <w:u w:val="single"/>
            <w:shd w:val="clear" w:color="auto" w:fill="FFFFFF"/>
          </w:rPr>
          <w:t>haveyoursay@justice.tas.gov.au</w:t>
        </w:r>
      </w:hyperlink>
    </w:p>
    <w:p w14:paraId="25FFD49A" w14:textId="77F88518" w:rsidR="00BC4B26" w:rsidRPr="003E6031" w:rsidRDefault="00BC4B26" w:rsidP="00BC4B26">
      <w:pPr>
        <w:rPr>
          <w:rFonts w:asciiTheme="minorHAnsi" w:hAnsiTheme="minorHAnsi"/>
          <w:color w:val="000000" w:themeColor="text1"/>
        </w:rPr>
      </w:pPr>
    </w:p>
    <w:p w14:paraId="628BE6EB" w14:textId="77777777" w:rsidR="00BC4B26" w:rsidRPr="003E6031" w:rsidRDefault="00BC4B26" w:rsidP="00BC4B26">
      <w:pPr>
        <w:rPr>
          <w:rFonts w:asciiTheme="minorHAnsi" w:hAnsiTheme="minorHAnsi"/>
          <w:color w:val="000000" w:themeColor="text1"/>
        </w:rPr>
      </w:pPr>
      <w:r w:rsidRPr="003E6031">
        <w:rPr>
          <w:rFonts w:asciiTheme="minorHAnsi" w:hAnsiTheme="minorHAnsi"/>
          <w:color w:val="000000" w:themeColor="text1"/>
        </w:rPr>
        <w:t xml:space="preserve">Dear Brooke, </w:t>
      </w:r>
    </w:p>
    <w:p w14:paraId="2C26B072" w14:textId="77777777" w:rsidR="00BC4B26" w:rsidRPr="003E6031" w:rsidRDefault="00BC4B26" w:rsidP="00BC4B26">
      <w:pPr>
        <w:pBdr>
          <w:bottom w:val="single" w:sz="6" w:space="1" w:color="auto"/>
        </w:pBdr>
        <w:rPr>
          <w:rFonts w:asciiTheme="minorHAnsi" w:hAnsiTheme="minorHAnsi"/>
          <w:b/>
          <w:bCs/>
          <w:color w:val="000000" w:themeColor="text1"/>
        </w:rPr>
      </w:pPr>
      <w:r w:rsidRPr="003E6031">
        <w:rPr>
          <w:rFonts w:asciiTheme="minorHAnsi" w:hAnsiTheme="minorHAnsi"/>
          <w:b/>
          <w:bCs/>
          <w:color w:val="000000" w:themeColor="text1"/>
        </w:rPr>
        <w:t xml:space="preserve">Re: </w:t>
      </w:r>
      <w:r w:rsidRPr="003E6031">
        <w:rPr>
          <w:rFonts w:asciiTheme="minorHAnsi" w:hAnsiTheme="minorHAnsi"/>
          <w:b/>
          <w:i/>
          <w:color w:val="000000" w:themeColor="text1"/>
        </w:rPr>
        <w:t>Legal Profession Act Amendment (Validation) Bill 2019</w:t>
      </w:r>
    </w:p>
    <w:p w14:paraId="634BCE8B" w14:textId="77777777" w:rsidR="00BC4B26" w:rsidRPr="003E6031" w:rsidRDefault="00BC4B26" w:rsidP="00BC4B26">
      <w:pPr>
        <w:ind w:right="-347"/>
        <w:jc w:val="both"/>
        <w:rPr>
          <w:rFonts w:asciiTheme="minorHAnsi" w:hAnsiTheme="minorHAnsi" w:cs="Arial"/>
          <w:color w:val="000000" w:themeColor="text1"/>
        </w:rPr>
      </w:pPr>
    </w:p>
    <w:p w14:paraId="6E3F8F1F" w14:textId="78CF5B4F" w:rsidR="00BC4B26" w:rsidRPr="003E6031" w:rsidRDefault="00BC4B26" w:rsidP="00BC4B26">
      <w:pPr>
        <w:ind w:right="-347"/>
        <w:jc w:val="both"/>
        <w:rPr>
          <w:rFonts w:asciiTheme="minorHAnsi" w:hAnsiTheme="minorHAnsi"/>
          <w:color w:val="000000" w:themeColor="text1"/>
        </w:rPr>
      </w:pPr>
      <w:r w:rsidRPr="003E6031">
        <w:rPr>
          <w:rFonts w:asciiTheme="minorHAnsi" w:hAnsiTheme="minorHAnsi" w:cs="Calibri"/>
          <w:color w:val="000000" w:themeColor="text1"/>
        </w:rPr>
        <w:t xml:space="preserve">Community Legal Centres Tasmania (CLC </w:t>
      </w:r>
      <w:proofErr w:type="spellStart"/>
      <w:r w:rsidRPr="003E6031">
        <w:rPr>
          <w:rFonts w:asciiTheme="minorHAnsi" w:hAnsiTheme="minorHAnsi" w:cs="Calibri"/>
          <w:color w:val="000000" w:themeColor="text1"/>
        </w:rPr>
        <w:t>Tas</w:t>
      </w:r>
      <w:proofErr w:type="spellEnd"/>
      <w:r w:rsidRPr="003E6031">
        <w:rPr>
          <w:rFonts w:asciiTheme="minorHAnsi" w:hAnsiTheme="minorHAnsi" w:cs="Calibri"/>
          <w:color w:val="000000" w:themeColor="text1"/>
        </w:rPr>
        <w:t>)</w:t>
      </w:r>
      <w:r w:rsidRPr="003E6031">
        <w:rPr>
          <w:rFonts w:asciiTheme="minorHAnsi" w:hAnsiTheme="minorHAnsi"/>
          <w:color w:val="000000" w:themeColor="text1"/>
        </w:rPr>
        <w:t xml:space="preserve"> welcomes the opportunity to provide comment on the </w:t>
      </w:r>
      <w:r w:rsidR="00372C84" w:rsidRPr="003E6031">
        <w:rPr>
          <w:rFonts w:asciiTheme="minorHAnsi" w:hAnsiTheme="minorHAnsi"/>
          <w:i/>
          <w:color w:val="000000" w:themeColor="text1"/>
        </w:rPr>
        <w:t>Legal Profession Act Amendment (Validation) Bill 2019</w:t>
      </w:r>
      <w:r w:rsidR="0088277C">
        <w:rPr>
          <w:rFonts w:asciiTheme="minorHAnsi" w:hAnsiTheme="minorHAnsi"/>
          <w:color w:val="000000" w:themeColor="text1"/>
        </w:rPr>
        <w:t xml:space="preserve"> (‘the D</w:t>
      </w:r>
      <w:r w:rsidR="00372C84" w:rsidRPr="003E6031">
        <w:rPr>
          <w:rFonts w:asciiTheme="minorHAnsi" w:hAnsiTheme="minorHAnsi"/>
          <w:color w:val="000000" w:themeColor="text1"/>
        </w:rPr>
        <w:t>raft Bill</w:t>
      </w:r>
      <w:r w:rsidRPr="003E6031">
        <w:rPr>
          <w:rFonts w:asciiTheme="minorHAnsi" w:hAnsiTheme="minorHAnsi"/>
          <w:color w:val="000000" w:themeColor="text1"/>
        </w:rPr>
        <w:t>’).</w:t>
      </w:r>
    </w:p>
    <w:p w14:paraId="1762964B" w14:textId="77777777" w:rsidR="00BC4B26" w:rsidRPr="003E6031" w:rsidRDefault="00BC4B26" w:rsidP="00BC4B26">
      <w:pPr>
        <w:ind w:right="-347"/>
        <w:jc w:val="both"/>
        <w:rPr>
          <w:rFonts w:asciiTheme="minorHAnsi" w:eastAsia="Times New Roman" w:hAnsiTheme="minorHAnsi" w:cs="Arial"/>
          <w:color w:val="000000" w:themeColor="text1"/>
        </w:rPr>
      </w:pPr>
    </w:p>
    <w:p w14:paraId="3C2C82CE" w14:textId="77777777" w:rsidR="00BC4B26" w:rsidRPr="003E6031" w:rsidRDefault="00BC4B26" w:rsidP="00BC4B26">
      <w:pPr>
        <w:ind w:right="-347"/>
        <w:jc w:val="both"/>
        <w:rPr>
          <w:rFonts w:asciiTheme="minorHAnsi" w:hAnsiTheme="minorHAnsi" w:cs="Arial"/>
          <w:color w:val="000000" w:themeColor="text1"/>
        </w:rPr>
      </w:pPr>
      <w:r w:rsidRPr="003E6031">
        <w:rPr>
          <w:rFonts w:asciiTheme="minorHAnsi" w:eastAsia="Times New Roman" w:hAnsiTheme="minorHAnsi" w:cs="Arial"/>
          <w:color w:val="000000" w:themeColor="text1"/>
        </w:rPr>
        <w:t xml:space="preserve">CLC </w:t>
      </w:r>
      <w:proofErr w:type="spellStart"/>
      <w:r w:rsidRPr="003E6031">
        <w:rPr>
          <w:rFonts w:asciiTheme="minorHAnsi" w:eastAsia="Times New Roman" w:hAnsiTheme="minorHAnsi" w:cs="Arial"/>
          <w:color w:val="000000" w:themeColor="text1"/>
        </w:rPr>
        <w:t>Tas</w:t>
      </w:r>
      <w:proofErr w:type="spellEnd"/>
      <w:r w:rsidRPr="003E6031">
        <w:rPr>
          <w:rFonts w:asciiTheme="minorHAnsi" w:eastAsia="Times New Roman" w:hAnsiTheme="minorHAnsi" w:cs="Arial"/>
          <w:color w:val="000000" w:themeColor="text1"/>
        </w:rPr>
        <w:t xml:space="preserve"> </w:t>
      </w:r>
      <w:r w:rsidRPr="003E6031">
        <w:rPr>
          <w:rFonts w:asciiTheme="minorHAnsi" w:hAnsiTheme="minorHAnsi"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12A2DE39" w14:textId="77777777" w:rsidR="00BC4B26" w:rsidRPr="003E6031" w:rsidRDefault="00BC4B26" w:rsidP="00BC4B26">
      <w:pPr>
        <w:ind w:right="-347"/>
        <w:jc w:val="both"/>
        <w:rPr>
          <w:rFonts w:asciiTheme="minorHAnsi" w:hAnsiTheme="minorHAnsi" w:cs="Arial"/>
          <w:color w:val="000000" w:themeColor="text1"/>
        </w:rPr>
      </w:pPr>
    </w:p>
    <w:p w14:paraId="050DB3D7" w14:textId="77777777" w:rsidR="003E6031" w:rsidRDefault="00E71BA2" w:rsidP="00BC4B26">
      <w:pPr>
        <w:ind w:right="-347"/>
        <w:jc w:val="both"/>
        <w:rPr>
          <w:rFonts w:asciiTheme="minorHAnsi" w:hAnsiTheme="minorHAnsi"/>
          <w:color w:val="000000" w:themeColor="text1"/>
        </w:rPr>
      </w:pPr>
      <w:r w:rsidRPr="003E6031">
        <w:rPr>
          <w:rFonts w:asciiTheme="minorHAnsi" w:hAnsiTheme="minorHAnsi"/>
          <w:color w:val="000000" w:themeColor="text1"/>
        </w:rPr>
        <w:t>Currently, t</w:t>
      </w:r>
      <w:r w:rsidR="00E31265" w:rsidRPr="003E6031">
        <w:rPr>
          <w:rFonts w:asciiTheme="minorHAnsi" w:hAnsiTheme="minorHAnsi"/>
          <w:color w:val="000000" w:themeColor="text1"/>
        </w:rPr>
        <w:t xml:space="preserve">he </w:t>
      </w:r>
      <w:r w:rsidR="00E31265" w:rsidRPr="003E6031">
        <w:rPr>
          <w:rFonts w:asciiTheme="minorHAnsi" w:hAnsiTheme="minorHAnsi"/>
          <w:i/>
          <w:color w:val="000000" w:themeColor="text1"/>
        </w:rPr>
        <w:t>Legal Profession Act 2007</w:t>
      </w:r>
      <w:r w:rsidR="00E31265" w:rsidRPr="003E6031">
        <w:rPr>
          <w:rFonts w:asciiTheme="minorHAnsi" w:hAnsiTheme="minorHAnsi"/>
          <w:color w:val="000000" w:themeColor="text1"/>
        </w:rPr>
        <w:t xml:space="preserve"> (</w:t>
      </w:r>
      <w:proofErr w:type="spellStart"/>
      <w:r w:rsidR="00E31265" w:rsidRPr="003E6031">
        <w:rPr>
          <w:rFonts w:asciiTheme="minorHAnsi" w:hAnsiTheme="minorHAnsi"/>
          <w:color w:val="000000" w:themeColor="text1"/>
        </w:rPr>
        <w:t>Tas</w:t>
      </w:r>
      <w:proofErr w:type="spellEnd"/>
      <w:r w:rsidR="00E31265" w:rsidRPr="003E6031">
        <w:rPr>
          <w:rFonts w:asciiTheme="minorHAnsi" w:hAnsiTheme="minorHAnsi"/>
          <w:color w:val="000000" w:themeColor="text1"/>
        </w:rPr>
        <w:t>)</w:t>
      </w:r>
      <w:r w:rsidR="005E4D61" w:rsidRPr="003E6031">
        <w:rPr>
          <w:rFonts w:asciiTheme="minorHAnsi" w:hAnsiTheme="minorHAnsi"/>
          <w:color w:val="000000" w:themeColor="text1"/>
        </w:rPr>
        <w:t xml:space="preserve"> (‘the Act’)</w:t>
      </w:r>
      <w:r w:rsidRPr="003E6031">
        <w:rPr>
          <w:rFonts w:asciiTheme="minorHAnsi" w:hAnsiTheme="minorHAnsi"/>
          <w:color w:val="000000" w:themeColor="text1"/>
        </w:rPr>
        <w:t xml:space="preserve"> creates</w:t>
      </w:r>
      <w:r w:rsidR="00E31265" w:rsidRPr="003E6031">
        <w:rPr>
          <w:rFonts w:asciiTheme="minorHAnsi" w:hAnsiTheme="minorHAnsi"/>
          <w:color w:val="000000" w:themeColor="text1"/>
        </w:rPr>
        <w:t xml:space="preserve"> </w:t>
      </w:r>
      <w:r w:rsidRPr="003E6031">
        <w:rPr>
          <w:rFonts w:asciiTheme="minorHAnsi" w:hAnsiTheme="minorHAnsi"/>
          <w:color w:val="000000" w:themeColor="text1"/>
        </w:rPr>
        <w:t xml:space="preserve">a Solicitors’ Guarantee Fund which consists of the interest generated </w:t>
      </w:r>
      <w:r w:rsidR="00B566C9" w:rsidRPr="003E6031">
        <w:rPr>
          <w:rFonts w:asciiTheme="minorHAnsi" w:hAnsiTheme="minorHAnsi"/>
          <w:color w:val="000000" w:themeColor="text1"/>
        </w:rPr>
        <w:t xml:space="preserve">in </w:t>
      </w:r>
      <w:r w:rsidRPr="003E6031">
        <w:rPr>
          <w:rFonts w:asciiTheme="minorHAnsi" w:hAnsiTheme="minorHAnsi"/>
          <w:color w:val="000000" w:themeColor="text1"/>
        </w:rPr>
        <w:t>legal practitioners’ trust funds. In accordance with the Act, the SGF is used to compensate clients of legal practitioners who have defaulted on t</w:t>
      </w:r>
      <w:r w:rsidR="00100F7F" w:rsidRPr="003E6031">
        <w:rPr>
          <w:rFonts w:asciiTheme="minorHAnsi" w:hAnsiTheme="minorHAnsi"/>
          <w:color w:val="000000" w:themeColor="text1"/>
        </w:rPr>
        <w:t>heir fiduciary duties and to co</w:t>
      </w:r>
      <w:r w:rsidRPr="003E6031">
        <w:rPr>
          <w:rFonts w:asciiTheme="minorHAnsi" w:hAnsiTheme="minorHAnsi"/>
          <w:color w:val="000000" w:themeColor="text1"/>
        </w:rPr>
        <w:t>ver the costs of the operation of the Leg</w:t>
      </w:r>
      <w:r w:rsidR="00100F7F" w:rsidRPr="003E6031">
        <w:rPr>
          <w:rFonts w:asciiTheme="minorHAnsi" w:hAnsiTheme="minorHAnsi"/>
          <w:color w:val="000000" w:themeColor="text1"/>
        </w:rPr>
        <w:t>al Profession Board and</w:t>
      </w:r>
      <w:r w:rsidRPr="003E6031">
        <w:rPr>
          <w:rFonts w:asciiTheme="minorHAnsi" w:hAnsiTheme="minorHAnsi"/>
          <w:color w:val="000000" w:themeColor="text1"/>
        </w:rPr>
        <w:t xml:space="preserve"> the Legal Profession Disciplinary Tribunal.</w:t>
      </w:r>
      <w:r w:rsidRPr="003E6031">
        <w:rPr>
          <w:rStyle w:val="FootnoteReference"/>
          <w:rFonts w:asciiTheme="minorHAnsi" w:hAnsiTheme="minorHAnsi"/>
          <w:color w:val="000000" w:themeColor="text1"/>
        </w:rPr>
        <w:footnoteReference w:id="1"/>
      </w:r>
      <w:r w:rsidRPr="003E6031">
        <w:rPr>
          <w:rFonts w:asciiTheme="minorHAnsi" w:hAnsiTheme="minorHAnsi"/>
          <w:color w:val="000000" w:themeColor="text1"/>
        </w:rPr>
        <w:t xml:space="preserve"> </w:t>
      </w:r>
    </w:p>
    <w:p w14:paraId="466A595F" w14:textId="77777777" w:rsidR="003E6031" w:rsidRDefault="003E6031" w:rsidP="00BC4B26">
      <w:pPr>
        <w:ind w:right="-347"/>
        <w:jc w:val="both"/>
        <w:rPr>
          <w:rFonts w:asciiTheme="minorHAnsi" w:hAnsiTheme="minorHAnsi"/>
          <w:color w:val="000000" w:themeColor="text1"/>
        </w:rPr>
      </w:pPr>
    </w:p>
    <w:p w14:paraId="5A405D49" w14:textId="09058E6C" w:rsidR="00CF39F8" w:rsidRPr="003E6031" w:rsidRDefault="003E6031" w:rsidP="00BC4B26">
      <w:pPr>
        <w:ind w:right="-347"/>
        <w:jc w:val="both"/>
        <w:rPr>
          <w:rFonts w:asciiTheme="minorHAnsi" w:hAnsiTheme="minorHAnsi"/>
          <w:color w:val="000000" w:themeColor="text1"/>
        </w:rPr>
      </w:pPr>
      <w:r>
        <w:rPr>
          <w:rFonts w:asciiTheme="minorHAnsi" w:hAnsiTheme="minorHAnsi"/>
          <w:color w:val="000000" w:themeColor="text1"/>
        </w:rPr>
        <w:t>R</w:t>
      </w:r>
      <w:r w:rsidR="00B566C9" w:rsidRPr="003E6031">
        <w:rPr>
          <w:rFonts w:asciiTheme="minorHAnsi" w:hAnsiTheme="minorHAnsi"/>
          <w:color w:val="000000" w:themeColor="text1"/>
        </w:rPr>
        <w:t>elevantly</w:t>
      </w:r>
      <w:r w:rsidR="00100F7F" w:rsidRPr="003E6031">
        <w:rPr>
          <w:rFonts w:asciiTheme="minorHAnsi" w:hAnsiTheme="minorHAnsi"/>
          <w:color w:val="000000" w:themeColor="text1"/>
        </w:rPr>
        <w:t xml:space="preserve">, </w:t>
      </w:r>
      <w:r w:rsidR="009C2216">
        <w:rPr>
          <w:rFonts w:asciiTheme="minorHAnsi" w:hAnsiTheme="minorHAnsi"/>
          <w:color w:val="000000" w:themeColor="text1"/>
        </w:rPr>
        <w:t>when more than $8.7 million</w:t>
      </w:r>
      <w:r w:rsidR="006E02C3" w:rsidRPr="003E6031">
        <w:rPr>
          <w:rFonts w:asciiTheme="minorHAnsi" w:hAnsiTheme="minorHAnsi"/>
          <w:color w:val="000000" w:themeColor="text1"/>
        </w:rPr>
        <w:t xml:space="preserve"> is held in the SGF,</w:t>
      </w:r>
      <w:r w:rsidR="006E02C3" w:rsidRPr="003E6031">
        <w:rPr>
          <w:rStyle w:val="FootnoteReference"/>
          <w:rFonts w:asciiTheme="minorHAnsi" w:hAnsiTheme="minorHAnsi"/>
          <w:color w:val="000000" w:themeColor="text1"/>
        </w:rPr>
        <w:footnoteReference w:id="2"/>
      </w:r>
      <w:r w:rsidR="006E02C3" w:rsidRPr="003E6031">
        <w:rPr>
          <w:rFonts w:asciiTheme="minorHAnsi" w:hAnsiTheme="minorHAnsi"/>
          <w:color w:val="000000" w:themeColor="text1"/>
        </w:rPr>
        <w:t xml:space="preserve"> the Minister may </w:t>
      </w:r>
      <w:r w:rsidR="00B665E6" w:rsidRPr="003E6031">
        <w:rPr>
          <w:rFonts w:asciiTheme="minorHAnsi" w:hAnsiTheme="minorHAnsi"/>
          <w:color w:val="000000" w:themeColor="text1"/>
        </w:rPr>
        <w:t>invite the L</w:t>
      </w:r>
      <w:r w:rsidR="006E02C3" w:rsidRPr="003E6031">
        <w:rPr>
          <w:rFonts w:asciiTheme="minorHAnsi" w:hAnsiTheme="minorHAnsi"/>
          <w:color w:val="000000" w:themeColor="text1"/>
        </w:rPr>
        <w:t>egal Aid Commission of Tasmania, the Law Foundation</w:t>
      </w:r>
      <w:r w:rsidR="0088277C">
        <w:rPr>
          <w:rFonts w:asciiTheme="minorHAnsi" w:hAnsiTheme="minorHAnsi"/>
          <w:color w:val="000000" w:themeColor="text1"/>
        </w:rPr>
        <w:t xml:space="preserve"> of Tasmania</w:t>
      </w:r>
      <w:r w:rsidR="006E02C3" w:rsidRPr="003E6031">
        <w:rPr>
          <w:rFonts w:asciiTheme="minorHAnsi" w:hAnsiTheme="minorHAnsi"/>
          <w:color w:val="000000" w:themeColor="text1"/>
        </w:rPr>
        <w:t xml:space="preserve">, </w:t>
      </w:r>
      <w:r w:rsidR="00B665E6" w:rsidRPr="003E6031">
        <w:rPr>
          <w:rFonts w:asciiTheme="minorHAnsi" w:hAnsiTheme="minorHAnsi"/>
          <w:color w:val="000000" w:themeColor="text1"/>
        </w:rPr>
        <w:t>such other legal assistance scheme</w:t>
      </w:r>
      <w:r w:rsidR="006E02C3" w:rsidRPr="003E6031">
        <w:rPr>
          <w:rFonts w:asciiTheme="minorHAnsi" w:hAnsiTheme="minorHAnsi"/>
          <w:color w:val="000000" w:themeColor="text1"/>
        </w:rPr>
        <w:t xml:space="preserve"> </w:t>
      </w:r>
      <w:r w:rsidR="00B665E6" w:rsidRPr="003E6031">
        <w:rPr>
          <w:rFonts w:asciiTheme="minorHAnsi" w:hAnsiTheme="minorHAnsi"/>
          <w:color w:val="000000" w:themeColor="text1"/>
        </w:rPr>
        <w:t xml:space="preserve">and any other person to make an application for a </w:t>
      </w:r>
      <w:r w:rsidR="002B56BF" w:rsidRPr="003E6031">
        <w:rPr>
          <w:rFonts w:asciiTheme="minorHAnsi" w:hAnsiTheme="minorHAnsi"/>
          <w:color w:val="000000" w:themeColor="text1"/>
        </w:rPr>
        <w:t>g</w:t>
      </w:r>
      <w:r w:rsidR="00B665E6" w:rsidRPr="003E6031">
        <w:rPr>
          <w:rFonts w:asciiTheme="minorHAnsi" w:hAnsiTheme="minorHAnsi"/>
          <w:color w:val="000000" w:themeColor="text1"/>
        </w:rPr>
        <w:t>rant of money for the SGF.</w:t>
      </w:r>
      <w:r w:rsidR="00B665E6" w:rsidRPr="003E6031">
        <w:rPr>
          <w:rStyle w:val="FootnoteReference"/>
          <w:rFonts w:asciiTheme="minorHAnsi" w:hAnsiTheme="minorHAnsi"/>
          <w:color w:val="000000" w:themeColor="text1"/>
        </w:rPr>
        <w:footnoteReference w:id="3"/>
      </w:r>
      <w:r w:rsidR="002B56BF" w:rsidRPr="003E6031">
        <w:rPr>
          <w:rFonts w:asciiTheme="minorHAnsi" w:hAnsiTheme="minorHAnsi"/>
          <w:color w:val="000000" w:themeColor="text1"/>
        </w:rPr>
        <w:t xml:space="preserve"> The Act is silent on the criteri</w:t>
      </w:r>
      <w:r w:rsidR="003E32D2" w:rsidRPr="003E6031">
        <w:rPr>
          <w:rFonts w:asciiTheme="minorHAnsi" w:hAnsiTheme="minorHAnsi"/>
          <w:color w:val="000000" w:themeColor="text1"/>
        </w:rPr>
        <w:t>a for grants</w:t>
      </w:r>
      <w:r w:rsidR="00CF39F8" w:rsidRPr="003E6031">
        <w:rPr>
          <w:rFonts w:asciiTheme="minorHAnsi" w:hAnsiTheme="minorHAnsi"/>
          <w:color w:val="000000" w:themeColor="text1"/>
        </w:rPr>
        <w:t xml:space="preserve"> although in the past invitees have been advised that priority would be given to applications that addressed any of the following outcomes:</w:t>
      </w:r>
    </w:p>
    <w:p w14:paraId="3F2F1F1F" w14:textId="77777777" w:rsidR="00CF39F8" w:rsidRPr="003E6031" w:rsidRDefault="00CF39F8" w:rsidP="00BC4B26">
      <w:pPr>
        <w:ind w:right="-347"/>
        <w:jc w:val="both"/>
        <w:rPr>
          <w:rFonts w:asciiTheme="minorHAnsi" w:hAnsiTheme="minorHAnsi"/>
          <w:color w:val="000000" w:themeColor="text1"/>
        </w:rPr>
      </w:pPr>
    </w:p>
    <w:p w14:paraId="11DAEE3A" w14:textId="77777777" w:rsidR="00CF39F8" w:rsidRPr="003E6031" w:rsidRDefault="00CF39F8" w:rsidP="00BC4B26">
      <w:pPr>
        <w:pStyle w:val="ListParagraph"/>
        <w:numPr>
          <w:ilvl w:val="0"/>
          <w:numId w:val="6"/>
        </w:numPr>
        <w:ind w:right="-347"/>
        <w:jc w:val="both"/>
        <w:rPr>
          <w:rFonts w:asciiTheme="minorHAnsi" w:hAnsiTheme="minorHAnsi"/>
          <w:color w:val="000000" w:themeColor="text1"/>
        </w:rPr>
      </w:pPr>
      <w:r w:rsidRPr="003E6031">
        <w:rPr>
          <w:rFonts w:asciiTheme="minorHAnsi" w:hAnsiTheme="minorHAnsi"/>
          <w:color w:val="000000" w:themeColor="text1"/>
        </w:rPr>
        <w:lastRenderedPageBreak/>
        <w:t xml:space="preserve">An increase in the number of people receiving free or low cost legal services; </w:t>
      </w:r>
    </w:p>
    <w:p w14:paraId="4BA3DFB5" w14:textId="77777777" w:rsidR="00CF39F8" w:rsidRPr="003E6031" w:rsidRDefault="00CF39F8" w:rsidP="00BC4B26">
      <w:pPr>
        <w:pStyle w:val="ListParagraph"/>
        <w:numPr>
          <w:ilvl w:val="0"/>
          <w:numId w:val="6"/>
        </w:numPr>
        <w:ind w:right="-347"/>
        <w:jc w:val="both"/>
        <w:rPr>
          <w:rFonts w:asciiTheme="minorHAnsi" w:hAnsiTheme="minorHAnsi"/>
          <w:color w:val="000000" w:themeColor="text1"/>
        </w:rPr>
      </w:pPr>
      <w:r w:rsidRPr="003E6031">
        <w:rPr>
          <w:rFonts w:asciiTheme="minorHAnsi" w:hAnsiTheme="minorHAnsi"/>
          <w:color w:val="000000" w:themeColor="text1"/>
        </w:rPr>
        <w:t xml:space="preserve">An improvement in the quality of legal services provided to the public; </w:t>
      </w:r>
    </w:p>
    <w:p w14:paraId="60AA2F82" w14:textId="77777777" w:rsidR="00CF39F8" w:rsidRPr="003E6031" w:rsidRDefault="00CF39F8" w:rsidP="00BC4B26">
      <w:pPr>
        <w:pStyle w:val="ListParagraph"/>
        <w:numPr>
          <w:ilvl w:val="0"/>
          <w:numId w:val="6"/>
        </w:numPr>
        <w:ind w:right="-347"/>
        <w:jc w:val="both"/>
        <w:rPr>
          <w:rFonts w:asciiTheme="minorHAnsi" w:hAnsiTheme="minorHAnsi"/>
          <w:color w:val="000000" w:themeColor="text1"/>
        </w:rPr>
      </w:pPr>
      <w:r w:rsidRPr="003E6031">
        <w:rPr>
          <w:rFonts w:asciiTheme="minorHAnsi" w:hAnsiTheme="minorHAnsi"/>
          <w:color w:val="000000" w:themeColor="text1"/>
        </w:rPr>
        <w:t>An improvement in the range of legal services provided to the public;</w:t>
      </w:r>
    </w:p>
    <w:p w14:paraId="5ECC67FA" w14:textId="77777777" w:rsidR="00CF39F8" w:rsidRPr="003E6031" w:rsidRDefault="00CF39F8" w:rsidP="00BC4B26">
      <w:pPr>
        <w:pStyle w:val="ListParagraph"/>
        <w:numPr>
          <w:ilvl w:val="0"/>
          <w:numId w:val="6"/>
        </w:numPr>
        <w:ind w:right="-347"/>
        <w:jc w:val="both"/>
        <w:rPr>
          <w:rFonts w:asciiTheme="minorHAnsi" w:hAnsiTheme="minorHAnsi"/>
          <w:color w:val="000000" w:themeColor="text1"/>
        </w:rPr>
      </w:pPr>
      <w:r w:rsidRPr="003E6031">
        <w:rPr>
          <w:rFonts w:asciiTheme="minorHAnsi" w:hAnsiTheme="minorHAnsi"/>
          <w:color w:val="000000" w:themeColor="text1"/>
        </w:rPr>
        <w:t>An improvement in the operation of the justice system; and</w:t>
      </w:r>
    </w:p>
    <w:p w14:paraId="70D5474C" w14:textId="62BDBF8E" w:rsidR="00CF39F8" w:rsidRPr="003E6031" w:rsidRDefault="00CF39F8" w:rsidP="00BC4B26">
      <w:pPr>
        <w:pStyle w:val="ListParagraph"/>
        <w:numPr>
          <w:ilvl w:val="0"/>
          <w:numId w:val="6"/>
        </w:numPr>
        <w:ind w:right="-347"/>
        <w:jc w:val="both"/>
        <w:rPr>
          <w:rFonts w:asciiTheme="minorHAnsi" w:hAnsiTheme="minorHAnsi"/>
          <w:color w:val="000000" w:themeColor="text1"/>
        </w:rPr>
      </w:pPr>
      <w:r w:rsidRPr="003E6031">
        <w:rPr>
          <w:rFonts w:asciiTheme="minorHAnsi" w:hAnsiTheme="minorHAnsi"/>
          <w:color w:val="000000" w:themeColor="text1"/>
        </w:rPr>
        <w:t xml:space="preserve">An increase in community awareness of the law, legal services or the justice system, including the provision of education and training.  </w:t>
      </w:r>
    </w:p>
    <w:p w14:paraId="4BE057DA" w14:textId="411D33D5" w:rsidR="00E71BA2" w:rsidRPr="003E6031" w:rsidRDefault="002B56BF" w:rsidP="00BC4B26">
      <w:pPr>
        <w:ind w:right="-347"/>
        <w:jc w:val="both"/>
        <w:rPr>
          <w:rFonts w:asciiTheme="minorHAnsi" w:hAnsiTheme="minorHAnsi"/>
          <w:color w:val="000000" w:themeColor="text1"/>
        </w:rPr>
      </w:pPr>
      <w:r w:rsidRPr="003E6031">
        <w:rPr>
          <w:rFonts w:asciiTheme="minorHAnsi" w:hAnsiTheme="minorHAnsi"/>
          <w:color w:val="000000" w:themeColor="text1"/>
        </w:rPr>
        <w:t xml:space="preserve"> </w:t>
      </w:r>
    </w:p>
    <w:p w14:paraId="4C14FAA6" w14:textId="7B5771B2" w:rsidR="00E31265" w:rsidRPr="003E6031" w:rsidRDefault="003E32D2" w:rsidP="00BC4B26">
      <w:pPr>
        <w:ind w:right="-347"/>
        <w:jc w:val="both"/>
        <w:rPr>
          <w:rFonts w:asciiTheme="minorHAnsi" w:hAnsiTheme="minorHAnsi"/>
          <w:color w:val="000000" w:themeColor="text1"/>
        </w:rPr>
      </w:pPr>
      <w:r w:rsidRPr="003E6031">
        <w:rPr>
          <w:rFonts w:asciiTheme="minorHAnsi" w:hAnsiTheme="minorHAnsi"/>
          <w:color w:val="000000" w:themeColor="text1"/>
        </w:rPr>
        <w:t>Over the years, invitation</w:t>
      </w:r>
      <w:r w:rsidR="005E4D61" w:rsidRPr="003E6031">
        <w:rPr>
          <w:rFonts w:asciiTheme="minorHAnsi" w:hAnsiTheme="minorHAnsi"/>
          <w:color w:val="000000" w:themeColor="text1"/>
        </w:rPr>
        <w:t xml:space="preserve">s to apply for a SGF grant have </w:t>
      </w:r>
      <w:r w:rsidRPr="003E6031">
        <w:rPr>
          <w:rFonts w:asciiTheme="minorHAnsi" w:hAnsiTheme="minorHAnsi"/>
          <w:color w:val="000000" w:themeColor="text1"/>
        </w:rPr>
        <w:t xml:space="preserve">been </w:t>
      </w:r>
      <w:r w:rsidR="005E4D61" w:rsidRPr="003E6031">
        <w:rPr>
          <w:rFonts w:asciiTheme="minorHAnsi" w:hAnsiTheme="minorHAnsi"/>
          <w:color w:val="000000" w:themeColor="text1"/>
        </w:rPr>
        <w:t xml:space="preserve">at the discretion of the Minister, meaning that there has either been </w:t>
      </w:r>
      <w:r w:rsidRPr="003E6031">
        <w:rPr>
          <w:rFonts w:asciiTheme="minorHAnsi" w:hAnsiTheme="minorHAnsi"/>
          <w:color w:val="000000" w:themeColor="text1"/>
        </w:rPr>
        <w:t xml:space="preserve">an open </w:t>
      </w:r>
      <w:r w:rsidR="005E4D61" w:rsidRPr="003E6031">
        <w:rPr>
          <w:rFonts w:asciiTheme="minorHAnsi" w:hAnsiTheme="minorHAnsi"/>
          <w:color w:val="000000" w:themeColor="text1"/>
        </w:rPr>
        <w:t xml:space="preserve">invitation in which invitations have been elicited following advertisements placed in Tasmania’s three major newspapers, or closed, with the Minister specifically targeting a </w:t>
      </w:r>
      <w:r w:rsidR="006E02C3" w:rsidRPr="003E6031">
        <w:rPr>
          <w:rFonts w:asciiTheme="minorHAnsi" w:hAnsiTheme="minorHAnsi"/>
          <w:color w:val="000000" w:themeColor="text1"/>
        </w:rPr>
        <w:t xml:space="preserve">limited number of organisations. </w:t>
      </w:r>
    </w:p>
    <w:p w14:paraId="64B1C002" w14:textId="77777777" w:rsidR="006E02C3" w:rsidRPr="003E6031" w:rsidRDefault="006E02C3" w:rsidP="00BC4B26">
      <w:pPr>
        <w:ind w:right="-347"/>
        <w:jc w:val="both"/>
        <w:rPr>
          <w:rFonts w:asciiTheme="minorHAnsi" w:hAnsiTheme="minorHAnsi"/>
          <w:color w:val="000000" w:themeColor="text1"/>
        </w:rPr>
      </w:pPr>
    </w:p>
    <w:p w14:paraId="52D96847" w14:textId="78CB8287" w:rsidR="0088277C" w:rsidRPr="0088277C" w:rsidRDefault="0088277C" w:rsidP="0088277C">
      <w:pPr>
        <w:pStyle w:val="ListParagraph"/>
        <w:numPr>
          <w:ilvl w:val="0"/>
          <w:numId w:val="9"/>
        </w:numPr>
        <w:ind w:right="-347"/>
        <w:jc w:val="both"/>
        <w:rPr>
          <w:rFonts w:asciiTheme="minorHAnsi" w:hAnsiTheme="minorHAnsi"/>
          <w:b/>
          <w:i/>
          <w:color w:val="000000" w:themeColor="text1"/>
        </w:rPr>
      </w:pPr>
      <w:r w:rsidRPr="0088277C">
        <w:rPr>
          <w:rFonts w:asciiTheme="minorHAnsi" w:hAnsiTheme="minorHAnsi"/>
          <w:b/>
          <w:i/>
          <w:color w:val="000000" w:themeColor="text1"/>
        </w:rPr>
        <w:t>The Draft Bill</w:t>
      </w:r>
    </w:p>
    <w:p w14:paraId="389251E0" w14:textId="39DE5057" w:rsidR="006E02C3" w:rsidRPr="003E6031" w:rsidRDefault="0088277C" w:rsidP="00BC4B26">
      <w:pPr>
        <w:ind w:right="-347"/>
        <w:jc w:val="both"/>
        <w:rPr>
          <w:rFonts w:asciiTheme="minorHAnsi" w:hAnsiTheme="minorHAnsi"/>
          <w:color w:val="000000" w:themeColor="text1"/>
        </w:rPr>
      </w:pPr>
      <w:r>
        <w:rPr>
          <w:rFonts w:asciiTheme="minorHAnsi" w:hAnsiTheme="minorHAnsi"/>
          <w:color w:val="000000" w:themeColor="text1"/>
        </w:rPr>
        <w:t>As one of the pillars of the legal assistance sector, w</w:t>
      </w:r>
      <w:r w:rsidR="00B861FE">
        <w:rPr>
          <w:rFonts w:asciiTheme="minorHAnsi" w:hAnsiTheme="minorHAnsi"/>
          <w:color w:val="000000" w:themeColor="text1"/>
        </w:rPr>
        <w:t>e</w:t>
      </w:r>
      <w:r w:rsidR="006E02C3" w:rsidRPr="003E6031">
        <w:rPr>
          <w:rFonts w:asciiTheme="minorHAnsi" w:hAnsiTheme="minorHAnsi"/>
          <w:color w:val="000000" w:themeColor="text1"/>
        </w:rPr>
        <w:t xml:space="preserve"> believe that community legal centres should be expressly listed along with the Legal Aid Commission of Tasmania and the Law Foundation</w:t>
      </w:r>
      <w:r w:rsidR="00164D18">
        <w:rPr>
          <w:rFonts w:asciiTheme="minorHAnsi" w:hAnsiTheme="minorHAnsi"/>
          <w:color w:val="000000" w:themeColor="text1"/>
        </w:rPr>
        <w:t xml:space="preserve"> of Tasmania</w:t>
      </w:r>
      <w:r w:rsidR="006E02C3" w:rsidRPr="003E6031">
        <w:rPr>
          <w:rFonts w:asciiTheme="minorHAnsi" w:hAnsiTheme="minorHAnsi"/>
          <w:color w:val="000000" w:themeColor="text1"/>
        </w:rPr>
        <w:t xml:space="preserve">. In our opinion, </w:t>
      </w:r>
      <w:r w:rsidR="009D4122">
        <w:rPr>
          <w:rFonts w:asciiTheme="minorHAnsi" w:hAnsiTheme="minorHAnsi"/>
          <w:color w:val="000000" w:themeColor="text1"/>
        </w:rPr>
        <w:t>t</w:t>
      </w:r>
      <w:r w:rsidR="006E02C3" w:rsidRPr="003E6031">
        <w:rPr>
          <w:rFonts w:asciiTheme="minorHAnsi" w:hAnsiTheme="minorHAnsi"/>
          <w:color w:val="000000" w:themeColor="text1"/>
        </w:rPr>
        <w:t>his could be done by amending section 361(2)(a) of the Act</w:t>
      </w:r>
      <w:r w:rsidR="009C2216">
        <w:rPr>
          <w:rFonts w:asciiTheme="minorHAnsi" w:hAnsiTheme="minorHAnsi"/>
          <w:color w:val="000000" w:themeColor="text1"/>
        </w:rPr>
        <w:t xml:space="preserve"> to read as follows</w:t>
      </w:r>
      <w:r w:rsidR="006E02C3" w:rsidRPr="003E6031">
        <w:rPr>
          <w:rFonts w:asciiTheme="minorHAnsi" w:hAnsiTheme="minorHAnsi"/>
          <w:color w:val="000000" w:themeColor="text1"/>
        </w:rPr>
        <w:t xml:space="preserve">: </w:t>
      </w:r>
    </w:p>
    <w:p w14:paraId="3BE7A5A8" w14:textId="77777777" w:rsidR="006E02C3" w:rsidRPr="003E6031" w:rsidRDefault="006E02C3" w:rsidP="00BC4B26">
      <w:pPr>
        <w:ind w:right="-347"/>
        <w:jc w:val="both"/>
        <w:rPr>
          <w:rFonts w:asciiTheme="minorHAnsi" w:hAnsiTheme="minorHAnsi"/>
          <w:color w:val="000000" w:themeColor="text1"/>
        </w:rPr>
      </w:pPr>
    </w:p>
    <w:p w14:paraId="37692DB5" w14:textId="77777777" w:rsidR="006E02C3" w:rsidRPr="003E6031" w:rsidRDefault="006E02C3" w:rsidP="006E02C3">
      <w:pPr>
        <w:pStyle w:val="NoSpacing"/>
        <w:ind w:firstLine="720"/>
        <w:rPr>
          <w:rFonts w:asciiTheme="minorHAnsi" w:hAnsiTheme="minorHAnsi"/>
          <w:b/>
          <w:sz w:val="22"/>
          <w:szCs w:val="22"/>
        </w:rPr>
      </w:pPr>
      <w:r w:rsidRPr="003E6031">
        <w:rPr>
          <w:rFonts w:asciiTheme="minorHAnsi" w:hAnsiTheme="minorHAnsi"/>
          <w:b/>
          <w:sz w:val="22"/>
          <w:szCs w:val="22"/>
        </w:rPr>
        <w:t>361.   Application to Minister for payment from Guarantee Fund</w:t>
      </w:r>
    </w:p>
    <w:p w14:paraId="590B43AE" w14:textId="20C23945" w:rsidR="006E02C3" w:rsidRPr="003E6031" w:rsidRDefault="006E02C3" w:rsidP="006E02C3">
      <w:pPr>
        <w:pStyle w:val="NoSpacing"/>
        <w:ind w:left="720"/>
        <w:rPr>
          <w:rFonts w:asciiTheme="minorHAnsi" w:eastAsia="Times New Roman" w:hAnsiTheme="minorHAnsi"/>
          <w:sz w:val="22"/>
          <w:szCs w:val="22"/>
        </w:rPr>
      </w:pPr>
      <w:r w:rsidRPr="003E6031">
        <w:rPr>
          <w:rFonts w:asciiTheme="minorHAnsi" w:eastAsia="Times New Roman" w:hAnsiTheme="minorHAnsi"/>
          <w:sz w:val="22"/>
          <w:szCs w:val="22"/>
        </w:rPr>
        <w:t>(1) If the Guarantee Fund exceeds the amount of $3.5 million or such amount as may be prescribed, taking into account ascertained and contingent liabilities, the Trust must advise the Minister that the Guarantee Fund has exceeded that amount.</w:t>
      </w:r>
    </w:p>
    <w:p w14:paraId="3621FB70" w14:textId="77777777" w:rsidR="006E02C3" w:rsidRPr="003E6031" w:rsidRDefault="006E02C3" w:rsidP="006E02C3">
      <w:pPr>
        <w:pStyle w:val="NoSpacing"/>
        <w:rPr>
          <w:rFonts w:asciiTheme="minorHAnsi" w:eastAsia="Times New Roman" w:hAnsiTheme="minorHAnsi"/>
          <w:sz w:val="22"/>
          <w:szCs w:val="22"/>
        </w:rPr>
      </w:pPr>
    </w:p>
    <w:p w14:paraId="20305CA1" w14:textId="5C849F53" w:rsidR="006E02C3" w:rsidRPr="003E6031" w:rsidRDefault="006E02C3" w:rsidP="006E02C3">
      <w:pPr>
        <w:pStyle w:val="NoSpacing"/>
        <w:ind w:left="720"/>
        <w:rPr>
          <w:rFonts w:asciiTheme="minorHAnsi" w:eastAsia="Times New Roman" w:hAnsiTheme="minorHAnsi"/>
          <w:sz w:val="22"/>
          <w:szCs w:val="22"/>
        </w:rPr>
      </w:pPr>
      <w:r w:rsidRPr="003E6031">
        <w:rPr>
          <w:rFonts w:asciiTheme="minorHAnsi" w:eastAsia="Times New Roman" w:hAnsiTheme="minorHAnsi"/>
          <w:sz w:val="22"/>
          <w:szCs w:val="22"/>
        </w:rPr>
        <w:t>(2) On receipt of advice from the Trust under subsection (1), the Minister may invite –</w:t>
      </w:r>
    </w:p>
    <w:p w14:paraId="7A5E4DF9" w14:textId="71FD7F06" w:rsidR="006E02C3" w:rsidRPr="003E6031" w:rsidRDefault="006E02C3" w:rsidP="006E02C3">
      <w:pPr>
        <w:pStyle w:val="NoSpacing"/>
        <w:ind w:left="1440"/>
        <w:rPr>
          <w:rFonts w:asciiTheme="minorHAnsi" w:eastAsia="Times New Roman" w:hAnsiTheme="minorHAnsi"/>
          <w:sz w:val="22"/>
          <w:szCs w:val="22"/>
        </w:rPr>
      </w:pPr>
      <w:r w:rsidRPr="003E6031">
        <w:rPr>
          <w:rFonts w:asciiTheme="minorHAnsi" w:eastAsia="Times New Roman" w:hAnsiTheme="minorHAnsi"/>
          <w:sz w:val="22"/>
          <w:szCs w:val="22"/>
        </w:rPr>
        <w:t>(</w:t>
      </w:r>
      <w:proofErr w:type="spellStart"/>
      <w:r w:rsidRPr="003E6031">
        <w:rPr>
          <w:rFonts w:asciiTheme="minorHAnsi" w:eastAsia="Times New Roman" w:hAnsiTheme="minorHAnsi"/>
          <w:sz w:val="22"/>
          <w:szCs w:val="22"/>
        </w:rPr>
        <w:t>a</w:t>
      </w:r>
      <w:proofErr w:type="spellEnd"/>
      <w:r w:rsidRPr="003E6031">
        <w:rPr>
          <w:rFonts w:asciiTheme="minorHAnsi" w:eastAsia="Times New Roman" w:hAnsiTheme="minorHAnsi"/>
          <w:sz w:val="22"/>
          <w:szCs w:val="22"/>
        </w:rPr>
        <w:t>) the Legal Aid Commission of Tasmania</w:t>
      </w:r>
      <w:r w:rsidRPr="003E6031">
        <w:rPr>
          <w:rFonts w:asciiTheme="minorHAnsi" w:eastAsia="Times New Roman" w:hAnsiTheme="minorHAnsi"/>
          <w:color w:val="FF0000"/>
          <w:sz w:val="22"/>
          <w:szCs w:val="22"/>
        </w:rPr>
        <w:t xml:space="preserve">, </w:t>
      </w:r>
      <w:r w:rsidR="00B5349B">
        <w:rPr>
          <w:rFonts w:asciiTheme="minorHAnsi" w:eastAsia="Times New Roman" w:hAnsiTheme="minorHAnsi"/>
          <w:color w:val="FF0000"/>
          <w:sz w:val="22"/>
          <w:szCs w:val="22"/>
        </w:rPr>
        <w:t>any community legal centre</w:t>
      </w:r>
      <w:r w:rsidR="00952DE0">
        <w:rPr>
          <w:rFonts w:asciiTheme="minorHAnsi" w:eastAsia="Times New Roman" w:hAnsiTheme="minorHAnsi"/>
          <w:color w:val="FF0000"/>
          <w:sz w:val="22"/>
          <w:szCs w:val="22"/>
        </w:rPr>
        <w:t xml:space="preserve"> </w:t>
      </w:r>
      <w:r w:rsidR="00C476F9">
        <w:rPr>
          <w:rFonts w:asciiTheme="minorHAnsi" w:eastAsia="Times New Roman" w:hAnsiTheme="minorHAnsi"/>
          <w:color w:val="FF0000"/>
          <w:sz w:val="22"/>
          <w:szCs w:val="22"/>
        </w:rPr>
        <w:t xml:space="preserve">accredited by the National Association of Community Legal Centres and </w:t>
      </w:r>
      <w:r w:rsidR="00952DE0">
        <w:rPr>
          <w:rFonts w:asciiTheme="minorHAnsi" w:eastAsia="Times New Roman" w:hAnsiTheme="minorHAnsi"/>
          <w:color w:val="FF0000"/>
          <w:sz w:val="22"/>
          <w:szCs w:val="22"/>
        </w:rPr>
        <w:t>operating in Tasmania</w:t>
      </w:r>
      <w:r w:rsidRPr="003E6031">
        <w:rPr>
          <w:rFonts w:asciiTheme="minorHAnsi" w:eastAsia="Times New Roman" w:hAnsiTheme="minorHAnsi"/>
          <w:color w:val="FF0000"/>
          <w:sz w:val="22"/>
          <w:szCs w:val="22"/>
        </w:rPr>
        <w:t xml:space="preserve"> </w:t>
      </w:r>
      <w:r w:rsidRPr="003E6031">
        <w:rPr>
          <w:rFonts w:asciiTheme="minorHAnsi" w:eastAsia="Times New Roman" w:hAnsiTheme="minorHAnsi"/>
          <w:sz w:val="22"/>
          <w:szCs w:val="22"/>
        </w:rPr>
        <w:t>or such other legal assistance scheme as the Minister may approve; and</w:t>
      </w:r>
    </w:p>
    <w:p w14:paraId="2DEDC13A" w14:textId="77777777" w:rsidR="006E02C3" w:rsidRPr="003E6031" w:rsidRDefault="006E02C3" w:rsidP="006E02C3">
      <w:pPr>
        <w:pStyle w:val="NoSpacing"/>
        <w:ind w:firstLine="720"/>
        <w:rPr>
          <w:rFonts w:asciiTheme="minorHAnsi" w:eastAsia="Times New Roman" w:hAnsiTheme="minorHAnsi"/>
          <w:sz w:val="22"/>
          <w:szCs w:val="22"/>
        </w:rPr>
      </w:pPr>
    </w:p>
    <w:p w14:paraId="0EE24039" w14:textId="77777777" w:rsidR="006E02C3" w:rsidRPr="003E6031" w:rsidRDefault="006E02C3" w:rsidP="006E02C3">
      <w:pPr>
        <w:pStyle w:val="NoSpacing"/>
        <w:ind w:left="720" w:firstLine="720"/>
        <w:rPr>
          <w:rFonts w:asciiTheme="minorHAnsi" w:eastAsia="Times New Roman" w:hAnsiTheme="minorHAnsi"/>
          <w:sz w:val="22"/>
          <w:szCs w:val="22"/>
        </w:rPr>
      </w:pPr>
      <w:r w:rsidRPr="003E6031">
        <w:rPr>
          <w:rFonts w:asciiTheme="minorHAnsi" w:eastAsia="Times New Roman" w:hAnsiTheme="minorHAnsi"/>
          <w:sz w:val="22"/>
          <w:szCs w:val="22"/>
        </w:rPr>
        <w:t>(b) the Law Foundation of Tasmania; and</w:t>
      </w:r>
    </w:p>
    <w:p w14:paraId="151A89B7" w14:textId="77777777" w:rsidR="006E02C3" w:rsidRPr="003E6031" w:rsidRDefault="006E02C3" w:rsidP="006E02C3">
      <w:pPr>
        <w:pStyle w:val="NoSpacing"/>
        <w:ind w:firstLine="720"/>
        <w:rPr>
          <w:rFonts w:asciiTheme="minorHAnsi" w:eastAsia="Times New Roman" w:hAnsiTheme="minorHAnsi"/>
          <w:sz w:val="22"/>
          <w:szCs w:val="22"/>
        </w:rPr>
      </w:pPr>
    </w:p>
    <w:p w14:paraId="18C67A70" w14:textId="77777777" w:rsidR="006E02C3" w:rsidRPr="003E6031" w:rsidRDefault="006E02C3" w:rsidP="006E02C3">
      <w:pPr>
        <w:pStyle w:val="NoSpacing"/>
        <w:ind w:left="720" w:firstLine="720"/>
        <w:rPr>
          <w:rFonts w:asciiTheme="minorHAnsi" w:eastAsia="Times New Roman" w:hAnsiTheme="minorHAnsi"/>
          <w:sz w:val="22"/>
          <w:szCs w:val="22"/>
        </w:rPr>
      </w:pPr>
      <w:r w:rsidRPr="003E6031">
        <w:rPr>
          <w:rFonts w:asciiTheme="minorHAnsi" w:eastAsia="Times New Roman" w:hAnsiTheme="minorHAnsi"/>
          <w:sz w:val="22"/>
          <w:szCs w:val="22"/>
        </w:rPr>
        <w:t>(c) any other person –</w:t>
      </w:r>
    </w:p>
    <w:p w14:paraId="4DD6364B" w14:textId="77777777" w:rsidR="006E02C3" w:rsidRPr="003E6031" w:rsidRDefault="006E02C3" w:rsidP="006E02C3">
      <w:pPr>
        <w:pStyle w:val="NoSpacing"/>
        <w:rPr>
          <w:rFonts w:asciiTheme="minorHAnsi" w:eastAsia="Times New Roman" w:hAnsiTheme="minorHAnsi"/>
          <w:sz w:val="22"/>
          <w:szCs w:val="22"/>
        </w:rPr>
      </w:pPr>
    </w:p>
    <w:p w14:paraId="1153E937" w14:textId="77777777" w:rsidR="006E02C3" w:rsidRPr="003E6031" w:rsidRDefault="006E02C3" w:rsidP="006E02C3">
      <w:pPr>
        <w:pStyle w:val="NoSpacing"/>
        <w:ind w:firstLine="720"/>
        <w:rPr>
          <w:rFonts w:asciiTheme="minorHAnsi" w:eastAsia="Times New Roman" w:hAnsiTheme="minorHAnsi"/>
          <w:sz w:val="22"/>
          <w:szCs w:val="22"/>
        </w:rPr>
      </w:pPr>
      <w:r w:rsidRPr="003E6031">
        <w:rPr>
          <w:rFonts w:asciiTheme="minorHAnsi" w:eastAsia="Times New Roman" w:hAnsiTheme="minorHAnsi"/>
          <w:sz w:val="22"/>
          <w:szCs w:val="22"/>
        </w:rPr>
        <w:t>to make application for a grant of money from the Guarantee Fund.</w:t>
      </w:r>
    </w:p>
    <w:p w14:paraId="1D2899A0" w14:textId="782FBCF6" w:rsidR="00BC4B26" w:rsidRPr="003E6031" w:rsidRDefault="006E02C3" w:rsidP="00BC4B26">
      <w:pPr>
        <w:ind w:right="-347"/>
        <w:jc w:val="both"/>
        <w:rPr>
          <w:rFonts w:asciiTheme="minorHAnsi" w:hAnsiTheme="minorHAnsi"/>
          <w:color w:val="000000" w:themeColor="text1"/>
        </w:rPr>
      </w:pPr>
      <w:r w:rsidRPr="003E6031">
        <w:rPr>
          <w:rFonts w:asciiTheme="minorHAnsi" w:hAnsiTheme="minorHAnsi"/>
          <w:color w:val="000000" w:themeColor="text1"/>
        </w:rPr>
        <w:t xml:space="preserve">   </w:t>
      </w:r>
    </w:p>
    <w:p w14:paraId="5696B27A" w14:textId="5E7EBA22" w:rsidR="00910F31" w:rsidRDefault="00B861FE" w:rsidP="00093E32">
      <w:pPr>
        <w:ind w:right="-347"/>
        <w:jc w:val="both"/>
        <w:rPr>
          <w:rFonts w:asciiTheme="minorHAnsi" w:hAnsiTheme="minorHAnsi"/>
        </w:rPr>
      </w:pPr>
      <w:r>
        <w:rPr>
          <w:rFonts w:asciiTheme="minorHAnsi" w:hAnsiTheme="minorHAnsi" w:cs="Verdana"/>
          <w:color w:val="000000" w:themeColor="text1"/>
        </w:rPr>
        <w:t xml:space="preserve">As well, we strongly believe that </w:t>
      </w:r>
      <w:r w:rsidR="00093E32" w:rsidRPr="00093E32">
        <w:rPr>
          <w:rFonts w:asciiTheme="minorHAnsi" w:hAnsiTheme="minorHAnsi"/>
        </w:rPr>
        <w:t>SGF funding should be restricted to those working in the legal assistance sector, namely</w:t>
      </w:r>
      <w:r w:rsidR="00093E32">
        <w:rPr>
          <w:rFonts w:asciiTheme="minorHAnsi" w:hAnsiTheme="minorHAnsi"/>
        </w:rPr>
        <w:t xml:space="preserve"> the Legal Aid Commission of Tasmania</w:t>
      </w:r>
      <w:r w:rsidR="00164D18">
        <w:rPr>
          <w:rFonts w:asciiTheme="minorHAnsi" w:hAnsiTheme="minorHAnsi"/>
        </w:rPr>
        <w:t xml:space="preserve">, </w:t>
      </w:r>
      <w:r w:rsidR="00093E32" w:rsidRPr="00093E32">
        <w:rPr>
          <w:rFonts w:asciiTheme="minorHAnsi" w:hAnsiTheme="minorHAnsi"/>
        </w:rPr>
        <w:t>the Law Foundation</w:t>
      </w:r>
      <w:r w:rsidR="00164D18">
        <w:rPr>
          <w:rFonts w:asciiTheme="minorHAnsi" w:hAnsiTheme="minorHAnsi"/>
        </w:rPr>
        <w:t xml:space="preserve"> of Tasmania</w:t>
      </w:r>
      <w:r w:rsidR="00093E32" w:rsidRPr="00093E32">
        <w:rPr>
          <w:rFonts w:asciiTheme="minorHAnsi" w:hAnsiTheme="minorHAnsi"/>
        </w:rPr>
        <w:t xml:space="preserve"> and </w:t>
      </w:r>
      <w:r w:rsidR="00B5349B">
        <w:rPr>
          <w:rFonts w:asciiTheme="minorHAnsi" w:hAnsiTheme="minorHAnsi"/>
        </w:rPr>
        <w:t>any community legal centre</w:t>
      </w:r>
      <w:r w:rsidR="00093E32" w:rsidRPr="00093E32">
        <w:rPr>
          <w:rFonts w:asciiTheme="minorHAnsi" w:hAnsiTheme="minorHAnsi"/>
        </w:rPr>
        <w:t xml:space="preserve">. </w:t>
      </w:r>
      <w:r w:rsidR="00910F31">
        <w:rPr>
          <w:rFonts w:asciiTheme="minorHAnsi" w:hAnsiTheme="minorHAnsi"/>
        </w:rPr>
        <w:t xml:space="preserve">This is based </w:t>
      </w:r>
      <w:r>
        <w:rPr>
          <w:rFonts w:asciiTheme="minorHAnsi" w:hAnsiTheme="minorHAnsi"/>
        </w:rPr>
        <w:t xml:space="preserve">in the acknowledgement that </w:t>
      </w:r>
      <w:r w:rsidR="0088277C">
        <w:rPr>
          <w:rFonts w:asciiTheme="minorHAnsi" w:hAnsiTheme="minorHAnsi"/>
        </w:rPr>
        <w:t xml:space="preserve">in 2014 </w:t>
      </w:r>
      <w:r>
        <w:rPr>
          <w:rFonts w:asciiTheme="minorHAnsi" w:hAnsiTheme="minorHAnsi"/>
        </w:rPr>
        <w:t xml:space="preserve">the </w:t>
      </w:r>
      <w:r w:rsidR="00910F31">
        <w:rPr>
          <w:rFonts w:asciiTheme="minorHAnsi" w:hAnsiTheme="minorHAnsi"/>
        </w:rPr>
        <w:t>Productivity Commission’s review of the legal assistance s</w:t>
      </w:r>
      <w:r w:rsidR="00DE5D95">
        <w:rPr>
          <w:rFonts w:asciiTheme="minorHAnsi" w:hAnsiTheme="minorHAnsi"/>
        </w:rPr>
        <w:t>ector found th</w:t>
      </w:r>
      <w:r w:rsidR="009C2216">
        <w:rPr>
          <w:rFonts w:asciiTheme="minorHAnsi" w:hAnsiTheme="minorHAnsi"/>
        </w:rPr>
        <w:t>at nationally, there was a $200 million</w:t>
      </w:r>
      <w:r w:rsidR="00910F31">
        <w:rPr>
          <w:rFonts w:asciiTheme="minorHAnsi" w:hAnsiTheme="minorHAnsi"/>
        </w:rPr>
        <w:t xml:space="preserve"> shortfall in funding</w:t>
      </w:r>
      <w:r w:rsidR="00DE5D95">
        <w:rPr>
          <w:rFonts w:asciiTheme="minorHAnsi" w:hAnsiTheme="minorHAnsi"/>
        </w:rPr>
        <w:t xml:space="preserve"> provided to the sector from both the Federal and State Governments</w:t>
      </w:r>
      <w:r w:rsidR="00910F31">
        <w:rPr>
          <w:rFonts w:asciiTheme="minorHAnsi" w:hAnsiTheme="minorHAnsi"/>
        </w:rPr>
        <w:t>.</w:t>
      </w:r>
      <w:r w:rsidR="00DE5D95">
        <w:rPr>
          <w:rStyle w:val="FootnoteReference"/>
          <w:rFonts w:asciiTheme="minorHAnsi" w:hAnsiTheme="minorHAnsi"/>
        </w:rPr>
        <w:footnoteReference w:id="4"/>
      </w:r>
      <w:r w:rsidR="00910F31">
        <w:rPr>
          <w:rFonts w:asciiTheme="minorHAnsi" w:hAnsiTheme="minorHAnsi"/>
        </w:rPr>
        <w:t xml:space="preserve"> Additionally, the </w:t>
      </w:r>
      <w:r w:rsidR="00910F31" w:rsidRPr="00336B15">
        <w:rPr>
          <w:rFonts w:asciiTheme="minorHAnsi" w:hAnsiTheme="minorHAnsi"/>
          <w:i/>
        </w:rPr>
        <w:t>Evaluation of the Tasmanian Legal Assistance Sector</w:t>
      </w:r>
      <w:r w:rsidR="00910F31">
        <w:rPr>
          <w:rFonts w:asciiTheme="minorHAnsi" w:hAnsiTheme="minorHAnsi"/>
        </w:rPr>
        <w:t xml:space="preserve"> found that</w:t>
      </w:r>
      <w:r w:rsidR="00336B15">
        <w:rPr>
          <w:rFonts w:asciiTheme="minorHAnsi" w:hAnsiTheme="minorHAnsi"/>
        </w:rPr>
        <w:t xml:space="preserve"> some organisations in the </w:t>
      </w:r>
      <w:r w:rsidR="0029459F">
        <w:rPr>
          <w:rFonts w:asciiTheme="minorHAnsi" w:hAnsiTheme="minorHAnsi"/>
        </w:rPr>
        <w:t xml:space="preserve">Tasmanian </w:t>
      </w:r>
      <w:r w:rsidR="00336B15">
        <w:rPr>
          <w:rFonts w:asciiTheme="minorHAnsi" w:hAnsiTheme="minorHAnsi"/>
        </w:rPr>
        <w:t xml:space="preserve">legal assistance sector </w:t>
      </w:r>
      <w:r>
        <w:rPr>
          <w:rFonts w:asciiTheme="minorHAnsi" w:hAnsiTheme="minorHAnsi"/>
        </w:rPr>
        <w:t>are</w:t>
      </w:r>
      <w:r w:rsidR="00336B15">
        <w:rPr>
          <w:rFonts w:asciiTheme="minorHAnsi" w:hAnsiTheme="minorHAnsi"/>
        </w:rPr>
        <w:t xml:space="preserve"> </w:t>
      </w:r>
      <w:r>
        <w:rPr>
          <w:rFonts w:asciiTheme="minorHAnsi" w:hAnsiTheme="minorHAnsi"/>
        </w:rPr>
        <w:t>relying on SGF funding for core services.</w:t>
      </w:r>
      <w:r w:rsidR="00910F31">
        <w:rPr>
          <w:rStyle w:val="FootnoteReference"/>
          <w:rFonts w:asciiTheme="minorHAnsi" w:hAnsiTheme="minorHAnsi"/>
        </w:rPr>
        <w:footnoteReference w:id="5"/>
      </w:r>
      <w:r w:rsidR="0088277C">
        <w:rPr>
          <w:rFonts w:asciiTheme="minorHAnsi" w:hAnsiTheme="minorHAnsi"/>
        </w:rPr>
        <w:t xml:space="preserve"> Finally, there is a concern expressed by many in the legal community that SGF funds will be reduced in future years as more transactions are completed electronically, resulting in less interest being accrued in legal practitioners’ trust funds. </w:t>
      </w:r>
    </w:p>
    <w:p w14:paraId="65F4EF25" w14:textId="77777777" w:rsidR="0029459F" w:rsidRDefault="0029459F" w:rsidP="00093E32">
      <w:pPr>
        <w:ind w:right="-347"/>
        <w:jc w:val="both"/>
        <w:rPr>
          <w:rFonts w:asciiTheme="minorHAnsi" w:hAnsiTheme="minorHAnsi"/>
        </w:rPr>
      </w:pPr>
    </w:p>
    <w:p w14:paraId="1731CC76" w14:textId="77777777" w:rsidR="00164D18" w:rsidRPr="00093E32" w:rsidRDefault="00164D18" w:rsidP="00164D18">
      <w:pPr>
        <w:ind w:right="-347"/>
        <w:jc w:val="both"/>
        <w:rPr>
          <w:rFonts w:asciiTheme="minorHAnsi" w:hAnsiTheme="minorHAnsi"/>
        </w:rPr>
      </w:pPr>
      <w:r>
        <w:rPr>
          <w:rFonts w:asciiTheme="minorHAnsi" w:hAnsiTheme="minorHAnsi"/>
        </w:rPr>
        <w:t>In our opinion, government departments and judicial bodies such as courts and tribunals should not be able to access funds through the SGF. Funding requests by these bodies should be sought through the usual budgetary process. As well, w</w:t>
      </w:r>
      <w:r w:rsidRPr="00093E32">
        <w:rPr>
          <w:rFonts w:asciiTheme="minorHAnsi" w:hAnsiTheme="minorHAnsi"/>
        </w:rPr>
        <w:t xml:space="preserve">hilst we recognise that both the Tasmania Law Reform Institute (TLRI) and the Sentencing Advisory Council (SAC) undertake important law reform work that often has a beneficial impact on our clients, we believe that their funding should come from recurrent funding and allocated as part of the Budget. This position is reinforced in the acknowledgement that Government referrals comprise the bulk of work undertaken by the TLRI and SAC. </w:t>
      </w:r>
    </w:p>
    <w:p w14:paraId="086B4B3B" w14:textId="77777777" w:rsidR="00164D18" w:rsidRDefault="00164D18" w:rsidP="00093E32">
      <w:pPr>
        <w:ind w:right="-347"/>
        <w:jc w:val="both"/>
        <w:rPr>
          <w:rFonts w:asciiTheme="minorHAnsi" w:hAnsiTheme="minorHAnsi"/>
        </w:rPr>
      </w:pPr>
    </w:p>
    <w:p w14:paraId="5EFF933C" w14:textId="77777777" w:rsidR="00164D18" w:rsidRDefault="00164D18" w:rsidP="00093E32">
      <w:pPr>
        <w:ind w:right="-347"/>
        <w:jc w:val="both"/>
        <w:rPr>
          <w:rFonts w:asciiTheme="minorHAnsi" w:hAnsiTheme="minorHAnsi"/>
        </w:rPr>
      </w:pPr>
      <w:r>
        <w:rPr>
          <w:rFonts w:asciiTheme="minorHAnsi" w:hAnsiTheme="minorHAnsi"/>
        </w:rPr>
        <w:t>As a result, we</w:t>
      </w:r>
      <w:r w:rsidR="0029459F">
        <w:rPr>
          <w:rFonts w:asciiTheme="minorHAnsi" w:hAnsiTheme="minorHAnsi"/>
        </w:rPr>
        <w:t xml:space="preserve"> believe that subsection 361(2)(c) of the Act should be removed, to make clear that only the Legal Aid Commission of Tasmania, community legal centres and the Law Foundation of Tasmania may apply for funding. </w:t>
      </w:r>
    </w:p>
    <w:p w14:paraId="1A309C09" w14:textId="77777777" w:rsidR="00DA12A1" w:rsidRDefault="00DA12A1" w:rsidP="00093E32">
      <w:pPr>
        <w:ind w:right="-347"/>
        <w:jc w:val="both"/>
        <w:rPr>
          <w:rFonts w:asciiTheme="minorHAnsi" w:hAnsiTheme="minorHAnsi"/>
        </w:rPr>
      </w:pPr>
    </w:p>
    <w:p w14:paraId="10550ED0" w14:textId="24AFB6EF" w:rsidR="00DA12A1" w:rsidRPr="009C2216" w:rsidRDefault="00790211" w:rsidP="00DA12A1">
      <w:pPr>
        <w:ind w:right="-347"/>
        <w:jc w:val="both"/>
        <w:rPr>
          <w:rFonts w:asciiTheme="minorHAnsi" w:hAnsiTheme="minorHAnsi"/>
          <w:color w:val="000000" w:themeColor="text1"/>
        </w:rPr>
      </w:pPr>
      <w:r w:rsidRPr="009C2216">
        <w:rPr>
          <w:rFonts w:asciiTheme="minorHAnsi" w:hAnsiTheme="minorHAnsi"/>
          <w:color w:val="000000" w:themeColor="text1"/>
          <w:lang w:val="en-US"/>
        </w:rPr>
        <w:t>Finally, we are</w:t>
      </w:r>
      <w:r w:rsidR="00DA12A1" w:rsidRPr="009C2216">
        <w:rPr>
          <w:rFonts w:asciiTheme="minorHAnsi" w:hAnsiTheme="minorHAnsi"/>
          <w:color w:val="000000" w:themeColor="text1"/>
          <w:lang w:val="en-US"/>
        </w:rPr>
        <w:t xml:space="preserve"> concerned that the Government has only sought to clarify the range and type of persons and </w:t>
      </w:r>
      <w:proofErr w:type="spellStart"/>
      <w:r w:rsidR="00DA12A1" w:rsidRPr="009C2216">
        <w:rPr>
          <w:rFonts w:asciiTheme="minorHAnsi" w:hAnsiTheme="minorHAnsi"/>
          <w:color w:val="000000" w:themeColor="text1"/>
          <w:lang w:val="en-US"/>
        </w:rPr>
        <w:t>organisations</w:t>
      </w:r>
      <w:proofErr w:type="spellEnd"/>
      <w:r w:rsidR="00DA12A1" w:rsidRPr="009C2216">
        <w:rPr>
          <w:rFonts w:asciiTheme="minorHAnsi" w:hAnsiTheme="minorHAnsi"/>
          <w:color w:val="000000" w:themeColor="text1"/>
          <w:lang w:val="en-US"/>
        </w:rPr>
        <w:t xml:space="preserve"> that the Minister can invite to make application for grants of money from the SGF. In our opinion, the </w:t>
      </w:r>
      <w:r w:rsidRPr="009C2216">
        <w:rPr>
          <w:rFonts w:asciiTheme="minorHAnsi" w:hAnsiTheme="minorHAnsi"/>
          <w:color w:val="000000" w:themeColor="text1"/>
          <w:lang w:val="en-US"/>
        </w:rPr>
        <w:t xml:space="preserve">draft </w:t>
      </w:r>
      <w:r w:rsidR="00DA12A1" w:rsidRPr="009C2216">
        <w:rPr>
          <w:rFonts w:asciiTheme="minorHAnsi" w:hAnsiTheme="minorHAnsi"/>
          <w:color w:val="000000" w:themeColor="text1"/>
          <w:lang w:val="en-US"/>
        </w:rPr>
        <w:t xml:space="preserve">Bill is an opportunity to address the concerns of many stakeholders at the lack of transparency in the SGF process. As was recently recommended </w:t>
      </w:r>
      <w:r w:rsidR="009C2216">
        <w:rPr>
          <w:rFonts w:asciiTheme="minorHAnsi" w:hAnsiTheme="minorHAnsi"/>
          <w:color w:val="000000" w:themeColor="text1"/>
          <w:lang w:val="en-US"/>
        </w:rPr>
        <w:t xml:space="preserve">by the legal assistance sector and noted </w:t>
      </w:r>
      <w:r w:rsidR="00DA12A1" w:rsidRPr="009C2216">
        <w:rPr>
          <w:rFonts w:asciiTheme="minorHAnsi" w:hAnsiTheme="minorHAnsi"/>
          <w:color w:val="000000" w:themeColor="text1"/>
          <w:lang w:val="en-US"/>
        </w:rPr>
        <w:t xml:space="preserve">in the </w:t>
      </w:r>
      <w:r w:rsidR="00DA12A1" w:rsidRPr="009C2216">
        <w:rPr>
          <w:rFonts w:asciiTheme="minorHAnsi" w:hAnsiTheme="minorHAnsi"/>
          <w:i/>
          <w:color w:val="000000" w:themeColor="text1"/>
        </w:rPr>
        <w:t>Evaluation of the Tasmanian Legal Assistance Sector</w:t>
      </w:r>
      <w:r w:rsidR="00DA12A1" w:rsidRPr="009C2216">
        <w:rPr>
          <w:rStyle w:val="FootnoteReference"/>
          <w:rFonts w:asciiTheme="minorHAnsi" w:hAnsiTheme="minorHAnsi"/>
          <w:color w:val="000000" w:themeColor="text1"/>
        </w:rPr>
        <w:footnoteReference w:id="6"/>
      </w:r>
      <w:r w:rsidR="00DA12A1" w:rsidRPr="009C2216">
        <w:rPr>
          <w:rFonts w:asciiTheme="minorHAnsi" w:hAnsiTheme="minorHAnsi"/>
          <w:color w:val="000000" w:themeColor="text1"/>
          <w:lang w:val="en-US"/>
        </w:rPr>
        <w:t xml:space="preserve"> formal guidelines should be published which would address: </w:t>
      </w:r>
    </w:p>
    <w:p w14:paraId="2A25E874" w14:textId="77777777" w:rsidR="00DA12A1" w:rsidRPr="009C2216" w:rsidRDefault="00DA12A1" w:rsidP="00DA12A1">
      <w:pPr>
        <w:numPr>
          <w:ilvl w:val="0"/>
          <w:numId w:val="10"/>
        </w:numPr>
        <w:spacing w:before="100" w:beforeAutospacing="1" w:after="100" w:afterAutospacing="1"/>
        <w:rPr>
          <w:rFonts w:asciiTheme="minorHAnsi" w:eastAsia="Times New Roman" w:hAnsiTheme="minorHAnsi"/>
          <w:color w:val="000000" w:themeColor="text1"/>
        </w:rPr>
      </w:pPr>
      <w:r w:rsidRPr="009C2216">
        <w:rPr>
          <w:rFonts w:asciiTheme="minorHAnsi" w:eastAsia="Times New Roman" w:hAnsiTheme="minorHAnsi"/>
          <w:color w:val="000000" w:themeColor="text1"/>
          <w:lang w:val="en-US"/>
        </w:rPr>
        <w:t>What purposes grants should address;</w:t>
      </w:r>
    </w:p>
    <w:p w14:paraId="0B536809" w14:textId="77777777" w:rsidR="00DA12A1" w:rsidRPr="009C2216" w:rsidRDefault="00DA12A1" w:rsidP="00DA12A1">
      <w:pPr>
        <w:numPr>
          <w:ilvl w:val="0"/>
          <w:numId w:val="10"/>
        </w:numPr>
        <w:spacing w:before="100" w:beforeAutospacing="1" w:after="100" w:afterAutospacing="1"/>
        <w:rPr>
          <w:rFonts w:asciiTheme="minorHAnsi" w:eastAsia="Times New Roman" w:hAnsiTheme="minorHAnsi"/>
          <w:color w:val="000000" w:themeColor="text1"/>
        </w:rPr>
      </w:pPr>
      <w:r w:rsidRPr="009C2216">
        <w:rPr>
          <w:rFonts w:asciiTheme="minorHAnsi" w:eastAsia="Times New Roman" w:hAnsiTheme="minorHAnsi"/>
          <w:color w:val="000000" w:themeColor="text1"/>
          <w:lang w:val="en-US"/>
        </w:rPr>
        <w:t>The process for applying for a grant;</w:t>
      </w:r>
    </w:p>
    <w:p w14:paraId="19CAD619" w14:textId="77777777" w:rsidR="00DA12A1" w:rsidRPr="009C2216" w:rsidRDefault="00DA12A1" w:rsidP="00DA12A1">
      <w:pPr>
        <w:numPr>
          <w:ilvl w:val="0"/>
          <w:numId w:val="10"/>
        </w:numPr>
        <w:spacing w:before="100" w:beforeAutospacing="1" w:after="100" w:afterAutospacing="1"/>
        <w:rPr>
          <w:rFonts w:asciiTheme="minorHAnsi" w:eastAsia="Times New Roman" w:hAnsiTheme="minorHAnsi"/>
          <w:color w:val="000000" w:themeColor="text1"/>
        </w:rPr>
      </w:pPr>
      <w:r w:rsidRPr="009C2216">
        <w:rPr>
          <w:rFonts w:asciiTheme="minorHAnsi" w:eastAsia="Times New Roman" w:hAnsiTheme="minorHAnsi"/>
          <w:color w:val="000000" w:themeColor="text1"/>
          <w:lang w:val="en-US"/>
        </w:rPr>
        <w:t>How it will be assessed</w:t>
      </w:r>
    </w:p>
    <w:p w14:paraId="158432BC" w14:textId="77777777" w:rsidR="00DA12A1" w:rsidRPr="009C2216" w:rsidRDefault="00DA12A1" w:rsidP="00DA12A1">
      <w:pPr>
        <w:numPr>
          <w:ilvl w:val="0"/>
          <w:numId w:val="10"/>
        </w:numPr>
        <w:spacing w:before="100" w:beforeAutospacing="1" w:after="100" w:afterAutospacing="1"/>
        <w:rPr>
          <w:rFonts w:asciiTheme="minorHAnsi" w:eastAsia="Times New Roman" w:hAnsiTheme="minorHAnsi"/>
          <w:color w:val="000000" w:themeColor="text1"/>
        </w:rPr>
      </w:pPr>
      <w:r w:rsidRPr="009C2216">
        <w:rPr>
          <w:rFonts w:asciiTheme="minorHAnsi" w:eastAsia="Times New Roman" w:hAnsiTheme="minorHAnsi"/>
          <w:color w:val="000000" w:themeColor="text1"/>
          <w:lang w:val="en-US"/>
        </w:rPr>
        <w:t>The decision-making process and how that will be communicated;</w:t>
      </w:r>
    </w:p>
    <w:p w14:paraId="0B9B0BE0" w14:textId="77777777" w:rsidR="00DA12A1" w:rsidRPr="009C2216" w:rsidRDefault="00DA12A1" w:rsidP="00DA12A1">
      <w:pPr>
        <w:numPr>
          <w:ilvl w:val="0"/>
          <w:numId w:val="10"/>
        </w:numPr>
        <w:spacing w:before="100" w:beforeAutospacing="1" w:after="100" w:afterAutospacing="1"/>
        <w:rPr>
          <w:rFonts w:asciiTheme="minorHAnsi" w:eastAsia="Times New Roman" w:hAnsiTheme="minorHAnsi"/>
          <w:color w:val="000000" w:themeColor="text1"/>
        </w:rPr>
      </w:pPr>
      <w:r w:rsidRPr="009C2216">
        <w:rPr>
          <w:rFonts w:asciiTheme="minorHAnsi" w:eastAsia="Times New Roman" w:hAnsiTheme="minorHAnsi"/>
          <w:color w:val="000000" w:themeColor="text1"/>
          <w:lang w:val="en-US"/>
        </w:rPr>
        <w:t>The role of the applicant in the process.   </w:t>
      </w:r>
    </w:p>
    <w:p w14:paraId="56233EFB" w14:textId="772ABEFE" w:rsidR="00DA12A1" w:rsidRPr="009C2216" w:rsidRDefault="00DA12A1" w:rsidP="00DA12A1">
      <w:pPr>
        <w:ind w:right="-347"/>
        <w:jc w:val="both"/>
        <w:rPr>
          <w:rFonts w:asciiTheme="minorHAnsi" w:hAnsiTheme="minorHAnsi"/>
          <w:color w:val="000000" w:themeColor="text1"/>
        </w:rPr>
      </w:pPr>
      <w:r w:rsidRPr="009C2216">
        <w:rPr>
          <w:rFonts w:asciiTheme="minorHAnsi" w:hAnsiTheme="minorHAnsi"/>
          <w:color w:val="000000" w:themeColor="text1"/>
          <w:lang w:val="en-US"/>
        </w:rPr>
        <w:t>In our opinion, reference to these guidelines should be included in the Act</w:t>
      </w:r>
      <w:r w:rsidR="009C2216">
        <w:rPr>
          <w:rFonts w:asciiTheme="minorHAnsi" w:hAnsiTheme="minorHAnsi"/>
          <w:color w:val="000000" w:themeColor="text1"/>
          <w:lang w:val="en-US"/>
        </w:rPr>
        <w:t>.</w:t>
      </w:r>
      <w:r w:rsidR="00790211" w:rsidRPr="009C2216">
        <w:rPr>
          <w:rStyle w:val="FootnoteReference"/>
          <w:rFonts w:asciiTheme="minorHAnsi" w:hAnsiTheme="minorHAnsi"/>
          <w:color w:val="000000" w:themeColor="text1"/>
          <w:lang w:val="en-US"/>
        </w:rPr>
        <w:footnoteReference w:id="7"/>
      </w:r>
    </w:p>
    <w:p w14:paraId="24C512A7" w14:textId="77777777" w:rsidR="00164D18" w:rsidRDefault="00164D18" w:rsidP="00093E32">
      <w:pPr>
        <w:ind w:right="-347"/>
        <w:jc w:val="both"/>
        <w:rPr>
          <w:rFonts w:asciiTheme="minorHAnsi" w:hAnsiTheme="minorHAnsi"/>
        </w:rPr>
      </w:pPr>
    </w:p>
    <w:p w14:paraId="11A960FA" w14:textId="77777777" w:rsidR="00BC4B26" w:rsidRPr="003E6031" w:rsidRDefault="00BC4B26" w:rsidP="00BC4B26">
      <w:pPr>
        <w:ind w:right="-347"/>
        <w:jc w:val="both"/>
        <w:rPr>
          <w:rFonts w:asciiTheme="minorHAnsi" w:hAnsiTheme="minorHAnsi"/>
          <w:color w:val="000000" w:themeColor="text1"/>
        </w:rPr>
      </w:pPr>
      <w:r w:rsidRPr="003E6031">
        <w:rPr>
          <w:rFonts w:asciiTheme="minorHAnsi" w:eastAsia="Times New Roman" w:hAnsiTheme="minorHAnsi"/>
          <w:bCs/>
          <w:color w:val="000000" w:themeColor="text1"/>
        </w:rPr>
        <w:t>If we can be of any further assistance, please do not hesitate to contact us.</w:t>
      </w:r>
    </w:p>
    <w:p w14:paraId="795B4C6A"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p>
    <w:p w14:paraId="3E8F7D5D"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r w:rsidRPr="003E6031">
        <w:rPr>
          <w:rFonts w:asciiTheme="minorHAnsi" w:eastAsia="Times New Roman" w:hAnsiTheme="minorHAnsi"/>
          <w:bCs/>
          <w:color w:val="000000" w:themeColor="text1"/>
        </w:rPr>
        <w:t>Yours faithfully,</w:t>
      </w:r>
    </w:p>
    <w:p w14:paraId="21C92032"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p>
    <w:p w14:paraId="3BE4D59D"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p>
    <w:p w14:paraId="54E3AB65"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p>
    <w:p w14:paraId="3D3326D8"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r w:rsidRPr="003E6031">
        <w:rPr>
          <w:rFonts w:asciiTheme="minorHAnsi" w:eastAsia="Times New Roman" w:hAnsiTheme="minorHAnsi"/>
          <w:bCs/>
          <w:color w:val="000000" w:themeColor="text1"/>
        </w:rPr>
        <w:t xml:space="preserve">Benedict </w:t>
      </w:r>
      <w:proofErr w:type="spellStart"/>
      <w:r w:rsidRPr="003E6031">
        <w:rPr>
          <w:rFonts w:asciiTheme="minorHAnsi" w:eastAsia="Times New Roman" w:hAnsiTheme="minorHAnsi"/>
          <w:bCs/>
          <w:color w:val="000000" w:themeColor="text1"/>
        </w:rPr>
        <w:t>Bartl</w:t>
      </w:r>
      <w:proofErr w:type="spellEnd"/>
    </w:p>
    <w:p w14:paraId="6E660E8C" w14:textId="77777777" w:rsidR="00BC4B26" w:rsidRPr="003E6031" w:rsidRDefault="00BC4B26" w:rsidP="00BC4B26">
      <w:pPr>
        <w:shd w:val="clear" w:color="auto" w:fill="FFFFFF"/>
        <w:ind w:right="-347"/>
        <w:jc w:val="both"/>
        <w:rPr>
          <w:rFonts w:asciiTheme="minorHAnsi" w:eastAsia="Times New Roman" w:hAnsiTheme="minorHAnsi"/>
          <w:bCs/>
          <w:color w:val="000000" w:themeColor="text1"/>
        </w:rPr>
      </w:pPr>
      <w:r w:rsidRPr="003E6031">
        <w:rPr>
          <w:rFonts w:asciiTheme="minorHAnsi" w:eastAsia="Times New Roman" w:hAnsiTheme="minorHAnsi"/>
          <w:bCs/>
          <w:color w:val="000000" w:themeColor="text1"/>
        </w:rPr>
        <w:t>Policy Officer</w:t>
      </w:r>
    </w:p>
    <w:p w14:paraId="78DFBF6B" w14:textId="3DEDFE59" w:rsidR="004C0469" w:rsidRPr="009C2216" w:rsidRDefault="00BC4B26" w:rsidP="009C2216">
      <w:pPr>
        <w:pBdr>
          <w:bottom w:val="single" w:sz="6" w:space="1" w:color="auto"/>
        </w:pBdr>
        <w:shd w:val="clear" w:color="auto" w:fill="FFFFFF"/>
        <w:ind w:right="-347"/>
        <w:jc w:val="both"/>
        <w:rPr>
          <w:rFonts w:asciiTheme="minorHAnsi" w:eastAsia="Times New Roman" w:hAnsiTheme="minorHAnsi"/>
          <w:b/>
          <w:bCs/>
          <w:color w:val="000000" w:themeColor="text1"/>
        </w:rPr>
      </w:pPr>
      <w:r w:rsidRPr="003E6031">
        <w:rPr>
          <w:rFonts w:asciiTheme="minorHAnsi" w:eastAsia="Times New Roman" w:hAnsiTheme="minorHAnsi"/>
          <w:b/>
          <w:bCs/>
          <w:color w:val="000000" w:themeColor="text1"/>
        </w:rPr>
        <w:t>Community Legal Centres Tasmania</w:t>
      </w:r>
      <w:bookmarkStart w:id="0" w:name="_GoBack"/>
      <w:bookmarkEnd w:id="0"/>
    </w:p>
    <w:sectPr w:rsidR="004C0469" w:rsidRPr="009C2216"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5461F" w14:textId="77777777" w:rsidR="00D3176E" w:rsidRDefault="00D3176E" w:rsidP="00BC4B26">
      <w:r>
        <w:separator/>
      </w:r>
    </w:p>
  </w:endnote>
  <w:endnote w:type="continuationSeparator" w:id="0">
    <w:p w14:paraId="03B494FB" w14:textId="77777777" w:rsidR="00D3176E" w:rsidRDefault="00D3176E" w:rsidP="00BC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9E1D1" w14:textId="77777777" w:rsidR="00D3176E" w:rsidRDefault="00D3176E" w:rsidP="00BC4B26">
      <w:r>
        <w:separator/>
      </w:r>
    </w:p>
  </w:footnote>
  <w:footnote w:type="continuationSeparator" w:id="0">
    <w:p w14:paraId="7475CCBB" w14:textId="77777777" w:rsidR="00D3176E" w:rsidRDefault="00D3176E" w:rsidP="00BC4B26">
      <w:r>
        <w:continuationSeparator/>
      </w:r>
    </w:p>
  </w:footnote>
  <w:footnote w:id="1">
    <w:p w14:paraId="679C0C21" w14:textId="61C86451" w:rsidR="0029459F" w:rsidRPr="009C2216" w:rsidRDefault="0029459F">
      <w:pPr>
        <w:pStyle w:val="FootnoteText"/>
        <w:rPr>
          <w:rFonts w:asciiTheme="minorHAnsi"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Section 358 of the </w:t>
      </w:r>
      <w:r w:rsidRPr="009C2216">
        <w:rPr>
          <w:rFonts w:asciiTheme="minorHAnsi" w:hAnsiTheme="minorHAnsi"/>
          <w:i/>
          <w:sz w:val="20"/>
          <w:szCs w:val="20"/>
        </w:rPr>
        <w:t>Legal Profession Act 2007</w:t>
      </w:r>
      <w:r w:rsidRPr="009C2216">
        <w:rPr>
          <w:rFonts w:asciiTheme="minorHAnsi" w:hAnsiTheme="minorHAnsi"/>
          <w:sz w:val="20"/>
          <w:szCs w:val="20"/>
        </w:rPr>
        <w:t xml:space="preserve"> (</w:t>
      </w:r>
      <w:proofErr w:type="spellStart"/>
      <w:r w:rsidRPr="009C2216">
        <w:rPr>
          <w:rFonts w:asciiTheme="minorHAnsi" w:hAnsiTheme="minorHAnsi"/>
          <w:sz w:val="20"/>
          <w:szCs w:val="20"/>
        </w:rPr>
        <w:t>Tas</w:t>
      </w:r>
      <w:proofErr w:type="spellEnd"/>
      <w:r w:rsidRPr="009C2216">
        <w:rPr>
          <w:rFonts w:asciiTheme="minorHAnsi" w:hAnsiTheme="minorHAnsi"/>
          <w:sz w:val="20"/>
          <w:szCs w:val="20"/>
        </w:rPr>
        <w:t xml:space="preserve">). </w:t>
      </w:r>
    </w:p>
  </w:footnote>
  <w:footnote w:id="2">
    <w:p w14:paraId="7D323DB5" w14:textId="77777777" w:rsidR="0029459F" w:rsidRPr="009C2216" w:rsidRDefault="0029459F" w:rsidP="006E02C3">
      <w:pPr>
        <w:pStyle w:val="FootnoteText"/>
        <w:rPr>
          <w:rFonts w:asciiTheme="minorHAnsi"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Regulation 67A of the </w:t>
      </w:r>
      <w:r w:rsidRPr="009C2216">
        <w:rPr>
          <w:rFonts w:asciiTheme="minorHAnsi" w:hAnsiTheme="minorHAnsi"/>
          <w:i/>
          <w:sz w:val="20"/>
          <w:szCs w:val="20"/>
        </w:rPr>
        <w:t>Legal Profession Regulations 2008</w:t>
      </w:r>
      <w:r w:rsidRPr="009C2216">
        <w:rPr>
          <w:rFonts w:asciiTheme="minorHAnsi" w:hAnsiTheme="minorHAnsi"/>
          <w:sz w:val="20"/>
          <w:szCs w:val="20"/>
        </w:rPr>
        <w:t xml:space="preserve"> (</w:t>
      </w:r>
      <w:proofErr w:type="spellStart"/>
      <w:r w:rsidRPr="009C2216">
        <w:rPr>
          <w:rFonts w:asciiTheme="minorHAnsi" w:hAnsiTheme="minorHAnsi"/>
          <w:sz w:val="20"/>
          <w:szCs w:val="20"/>
        </w:rPr>
        <w:t>Tas</w:t>
      </w:r>
      <w:proofErr w:type="spellEnd"/>
      <w:r w:rsidRPr="009C2216">
        <w:rPr>
          <w:rFonts w:asciiTheme="minorHAnsi" w:hAnsiTheme="minorHAnsi"/>
          <w:sz w:val="20"/>
          <w:szCs w:val="20"/>
        </w:rPr>
        <w:t xml:space="preserve">). </w:t>
      </w:r>
    </w:p>
  </w:footnote>
  <w:footnote w:id="3">
    <w:p w14:paraId="2127D343" w14:textId="4B03FA5C" w:rsidR="0029459F" w:rsidRPr="009C2216" w:rsidRDefault="0029459F">
      <w:pPr>
        <w:pStyle w:val="FootnoteText"/>
        <w:rPr>
          <w:rFonts w:asciiTheme="minorHAnsi"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Section 361 of the </w:t>
      </w:r>
      <w:r w:rsidRPr="009C2216">
        <w:rPr>
          <w:rFonts w:asciiTheme="minorHAnsi" w:hAnsiTheme="minorHAnsi"/>
          <w:i/>
          <w:sz w:val="20"/>
          <w:szCs w:val="20"/>
        </w:rPr>
        <w:t>Legal Profession Act 2007</w:t>
      </w:r>
      <w:r w:rsidRPr="009C2216">
        <w:rPr>
          <w:rFonts w:asciiTheme="minorHAnsi" w:hAnsiTheme="minorHAnsi"/>
          <w:sz w:val="20"/>
          <w:szCs w:val="20"/>
        </w:rPr>
        <w:t xml:space="preserve"> (</w:t>
      </w:r>
      <w:proofErr w:type="spellStart"/>
      <w:r w:rsidRPr="009C2216">
        <w:rPr>
          <w:rFonts w:asciiTheme="minorHAnsi" w:hAnsiTheme="minorHAnsi"/>
          <w:sz w:val="20"/>
          <w:szCs w:val="20"/>
        </w:rPr>
        <w:t>Tas</w:t>
      </w:r>
      <w:proofErr w:type="spellEnd"/>
      <w:r w:rsidRPr="009C2216">
        <w:rPr>
          <w:rFonts w:asciiTheme="minorHAnsi" w:hAnsiTheme="minorHAnsi"/>
          <w:sz w:val="20"/>
          <w:szCs w:val="20"/>
        </w:rPr>
        <w:t>).</w:t>
      </w:r>
    </w:p>
  </w:footnote>
  <w:footnote w:id="4">
    <w:p w14:paraId="50CD8063" w14:textId="064174FC" w:rsidR="0029459F" w:rsidRPr="009C2216" w:rsidRDefault="0029459F" w:rsidP="00770023">
      <w:pPr>
        <w:rPr>
          <w:rFonts w:asciiTheme="minorHAnsi" w:eastAsia="Times New Roman"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Productivity Commission, </w:t>
      </w:r>
      <w:r w:rsidRPr="009C2216">
        <w:rPr>
          <w:rFonts w:asciiTheme="minorHAnsi" w:hAnsiTheme="minorHAnsi"/>
          <w:i/>
          <w:sz w:val="20"/>
          <w:szCs w:val="20"/>
        </w:rPr>
        <w:t>Access to Justice Arrangements</w:t>
      </w:r>
      <w:r w:rsidRPr="009C2216">
        <w:rPr>
          <w:rFonts w:asciiTheme="minorHAnsi" w:hAnsiTheme="minorHAnsi"/>
          <w:sz w:val="20"/>
          <w:szCs w:val="20"/>
        </w:rPr>
        <w:t>, Volume 2 (September 2014) a</w:t>
      </w:r>
      <w:r w:rsidRPr="009C2216">
        <w:rPr>
          <w:rFonts w:asciiTheme="minorHAnsi" w:hAnsiTheme="minorHAnsi"/>
          <w:sz w:val="20"/>
          <w:szCs w:val="20"/>
          <w:lang w:val="en-US"/>
        </w:rPr>
        <w:t>t 738-739</w:t>
      </w:r>
      <w:r w:rsidRPr="009C2216">
        <w:rPr>
          <w:rFonts w:asciiTheme="minorHAnsi" w:eastAsia="Times New Roman" w:hAnsiTheme="minorHAnsi"/>
          <w:sz w:val="20"/>
          <w:szCs w:val="20"/>
        </w:rPr>
        <w:t xml:space="preserve">. </w:t>
      </w:r>
    </w:p>
  </w:footnote>
  <w:footnote w:id="5">
    <w:p w14:paraId="7DA13C18" w14:textId="43AD347D" w:rsidR="0029459F" w:rsidRPr="009C2216" w:rsidRDefault="0029459F" w:rsidP="00910F31">
      <w:pPr>
        <w:rPr>
          <w:rFonts w:asciiTheme="minorHAnsi" w:eastAsia="Times New Roman"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w:t>
      </w:r>
      <w:r w:rsidRPr="009C2216">
        <w:rPr>
          <w:rFonts w:asciiTheme="minorHAnsi" w:hAnsiTheme="minorHAnsi"/>
          <w:sz w:val="20"/>
          <w:szCs w:val="20"/>
          <w:lang w:val="en-US"/>
        </w:rPr>
        <w:t xml:space="preserve">Department of Justice, </w:t>
      </w:r>
      <w:r w:rsidRPr="009C2216">
        <w:rPr>
          <w:rFonts w:asciiTheme="minorHAnsi" w:hAnsiTheme="minorHAnsi"/>
          <w:i/>
          <w:sz w:val="20"/>
          <w:szCs w:val="20"/>
          <w:lang w:val="en-US"/>
        </w:rPr>
        <w:t>Evaluation of the Tasmanian Legal Assistance Sector Final Report</w:t>
      </w:r>
      <w:r w:rsidRPr="009C2216">
        <w:rPr>
          <w:rFonts w:asciiTheme="minorHAnsi" w:hAnsiTheme="minorHAnsi"/>
          <w:sz w:val="20"/>
          <w:szCs w:val="20"/>
          <w:lang w:val="en-US"/>
        </w:rPr>
        <w:t xml:space="preserve"> (December 2010) at 37</w:t>
      </w:r>
      <w:r w:rsidRPr="009C2216">
        <w:rPr>
          <w:rFonts w:asciiTheme="minorHAnsi" w:eastAsia="Times New Roman" w:hAnsiTheme="minorHAnsi"/>
          <w:sz w:val="20"/>
          <w:szCs w:val="20"/>
        </w:rPr>
        <w:t xml:space="preserve">. </w:t>
      </w:r>
      <w:r w:rsidRPr="009C2216">
        <w:rPr>
          <w:rFonts w:asciiTheme="minorHAnsi" w:hAnsiTheme="minorHAnsi"/>
          <w:sz w:val="20"/>
          <w:szCs w:val="20"/>
          <w:lang w:val="en-US"/>
        </w:rPr>
        <w:t xml:space="preserve"> </w:t>
      </w:r>
    </w:p>
  </w:footnote>
  <w:footnote w:id="6">
    <w:p w14:paraId="28AC07BE" w14:textId="3EB79A85" w:rsidR="00DA12A1" w:rsidRPr="009C2216" w:rsidRDefault="00DA12A1">
      <w:pPr>
        <w:pStyle w:val="FootnoteText"/>
        <w:rPr>
          <w:rFonts w:asciiTheme="minorHAnsi"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w:t>
      </w:r>
      <w:r w:rsidRPr="009C2216">
        <w:rPr>
          <w:rFonts w:asciiTheme="minorHAnsi" w:hAnsiTheme="minorHAnsi"/>
          <w:sz w:val="20"/>
          <w:szCs w:val="20"/>
          <w:lang w:val="en-US"/>
        </w:rPr>
        <w:t xml:space="preserve">Department of Justice, </w:t>
      </w:r>
      <w:r w:rsidRPr="009C2216">
        <w:rPr>
          <w:rFonts w:asciiTheme="minorHAnsi" w:hAnsiTheme="minorHAnsi"/>
          <w:i/>
          <w:sz w:val="20"/>
          <w:szCs w:val="20"/>
          <w:lang w:val="en-US"/>
        </w:rPr>
        <w:t>Evaluation of the Tasmanian Legal Assistance Sector Final Report</w:t>
      </w:r>
      <w:r w:rsidRPr="009C2216">
        <w:rPr>
          <w:rFonts w:asciiTheme="minorHAnsi" w:hAnsiTheme="minorHAnsi"/>
          <w:sz w:val="20"/>
          <w:szCs w:val="20"/>
          <w:lang w:val="en-US"/>
        </w:rPr>
        <w:t xml:space="preserve"> (December 2010) at 40</w:t>
      </w:r>
      <w:r w:rsidR="009C2216" w:rsidRPr="009C2216">
        <w:rPr>
          <w:rFonts w:asciiTheme="minorHAnsi" w:hAnsiTheme="minorHAnsi"/>
          <w:sz w:val="20"/>
          <w:szCs w:val="20"/>
          <w:lang w:val="en-US"/>
        </w:rPr>
        <w:t>-41</w:t>
      </w:r>
      <w:r w:rsidRPr="009C2216">
        <w:rPr>
          <w:rFonts w:asciiTheme="minorHAnsi" w:hAnsiTheme="minorHAnsi"/>
          <w:sz w:val="20"/>
          <w:szCs w:val="20"/>
          <w:lang w:val="en-US"/>
        </w:rPr>
        <w:t>.</w:t>
      </w:r>
    </w:p>
  </w:footnote>
  <w:footnote w:id="7">
    <w:p w14:paraId="6E1F23CB" w14:textId="6881E446" w:rsidR="00790211" w:rsidRPr="009C2216" w:rsidRDefault="00790211">
      <w:pPr>
        <w:pStyle w:val="FootnoteText"/>
        <w:rPr>
          <w:rFonts w:asciiTheme="minorHAnsi" w:hAnsiTheme="minorHAnsi"/>
          <w:sz w:val="20"/>
          <w:szCs w:val="20"/>
        </w:rPr>
      </w:pPr>
      <w:r w:rsidRPr="009C2216">
        <w:rPr>
          <w:rStyle w:val="FootnoteReference"/>
          <w:rFonts w:asciiTheme="minorHAnsi" w:hAnsiTheme="minorHAnsi"/>
          <w:sz w:val="20"/>
          <w:szCs w:val="20"/>
        </w:rPr>
        <w:footnoteRef/>
      </w:r>
      <w:r w:rsidRPr="009C2216">
        <w:rPr>
          <w:rFonts w:asciiTheme="minorHAnsi" w:hAnsiTheme="minorHAnsi"/>
          <w:sz w:val="20"/>
          <w:szCs w:val="20"/>
        </w:rPr>
        <w:t xml:space="preserve"> See, for example, section 27 of the </w:t>
      </w:r>
      <w:r w:rsidRPr="009C2216">
        <w:rPr>
          <w:rFonts w:asciiTheme="minorHAnsi" w:hAnsiTheme="minorHAnsi"/>
          <w:i/>
          <w:sz w:val="20"/>
          <w:szCs w:val="20"/>
        </w:rPr>
        <w:t>Legal Aid Commission Act 1990</w:t>
      </w:r>
      <w:r w:rsidRPr="009C2216">
        <w:rPr>
          <w:rFonts w:asciiTheme="minorHAnsi" w:hAnsiTheme="minorHAnsi"/>
          <w:sz w:val="20"/>
          <w:szCs w:val="20"/>
        </w:rPr>
        <w:t xml:space="preserve"> (</w:t>
      </w:r>
      <w:proofErr w:type="spellStart"/>
      <w:r w:rsidRPr="009C2216">
        <w:rPr>
          <w:rFonts w:asciiTheme="minorHAnsi" w:hAnsiTheme="minorHAnsi"/>
          <w:sz w:val="20"/>
          <w:szCs w:val="20"/>
        </w:rPr>
        <w:t>Tas</w:t>
      </w:r>
      <w:proofErr w:type="spellEnd"/>
      <w:r w:rsidRPr="009C2216">
        <w:rPr>
          <w:rFonts w:asciiTheme="minorHAnsi" w:hAnsiTheme="minorHAnsi"/>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521F"/>
    <w:multiLevelType w:val="hybridMultilevel"/>
    <w:tmpl w:val="64360B8A"/>
    <w:lvl w:ilvl="0" w:tplc="ABE4B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853E4"/>
    <w:multiLevelType w:val="hybridMultilevel"/>
    <w:tmpl w:val="CE5AFB7A"/>
    <w:lvl w:ilvl="0" w:tplc="9FBEB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96D36"/>
    <w:multiLevelType w:val="multilevel"/>
    <w:tmpl w:val="EB7A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21153"/>
    <w:multiLevelType w:val="hybridMultilevel"/>
    <w:tmpl w:val="103C095C"/>
    <w:lvl w:ilvl="0" w:tplc="1144E42C">
      <w:start w:val="166"/>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B26F3"/>
    <w:multiLevelType w:val="hybridMultilevel"/>
    <w:tmpl w:val="9ADC99A6"/>
    <w:lvl w:ilvl="0" w:tplc="849CF3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080EE9"/>
    <w:multiLevelType w:val="hybridMultilevel"/>
    <w:tmpl w:val="774C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B775F"/>
    <w:multiLevelType w:val="hybridMultilevel"/>
    <w:tmpl w:val="170CA5FE"/>
    <w:lvl w:ilvl="0" w:tplc="E0B88BBC">
      <w:start w:val="4"/>
      <w:numFmt w:val="bullet"/>
      <w:lvlText w:val="-"/>
      <w:lvlJc w:val="left"/>
      <w:pPr>
        <w:ind w:left="720" w:hanging="360"/>
      </w:pPr>
      <w:rPr>
        <w:rFonts w:ascii="Cambria" w:eastAsiaTheme="minorEastAs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9047AC"/>
    <w:multiLevelType w:val="hybridMultilevel"/>
    <w:tmpl w:val="1EB670F6"/>
    <w:lvl w:ilvl="0" w:tplc="02BC2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7E547D"/>
    <w:multiLevelType w:val="hybridMultilevel"/>
    <w:tmpl w:val="450642C4"/>
    <w:lvl w:ilvl="0" w:tplc="2CD44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6A0022"/>
    <w:multiLevelType w:val="hybridMultilevel"/>
    <w:tmpl w:val="A6D4986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4"/>
  </w:num>
  <w:num w:numId="6">
    <w:abstractNumId w:val="5"/>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88"/>
    <w:rsid w:val="000739D1"/>
    <w:rsid w:val="00093E32"/>
    <w:rsid w:val="00100F7F"/>
    <w:rsid w:val="00164D18"/>
    <w:rsid w:val="00202015"/>
    <w:rsid w:val="00205B99"/>
    <w:rsid w:val="0029459F"/>
    <w:rsid w:val="002B56BF"/>
    <w:rsid w:val="00336B15"/>
    <w:rsid w:val="00372C84"/>
    <w:rsid w:val="00393206"/>
    <w:rsid w:val="003E32D2"/>
    <w:rsid w:val="003E6031"/>
    <w:rsid w:val="004637DD"/>
    <w:rsid w:val="004A6988"/>
    <w:rsid w:val="004C0469"/>
    <w:rsid w:val="00507C3E"/>
    <w:rsid w:val="00576ADF"/>
    <w:rsid w:val="005E4D61"/>
    <w:rsid w:val="005E7DD8"/>
    <w:rsid w:val="00632E02"/>
    <w:rsid w:val="0065073B"/>
    <w:rsid w:val="006B09B3"/>
    <w:rsid w:val="006E02C3"/>
    <w:rsid w:val="00770023"/>
    <w:rsid w:val="00790211"/>
    <w:rsid w:val="007D74A4"/>
    <w:rsid w:val="007F7115"/>
    <w:rsid w:val="0088277C"/>
    <w:rsid w:val="008E44B1"/>
    <w:rsid w:val="00910F31"/>
    <w:rsid w:val="00952DE0"/>
    <w:rsid w:val="00991513"/>
    <w:rsid w:val="009C2216"/>
    <w:rsid w:val="009D4122"/>
    <w:rsid w:val="009E5DF4"/>
    <w:rsid w:val="00A46721"/>
    <w:rsid w:val="00A47341"/>
    <w:rsid w:val="00AC1648"/>
    <w:rsid w:val="00B5349B"/>
    <w:rsid w:val="00B566C9"/>
    <w:rsid w:val="00B665E6"/>
    <w:rsid w:val="00B861FE"/>
    <w:rsid w:val="00BA4265"/>
    <w:rsid w:val="00BC4B26"/>
    <w:rsid w:val="00C3186F"/>
    <w:rsid w:val="00C476F9"/>
    <w:rsid w:val="00C52791"/>
    <w:rsid w:val="00C94C22"/>
    <w:rsid w:val="00C97E0D"/>
    <w:rsid w:val="00CF39F8"/>
    <w:rsid w:val="00D3176E"/>
    <w:rsid w:val="00D9024F"/>
    <w:rsid w:val="00DA12A1"/>
    <w:rsid w:val="00DE5D95"/>
    <w:rsid w:val="00E31265"/>
    <w:rsid w:val="00E37FD3"/>
    <w:rsid w:val="00E71BA2"/>
    <w:rsid w:val="00E82503"/>
    <w:rsid w:val="00F547F6"/>
    <w:rsid w:val="00F87A30"/>
    <w:rsid w:val="00F92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4CC9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C3"/>
    <w:rPr>
      <w:rFonts w:ascii="Times New Roman" w:hAnsi="Times New Roman" w:cs="Times New Roman"/>
      <w:lang w:val="en-AU" w:eastAsia="en-AU"/>
    </w:rPr>
  </w:style>
  <w:style w:type="paragraph" w:styleId="Heading1">
    <w:name w:val="heading 1"/>
    <w:basedOn w:val="Normal"/>
    <w:link w:val="Heading1Char"/>
    <w:uiPriority w:val="9"/>
    <w:qFormat/>
    <w:rsid w:val="004A69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988"/>
    <w:rPr>
      <w:rFonts w:ascii="Times New Roman" w:hAnsi="Times New Roman" w:cs="Times New Roman"/>
      <w:b/>
      <w:bCs/>
      <w:kern w:val="36"/>
      <w:sz w:val="48"/>
      <w:szCs w:val="48"/>
      <w:lang w:val="en-AU"/>
    </w:rPr>
  </w:style>
  <w:style w:type="paragraph" w:styleId="NormalWeb">
    <w:name w:val="Normal (Web)"/>
    <w:basedOn w:val="Normal"/>
    <w:uiPriority w:val="99"/>
    <w:semiHidden/>
    <w:unhideWhenUsed/>
    <w:rsid w:val="004A6988"/>
    <w:pPr>
      <w:spacing w:before="100" w:beforeAutospacing="1" w:after="100" w:afterAutospacing="1"/>
    </w:pPr>
    <w:rPr>
      <w:sz w:val="20"/>
      <w:szCs w:val="20"/>
    </w:rPr>
  </w:style>
  <w:style w:type="paragraph" w:customStyle="1" w:styleId="headingparagraph">
    <w:name w:val="headingparagraph"/>
    <w:basedOn w:val="Normal"/>
    <w:rsid w:val="004A6988"/>
    <w:pPr>
      <w:spacing w:before="100" w:beforeAutospacing="1" w:after="100" w:afterAutospacing="1"/>
    </w:pPr>
    <w:rPr>
      <w:sz w:val="20"/>
      <w:szCs w:val="20"/>
    </w:rPr>
  </w:style>
  <w:style w:type="character" w:styleId="Hyperlink">
    <w:name w:val="Hyperlink"/>
    <w:basedOn w:val="DefaultParagraphFont"/>
    <w:uiPriority w:val="99"/>
    <w:semiHidden/>
    <w:unhideWhenUsed/>
    <w:rsid w:val="004A6988"/>
    <w:rPr>
      <w:color w:val="0000FF"/>
      <w:u w:val="single"/>
    </w:rPr>
  </w:style>
  <w:style w:type="paragraph" w:styleId="FootnoteText">
    <w:name w:val="footnote text"/>
    <w:aliases w:val="Footnote,Text"/>
    <w:basedOn w:val="Normal"/>
    <w:link w:val="FootnoteTextChar"/>
    <w:uiPriority w:val="99"/>
    <w:unhideWhenUsed/>
    <w:rsid w:val="00BC4B26"/>
  </w:style>
  <w:style w:type="character" w:customStyle="1" w:styleId="FootnoteTextChar">
    <w:name w:val="Footnote Text Char"/>
    <w:aliases w:val="Footnote Char,Text Char"/>
    <w:basedOn w:val="DefaultParagraphFont"/>
    <w:link w:val="FootnoteText"/>
    <w:uiPriority w:val="99"/>
    <w:rsid w:val="00BC4B26"/>
  </w:style>
  <w:style w:type="character" w:styleId="FootnoteReference">
    <w:name w:val="footnote reference"/>
    <w:basedOn w:val="DefaultParagraphFont"/>
    <w:uiPriority w:val="99"/>
    <w:unhideWhenUsed/>
    <w:rsid w:val="00BC4B26"/>
    <w:rPr>
      <w:vertAlign w:val="superscript"/>
    </w:rPr>
  </w:style>
  <w:style w:type="paragraph" w:styleId="BalloonText">
    <w:name w:val="Balloon Text"/>
    <w:basedOn w:val="Normal"/>
    <w:link w:val="BalloonTextChar"/>
    <w:uiPriority w:val="99"/>
    <w:semiHidden/>
    <w:unhideWhenUsed/>
    <w:rsid w:val="00BC4B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B26"/>
    <w:rPr>
      <w:rFonts w:ascii="Lucida Grande" w:hAnsi="Lucida Grande" w:cs="Lucida Grande"/>
      <w:sz w:val="18"/>
      <w:szCs w:val="18"/>
    </w:rPr>
  </w:style>
  <w:style w:type="character" w:styleId="Emphasis">
    <w:name w:val="Emphasis"/>
    <w:basedOn w:val="DefaultParagraphFont"/>
    <w:uiPriority w:val="20"/>
    <w:qFormat/>
    <w:rsid w:val="00F547F6"/>
    <w:rPr>
      <w:i/>
      <w:iCs/>
    </w:rPr>
  </w:style>
  <w:style w:type="paragraph" w:styleId="ListParagraph">
    <w:name w:val="List Paragraph"/>
    <w:basedOn w:val="Normal"/>
    <w:uiPriority w:val="34"/>
    <w:qFormat/>
    <w:rsid w:val="00A47341"/>
    <w:pPr>
      <w:ind w:left="720"/>
      <w:contextualSpacing/>
    </w:pPr>
  </w:style>
  <w:style w:type="paragraph" w:styleId="NoSpacing">
    <w:name w:val="No Spacing"/>
    <w:uiPriority w:val="1"/>
    <w:qFormat/>
    <w:rsid w:val="006E02C3"/>
    <w:rPr>
      <w:rFonts w:ascii="Times New Roman" w:hAnsi="Times New Roman" w:cs="Times New Roman"/>
      <w:lang w:val="en-AU" w:eastAsia="en-AU"/>
    </w:rPr>
  </w:style>
  <w:style w:type="paragraph" w:customStyle="1" w:styleId="style1">
    <w:name w:val="style1"/>
    <w:basedOn w:val="Normal"/>
    <w:rsid w:val="003E6031"/>
    <w:pPr>
      <w:spacing w:before="100" w:beforeAutospacing="1" w:after="100" w:afterAutospacing="1"/>
    </w:pPr>
  </w:style>
  <w:style w:type="character" w:customStyle="1" w:styleId="isysmarkup">
    <w:name w:val="__isysmarkup"/>
    <w:basedOn w:val="DefaultParagraphFont"/>
    <w:rsid w:val="003E6031"/>
  </w:style>
  <w:style w:type="paragraph" w:customStyle="1" w:styleId="style2">
    <w:name w:val="style2"/>
    <w:basedOn w:val="Normal"/>
    <w:rsid w:val="003E6031"/>
    <w:pPr>
      <w:spacing w:before="100" w:beforeAutospacing="1" w:after="100" w:afterAutospacing="1"/>
    </w:pPr>
  </w:style>
  <w:style w:type="character" w:customStyle="1" w:styleId="apple-converted-space">
    <w:name w:val="apple-converted-space"/>
    <w:basedOn w:val="DefaultParagraphFont"/>
    <w:rsid w:val="00DA1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8244">
      <w:bodyDiv w:val="1"/>
      <w:marLeft w:val="0"/>
      <w:marRight w:val="0"/>
      <w:marTop w:val="0"/>
      <w:marBottom w:val="0"/>
      <w:divBdr>
        <w:top w:val="none" w:sz="0" w:space="0" w:color="auto"/>
        <w:left w:val="none" w:sz="0" w:space="0" w:color="auto"/>
        <w:bottom w:val="none" w:sz="0" w:space="0" w:color="auto"/>
        <w:right w:val="none" w:sz="0" w:space="0" w:color="auto"/>
      </w:divBdr>
      <w:divsChild>
        <w:div w:id="64508705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2797665">
              <w:blockQuote w:val="1"/>
              <w:marLeft w:val="0"/>
              <w:marRight w:val="0"/>
              <w:marTop w:val="120"/>
              <w:marBottom w:val="120"/>
              <w:divBdr>
                <w:top w:val="none" w:sz="0" w:space="0" w:color="auto"/>
                <w:left w:val="none" w:sz="0" w:space="0" w:color="auto"/>
                <w:bottom w:val="none" w:sz="0" w:space="0" w:color="auto"/>
                <w:right w:val="none" w:sz="0" w:space="0" w:color="auto"/>
              </w:divBdr>
            </w:div>
            <w:div w:id="222372103">
              <w:blockQuote w:val="1"/>
              <w:marLeft w:val="0"/>
              <w:marRight w:val="0"/>
              <w:marTop w:val="120"/>
              <w:marBottom w:val="120"/>
              <w:divBdr>
                <w:top w:val="none" w:sz="0" w:space="0" w:color="auto"/>
                <w:left w:val="none" w:sz="0" w:space="0" w:color="auto"/>
                <w:bottom w:val="none" w:sz="0" w:space="0" w:color="auto"/>
                <w:right w:val="none" w:sz="0" w:space="0" w:color="auto"/>
              </w:divBdr>
              <w:divsChild>
                <w:div w:id="64875011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379695997">
                      <w:blockQuote w:val="1"/>
                      <w:marLeft w:val="0"/>
                      <w:marRight w:val="0"/>
                      <w:marTop w:val="120"/>
                      <w:marBottom w:val="120"/>
                      <w:divBdr>
                        <w:top w:val="none" w:sz="0" w:space="0" w:color="auto"/>
                        <w:left w:val="none" w:sz="0" w:space="0" w:color="auto"/>
                        <w:bottom w:val="none" w:sz="0" w:space="0" w:color="auto"/>
                        <w:right w:val="none" w:sz="0" w:space="0" w:color="auto"/>
                      </w:divBdr>
                    </w:div>
                    <w:div w:id="1177188035">
                      <w:blockQuote w:val="1"/>
                      <w:marLeft w:val="0"/>
                      <w:marRight w:val="0"/>
                      <w:marTop w:val="120"/>
                      <w:marBottom w:val="120"/>
                      <w:divBdr>
                        <w:top w:val="none" w:sz="0" w:space="0" w:color="auto"/>
                        <w:left w:val="none" w:sz="0" w:space="0" w:color="auto"/>
                        <w:bottom w:val="none" w:sz="0" w:space="0" w:color="auto"/>
                        <w:right w:val="none" w:sz="0" w:space="0" w:color="auto"/>
                      </w:divBdr>
                    </w:div>
                    <w:div w:id="100112947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4614002">
      <w:bodyDiv w:val="1"/>
      <w:marLeft w:val="0"/>
      <w:marRight w:val="0"/>
      <w:marTop w:val="0"/>
      <w:marBottom w:val="0"/>
      <w:divBdr>
        <w:top w:val="none" w:sz="0" w:space="0" w:color="auto"/>
        <w:left w:val="none" w:sz="0" w:space="0" w:color="auto"/>
        <w:bottom w:val="none" w:sz="0" w:space="0" w:color="auto"/>
        <w:right w:val="none" w:sz="0" w:space="0" w:color="auto"/>
      </w:divBdr>
    </w:div>
    <w:div w:id="441731881">
      <w:bodyDiv w:val="1"/>
      <w:marLeft w:val="0"/>
      <w:marRight w:val="0"/>
      <w:marTop w:val="0"/>
      <w:marBottom w:val="0"/>
      <w:divBdr>
        <w:top w:val="none" w:sz="0" w:space="0" w:color="auto"/>
        <w:left w:val="none" w:sz="0" w:space="0" w:color="auto"/>
        <w:bottom w:val="none" w:sz="0" w:space="0" w:color="auto"/>
        <w:right w:val="none" w:sz="0" w:space="0" w:color="auto"/>
      </w:divBdr>
    </w:div>
    <w:div w:id="446973700">
      <w:bodyDiv w:val="1"/>
      <w:marLeft w:val="0"/>
      <w:marRight w:val="0"/>
      <w:marTop w:val="0"/>
      <w:marBottom w:val="0"/>
      <w:divBdr>
        <w:top w:val="none" w:sz="0" w:space="0" w:color="auto"/>
        <w:left w:val="none" w:sz="0" w:space="0" w:color="auto"/>
        <w:bottom w:val="none" w:sz="0" w:space="0" w:color="auto"/>
        <w:right w:val="none" w:sz="0" w:space="0" w:color="auto"/>
      </w:divBdr>
    </w:div>
    <w:div w:id="893391191">
      <w:bodyDiv w:val="1"/>
      <w:marLeft w:val="0"/>
      <w:marRight w:val="0"/>
      <w:marTop w:val="0"/>
      <w:marBottom w:val="0"/>
      <w:divBdr>
        <w:top w:val="none" w:sz="0" w:space="0" w:color="auto"/>
        <w:left w:val="none" w:sz="0" w:space="0" w:color="auto"/>
        <w:bottom w:val="none" w:sz="0" w:space="0" w:color="auto"/>
        <w:right w:val="none" w:sz="0" w:space="0" w:color="auto"/>
      </w:divBdr>
    </w:div>
    <w:div w:id="1323505540">
      <w:bodyDiv w:val="1"/>
      <w:marLeft w:val="0"/>
      <w:marRight w:val="0"/>
      <w:marTop w:val="0"/>
      <w:marBottom w:val="0"/>
      <w:divBdr>
        <w:top w:val="none" w:sz="0" w:space="0" w:color="auto"/>
        <w:left w:val="none" w:sz="0" w:space="0" w:color="auto"/>
        <w:bottom w:val="none" w:sz="0" w:space="0" w:color="auto"/>
        <w:right w:val="none" w:sz="0" w:space="0" w:color="auto"/>
      </w:divBdr>
    </w:div>
    <w:div w:id="1341468563">
      <w:bodyDiv w:val="1"/>
      <w:marLeft w:val="0"/>
      <w:marRight w:val="0"/>
      <w:marTop w:val="0"/>
      <w:marBottom w:val="0"/>
      <w:divBdr>
        <w:top w:val="none" w:sz="0" w:space="0" w:color="auto"/>
        <w:left w:val="none" w:sz="0" w:space="0" w:color="auto"/>
        <w:bottom w:val="none" w:sz="0" w:space="0" w:color="auto"/>
        <w:right w:val="none" w:sz="0" w:space="0" w:color="auto"/>
      </w:divBdr>
    </w:div>
    <w:div w:id="1399941941">
      <w:bodyDiv w:val="1"/>
      <w:marLeft w:val="0"/>
      <w:marRight w:val="0"/>
      <w:marTop w:val="0"/>
      <w:marBottom w:val="0"/>
      <w:divBdr>
        <w:top w:val="none" w:sz="0" w:space="0" w:color="auto"/>
        <w:left w:val="none" w:sz="0" w:space="0" w:color="auto"/>
        <w:bottom w:val="none" w:sz="0" w:space="0" w:color="auto"/>
        <w:right w:val="none" w:sz="0" w:space="0" w:color="auto"/>
      </w:divBdr>
      <w:divsChild>
        <w:div w:id="1326859133">
          <w:marLeft w:val="0"/>
          <w:marRight w:val="0"/>
          <w:marTop w:val="0"/>
          <w:marBottom w:val="0"/>
          <w:divBdr>
            <w:top w:val="none" w:sz="0" w:space="0" w:color="auto"/>
            <w:left w:val="none" w:sz="0" w:space="0" w:color="auto"/>
            <w:bottom w:val="none" w:sz="0" w:space="0" w:color="auto"/>
            <w:right w:val="none" w:sz="0" w:space="0" w:color="auto"/>
          </w:divBdr>
        </w:div>
        <w:div w:id="1634367615">
          <w:marLeft w:val="340"/>
          <w:marRight w:val="0"/>
          <w:marTop w:val="0"/>
          <w:marBottom w:val="120"/>
          <w:divBdr>
            <w:top w:val="none" w:sz="0" w:space="0" w:color="auto"/>
            <w:left w:val="none" w:sz="0" w:space="0" w:color="auto"/>
            <w:bottom w:val="none" w:sz="0" w:space="0" w:color="auto"/>
            <w:right w:val="none" w:sz="0" w:space="0" w:color="auto"/>
          </w:divBdr>
          <w:divsChild>
            <w:div w:id="1677805519">
              <w:marLeft w:val="0"/>
              <w:marRight w:val="0"/>
              <w:marTop w:val="0"/>
              <w:marBottom w:val="0"/>
              <w:divBdr>
                <w:top w:val="none" w:sz="0" w:space="0" w:color="auto"/>
                <w:left w:val="none" w:sz="0" w:space="0" w:color="auto"/>
                <w:bottom w:val="none" w:sz="0" w:space="0" w:color="auto"/>
                <w:right w:val="none" w:sz="0" w:space="0" w:color="auto"/>
              </w:divBdr>
              <w:divsChild>
                <w:div w:id="193763919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705056761">
                      <w:blockQuote w:val="1"/>
                      <w:marLeft w:val="0"/>
                      <w:marRight w:val="0"/>
                      <w:marTop w:val="120"/>
                      <w:marBottom w:val="120"/>
                      <w:divBdr>
                        <w:top w:val="none" w:sz="0" w:space="0" w:color="auto"/>
                        <w:left w:val="none" w:sz="0" w:space="0" w:color="auto"/>
                        <w:bottom w:val="none" w:sz="0" w:space="0" w:color="auto"/>
                        <w:right w:val="none" w:sz="0" w:space="0" w:color="auto"/>
                      </w:divBdr>
                    </w:div>
                    <w:div w:id="102649480">
                      <w:blockQuote w:val="1"/>
                      <w:marLeft w:val="0"/>
                      <w:marRight w:val="0"/>
                      <w:marTop w:val="120"/>
                      <w:marBottom w:val="120"/>
                      <w:divBdr>
                        <w:top w:val="none" w:sz="0" w:space="0" w:color="auto"/>
                        <w:left w:val="none" w:sz="0" w:space="0" w:color="auto"/>
                        <w:bottom w:val="none" w:sz="0" w:space="0" w:color="auto"/>
                        <w:right w:val="none" w:sz="0" w:space="0" w:color="auto"/>
                      </w:divBdr>
                      <w:divsChild>
                        <w:div w:id="779182008">
                          <w:blockQuote w:val="1"/>
                          <w:marLeft w:val="0"/>
                          <w:marRight w:val="0"/>
                          <w:marTop w:val="120"/>
                          <w:marBottom w:val="120"/>
                          <w:divBdr>
                            <w:top w:val="none" w:sz="0" w:space="0" w:color="auto"/>
                            <w:left w:val="none" w:sz="0" w:space="0" w:color="auto"/>
                            <w:bottom w:val="none" w:sz="0" w:space="0" w:color="auto"/>
                            <w:right w:val="none" w:sz="0" w:space="0" w:color="auto"/>
                          </w:divBdr>
                        </w:div>
                        <w:div w:id="888152174">
                          <w:blockQuote w:val="1"/>
                          <w:marLeft w:val="0"/>
                          <w:marRight w:val="0"/>
                          <w:marTop w:val="120"/>
                          <w:marBottom w:val="120"/>
                          <w:divBdr>
                            <w:top w:val="none" w:sz="0" w:space="0" w:color="auto"/>
                            <w:left w:val="none" w:sz="0" w:space="0" w:color="auto"/>
                            <w:bottom w:val="none" w:sz="0" w:space="0" w:color="auto"/>
                            <w:right w:val="none" w:sz="0" w:space="0" w:color="auto"/>
                          </w:divBdr>
                        </w:div>
                        <w:div w:id="47854395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512985067">
                      <w:blockQuote w:val="1"/>
                      <w:marLeft w:val="0"/>
                      <w:marRight w:val="0"/>
                      <w:marTop w:val="120"/>
                      <w:marBottom w:val="120"/>
                      <w:divBdr>
                        <w:top w:val="none" w:sz="0" w:space="0" w:color="auto"/>
                        <w:left w:val="none" w:sz="0" w:space="0" w:color="auto"/>
                        <w:bottom w:val="none" w:sz="0" w:space="0" w:color="auto"/>
                        <w:right w:val="none" w:sz="0" w:space="0" w:color="auto"/>
                      </w:divBdr>
                    </w:div>
                    <w:div w:id="982542883">
                      <w:blockQuote w:val="1"/>
                      <w:marLeft w:val="0"/>
                      <w:marRight w:val="0"/>
                      <w:marTop w:val="120"/>
                      <w:marBottom w:val="120"/>
                      <w:divBdr>
                        <w:top w:val="none" w:sz="0" w:space="0" w:color="auto"/>
                        <w:left w:val="none" w:sz="0" w:space="0" w:color="auto"/>
                        <w:bottom w:val="none" w:sz="0" w:space="0" w:color="auto"/>
                        <w:right w:val="none" w:sz="0" w:space="0" w:color="auto"/>
                      </w:divBdr>
                    </w:div>
                    <w:div w:id="1968470884">
                      <w:blockQuote w:val="1"/>
                      <w:marLeft w:val="0"/>
                      <w:marRight w:val="0"/>
                      <w:marTop w:val="120"/>
                      <w:marBottom w:val="120"/>
                      <w:divBdr>
                        <w:top w:val="none" w:sz="0" w:space="0" w:color="auto"/>
                        <w:left w:val="none" w:sz="0" w:space="0" w:color="auto"/>
                        <w:bottom w:val="none" w:sz="0" w:space="0" w:color="auto"/>
                        <w:right w:val="none" w:sz="0" w:space="0" w:color="auto"/>
                      </w:divBdr>
                    </w:div>
                    <w:div w:id="1774743291">
                      <w:blockQuote w:val="1"/>
                      <w:marLeft w:val="0"/>
                      <w:marRight w:val="0"/>
                      <w:marTop w:val="120"/>
                      <w:marBottom w:val="120"/>
                      <w:divBdr>
                        <w:top w:val="none" w:sz="0" w:space="0" w:color="auto"/>
                        <w:left w:val="none" w:sz="0" w:space="0" w:color="auto"/>
                        <w:bottom w:val="none" w:sz="0" w:space="0" w:color="auto"/>
                        <w:right w:val="none" w:sz="0" w:space="0" w:color="auto"/>
                      </w:divBdr>
                    </w:div>
                    <w:div w:id="108183452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56320467">
      <w:bodyDiv w:val="1"/>
      <w:marLeft w:val="0"/>
      <w:marRight w:val="0"/>
      <w:marTop w:val="0"/>
      <w:marBottom w:val="0"/>
      <w:divBdr>
        <w:top w:val="none" w:sz="0" w:space="0" w:color="auto"/>
        <w:left w:val="none" w:sz="0" w:space="0" w:color="auto"/>
        <w:bottom w:val="none" w:sz="0" w:space="0" w:color="auto"/>
        <w:right w:val="none" w:sz="0" w:space="0" w:color="auto"/>
      </w:divBdr>
    </w:div>
    <w:div w:id="1833063410">
      <w:bodyDiv w:val="1"/>
      <w:marLeft w:val="0"/>
      <w:marRight w:val="0"/>
      <w:marTop w:val="0"/>
      <w:marBottom w:val="0"/>
      <w:divBdr>
        <w:top w:val="none" w:sz="0" w:space="0" w:color="auto"/>
        <w:left w:val="none" w:sz="0" w:space="0" w:color="auto"/>
        <w:bottom w:val="none" w:sz="0" w:space="0" w:color="auto"/>
        <w:right w:val="none" w:sz="0" w:space="0" w:color="auto"/>
      </w:divBdr>
    </w:div>
    <w:div w:id="1943799924">
      <w:bodyDiv w:val="1"/>
      <w:marLeft w:val="0"/>
      <w:marRight w:val="0"/>
      <w:marTop w:val="0"/>
      <w:marBottom w:val="0"/>
      <w:divBdr>
        <w:top w:val="none" w:sz="0" w:space="0" w:color="auto"/>
        <w:left w:val="none" w:sz="0" w:space="0" w:color="auto"/>
        <w:bottom w:val="none" w:sz="0" w:space="0" w:color="auto"/>
        <w:right w:val="none" w:sz="0" w:space="0" w:color="auto"/>
      </w:divBdr>
    </w:div>
    <w:div w:id="2030333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veyoursay@justice.tas.gov.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954</Words>
  <Characters>5442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6</cp:revision>
  <cp:lastPrinted>2019-08-23T00:23:00Z</cp:lastPrinted>
  <dcterms:created xsi:type="dcterms:W3CDTF">2019-08-20T05:02:00Z</dcterms:created>
  <dcterms:modified xsi:type="dcterms:W3CDTF">2019-08-23T00:31:00Z</dcterms:modified>
</cp:coreProperties>
</file>