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25A0C" w14:textId="77777777" w:rsidR="007E6A68" w:rsidRDefault="007E6A68" w:rsidP="007E6A68">
      <w:pPr>
        <w:ind w:right="-347"/>
        <w:jc w:val="center"/>
      </w:pPr>
      <w:r>
        <w:rPr>
          <w:noProof/>
          <w:sz w:val="20"/>
          <w:szCs w:val="20"/>
        </w:rPr>
        <w:drawing>
          <wp:inline distT="0" distB="0" distL="0" distR="0" wp14:anchorId="04F32AAE" wp14:editId="7FB8F8F3">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4C538BB" w14:textId="77777777" w:rsidR="007E6A68" w:rsidRPr="003C786B" w:rsidRDefault="007E6A68" w:rsidP="007E6A68">
      <w:pPr>
        <w:ind w:right="-347"/>
        <w:rPr>
          <w:color w:val="000000" w:themeColor="text1"/>
        </w:rPr>
      </w:pPr>
    </w:p>
    <w:p w14:paraId="6D1E2483" w14:textId="77777777" w:rsidR="007E6A68" w:rsidRPr="003C786B" w:rsidRDefault="007E6A68" w:rsidP="007E6A68">
      <w:pPr>
        <w:ind w:right="-347"/>
        <w:rPr>
          <w:color w:val="000000" w:themeColor="text1"/>
        </w:rPr>
      </w:pPr>
    </w:p>
    <w:p w14:paraId="386BB9D7" w14:textId="77777777" w:rsidR="007E6A68" w:rsidRPr="003C786B" w:rsidRDefault="007E6A68" w:rsidP="007E6A68">
      <w:pPr>
        <w:ind w:right="-347"/>
        <w:rPr>
          <w:color w:val="000000" w:themeColor="text1"/>
        </w:rPr>
      </w:pPr>
    </w:p>
    <w:p w14:paraId="17C53783" w14:textId="77777777" w:rsidR="007E6A68" w:rsidRPr="003C786B" w:rsidRDefault="007E6A68" w:rsidP="007E6A68">
      <w:pPr>
        <w:ind w:right="-347"/>
        <w:rPr>
          <w:color w:val="000000" w:themeColor="text1"/>
        </w:rPr>
      </w:pPr>
      <w:r>
        <w:rPr>
          <w:color w:val="000000" w:themeColor="text1"/>
        </w:rPr>
        <w:t>2 August</w:t>
      </w:r>
      <w:r w:rsidRPr="003C786B">
        <w:rPr>
          <w:color w:val="000000" w:themeColor="text1"/>
        </w:rPr>
        <w:t xml:space="preserve"> 2019</w:t>
      </w:r>
    </w:p>
    <w:p w14:paraId="03EF5E3B" w14:textId="77777777" w:rsidR="007E6A68" w:rsidRPr="003C786B" w:rsidRDefault="007E6A68" w:rsidP="007E6A68">
      <w:pPr>
        <w:ind w:right="-347"/>
        <w:rPr>
          <w:color w:val="000000" w:themeColor="text1"/>
        </w:rPr>
      </w:pPr>
    </w:p>
    <w:p w14:paraId="10FEB569" w14:textId="77777777" w:rsidR="007E6A68" w:rsidRPr="003C786B" w:rsidRDefault="007E6A68" w:rsidP="007E6A68">
      <w:pPr>
        <w:rPr>
          <w:rFonts w:eastAsia="Times New Roman"/>
          <w:color w:val="000000" w:themeColor="text1"/>
          <w:shd w:val="clear" w:color="auto" w:fill="FFFFFF"/>
        </w:rPr>
      </w:pPr>
      <w:r w:rsidRPr="003C786B">
        <w:rPr>
          <w:rFonts w:eastAsia="Times New Roman"/>
          <w:color w:val="000000" w:themeColor="text1"/>
          <w:shd w:val="clear" w:color="auto" w:fill="FFFFFF"/>
        </w:rPr>
        <w:t>Department of Justice </w:t>
      </w:r>
      <w:r w:rsidRPr="003C786B">
        <w:rPr>
          <w:rFonts w:eastAsia="Times New Roman"/>
          <w:color w:val="000000" w:themeColor="text1"/>
        </w:rPr>
        <w:br/>
      </w:r>
      <w:r>
        <w:rPr>
          <w:rFonts w:eastAsia="Times New Roman"/>
          <w:color w:val="000000" w:themeColor="text1"/>
          <w:shd w:val="clear" w:color="auto" w:fill="FFFFFF"/>
        </w:rPr>
        <w:t>Office of the Secretary</w:t>
      </w:r>
      <w:r w:rsidRPr="003C786B">
        <w:rPr>
          <w:rFonts w:eastAsia="Times New Roman"/>
          <w:color w:val="000000" w:themeColor="text1"/>
        </w:rPr>
        <w:br/>
      </w:r>
      <w:r w:rsidRPr="003C786B">
        <w:rPr>
          <w:rFonts w:eastAsia="Times New Roman"/>
          <w:color w:val="000000" w:themeColor="text1"/>
          <w:shd w:val="clear" w:color="auto" w:fill="FFFFFF"/>
        </w:rPr>
        <w:t xml:space="preserve">GPO Box 825 </w:t>
      </w:r>
    </w:p>
    <w:p w14:paraId="1682248F" w14:textId="77777777" w:rsidR="007E6A68" w:rsidRPr="003C786B" w:rsidRDefault="007E6A68" w:rsidP="007E6A68">
      <w:pPr>
        <w:rPr>
          <w:rFonts w:eastAsia="Times New Roman"/>
          <w:color w:val="000000" w:themeColor="text1"/>
        </w:rPr>
      </w:pPr>
      <w:r w:rsidRPr="003C786B">
        <w:rPr>
          <w:rFonts w:eastAsia="Times New Roman"/>
          <w:color w:val="000000" w:themeColor="text1"/>
          <w:shd w:val="clear" w:color="auto" w:fill="FFFFFF"/>
        </w:rPr>
        <w:t>Hobart TAS 7001</w:t>
      </w:r>
    </w:p>
    <w:p w14:paraId="19C14A42" w14:textId="68227367" w:rsidR="007E6A68" w:rsidRPr="003C786B" w:rsidRDefault="007E6A68" w:rsidP="007E6A68">
      <w:pPr>
        <w:ind w:left="2160" w:firstLine="720"/>
        <w:rPr>
          <w:rFonts w:eastAsia="Times New Roman"/>
          <w:i/>
          <w:color w:val="000000" w:themeColor="text1"/>
        </w:rPr>
      </w:pPr>
      <w:r w:rsidRPr="003C786B">
        <w:rPr>
          <w:b/>
          <w:i/>
          <w:color w:val="000000" w:themeColor="text1"/>
        </w:rPr>
        <w:t>via email:</w:t>
      </w:r>
      <w:r w:rsidR="00896B9F">
        <w:rPr>
          <w:b/>
          <w:i/>
          <w:color w:val="000000" w:themeColor="text1"/>
        </w:rPr>
        <w:t xml:space="preserve"> </w:t>
      </w:r>
      <w:hyperlink r:id="rId9" w:history="1">
        <w:r w:rsidR="00896B9F" w:rsidRPr="008124A4">
          <w:rPr>
            <w:rStyle w:val="Hyperlink"/>
            <w:i/>
          </w:rPr>
          <w:t>haveyoursay@justice.tas.gov.au</w:t>
        </w:r>
      </w:hyperlink>
      <w:r w:rsidR="00896B9F">
        <w:rPr>
          <w:b/>
          <w:i/>
          <w:color w:val="000000" w:themeColor="text1"/>
        </w:rPr>
        <w:t xml:space="preserve"> </w:t>
      </w:r>
    </w:p>
    <w:p w14:paraId="274A8452" w14:textId="77777777" w:rsidR="007E6A68" w:rsidRPr="003C786B" w:rsidRDefault="007E6A68" w:rsidP="007E6A68">
      <w:pPr>
        <w:ind w:right="-205"/>
        <w:rPr>
          <w:b/>
          <w:i/>
          <w:color w:val="000000" w:themeColor="text1"/>
        </w:rPr>
      </w:pPr>
    </w:p>
    <w:p w14:paraId="70C2F60F" w14:textId="77777777" w:rsidR="007E6A68" w:rsidRPr="003C786B" w:rsidRDefault="007E6A68" w:rsidP="007E6A68">
      <w:pPr>
        <w:ind w:right="-347"/>
        <w:rPr>
          <w:color w:val="000000" w:themeColor="text1"/>
        </w:rPr>
      </w:pPr>
      <w:r w:rsidRPr="003C786B">
        <w:rPr>
          <w:color w:val="000000" w:themeColor="text1"/>
        </w:rPr>
        <w:t xml:space="preserve">To </w:t>
      </w:r>
      <w:r>
        <w:rPr>
          <w:color w:val="000000" w:themeColor="text1"/>
        </w:rPr>
        <w:t>Julian Vittorio</w:t>
      </w:r>
      <w:r w:rsidRPr="003C786B">
        <w:rPr>
          <w:color w:val="000000" w:themeColor="text1"/>
        </w:rPr>
        <w:t>,</w:t>
      </w:r>
    </w:p>
    <w:p w14:paraId="0266871A" w14:textId="77777777" w:rsidR="007E6A68" w:rsidRPr="003C786B" w:rsidRDefault="007E6A68" w:rsidP="007E6A68">
      <w:pPr>
        <w:pBdr>
          <w:bottom w:val="single" w:sz="6" w:space="1" w:color="auto"/>
        </w:pBdr>
        <w:ind w:right="-347"/>
        <w:rPr>
          <w:b/>
          <w:color w:val="000000" w:themeColor="text1"/>
        </w:rPr>
      </w:pPr>
      <w:r>
        <w:rPr>
          <w:b/>
          <w:color w:val="000000" w:themeColor="text1"/>
        </w:rPr>
        <w:t xml:space="preserve">Re: </w:t>
      </w:r>
      <w:r w:rsidRPr="007E6A68">
        <w:rPr>
          <w:b/>
          <w:i/>
          <w:color w:val="000000" w:themeColor="text1"/>
        </w:rPr>
        <w:t xml:space="preserve">Justice Legislation Organisational Liability for Child Abuse Amendment </w:t>
      </w:r>
      <w:r>
        <w:rPr>
          <w:b/>
          <w:i/>
          <w:color w:val="000000" w:themeColor="text1"/>
        </w:rPr>
        <w:t xml:space="preserve">Bill </w:t>
      </w:r>
      <w:r w:rsidRPr="007E6A68">
        <w:rPr>
          <w:b/>
          <w:i/>
          <w:color w:val="000000" w:themeColor="text1"/>
        </w:rPr>
        <w:t>2019</w:t>
      </w:r>
    </w:p>
    <w:p w14:paraId="3259A86B" w14:textId="77777777" w:rsidR="007E6A68" w:rsidRPr="003C786B" w:rsidRDefault="007E6A68" w:rsidP="007E6A68">
      <w:pPr>
        <w:ind w:right="-347"/>
        <w:rPr>
          <w:rFonts w:cs="Arial"/>
          <w:color w:val="000000" w:themeColor="text1"/>
        </w:rPr>
      </w:pPr>
    </w:p>
    <w:p w14:paraId="349EDEA6" w14:textId="61D33DE0" w:rsidR="007E6A68" w:rsidRPr="003C786B" w:rsidRDefault="007E6A68" w:rsidP="007E6A68">
      <w:pPr>
        <w:ind w:right="-347"/>
        <w:jc w:val="both"/>
        <w:rPr>
          <w:color w:val="000000" w:themeColor="text1"/>
        </w:rPr>
      </w:pPr>
      <w:r w:rsidRPr="003C786B">
        <w:rPr>
          <w:rFonts w:cs="Calibri"/>
          <w:color w:val="000000" w:themeColor="text1"/>
        </w:rPr>
        <w:t>Community Legal Centres Tasmania (CLC Tas)</w:t>
      </w:r>
      <w:r w:rsidRPr="003C786B">
        <w:rPr>
          <w:color w:val="000000" w:themeColor="text1"/>
        </w:rPr>
        <w:t xml:space="preserve"> welcomes the opportunity to provide comment on the </w:t>
      </w:r>
      <w:r>
        <w:rPr>
          <w:i/>
          <w:color w:val="000000" w:themeColor="text1"/>
        </w:rPr>
        <w:t>Justice Legislation Organisational Liability for Child Abuse Amendment</w:t>
      </w:r>
      <w:r w:rsidRPr="003C786B">
        <w:rPr>
          <w:i/>
          <w:color w:val="000000" w:themeColor="text1"/>
        </w:rPr>
        <w:t xml:space="preserve"> Bill 2019 </w:t>
      </w:r>
      <w:r w:rsidRPr="003C786B">
        <w:rPr>
          <w:color w:val="000000" w:themeColor="text1"/>
        </w:rPr>
        <w:t xml:space="preserve">(‘the </w:t>
      </w:r>
      <w:r w:rsidR="007806AF">
        <w:rPr>
          <w:color w:val="000000" w:themeColor="text1"/>
        </w:rPr>
        <w:t xml:space="preserve">draft </w:t>
      </w:r>
      <w:r w:rsidRPr="003C786B">
        <w:rPr>
          <w:color w:val="000000" w:themeColor="text1"/>
        </w:rPr>
        <w:t>Bill’).</w:t>
      </w:r>
      <w:r w:rsidR="008124A4" w:rsidRPr="009D2C55">
        <w:rPr>
          <w:rStyle w:val="FootnoteReference"/>
          <w:color w:val="000000" w:themeColor="text1"/>
        </w:rPr>
        <w:footnoteReference w:id="1"/>
      </w:r>
      <w:r w:rsidRPr="003C786B">
        <w:rPr>
          <w:color w:val="000000" w:themeColor="text1"/>
        </w:rPr>
        <w:t xml:space="preserve"> </w:t>
      </w:r>
    </w:p>
    <w:p w14:paraId="4DD0659D" w14:textId="77777777" w:rsidR="007E6A68" w:rsidRPr="003C786B" w:rsidRDefault="007E6A68" w:rsidP="007E6A68">
      <w:pPr>
        <w:ind w:right="-347"/>
        <w:jc w:val="both"/>
        <w:rPr>
          <w:color w:val="000000" w:themeColor="text1"/>
        </w:rPr>
      </w:pPr>
    </w:p>
    <w:p w14:paraId="4ED713AC" w14:textId="77777777" w:rsidR="007E6A68" w:rsidRPr="003C786B" w:rsidRDefault="007E6A68" w:rsidP="007E6A68">
      <w:pPr>
        <w:ind w:right="-347"/>
        <w:jc w:val="both"/>
        <w:rPr>
          <w:rFonts w:cs="Arial"/>
          <w:color w:val="000000" w:themeColor="text1"/>
        </w:rPr>
      </w:pPr>
      <w:r w:rsidRPr="003C786B">
        <w:rPr>
          <w:rFonts w:eastAsia="Times New Roman" w:cs="Arial"/>
          <w:color w:val="000000" w:themeColor="text1"/>
          <w:lang w:eastAsia="en-AU"/>
        </w:rPr>
        <w:t xml:space="preserve">CLC Tas </w:t>
      </w:r>
      <w:r w:rsidRPr="003C786B">
        <w:rPr>
          <w:rFonts w:cs="Arial"/>
          <w:color w:val="000000" w:themeColor="text1"/>
        </w:rPr>
        <w:t>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p>
    <w:p w14:paraId="2C1A8CF2" w14:textId="77777777" w:rsidR="007E6A68" w:rsidRPr="003C786B" w:rsidRDefault="007E6A68" w:rsidP="007E6A68">
      <w:pPr>
        <w:ind w:right="-347"/>
        <w:jc w:val="both"/>
        <w:rPr>
          <w:rFonts w:cs="Arial"/>
          <w:color w:val="000000" w:themeColor="text1"/>
        </w:rPr>
      </w:pPr>
    </w:p>
    <w:p w14:paraId="119DE321" w14:textId="0C672F89" w:rsidR="007E6A68" w:rsidRDefault="007E6A68" w:rsidP="007E6A68">
      <w:pPr>
        <w:ind w:right="-347"/>
        <w:jc w:val="both"/>
        <w:rPr>
          <w:rFonts w:cs="Arial"/>
          <w:color w:val="000000" w:themeColor="text1"/>
        </w:rPr>
      </w:pPr>
      <w:r w:rsidRPr="003C786B">
        <w:rPr>
          <w:rFonts w:cs="Arial"/>
          <w:color w:val="000000" w:themeColor="text1"/>
        </w:rPr>
        <w:t>We are support</w:t>
      </w:r>
      <w:r w:rsidR="00B756A5">
        <w:rPr>
          <w:rFonts w:cs="Arial"/>
          <w:color w:val="000000" w:themeColor="text1"/>
        </w:rPr>
        <w:t xml:space="preserve">ive of the Government’s </w:t>
      </w:r>
      <w:r w:rsidR="009A764A">
        <w:rPr>
          <w:rFonts w:cs="Arial"/>
          <w:color w:val="000000" w:themeColor="text1"/>
        </w:rPr>
        <w:t xml:space="preserve">intention to </w:t>
      </w:r>
      <w:r w:rsidR="003F5EE1">
        <w:rPr>
          <w:rFonts w:cs="Arial"/>
          <w:color w:val="000000" w:themeColor="text1"/>
        </w:rPr>
        <w:t>implement a number of recommendations</w:t>
      </w:r>
      <w:r w:rsidR="006E158C">
        <w:rPr>
          <w:rFonts w:cs="Arial"/>
          <w:color w:val="000000" w:themeColor="text1"/>
        </w:rPr>
        <w:t xml:space="preserve"> from</w:t>
      </w:r>
      <w:r w:rsidR="00B756A5">
        <w:rPr>
          <w:rFonts w:cs="Arial"/>
          <w:color w:val="000000" w:themeColor="text1"/>
        </w:rPr>
        <w:t xml:space="preserve"> the</w:t>
      </w:r>
      <w:r w:rsidR="009237D3">
        <w:rPr>
          <w:rFonts w:cs="Arial"/>
          <w:color w:val="000000" w:themeColor="text1"/>
        </w:rPr>
        <w:t xml:space="preserve"> Royal Commission into Institutional Responses to Child Sexual Abuse (‘the Royal Commission’). In particular, we are supportive of the </w:t>
      </w:r>
      <w:r w:rsidR="007806AF">
        <w:rPr>
          <w:rFonts w:cs="Arial"/>
          <w:color w:val="000000" w:themeColor="text1"/>
        </w:rPr>
        <w:t xml:space="preserve">draft </w:t>
      </w:r>
      <w:r w:rsidR="009237D3">
        <w:rPr>
          <w:rFonts w:cs="Arial"/>
          <w:color w:val="000000" w:themeColor="text1"/>
        </w:rPr>
        <w:t>Bill’s intent to enhance access to justice for survivors of child sexual abuse and ensure that</w:t>
      </w:r>
      <w:r w:rsidR="005512A4">
        <w:rPr>
          <w:rFonts w:cs="Arial"/>
          <w:color w:val="000000" w:themeColor="text1"/>
        </w:rPr>
        <w:t xml:space="preserve"> organisations do everything in their power to prevent child </w:t>
      </w:r>
      <w:r w:rsidR="00534C0B">
        <w:rPr>
          <w:rFonts w:cs="Arial"/>
          <w:color w:val="000000" w:themeColor="text1"/>
        </w:rPr>
        <w:t xml:space="preserve">sexual </w:t>
      </w:r>
      <w:r w:rsidR="005512A4">
        <w:rPr>
          <w:rFonts w:cs="Arial"/>
          <w:color w:val="000000" w:themeColor="text1"/>
        </w:rPr>
        <w:t>abuse from occurring.</w:t>
      </w:r>
      <w:r w:rsidR="00645889">
        <w:rPr>
          <w:rFonts w:cs="Arial"/>
          <w:color w:val="000000" w:themeColor="text1"/>
        </w:rPr>
        <w:t xml:space="preserve"> </w:t>
      </w:r>
    </w:p>
    <w:p w14:paraId="67231349" w14:textId="77777777" w:rsidR="00922D8B" w:rsidRDefault="00922D8B" w:rsidP="007E6A68">
      <w:pPr>
        <w:ind w:right="-347"/>
        <w:jc w:val="both"/>
        <w:rPr>
          <w:rFonts w:cs="Arial"/>
          <w:color w:val="000000" w:themeColor="text1"/>
        </w:rPr>
      </w:pPr>
    </w:p>
    <w:p w14:paraId="47A7B6AE" w14:textId="006DCC16" w:rsidR="00922D8B" w:rsidRPr="00171B9A" w:rsidRDefault="00171B9A" w:rsidP="007E6A68">
      <w:pPr>
        <w:ind w:right="-347"/>
        <w:jc w:val="both"/>
        <w:rPr>
          <w:rFonts w:cs="Arial"/>
          <w:b/>
          <w:i/>
          <w:color w:val="000000" w:themeColor="text1"/>
        </w:rPr>
      </w:pPr>
      <w:r w:rsidRPr="00171B9A">
        <w:rPr>
          <w:rFonts w:cs="Arial"/>
          <w:b/>
          <w:i/>
          <w:color w:val="000000" w:themeColor="text1"/>
        </w:rPr>
        <w:t>Limitations Act 1974 (Tas)</w:t>
      </w:r>
    </w:p>
    <w:p w14:paraId="2B31C6CC" w14:textId="162BAB6C" w:rsidR="00624C7B" w:rsidRDefault="005D2B5A" w:rsidP="007E6A68">
      <w:pPr>
        <w:ind w:right="-347"/>
        <w:jc w:val="both"/>
        <w:rPr>
          <w:rFonts w:cs="Arial"/>
          <w:color w:val="000000" w:themeColor="text1"/>
        </w:rPr>
      </w:pPr>
      <w:r>
        <w:rPr>
          <w:rFonts w:cs="Arial"/>
          <w:color w:val="000000" w:themeColor="text1"/>
        </w:rPr>
        <w:t>Many survi</w:t>
      </w:r>
      <w:r w:rsidR="00370664">
        <w:rPr>
          <w:rFonts w:cs="Arial"/>
          <w:color w:val="000000" w:themeColor="text1"/>
        </w:rPr>
        <w:t xml:space="preserve">vors of child sexual abuse are </w:t>
      </w:r>
      <w:r w:rsidR="00B45C8F">
        <w:rPr>
          <w:rFonts w:cs="Arial"/>
          <w:color w:val="000000" w:themeColor="text1"/>
        </w:rPr>
        <w:t>reluctant</w:t>
      </w:r>
      <w:r w:rsidR="00370664">
        <w:rPr>
          <w:rFonts w:cs="Arial"/>
          <w:color w:val="000000" w:themeColor="text1"/>
        </w:rPr>
        <w:t xml:space="preserve"> to disclose the crimes perpetr</w:t>
      </w:r>
      <w:r w:rsidR="00B45C8F">
        <w:rPr>
          <w:rFonts w:cs="Arial"/>
          <w:color w:val="000000" w:themeColor="text1"/>
        </w:rPr>
        <w:t>ated against them</w:t>
      </w:r>
      <w:r w:rsidR="005824FE">
        <w:rPr>
          <w:rFonts w:cs="Arial"/>
          <w:color w:val="000000" w:themeColor="text1"/>
        </w:rPr>
        <w:t xml:space="preserve"> until</w:t>
      </w:r>
      <w:r w:rsidR="00370664">
        <w:rPr>
          <w:rFonts w:cs="Arial"/>
          <w:color w:val="000000" w:themeColor="text1"/>
        </w:rPr>
        <w:t xml:space="preserve"> many years</w:t>
      </w:r>
      <w:r w:rsidR="005824FE">
        <w:rPr>
          <w:rFonts w:cs="Arial"/>
          <w:color w:val="000000" w:themeColor="text1"/>
        </w:rPr>
        <w:t xml:space="preserve"> have passed</w:t>
      </w:r>
      <w:r w:rsidR="00370664">
        <w:rPr>
          <w:rFonts w:cs="Arial"/>
          <w:color w:val="000000" w:themeColor="text1"/>
        </w:rPr>
        <w:t xml:space="preserve">. </w:t>
      </w:r>
      <w:r w:rsidR="005824FE">
        <w:rPr>
          <w:rFonts w:cs="Arial"/>
          <w:color w:val="000000" w:themeColor="text1"/>
        </w:rPr>
        <w:t>For example,</w:t>
      </w:r>
      <w:r w:rsidR="00370664">
        <w:rPr>
          <w:rFonts w:cs="Arial"/>
          <w:color w:val="000000" w:themeColor="text1"/>
        </w:rPr>
        <w:t xml:space="preserve"> </w:t>
      </w:r>
      <w:r w:rsidR="006E158C">
        <w:rPr>
          <w:rFonts w:cs="Arial"/>
          <w:color w:val="000000" w:themeColor="text1"/>
        </w:rPr>
        <w:t>the Royal Commission found that</w:t>
      </w:r>
      <w:r w:rsidR="00370664">
        <w:rPr>
          <w:rFonts w:cs="Arial"/>
          <w:color w:val="000000" w:themeColor="text1"/>
        </w:rPr>
        <w:t xml:space="preserve"> </w:t>
      </w:r>
      <w:r w:rsidR="00171B9A">
        <w:rPr>
          <w:rFonts w:cs="Arial"/>
          <w:color w:val="000000" w:themeColor="text1"/>
        </w:rPr>
        <w:t>survivors of institutional child sexual abuse take</w:t>
      </w:r>
      <w:r w:rsidR="005824FE">
        <w:rPr>
          <w:rFonts w:cs="Arial"/>
          <w:color w:val="000000" w:themeColor="text1"/>
        </w:rPr>
        <w:t xml:space="preserve">, on average, </w:t>
      </w:r>
      <w:r w:rsidR="00E91D12">
        <w:rPr>
          <w:rFonts w:cs="Arial"/>
          <w:color w:val="000000" w:themeColor="text1"/>
        </w:rPr>
        <w:t>24</w:t>
      </w:r>
      <w:r w:rsidR="00171B9A">
        <w:rPr>
          <w:rFonts w:cs="Arial"/>
          <w:color w:val="000000" w:themeColor="text1"/>
        </w:rPr>
        <w:t xml:space="preserve"> years to disclose the crime.</w:t>
      </w:r>
      <w:r w:rsidR="00171B9A">
        <w:rPr>
          <w:rStyle w:val="FootnoteReference"/>
          <w:rFonts w:cs="Arial"/>
          <w:color w:val="000000" w:themeColor="text1"/>
        </w:rPr>
        <w:footnoteReference w:id="2"/>
      </w:r>
      <w:r w:rsidR="009A764A">
        <w:rPr>
          <w:rFonts w:cs="Arial"/>
          <w:color w:val="000000" w:themeColor="text1"/>
        </w:rPr>
        <w:t xml:space="preserve"> </w:t>
      </w:r>
      <w:r w:rsidR="00404ACE">
        <w:rPr>
          <w:rFonts w:cs="Arial"/>
          <w:color w:val="000000" w:themeColor="text1"/>
        </w:rPr>
        <w:t xml:space="preserve">As well, </w:t>
      </w:r>
      <w:r w:rsidR="002B2F90" w:rsidRPr="009A764A">
        <w:rPr>
          <w:rFonts w:cs="Arial"/>
          <w:i/>
          <w:color w:val="000000" w:themeColor="text1"/>
        </w:rPr>
        <w:t>knowmore</w:t>
      </w:r>
      <w:r w:rsidR="002B2F90">
        <w:rPr>
          <w:rFonts w:cs="Arial"/>
          <w:color w:val="000000" w:themeColor="text1"/>
        </w:rPr>
        <w:t xml:space="preserve">, a </w:t>
      </w:r>
      <w:r w:rsidR="00E91D12">
        <w:rPr>
          <w:rFonts w:cs="Arial"/>
          <w:color w:val="000000" w:themeColor="text1"/>
        </w:rPr>
        <w:t xml:space="preserve">nation-wide </w:t>
      </w:r>
      <w:r w:rsidR="002B2F90">
        <w:rPr>
          <w:rFonts w:cs="Arial"/>
          <w:color w:val="000000" w:themeColor="text1"/>
        </w:rPr>
        <w:t>community legal</w:t>
      </w:r>
      <w:r w:rsidR="009A764A">
        <w:rPr>
          <w:rFonts w:cs="Arial"/>
          <w:color w:val="000000" w:themeColor="text1"/>
        </w:rPr>
        <w:t xml:space="preserve"> centre providing legal advice and </w:t>
      </w:r>
      <w:r w:rsidR="002B2F90">
        <w:rPr>
          <w:rFonts w:cs="Arial"/>
          <w:color w:val="000000" w:themeColor="text1"/>
        </w:rPr>
        <w:t xml:space="preserve">information </w:t>
      </w:r>
      <w:r w:rsidR="009A764A">
        <w:rPr>
          <w:rFonts w:cs="Arial"/>
          <w:color w:val="000000" w:themeColor="text1"/>
        </w:rPr>
        <w:t xml:space="preserve">to survivors of </w:t>
      </w:r>
      <w:r w:rsidR="009302B2">
        <w:rPr>
          <w:rFonts w:cs="Arial"/>
          <w:color w:val="000000" w:themeColor="text1"/>
        </w:rPr>
        <w:t xml:space="preserve">child </w:t>
      </w:r>
      <w:r w:rsidR="009A764A">
        <w:rPr>
          <w:rFonts w:cs="Arial"/>
          <w:color w:val="000000" w:themeColor="text1"/>
        </w:rPr>
        <w:lastRenderedPageBreak/>
        <w:t>abuse</w:t>
      </w:r>
      <w:r w:rsidR="009302B2">
        <w:rPr>
          <w:rFonts w:cs="Arial"/>
          <w:color w:val="000000" w:themeColor="text1"/>
        </w:rPr>
        <w:t>,</w:t>
      </w:r>
      <w:r w:rsidR="009A764A">
        <w:rPr>
          <w:rFonts w:cs="Arial"/>
          <w:color w:val="000000" w:themeColor="text1"/>
        </w:rPr>
        <w:t xml:space="preserve"> </w:t>
      </w:r>
      <w:r w:rsidR="002B2F90">
        <w:rPr>
          <w:rFonts w:cs="Arial"/>
          <w:color w:val="000000" w:themeColor="text1"/>
        </w:rPr>
        <w:t xml:space="preserve">has reported that </w:t>
      </w:r>
      <w:r w:rsidR="009302B2">
        <w:rPr>
          <w:rFonts w:cs="Arial"/>
          <w:color w:val="000000" w:themeColor="text1"/>
        </w:rPr>
        <w:t>approximately 83</w:t>
      </w:r>
      <w:r w:rsidR="002B2F90">
        <w:rPr>
          <w:rFonts w:cs="Arial"/>
          <w:color w:val="000000" w:themeColor="text1"/>
        </w:rPr>
        <w:t xml:space="preserve"> per cent of</w:t>
      </w:r>
      <w:r w:rsidR="009302B2">
        <w:rPr>
          <w:rFonts w:cs="Arial"/>
          <w:color w:val="000000" w:themeColor="text1"/>
        </w:rPr>
        <w:t xml:space="preserve"> clients are 46</w:t>
      </w:r>
      <w:r w:rsidR="002B2F90">
        <w:rPr>
          <w:rFonts w:cs="Arial"/>
          <w:color w:val="000000" w:themeColor="text1"/>
        </w:rPr>
        <w:t xml:space="preserve"> years of age or older.</w:t>
      </w:r>
      <w:r w:rsidR="002B2F90">
        <w:rPr>
          <w:rStyle w:val="FootnoteReference"/>
          <w:rFonts w:cs="Arial"/>
          <w:color w:val="000000" w:themeColor="text1"/>
        </w:rPr>
        <w:footnoteReference w:id="3"/>
      </w:r>
      <w:r w:rsidR="002B2F90">
        <w:rPr>
          <w:rFonts w:cs="Arial"/>
          <w:color w:val="000000" w:themeColor="text1"/>
        </w:rPr>
        <w:t xml:space="preserve"> </w:t>
      </w:r>
      <w:r w:rsidR="00B45C8F">
        <w:rPr>
          <w:rFonts w:cs="Arial"/>
          <w:color w:val="000000" w:themeColor="text1"/>
        </w:rPr>
        <w:t>As such, it is important that t</w:t>
      </w:r>
      <w:r w:rsidR="00171B9A">
        <w:rPr>
          <w:rFonts w:cs="Arial"/>
          <w:color w:val="000000" w:themeColor="text1"/>
        </w:rPr>
        <w:t xml:space="preserve">he </w:t>
      </w:r>
      <w:r w:rsidR="00171B9A" w:rsidRPr="00171B9A">
        <w:rPr>
          <w:rFonts w:cs="Arial"/>
          <w:i/>
          <w:color w:val="000000" w:themeColor="text1"/>
        </w:rPr>
        <w:t>Limitations Act 1974</w:t>
      </w:r>
      <w:r w:rsidR="00171B9A">
        <w:rPr>
          <w:rFonts w:cs="Arial"/>
          <w:color w:val="000000" w:themeColor="text1"/>
        </w:rPr>
        <w:t xml:space="preserve"> (Tas) </w:t>
      </w:r>
      <w:r w:rsidR="00B45C8F">
        <w:rPr>
          <w:rFonts w:cs="Arial"/>
          <w:color w:val="000000" w:themeColor="text1"/>
        </w:rPr>
        <w:t xml:space="preserve">be amended to allow survivors of child sexual abuse </w:t>
      </w:r>
      <w:r w:rsidR="00BC1D5E">
        <w:rPr>
          <w:rFonts w:cs="Arial"/>
          <w:color w:val="000000" w:themeColor="text1"/>
        </w:rPr>
        <w:t>to bring civil actions against their perpetrato</w:t>
      </w:r>
      <w:r w:rsidR="006E158C">
        <w:rPr>
          <w:rFonts w:cs="Arial"/>
          <w:color w:val="000000" w:themeColor="text1"/>
        </w:rPr>
        <w:t>rs, even in circumstances where</w:t>
      </w:r>
      <w:r w:rsidR="00EF7F61">
        <w:rPr>
          <w:rFonts w:cs="Arial"/>
          <w:color w:val="000000" w:themeColor="text1"/>
        </w:rPr>
        <w:t xml:space="preserve"> decades </w:t>
      </w:r>
      <w:r w:rsidR="006E158C">
        <w:rPr>
          <w:rFonts w:cs="Arial"/>
          <w:color w:val="000000" w:themeColor="text1"/>
        </w:rPr>
        <w:t>may have elapsed</w:t>
      </w:r>
      <w:r w:rsidR="00EF7F61">
        <w:rPr>
          <w:rFonts w:cs="Arial"/>
          <w:color w:val="000000" w:themeColor="text1"/>
        </w:rPr>
        <w:t xml:space="preserve">. </w:t>
      </w:r>
    </w:p>
    <w:p w14:paraId="4F550E5D" w14:textId="77777777" w:rsidR="00624C7B" w:rsidRDefault="00624C7B" w:rsidP="007E6A68">
      <w:pPr>
        <w:ind w:right="-347"/>
        <w:jc w:val="both"/>
        <w:rPr>
          <w:rFonts w:cs="Arial"/>
          <w:color w:val="000000" w:themeColor="text1"/>
        </w:rPr>
      </w:pPr>
    </w:p>
    <w:p w14:paraId="0C1CA123" w14:textId="6FCA40FC" w:rsidR="00F023EE" w:rsidRDefault="00EF7F61" w:rsidP="007E6A68">
      <w:pPr>
        <w:ind w:right="-347"/>
        <w:jc w:val="both"/>
        <w:rPr>
          <w:rFonts w:cs="Arial"/>
          <w:color w:val="000000" w:themeColor="text1"/>
        </w:rPr>
      </w:pPr>
      <w:r>
        <w:rPr>
          <w:rFonts w:cs="Arial"/>
          <w:color w:val="000000" w:themeColor="text1"/>
        </w:rPr>
        <w:t xml:space="preserve">The Tasmanian Government is to be commended for having amended the </w:t>
      </w:r>
      <w:r w:rsidRPr="00EF7F61">
        <w:rPr>
          <w:rFonts w:cs="Arial"/>
          <w:i/>
          <w:color w:val="000000" w:themeColor="text1"/>
        </w:rPr>
        <w:t>Limitations Act 1974</w:t>
      </w:r>
      <w:r>
        <w:rPr>
          <w:rFonts w:cs="Arial"/>
          <w:color w:val="000000" w:themeColor="text1"/>
        </w:rPr>
        <w:t xml:space="preserve"> (Tas) in 2017 so that </w:t>
      </w:r>
      <w:r w:rsidR="00D75D92">
        <w:rPr>
          <w:rFonts w:cs="Arial"/>
          <w:color w:val="000000" w:themeColor="text1"/>
        </w:rPr>
        <w:t xml:space="preserve">civil actions for </w:t>
      </w:r>
      <w:r>
        <w:rPr>
          <w:rFonts w:cs="Arial"/>
          <w:color w:val="000000" w:themeColor="text1"/>
        </w:rPr>
        <w:t>both sexual abuse and serious physical abuse committed against a minor “may be brought at any time”.</w:t>
      </w:r>
      <w:r>
        <w:rPr>
          <w:rStyle w:val="FootnoteReference"/>
          <w:rFonts w:cs="Arial"/>
          <w:color w:val="000000" w:themeColor="text1"/>
        </w:rPr>
        <w:footnoteReference w:id="4"/>
      </w:r>
      <w:r>
        <w:rPr>
          <w:rFonts w:cs="Arial"/>
          <w:color w:val="000000" w:themeColor="text1"/>
        </w:rPr>
        <w:t xml:space="preserve">  </w:t>
      </w:r>
    </w:p>
    <w:p w14:paraId="61775E78" w14:textId="77777777" w:rsidR="00F023EE" w:rsidRDefault="00F023EE" w:rsidP="007E6A68">
      <w:pPr>
        <w:ind w:right="-347"/>
        <w:jc w:val="both"/>
        <w:rPr>
          <w:rFonts w:cs="Arial"/>
          <w:color w:val="000000" w:themeColor="text1"/>
        </w:rPr>
      </w:pPr>
    </w:p>
    <w:p w14:paraId="7248AC32" w14:textId="13CD3DD2" w:rsidR="007806AF" w:rsidRDefault="004806CC" w:rsidP="007E6A68">
      <w:pPr>
        <w:ind w:right="-347"/>
        <w:jc w:val="both"/>
        <w:rPr>
          <w:rFonts w:cs="Arial"/>
          <w:color w:val="000000" w:themeColor="text1"/>
        </w:rPr>
      </w:pPr>
      <w:r>
        <w:rPr>
          <w:rFonts w:cs="Arial"/>
          <w:color w:val="000000" w:themeColor="text1"/>
        </w:rPr>
        <w:t>Nevertheless, i</w:t>
      </w:r>
      <w:r w:rsidR="006E158C">
        <w:rPr>
          <w:rFonts w:cs="Arial"/>
          <w:color w:val="000000" w:themeColor="text1"/>
        </w:rPr>
        <w:t xml:space="preserve">t is clear that </w:t>
      </w:r>
      <w:r>
        <w:rPr>
          <w:rFonts w:cs="Arial"/>
          <w:color w:val="000000" w:themeColor="text1"/>
        </w:rPr>
        <w:t xml:space="preserve">in the past, </w:t>
      </w:r>
      <w:r w:rsidR="002B2F90">
        <w:rPr>
          <w:rFonts w:cs="Arial"/>
          <w:color w:val="000000" w:themeColor="text1"/>
        </w:rPr>
        <w:t xml:space="preserve">the </w:t>
      </w:r>
      <w:r w:rsidR="002B2F90" w:rsidRPr="00F36DD8">
        <w:rPr>
          <w:rFonts w:cs="Arial"/>
          <w:i/>
          <w:color w:val="000000" w:themeColor="text1"/>
        </w:rPr>
        <w:t>Limitations Act 1974</w:t>
      </w:r>
      <w:r w:rsidR="00F36DD8">
        <w:rPr>
          <w:rFonts w:cs="Arial"/>
          <w:color w:val="000000" w:themeColor="text1"/>
        </w:rPr>
        <w:t xml:space="preserve"> (Tas)</w:t>
      </w:r>
      <w:r w:rsidR="002B2F90">
        <w:rPr>
          <w:rFonts w:cs="Arial"/>
          <w:color w:val="000000" w:themeColor="text1"/>
        </w:rPr>
        <w:t xml:space="preserve"> </w:t>
      </w:r>
      <w:r w:rsidR="00F36DD8">
        <w:rPr>
          <w:rFonts w:cs="Arial"/>
          <w:color w:val="000000" w:themeColor="text1"/>
        </w:rPr>
        <w:t xml:space="preserve">has acted as </w:t>
      </w:r>
      <w:r w:rsidR="006E158C">
        <w:rPr>
          <w:rFonts w:cs="Arial"/>
          <w:color w:val="000000" w:themeColor="text1"/>
        </w:rPr>
        <w:t xml:space="preserve">a significant barrier </w:t>
      </w:r>
      <w:r w:rsidR="00F36DD8">
        <w:rPr>
          <w:rFonts w:cs="Arial"/>
          <w:color w:val="000000" w:themeColor="text1"/>
        </w:rPr>
        <w:t xml:space="preserve">for survivors of child sexual abuse in their efforts to </w:t>
      </w:r>
      <w:r w:rsidR="000D5BC9">
        <w:rPr>
          <w:rFonts w:cs="Arial"/>
          <w:color w:val="000000" w:themeColor="text1"/>
        </w:rPr>
        <w:t>obtain appropriate compensation</w:t>
      </w:r>
      <w:r w:rsidR="00F36DD8">
        <w:rPr>
          <w:rFonts w:cs="Arial"/>
          <w:color w:val="000000" w:themeColor="text1"/>
        </w:rPr>
        <w:t xml:space="preserve"> for the harm inflicted. </w:t>
      </w:r>
      <w:r w:rsidR="000D5BC9">
        <w:rPr>
          <w:rFonts w:cs="Arial"/>
          <w:color w:val="000000" w:themeColor="text1"/>
        </w:rPr>
        <w:t xml:space="preserve">Anecdotally, we have been informed that many survivors </w:t>
      </w:r>
      <w:r w:rsidR="00A61475">
        <w:rPr>
          <w:rFonts w:cs="Arial"/>
          <w:color w:val="000000" w:themeColor="text1"/>
        </w:rPr>
        <w:t>felt</w:t>
      </w:r>
      <w:r w:rsidR="000D5BC9">
        <w:rPr>
          <w:rFonts w:cs="Arial"/>
          <w:color w:val="000000" w:themeColor="text1"/>
        </w:rPr>
        <w:t xml:space="preserve"> </w:t>
      </w:r>
      <w:r w:rsidR="00624C7B">
        <w:rPr>
          <w:rFonts w:cs="Arial"/>
          <w:color w:val="000000" w:themeColor="text1"/>
        </w:rPr>
        <w:t>coerced into settling</w:t>
      </w:r>
      <w:r w:rsidR="00A61475">
        <w:rPr>
          <w:rFonts w:cs="Arial"/>
          <w:color w:val="000000" w:themeColor="text1"/>
        </w:rPr>
        <w:t xml:space="preserve"> claims on terms manifestly inadequate</w:t>
      </w:r>
      <w:r w:rsidR="00624C7B">
        <w:rPr>
          <w:rFonts w:cs="Arial"/>
          <w:color w:val="000000" w:themeColor="text1"/>
        </w:rPr>
        <w:t xml:space="preserve"> to them. This was because it was made clear to the survivors that if </w:t>
      </w:r>
      <w:r w:rsidR="000D5BC9">
        <w:rPr>
          <w:rFonts w:cs="Arial"/>
          <w:color w:val="000000" w:themeColor="text1"/>
        </w:rPr>
        <w:t xml:space="preserve">they did not accept </w:t>
      </w:r>
      <w:r w:rsidR="00A61475">
        <w:rPr>
          <w:rFonts w:cs="Arial"/>
          <w:color w:val="000000" w:themeColor="text1"/>
        </w:rPr>
        <w:t xml:space="preserve">the compensation offered, any claim would be vigorously defended and would almost certainly fail due to the significant hurdle of the </w:t>
      </w:r>
      <w:r w:rsidR="00A61475" w:rsidRPr="00A61475">
        <w:rPr>
          <w:rFonts w:cs="Arial"/>
          <w:i/>
          <w:color w:val="000000" w:themeColor="text1"/>
        </w:rPr>
        <w:t>Limitations Act 1974</w:t>
      </w:r>
      <w:r w:rsidR="00A61475">
        <w:rPr>
          <w:rFonts w:cs="Arial"/>
          <w:color w:val="000000" w:themeColor="text1"/>
        </w:rPr>
        <w:t xml:space="preserve"> (Tas).  </w:t>
      </w:r>
      <w:r w:rsidR="000D5BC9">
        <w:rPr>
          <w:rFonts w:cs="Arial"/>
          <w:color w:val="000000" w:themeColor="text1"/>
        </w:rPr>
        <w:t xml:space="preserve"> </w:t>
      </w:r>
    </w:p>
    <w:p w14:paraId="2E64D6CD" w14:textId="77777777" w:rsidR="007806AF" w:rsidRDefault="007806AF" w:rsidP="007E6A68">
      <w:pPr>
        <w:ind w:right="-347"/>
        <w:jc w:val="both"/>
        <w:rPr>
          <w:rFonts w:cs="Arial"/>
          <w:color w:val="000000" w:themeColor="text1"/>
        </w:rPr>
      </w:pPr>
    </w:p>
    <w:p w14:paraId="4A208400" w14:textId="180BF1EC" w:rsidR="009F2A7C" w:rsidRDefault="007806AF" w:rsidP="009F2A7C">
      <w:pPr>
        <w:ind w:right="-347"/>
        <w:jc w:val="both"/>
        <w:rPr>
          <w:rFonts w:cs="Arial"/>
          <w:color w:val="000000" w:themeColor="text1"/>
        </w:rPr>
      </w:pPr>
      <w:r>
        <w:rPr>
          <w:rFonts w:cs="Arial"/>
          <w:color w:val="000000" w:themeColor="text1"/>
        </w:rPr>
        <w:t xml:space="preserve">We strongly support the inclusion of clause 5C in the </w:t>
      </w:r>
      <w:r w:rsidR="00624C7B">
        <w:rPr>
          <w:rFonts w:cs="Arial"/>
          <w:color w:val="000000" w:themeColor="text1"/>
        </w:rPr>
        <w:t xml:space="preserve">draft </w:t>
      </w:r>
      <w:r>
        <w:rPr>
          <w:rFonts w:cs="Arial"/>
          <w:color w:val="000000" w:themeColor="text1"/>
        </w:rPr>
        <w:t>Bill. In our o</w:t>
      </w:r>
      <w:r w:rsidR="00C74632">
        <w:rPr>
          <w:rFonts w:cs="Arial"/>
          <w:color w:val="000000" w:themeColor="text1"/>
        </w:rPr>
        <w:t>pinion, allowing courts to set aside a previo</w:t>
      </w:r>
      <w:r w:rsidR="00F35F8A">
        <w:rPr>
          <w:rFonts w:cs="Arial"/>
          <w:color w:val="000000" w:themeColor="text1"/>
        </w:rPr>
        <w:t>us settlement between an organis</w:t>
      </w:r>
      <w:r w:rsidR="00C74632">
        <w:rPr>
          <w:rFonts w:cs="Arial"/>
          <w:color w:val="000000" w:themeColor="text1"/>
        </w:rPr>
        <w:t xml:space="preserve">ation and </w:t>
      </w:r>
      <w:r w:rsidR="00F35F8A">
        <w:rPr>
          <w:rFonts w:cs="Arial"/>
          <w:color w:val="000000" w:themeColor="text1"/>
        </w:rPr>
        <w:t xml:space="preserve">a </w:t>
      </w:r>
      <w:r w:rsidR="00C74632">
        <w:rPr>
          <w:rFonts w:cs="Arial"/>
          <w:color w:val="000000" w:themeColor="text1"/>
        </w:rPr>
        <w:t xml:space="preserve">survivor “if it is in the interests of justice to do so” provides the necessary balance between </w:t>
      </w:r>
      <w:r w:rsidR="00F35F8A">
        <w:rPr>
          <w:rFonts w:cs="Arial"/>
          <w:color w:val="000000" w:themeColor="text1"/>
        </w:rPr>
        <w:t>a defendant’s need for finalis</w:t>
      </w:r>
      <w:r w:rsidR="00AF01A3">
        <w:rPr>
          <w:rFonts w:cs="Arial"/>
          <w:color w:val="000000" w:themeColor="text1"/>
        </w:rPr>
        <w:t>ation and the claimant’s demonstrable claims that a settlement was either unfair or inappropriate.</w:t>
      </w:r>
      <w:r w:rsidR="00F35F8A">
        <w:rPr>
          <w:rFonts w:cs="Arial"/>
          <w:color w:val="000000" w:themeColor="text1"/>
        </w:rPr>
        <w:t xml:space="preserve"> However, for national consistency, we believe that the draft Bill should consider applying the same ‘just and reasonable’ wording as that adopted in other jurisdictions including Queensland and Western Australia. </w:t>
      </w:r>
    </w:p>
    <w:p w14:paraId="098D9152" w14:textId="77777777" w:rsidR="009F2A7C" w:rsidRDefault="009F2A7C" w:rsidP="009F2A7C">
      <w:pPr>
        <w:ind w:right="-347"/>
        <w:jc w:val="both"/>
        <w:rPr>
          <w:rFonts w:cs="Arial"/>
          <w:color w:val="000000" w:themeColor="text1"/>
        </w:rPr>
      </w:pPr>
    </w:p>
    <w:p w14:paraId="00096D9A" w14:textId="77777777" w:rsidR="00896B9F" w:rsidRDefault="009F2A7C" w:rsidP="00896B9F">
      <w:pPr>
        <w:ind w:right="-347"/>
        <w:jc w:val="both"/>
        <w:rPr>
          <w:rFonts w:eastAsia="Times New Roman" w:cs="Times New Roman"/>
          <w:bCs/>
          <w:color w:val="000000" w:themeColor="text1"/>
          <w:spacing w:val="-5"/>
          <w:kern w:val="36"/>
          <w:lang w:val="en-AU"/>
        </w:rPr>
      </w:pPr>
      <w:r>
        <w:rPr>
          <w:rFonts w:eastAsia="Times New Roman" w:cs="Times New Roman"/>
          <w:bCs/>
          <w:color w:val="000000" w:themeColor="text1"/>
          <w:spacing w:val="-5"/>
          <w:kern w:val="36"/>
          <w:lang w:val="en-AU"/>
        </w:rPr>
        <w:t xml:space="preserve">In Queensland, where similar amendments have already been passed, </w:t>
      </w:r>
      <w:r w:rsidR="00624C7B">
        <w:rPr>
          <w:rFonts w:eastAsia="Times New Roman" w:cs="Times New Roman"/>
          <w:bCs/>
          <w:color w:val="000000" w:themeColor="text1"/>
          <w:spacing w:val="-5"/>
          <w:kern w:val="36"/>
          <w:lang w:val="en-AU"/>
        </w:rPr>
        <w:t xml:space="preserve">case law already provides some guidance </w:t>
      </w:r>
      <w:r w:rsidR="004625CE">
        <w:rPr>
          <w:rFonts w:eastAsia="Times New Roman" w:cs="Times New Roman"/>
          <w:bCs/>
          <w:color w:val="000000" w:themeColor="text1"/>
          <w:spacing w:val="-5"/>
          <w:kern w:val="36"/>
          <w:lang w:val="en-AU"/>
        </w:rPr>
        <w:t>on the circumstances in which it would be</w:t>
      </w:r>
      <w:r w:rsidR="004625CE">
        <w:rPr>
          <w:rFonts w:eastAsia="Times New Roman" w:cs="Times New Roman"/>
          <w:color w:val="000000" w:themeColor="text1"/>
          <w:shd w:val="clear" w:color="auto" w:fill="FFFFFF"/>
          <w:lang w:val="en-AU"/>
        </w:rPr>
        <w:t xml:space="preserve"> </w:t>
      </w:r>
      <w:r w:rsidR="000D0C5E">
        <w:rPr>
          <w:rFonts w:eastAsia="Times New Roman" w:cs="Times New Roman"/>
          <w:color w:val="000000" w:themeColor="text1"/>
          <w:shd w:val="clear" w:color="auto" w:fill="FFFFFF"/>
          <w:lang w:val="en-AU"/>
        </w:rPr>
        <w:t>‘</w:t>
      </w:r>
      <w:r w:rsidR="004625CE">
        <w:rPr>
          <w:rFonts w:eastAsia="Times New Roman" w:cs="Times New Roman"/>
          <w:color w:val="000000" w:themeColor="text1"/>
          <w:shd w:val="clear" w:color="auto" w:fill="FFFFFF"/>
          <w:lang w:val="en-AU"/>
        </w:rPr>
        <w:t>just and reasonable</w:t>
      </w:r>
      <w:r w:rsidR="000D0C5E">
        <w:rPr>
          <w:rFonts w:eastAsia="Times New Roman" w:cs="Times New Roman"/>
          <w:color w:val="000000" w:themeColor="text1"/>
          <w:shd w:val="clear" w:color="auto" w:fill="FFFFFF"/>
          <w:lang w:val="en-AU"/>
        </w:rPr>
        <w:t>’</w:t>
      </w:r>
      <w:r w:rsidR="004625CE">
        <w:rPr>
          <w:rFonts w:eastAsia="Times New Roman" w:cs="Times New Roman"/>
          <w:color w:val="000000" w:themeColor="text1"/>
          <w:shd w:val="clear" w:color="auto" w:fill="FFFFFF"/>
          <w:lang w:val="en-AU"/>
        </w:rPr>
        <w:t xml:space="preserve"> </w:t>
      </w:r>
      <w:r w:rsidR="000E20F3" w:rsidRPr="00972DD2">
        <w:rPr>
          <w:rFonts w:eastAsia="Times New Roman" w:cs="Times New Roman"/>
          <w:color w:val="000000" w:themeColor="text1"/>
          <w:shd w:val="clear" w:color="auto" w:fill="FFFFFF"/>
          <w:lang w:val="en-AU"/>
        </w:rPr>
        <w:t xml:space="preserve">to set aside a </w:t>
      </w:r>
      <w:r w:rsidR="000E20F3">
        <w:rPr>
          <w:rFonts w:eastAsia="Times New Roman" w:cs="Times New Roman"/>
          <w:color w:val="000000" w:themeColor="text1"/>
          <w:shd w:val="clear" w:color="auto" w:fill="FFFFFF"/>
          <w:lang w:val="en-AU"/>
        </w:rPr>
        <w:t>previous</w:t>
      </w:r>
      <w:r w:rsidR="000E20F3" w:rsidRPr="00972DD2">
        <w:rPr>
          <w:rFonts w:eastAsia="Times New Roman" w:cs="Times New Roman"/>
          <w:color w:val="000000" w:themeColor="text1"/>
          <w:shd w:val="clear" w:color="auto" w:fill="FFFFFF"/>
          <w:lang w:val="en-AU"/>
        </w:rPr>
        <w:t xml:space="preserve"> agreement</w:t>
      </w:r>
      <w:r w:rsidR="000E20F3">
        <w:rPr>
          <w:rFonts w:eastAsia="Times New Roman" w:cs="Times New Roman"/>
          <w:bCs/>
          <w:color w:val="000000" w:themeColor="text1"/>
          <w:spacing w:val="-5"/>
          <w:kern w:val="36"/>
          <w:lang w:val="en-AU"/>
        </w:rPr>
        <w:t xml:space="preserve">. </w:t>
      </w:r>
      <w:r w:rsidR="007470F9">
        <w:rPr>
          <w:rFonts w:eastAsia="Times New Roman" w:cs="Times New Roman"/>
          <w:bCs/>
          <w:color w:val="000000" w:themeColor="text1"/>
          <w:spacing w:val="-5"/>
          <w:kern w:val="36"/>
          <w:lang w:val="en-AU"/>
        </w:rPr>
        <w:t>In</w:t>
      </w:r>
      <w:r w:rsidRPr="00972DD2">
        <w:rPr>
          <w:rFonts w:eastAsia="Times New Roman" w:cs="Times New Roman"/>
          <w:bCs/>
          <w:color w:val="000000" w:themeColor="text1"/>
          <w:spacing w:val="-5"/>
          <w:kern w:val="36"/>
          <w:lang w:val="en-AU"/>
        </w:rPr>
        <w:t xml:space="preserve"> </w:t>
      </w:r>
      <w:r w:rsidRPr="00972DD2">
        <w:rPr>
          <w:rFonts w:eastAsia="Times New Roman" w:cs="Times New Roman"/>
          <w:bCs/>
          <w:i/>
          <w:color w:val="000000" w:themeColor="text1"/>
          <w:spacing w:val="-5"/>
          <w:kern w:val="36"/>
          <w:lang w:val="en-AU"/>
        </w:rPr>
        <w:t>TRG v The Board of Trustees of the Brisbane Grammar School</w:t>
      </w:r>
      <w:r w:rsidRPr="000E20F3">
        <w:rPr>
          <w:rStyle w:val="FootnoteReference"/>
          <w:rFonts w:eastAsia="Times New Roman" w:cs="Times New Roman"/>
          <w:bCs/>
          <w:color w:val="000000" w:themeColor="text1"/>
          <w:spacing w:val="-5"/>
          <w:kern w:val="36"/>
          <w:lang w:val="en-AU"/>
        </w:rPr>
        <w:footnoteReference w:id="5"/>
      </w:r>
      <w:r w:rsidRPr="00972DD2">
        <w:rPr>
          <w:rFonts w:eastAsia="Times New Roman" w:cs="Times New Roman"/>
          <w:bCs/>
          <w:color w:val="000000" w:themeColor="text1"/>
          <w:spacing w:val="-5"/>
          <w:kern w:val="36"/>
          <w:lang w:val="en-AU"/>
        </w:rPr>
        <w:t xml:space="preserve"> </w:t>
      </w:r>
      <w:r w:rsidR="007470F9">
        <w:rPr>
          <w:rFonts w:eastAsia="Times New Roman" w:cs="Times New Roman"/>
          <w:bCs/>
          <w:color w:val="000000" w:themeColor="text1"/>
          <w:spacing w:val="-5"/>
          <w:kern w:val="36"/>
          <w:lang w:val="en-AU"/>
        </w:rPr>
        <w:t>a survivor</w:t>
      </w:r>
      <w:r w:rsidRPr="00972DD2">
        <w:rPr>
          <w:rFonts w:eastAsia="Times New Roman" w:cs="Times New Roman"/>
          <w:bCs/>
          <w:color w:val="000000" w:themeColor="text1"/>
          <w:spacing w:val="-5"/>
          <w:kern w:val="36"/>
          <w:lang w:val="en-AU"/>
        </w:rPr>
        <w:t xml:space="preserve"> who was sexually abused by a school counsellor in the 1980s received a payout of $47,000 after reaching a private settlement with the respondent in 2002. </w:t>
      </w:r>
      <w:r w:rsidR="005414DB">
        <w:rPr>
          <w:rFonts w:eastAsia="Times New Roman" w:cs="Times New Roman"/>
          <w:bCs/>
          <w:color w:val="000000" w:themeColor="text1"/>
          <w:spacing w:val="-5"/>
          <w:kern w:val="36"/>
          <w:lang w:val="en-AU"/>
        </w:rPr>
        <w:t>Fifteen years later</w:t>
      </w:r>
      <w:r w:rsidR="00624C7B">
        <w:rPr>
          <w:rFonts w:eastAsia="Times New Roman" w:cs="Times New Roman"/>
          <w:bCs/>
          <w:color w:val="000000" w:themeColor="text1"/>
          <w:spacing w:val="-5"/>
          <w:kern w:val="36"/>
          <w:lang w:val="en-AU"/>
        </w:rPr>
        <w:t>,</w:t>
      </w:r>
      <w:r w:rsidR="005414DB">
        <w:rPr>
          <w:rFonts w:eastAsia="Times New Roman" w:cs="Times New Roman"/>
          <w:bCs/>
          <w:color w:val="000000" w:themeColor="text1"/>
          <w:spacing w:val="-5"/>
          <w:kern w:val="36"/>
          <w:lang w:val="en-AU"/>
        </w:rPr>
        <w:t xml:space="preserve"> a</w:t>
      </w:r>
      <w:r w:rsidRPr="00972DD2">
        <w:rPr>
          <w:rFonts w:eastAsia="Times New Roman" w:cs="Times New Roman"/>
          <w:bCs/>
          <w:color w:val="000000" w:themeColor="text1"/>
          <w:spacing w:val="-5"/>
          <w:kern w:val="36"/>
          <w:lang w:val="en-AU"/>
        </w:rPr>
        <w:t xml:space="preserve">fter the Queensland Government amended the </w:t>
      </w:r>
      <w:r w:rsidRPr="00937F25">
        <w:rPr>
          <w:rFonts w:eastAsia="Times New Roman" w:cs="Times New Roman"/>
          <w:bCs/>
          <w:i/>
          <w:color w:val="000000" w:themeColor="text1"/>
          <w:spacing w:val="-5"/>
          <w:kern w:val="36"/>
          <w:lang w:val="en-AU"/>
        </w:rPr>
        <w:t xml:space="preserve">Limitations of Actions Act 1974 </w:t>
      </w:r>
      <w:r w:rsidR="00624C7B">
        <w:rPr>
          <w:rFonts w:eastAsia="Times New Roman" w:cs="Times New Roman"/>
          <w:bCs/>
          <w:color w:val="000000" w:themeColor="text1"/>
          <w:spacing w:val="-5"/>
          <w:kern w:val="36"/>
          <w:lang w:val="en-AU"/>
        </w:rPr>
        <w:t>the survivor</w:t>
      </w:r>
      <w:r w:rsidRPr="00972DD2">
        <w:rPr>
          <w:rFonts w:eastAsia="Times New Roman" w:cs="Times New Roman"/>
          <w:bCs/>
          <w:color w:val="000000" w:themeColor="text1"/>
          <w:spacing w:val="-5"/>
          <w:kern w:val="36"/>
          <w:lang w:val="en-AU"/>
        </w:rPr>
        <w:t xml:space="preserve"> sought to bring a fresh appeal to the court to have the agreement between him and the respondent set aside.</w:t>
      </w:r>
      <w:r w:rsidR="005414DB">
        <w:rPr>
          <w:rFonts w:eastAsia="Times New Roman" w:cs="Times New Roman"/>
          <w:bCs/>
          <w:color w:val="000000" w:themeColor="text1"/>
          <w:spacing w:val="-5"/>
          <w:kern w:val="36"/>
          <w:lang w:val="en-AU"/>
        </w:rPr>
        <w:t xml:space="preserve"> </w:t>
      </w:r>
      <w:r w:rsidR="00624C7B">
        <w:rPr>
          <w:rFonts w:eastAsia="Times New Roman" w:cs="Times New Roman"/>
          <w:bCs/>
          <w:color w:val="000000" w:themeColor="text1"/>
          <w:spacing w:val="-5"/>
          <w:kern w:val="36"/>
          <w:lang w:val="en-AU"/>
        </w:rPr>
        <w:t>Justice Davis</w:t>
      </w:r>
      <w:r w:rsidR="001D194F">
        <w:rPr>
          <w:rFonts w:eastAsia="Times New Roman" w:cs="Times New Roman"/>
          <w:bCs/>
          <w:color w:val="000000" w:themeColor="text1"/>
          <w:spacing w:val="-5"/>
          <w:kern w:val="36"/>
          <w:lang w:val="en-AU"/>
        </w:rPr>
        <w:t xml:space="preserve"> found that </w:t>
      </w:r>
      <w:r w:rsidR="002236E0">
        <w:rPr>
          <w:rFonts w:eastAsia="Times New Roman" w:cs="Times New Roman"/>
          <w:bCs/>
          <w:color w:val="000000" w:themeColor="text1"/>
          <w:spacing w:val="-5"/>
          <w:kern w:val="36"/>
          <w:lang w:val="en-AU"/>
        </w:rPr>
        <w:t>a number of</w:t>
      </w:r>
      <w:r w:rsidR="001D194F">
        <w:rPr>
          <w:rFonts w:eastAsia="Times New Roman" w:cs="Times New Roman"/>
          <w:bCs/>
          <w:color w:val="000000" w:themeColor="text1"/>
          <w:spacing w:val="-5"/>
          <w:kern w:val="36"/>
          <w:lang w:val="en-AU"/>
        </w:rPr>
        <w:t xml:space="preserve"> factors needed to be considered</w:t>
      </w:r>
      <w:r w:rsidR="002236E0">
        <w:rPr>
          <w:rFonts w:eastAsia="Times New Roman" w:cs="Times New Roman"/>
          <w:bCs/>
          <w:color w:val="000000" w:themeColor="text1"/>
          <w:spacing w:val="-5"/>
          <w:kern w:val="36"/>
          <w:lang w:val="en-AU"/>
        </w:rPr>
        <w:t xml:space="preserve"> including</w:t>
      </w:r>
      <w:r w:rsidR="001D194F">
        <w:rPr>
          <w:rFonts w:eastAsia="Times New Roman" w:cs="Times New Roman"/>
          <w:bCs/>
          <w:color w:val="000000" w:themeColor="text1"/>
          <w:spacing w:val="-5"/>
          <w:kern w:val="36"/>
          <w:lang w:val="en-AU"/>
        </w:rPr>
        <w:t>:</w:t>
      </w:r>
      <w:r w:rsidR="002236E0">
        <w:rPr>
          <w:rStyle w:val="FootnoteReference"/>
          <w:rFonts w:eastAsia="Times New Roman" w:cs="Times New Roman"/>
          <w:bCs/>
          <w:color w:val="000000" w:themeColor="text1"/>
          <w:spacing w:val="-5"/>
          <w:kern w:val="36"/>
          <w:lang w:val="en-AU"/>
        </w:rPr>
        <w:footnoteReference w:id="6"/>
      </w:r>
      <w:r w:rsidR="001D194F">
        <w:rPr>
          <w:rFonts w:eastAsia="Times New Roman" w:cs="Times New Roman"/>
          <w:bCs/>
          <w:color w:val="000000" w:themeColor="text1"/>
          <w:spacing w:val="-5"/>
          <w:kern w:val="36"/>
          <w:lang w:val="en-AU"/>
        </w:rPr>
        <w:t xml:space="preserve"> </w:t>
      </w:r>
    </w:p>
    <w:p w14:paraId="303AB849" w14:textId="77777777" w:rsidR="00896B9F" w:rsidRPr="002236E0" w:rsidRDefault="00896B9F" w:rsidP="00896B9F">
      <w:pPr>
        <w:ind w:right="-347"/>
        <w:jc w:val="both"/>
        <w:rPr>
          <w:rFonts w:eastAsia="Times New Roman" w:cs="Times New Roman"/>
          <w:bCs/>
          <w:color w:val="000000" w:themeColor="text1"/>
          <w:spacing w:val="-5"/>
          <w:kern w:val="36"/>
          <w:lang w:val="en-AU"/>
        </w:rPr>
      </w:pPr>
    </w:p>
    <w:p w14:paraId="57BC9CBD" w14:textId="77777777" w:rsidR="00896B9F" w:rsidRPr="002236E0" w:rsidRDefault="00896B9F" w:rsidP="00896B9F">
      <w:pPr>
        <w:pStyle w:val="ListParagraph"/>
        <w:numPr>
          <w:ilvl w:val="0"/>
          <w:numId w:val="15"/>
        </w:numPr>
        <w:shd w:val="clear" w:color="auto" w:fill="FFFFFF"/>
        <w:spacing w:after="180"/>
        <w:rPr>
          <w:rFonts w:cs="Times New Roman"/>
          <w:color w:val="000000" w:themeColor="text1"/>
          <w:lang w:val="en-AU"/>
        </w:rPr>
      </w:pPr>
      <w:r>
        <w:rPr>
          <w:rFonts w:cs="Times New Roman"/>
          <w:bCs/>
          <w:color w:val="000000" w:themeColor="text1"/>
          <w:lang w:val="en-AU"/>
        </w:rPr>
        <w:t>The p</w:t>
      </w:r>
      <w:r w:rsidRPr="002236E0">
        <w:rPr>
          <w:rFonts w:cs="Times New Roman"/>
          <w:bCs/>
          <w:color w:val="000000" w:themeColor="text1"/>
          <w:lang w:val="en-AU"/>
        </w:rPr>
        <w:t>rospects of success in any claim; and</w:t>
      </w:r>
    </w:p>
    <w:p w14:paraId="79D5F5CB" w14:textId="77777777" w:rsidR="00896B9F" w:rsidRPr="002236E0" w:rsidRDefault="00896B9F" w:rsidP="00896B9F">
      <w:pPr>
        <w:pStyle w:val="ListParagraph"/>
        <w:numPr>
          <w:ilvl w:val="0"/>
          <w:numId w:val="15"/>
        </w:numPr>
        <w:shd w:val="clear" w:color="auto" w:fill="FFFFFF"/>
        <w:spacing w:after="180"/>
        <w:rPr>
          <w:rFonts w:cs="Times New Roman"/>
          <w:color w:val="000000" w:themeColor="text1"/>
          <w:lang w:val="en-AU"/>
        </w:rPr>
      </w:pPr>
      <w:r w:rsidRPr="002236E0">
        <w:rPr>
          <w:rFonts w:cs="Times New Roman"/>
          <w:bCs/>
          <w:color w:val="000000" w:themeColor="text1"/>
          <w:lang w:val="en-AU"/>
        </w:rPr>
        <w:t>The quantum of any claim brought now; and</w:t>
      </w:r>
    </w:p>
    <w:p w14:paraId="2043659C" w14:textId="1F10B2C8" w:rsidR="00896B9F" w:rsidRPr="002236E0" w:rsidRDefault="00896B9F" w:rsidP="00896B9F">
      <w:pPr>
        <w:pStyle w:val="ListParagraph"/>
        <w:numPr>
          <w:ilvl w:val="0"/>
          <w:numId w:val="15"/>
        </w:numPr>
        <w:shd w:val="clear" w:color="auto" w:fill="FFFFFF"/>
        <w:spacing w:after="180"/>
        <w:rPr>
          <w:rFonts w:cs="Times New Roman"/>
          <w:color w:val="000000" w:themeColor="text1"/>
          <w:lang w:val="en-AU"/>
        </w:rPr>
      </w:pPr>
      <w:r>
        <w:rPr>
          <w:rFonts w:cs="Times New Roman"/>
          <w:bCs/>
          <w:color w:val="000000" w:themeColor="text1"/>
          <w:lang w:val="en-AU"/>
        </w:rPr>
        <w:t>T</w:t>
      </w:r>
      <w:r w:rsidRPr="002236E0">
        <w:rPr>
          <w:rFonts w:cs="Times New Roman"/>
          <w:bCs/>
          <w:color w:val="000000" w:themeColor="text1"/>
          <w:lang w:val="en-AU"/>
        </w:rPr>
        <w:t xml:space="preserve">he effect of the </w:t>
      </w:r>
      <w:r w:rsidRPr="002236E0">
        <w:rPr>
          <w:rFonts w:cs="Times New Roman"/>
          <w:bCs/>
          <w:i/>
          <w:color w:val="000000" w:themeColor="text1"/>
          <w:lang w:val="en-AU"/>
        </w:rPr>
        <w:t>Limitations Act</w:t>
      </w:r>
      <w:r w:rsidRPr="002236E0">
        <w:rPr>
          <w:rFonts w:cs="Times New Roman"/>
          <w:bCs/>
          <w:color w:val="000000" w:themeColor="text1"/>
          <w:lang w:val="en-AU"/>
        </w:rPr>
        <w:t xml:space="preserve"> on the quantum of the </w:t>
      </w:r>
      <w:r>
        <w:rPr>
          <w:rFonts w:cs="Times New Roman"/>
          <w:bCs/>
          <w:color w:val="000000" w:themeColor="text1"/>
          <w:lang w:val="en-AU"/>
        </w:rPr>
        <w:t xml:space="preserve">original </w:t>
      </w:r>
      <w:r w:rsidR="00F35F8A">
        <w:rPr>
          <w:rFonts w:cs="Times New Roman"/>
          <w:bCs/>
          <w:color w:val="000000" w:themeColor="text1"/>
          <w:lang w:val="en-AU"/>
        </w:rPr>
        <w:t>settlement</w:t>
      </w:r>
      <w:r w:rsidRPr="002236E0">
        <w:rPr>
          <w:rFonts w:cs="Times New Roman"/>
          <w:bCs/>
          <w:color w:val="000000" w:themeColor="text1"/>
          <w:lang w:val="en-AU"/>
        </w:rPr>
        <w:t>; and</w:t>
      </w:r>
    </w:p>
    <w:p w14:paraId="549DC4B2" w14:textId="77777777" w:rsidR="00896B9F" w:rsidRPr="002236E0" w:rsidRDefault="00896B9F" w:rsidP="00896B9F">
      <w:pPr>
        <w:pStyle w:val="ListParagraph"/>
        <w:numPr>
          <w:ilvl w:val="0"/>
          <w:numId w:val="15"/>
        </w:numPr>
        <w:shd w:val="clear" w:color="auto" w:fill="FFFFFF"/>
        <w:spacing w:after="180"/>
        <w:rPr>
          <w:rFonts w:cs="Times New Roman"/>
          <w:color w:val="000000" w:themeColor="text1"/>
          <w:lang w:val="en-AU"/>
        </w:rPr>
      </w:pPr>
      <w:r>
        <w:rPr>
          <w:rFonts w:eastAsia="Times New Roman" w:cs="Times New Roman"/>
          <w:bCs/>
          <w:color w:val="000000" w:themeColor="text1"/>
          <w:shd w:val="clear" w:color="auto" w:fill="FFFFFF"/>
          <w:lang w:val="en-AU"/>
        </w:rPr>
        <w:t>The r</w:t>
      </w:r>
      <w:r w:rsidRPr="002236E0">
        <w:rPr>
          <w:rFonts w:eastAsia="Times New Roman" w:cs="Times New Roman"/>
          <w:bCs/>
          <w:color w:val="000000" w:themeColor="text1"/>
          <w:shd w:val="clear" w:color="auto" w:fill="FFFFFF"/>
          <w:lang w:val="en-AU"/>
        </w:rPr>
        <w:t>easonableness of the mediation process; and</w:t>
      </w:r>
    </w:p>
    <w:p w14:paraId="438FD541" w14:textId="77777777" w:rsidR="00896B9F" w:rsidRPr="002236E0" w:rsidRDefault="00896B9F" w:rsidP="00896B9F">
      <w:pPr>
        <w:pStyle w:val="ListParagraph"/>
        <w:numPr>
          <w:ilvl w:val="0"/>
          <w:numId w:val="15"/>
        </w:numPr>
        <w:shd w:val="clear" w:color="auto" w:fill="FFFFFF"/>
        <w:spacing w:after="180"/>
        <w:rPr>
          <w:rFonts w:cs="Times New Roman"/>
          <w:color w:val="000000" w:themeColor="text1"/>
          <w:lang w:val="en-AU"/>
        </w:rPr>
      </w:pPr>
      <w:r w:rsidRPr="002236E0">
        <w:rPr>
          <w:rFonts w:eastAsia="Times New Roman" w:cs="Times New Roman"/>
          <w:bCs/>
          <w:color w:val="000000" w:themeColor="text1"/>
          <w:shd w:val="clear" w:color="auto" w:fill="FFFFFF"/>
          <w:lang w:val="en-AU"/>
        </w:rPr>
        <w:t>The reasonableness or otherwise of the settlement figure; and</w:t>
      </w:r>
    </w:p>
    <w:p w14:paraId="7FF4EA5D" w14:textId="77777777" w:rsidR="00896B9F" w:rsidRPr="00B7249A" w:rsidRDefault="00896B9F" w:rsidP="00896B9F">
      <w:pPr>
        <w:pStyle w:val="ListParagraph"/>
        <w:numPr>
          <w:ilvl w:val="0"/>
          <w:numId w:val="15"/>
        </w:numPr>
        <w:shd w:val="clear" w:color="auto" w:fill="FFFFFF"/>
        <w:spacing w:after="180"/>
        <w:rPr>
          <w:rFonts w:cs="Times New Roman"/>
          <w:color w:val="000000" w:themeColor="text1"/>
          <w:lang w:val="en-AU"/>
        </w:rPr>
      </w:pPr>
      <w:r w:rsidRPr="002236E0">
        <w:rPr>
          <w:rFonts w:eastAsia="Times New Roman" w:cs="Times New Roman"/>
          <w:bCs/>
          <w:color w:val="000000" w:themeColor="text1"/>
          <w:shd w:val="clear" w:color="auto" w:fill="FFFFFF"/>
          <w:lang w:val="en-AU"/>
        </w:rPr>
        <w:t>The impact of delay; and</w:t>
      </w:r>
    </w:p>
    <w:p w14:paraId="7E445F80" w14:textId="3627D4A5" w:rsidR="00B7249A" w:rsidRPr="002236E0" w:rsidRDefault="00B7249A" w:rsidP="00896B9F">
      <w:pPr>
        <w:pStyle w:val="ListParagraph"/>
        <w:numPr>
          <w:ilvl w:val="0"/>
          <w:numId w:val="15"/>
        </w:numPr>
        <w:shd w:val="clear" w:color="auto" w:fill="FFFFFF"/>
        <w:spacing w:after="180"/>
        <w:rPr>
          <w:rFonts w:cs="Times New Roman"/>
          <w:color w:val="000000" w:themeColor="text1"/>
          <w:lang w:val="en-AU"/>
        </w:rPr>
      </w:pPr>
      <w:r>
        <w:rPr>
          <w:rFonts w:eastAsia="Times New Roman" w:cs="Times New Roman"/>
          <w:bCs/>
          <w:color w:val="000000" w:themeColor="text1"/>
          <w:shd w:val="clear" w:color="auto" w:fill="FFFFFF"/>
          <w:lang w:val="en-AU"/>
        </w:rPr>
        <w:t>Costs already paid; and</w:t>
      </w:r>
      <w:bookmarkStart w:id="0" w:name="_GoBack"/>
      <w:bookmarkEnd w:id="0"/>
    </w:p>
    <w:p w14:paraId="71CFE41F" w14:textId="77777777" w:rsidR="00896B9F" w:rsidRPr="002236E0" w:rsidRDefault="00896B9F" w:rsidP="00896B9F">
      <w:pPr>
        <w:pStyle w:val="ListParagraph"/>
        <w:numPr>
          <w:ilvl w:val="0"/>
          <w:numId w:val="15"/>
        </w:numPr>
        <w:rPr>
          <w:rFonts w:eastAsia="Times New Roman" w:cs="Times New Roman"/>
          <w:color w:val="000000" w:themeColor="text1"/>
          <w:lang w:val="en-AU"/>
        </w:rPr>
      </w:pPr>
      <w:r w:rsidRPr="002236E0">
        <w:rPr>
          <w:rFonts w:eastAsia="Times New Roman" w:cs="Times New Roman"/>
          <w:bCs/>
          <w:color w:val="000000" w:themeColor="text1"/>
          <w:shd w:val="clear" w:color="auto" w:fill="FFFFFF"/>
          <w:lang w:val="en-AU"/>
        </w:rPr>
        <w:t>Loss of insurance; and</w:t>
      </w:r>
    </w:p>
    <w:p w14:paraId="4F6F80A8" w14:textId="5EA77839" w:rsidR="00896B9F" w:rsidRPr="002236E0" w:rsidRDefault="00896B9F" w:rsidP="00896B9F">
      <w:pPr>
        <w:pStyle w:val="ListParagraph"/>
        <w:numPr>
          <w:ilvl w:val="0"/>
          <w:numId w:val="15"/>
        </w:numPr>
        <w:rPr>
          <w:rFonts w:eastAsia="Times New Roman" w:cs="Times New Roman"/>
          <w:color w:val="000000" w:themeColor="text1"/>
          <w:lang w:val="en-AU"/>
        </w:rPr>
      </w:pPr>
      <w:r w:rsidRPr="002236E0">
        <w:rPr>
          <w:rFonts w:eastAsia="Times New Roman" w:cs="Times New Roman"/>
          <w:bCs/>
          <w:color w:val="000000" w:themeColor="text1"/>
          <w:shd w:val="clear" w:color="auto" w:fill="FFFFFF"/>
          <w:lang w:val="en-AU"/>
        </w:rPr>
        <w:t>The offer of ongoing counselling</w:t>
      </w:r>
      <w:r w:rsidR="00F35F8A">
        <w:rPr>
          <w:rFonts w:eastAsia="Times New Roman" w:cs="Times New Roman"/>
          <w:bCs/>
          <w:color w:val="000000" w:themeColor="text1"/>
          <w:shd w:val="clear" w:color="auto" w:fill="FFFFFF"/>
          <w:lang w:val="en-AU"/>
        </w:rPr>
        <w:t>.</w:t>
      </w:r>
    </w:p>
    <w:p w14:paraId="01B24CD8" w14:textId="77777777" w:rsidR="00896B9F" w:rsidRDefault="00896B9F" w:rsidP="00896B9F">
      <w:pPr>
        <w:ind w:right="-347"/>
        <w:jc w:val="both"/>
        <w:rPr>
          <w:rFonts w:ascii="Source Sans Pro" w:eastAsia="Times New Roman" w:hAnsi="Source Sans Pro" w:cs="Times New Roman"/>
          <w:color w:val="000000" w:themeColor="text1"/>
          <w:shd w:val="clear" w:color="auto" w:fill="FFFFFF"/>
          <w:lang w:val="en-AU"/>
        </w:rPr>
      </w:pPr>
    </w:p>
    <w:p w14:paraId="64F6A09C" w14:textId="79B197D7" w:rsidR="00896B9F" w:rsidRDefault="002236E0" w:rsidP="00896B9F">
      <w:pPr>
        <w:ind w:right="-347"/>
        <w:jc w:val="both"/>
        <w:rPr>
          <w:rFonts w:cs="Arial"/>
          <w:color w:val="000000" w:themeColor="text1"/>
        </w:rPr>
      </w:pPr>
      <w:r w:rsidRPr="002236E0">
        <w:rPr>
          <w:rFonts w:ascii="Source Sans Pro" w:eastAsia="Times New Roman" w:hAnsi="Source Sans Pro" w:cs="Times New Roman"/>
          <w:color w:val="000000" w:themeColor="text1"/>
          <w:shd w:val="clear" w:color="auto" w:fill="FFFFFF"/>
          <w:lang w:val="en-AU"/>
        </w:rPr>
        <w:t>Importantly,</w:t>
      </w:r>
      <w:r>
        <w:rPr>
          <w:rFonts w:cs="Arial"/>
          <w:color w:val="000000" w:themeColor="text1"/>
        </w:rPr>
        <w:t xml:space="preserve"> </w:t>
      </w:r>
      <w:r w:rsidR="00896B9F">
        <w:rPr>
          <w:rFonts w:cs="Arial"/>
          <w:color w:val="000000" w:themeColor="text1"/>
        </w:rPr>
        <w:t>clause</w:t>
      </w:r>
      <w:r>
        <w:rPr>
          <w:rFonts w:cs="Arial"/>
          <w:color w:val="000000" w:themeColor="text1"/>
        </w:rPr>
        <w:t xml:space="preserve"> 5C of the draft Bill is worded broadly a</w:t>
      </w:r>
      <w:r w:rsidR="00245A2F">
        <w:rPr>
          <w:rFonts w:cs="Arial"/>
          <w:color w:val="000000" w:themeColor="text1"/>
        </w:rPr>
        <w:t>nd does not exclude any of the</w:t>
      </w:r>
      <w:r>
        <w:rPr>
          <w:rFonts w:cs="Arial"/>
          <w:color w:val="000000" w:themeColor="text1"/>
        </w:rPr>
        <w:t xml:space="preserve"> factors </w:t>
      </w:r>
      <w:r w:rsidR="00245A2F">
        <w:rPr>
          <w:rFonts w:cs="Arial"/>
          <w:color w:val="000000" w:themeColor="text1"/>
        </w:rPr>
        <w:t xml:space="preserve">raised by the Supreme Court of </w:t>
      </w:r>
      <w:r w:rsidR="006407B8">
        <w:rPr>
          <w:rFonts w:cs="Arial"/>
          <w:color w:val="000000" w:themeColor="text1"/>
        </w:rPr>
        <w:t>Queensland</w:t>
      </w:r>
      <w:r w:rsidR="00245A2F">
        <w:rPr>
          <w:rFonts w:cs="Arial"/>
          <w:color w:val="000000" w:themeColor="text1"/>
        </w:rPr>
        <w:t xml:space="preserve"> </w:t>
      </w:r>
      <w:r>
        <w:rPr>
          <w:rFonts w:cs="Arial"/>
          <w:color w:val="000000" w:themeColor="text1"/>
        </w:rPr>
        <w:t xml:space="preserve">being taken into account in determining whether the previous agreement should be set aside. </w:t>
      </w:r>
    </w:p>
    <w:p w14:paraId="188AF252" w14:textId="77777777" w:rsidR="000919A6" w:rsidRDefault="000919A6" w:rsidP="00896B9F">
      <w:pPr>
        <w:ind w:right="-347"/>
        <w:jc w:val="both"/>
        <w:rPr>
          <w:rFonts w:cs="Arial"/>
          <w:color w:val="000000" w:themeColor="text1"/>
        </w:rPr>
      </w:pPr>
    </w:p>
    <w:p w14:paraId="2B6A6F82" w14:textId="7C7A9AF4" w:rsidR="000919A6" w:rsidRPr="000919A6" w:rsidRDefault="000919A6" w:rsidP="000919A6">
      <w:pPr>
        <w:ind w:right="-347"/>
        <w:jc w:val="both"/>
        <w:rPr>
          <w:rFonts w:cs="Arial"/>
          <w:b/>
          <w:color w:val="000000" w:themeColor="text1"/>
        </w:rPr>
      </w:pPr>
      <w:r>
        <w:rPr>
          <w:rFonts w:cs="Arial"/>
          <w:b/>
          <w:color w:val="000000" w:themeColor="text1"/>
        </w:rPr>
        <w:t>Resourcing</w:t>
      </w:r>
    </w:p>
    <w:p w14:paraId="42F933D1" w14:textId="47BF6208" w:rsidR="00245A2F" w:rsidRPr="000919A6" w:rsidRDefault="000919A6" w:rsidP="000919A6">
      <w:pPr>
        <w:ind w:right="-347"/>
        <w:jc w:val="both"/>
        <w:rPr>
          <w:rFonts w:cs="Arial"/>
          <w:color w:val="000000" w:themeColor="text1"/>
        </w:rPr>
      </w:pPr>
      <w:r>
        <w:rPr>
          <w:rFonts w:cs="Arial"/>
          <w:color w:val="000000" w:themeColor="text1"/>
        </w:rPr>
        <w:t>To ensure that all relevant organisations are made aware of the need to do everything in their power to prevent child sexual abuse from occurring and to inform persons who use their services of their rights, we strongly recommend that a widely dissemi</w:t>
      </w:r>
      <w:r w:rsidR="006407B8">
        <w:rPr>
          <w:rFonts w:cs="Arial"/>
          <w:color w:val="000000" w:themeColor="text1"/>
        </w:rPr>
        <w:t>nated information campaign take</w:t>
      </w:r>
      <w:r>
        <w:rPr>
          <w:rFonts w:cs="Arial"/>
          <w:color w:val="000000" w:themeColor="text1"/>
        </w:rPr>
        <w:t xml:space="preserve"> place. This information campaign should also apply to the </w:t>
      </w:r>
      <w:r w:rsidR="006407B8">
        <w:rPr>
          <w:rFonts w:cs="Arial"/>
          <w:color w:val="000000" w:themeColor="text1"/>
        </w:rPr>
        <w:t xml:space="preserve">national </w:t>
      </w:r>
      <w:r>
        <w:rPr>
          <w:rFonts w:cs="Arial"/>
          <w:color w:val="000000" w:themeColor="text1"/>
        </w:rPr>
        <w:t xml:space="preserve">redress scheme. Finally, we strongly recommend that legal assistance services are appropriately funded so that all survivors of child sexual abuse </w:t>
      </w:r>
      <w:r w:rsidR="006407B8">
        <w:rPr>
          <w:rFonts w:cs="Arial"/>
          <w:color w:val="000000" w:themeColor="text1"/>
        </w:rPr>
        <w:t xml:space="preserve">can make an informed </w:t>
      </w:r>
      <w:r w:rsidR="00022AF2">
        <w:rPr>
          <w:rFonts w:cs="Arial"/>
          <w:color w:val="000000" w:themeColor="text1"/>
        </w:rPr>
        <w:t>decision about either</w:t>
      </w:r>
      <w:r>
        <w:rPr>
          <w:rFonts w:cs="Arial"/>
          <w:color w:val="000000" w:themeColor="text1"/>
        </w:rPr>
        <w:t xml:space="preserve"> pursuing civil litigation or accessing the redress scheme.  </w:t>
      </w:r>
    </w:p>
    <w:p w14:paraId="4A7335B7" w14:textId="77777777" w:rsidR="00245A2F" w:rsidRDefault="00245A2F" w:rsidP="00896B9F">
      <w:pPr>
        <w:ind w:right="-347"/>
        <w:jc w:val="both"/>
        <w:rPr>
          <w:rFonts w:eastAsia="Times New Roman" w:cs="Times New Roman"/>
          <w:bCs/>
          <w:color w:val="000000" w:themeColor="text1"/>
          <w:spacing w:val="-5"/>
          <w:kern w:val="36"/>
          <w:lang w:val="en-AU"/>
        </w:rPr>
      </w:pPr>
    </w:p>
    <w:p w14:paraId="12CE5813" w14:textId="77777777" w:rsidR="00896B9F" w:rsidRDefault="00896B9F" w:rsidP="00896B9F">
      <w:pPr>
        <w:ind w:right="-347"/>
        <w:jc w:val="both"/>
        <w:rPr>
          <w:rFonts w:eastAsia="Times New Roman" w:cs="Times New Roman"/>
          <w:bCs/>
          <w:color w:val="000000" w:themeColor="text1"/>
          <w:spacing w:val="-5"/>
          <w:kern w:val="36"/>
          <w:lang w:val="en-AU"/>
        </w:rPr>
      </w:pPr>
    </w:p>
    <w:p w14:paraId="6282C2B6" w14:textId="647C6227" w:rsidR="007E6A68" w:rsidRPr="00896B9F" w:rsidRDefault="007E6A68" w:rsidP="00896B9F">
      <w:pPr>
        <w:ind w:right="-347"/>
        <w:jc w:val="both"/>
        <w:rPr>
          <w:rFonts w:eastAsia="Times New Roman" w:cs="Times New Roman"/>
          <w:bCs/>
          <w:color w:val="000000" w:themeColor="text1"/>
          <w:spacing w:val="-5"/>
          <w:kern w:val="36"/>
          <w:lang w:val="en-AU"/>
        </w:rPr>
      </w:pPr>
      <w:r w:rsidRPr="003C786B">
        <w:rPr>
          <w:bCs/>
          <w:color w:val="000000" w:themeColor="text1"/>
        </w:rPr>
        <w:t xml:space="preserve">If </w:t>
      </w:r>
      <w:r>
        <w:rPr>
          <w:bCs/>
          <w:color w:val="000000" w:themeColor="text1"/>
        </w:rPr>
        <w:t xml:space="preserve">you have any queries or </w:t>
      </w:r>
      <w:r w:rsidRPr="003C786B">
        <w:rPr>
          <w:bCs/>
          <w:color w:val="000000" w:themeColor="text1"/>
        </w:rPr>
        <w:t>we can be of any further assistance, please do not hesitate to contact us.</w:t>
      </w:r>
    </w:p>
    <w:p w14:paraId="4D74A160" w14:textId="77777777" w:rsidR="007E6A68" w:rsidRPr="003C786B" w:rsidRDefault="007E6A68" w:rsidP="007E6A68">
      <w:pPr>
        <w:ind w:right="-347"/>
        <w:jc w:val="both"/>
        <w:rPr>
          <w:bCs/>
          <w:color w:val="000000" w:themeColor="text1"/>
        </w:rPr>
      </w:pPr>
    </w:p>
    <w:p w14:paraId="0E5FB0E0" w14:textId="77777777" w:rsidR="007E6A68" w:rsidRPr="003C786B" w:rsidRDefault="007E6A68" w:rsidP="007E6A68">
      <w:pPr>
        <w:ind w:right="-347"/>
        <w:jc w:val="both"/>
        <w:rPr>
          <w:bCs/>
          <w:color w:val="000000" w:themeColor="text1"/>
        </w:rPr>
      </w:pPr>
    </w:p>
    <w:p w14:paraId="0811426B" w14:textId="77777777" w:rsidR="007E6A68" w:rsidRPr="003C786B" w:rsidRDefault="007E6A68" w:rsidP="007E6A68">
      <w:pPr>
        <w:ind w:right="-347"/>
        <w:jc w:val="both"/>
        <w:rPr>
          <w:bCs/>
          <w:color w:val="000000" w:themeColor="text1"/>
        </w:rPr>
      </w:pPr>
      <w:r w:rsidRPr="003C786B">
        <w:rPr>
          <w:bCs/>
          <w:color w:val="000000" w:themeColor="text1"/>
        </w:rPr>
        <w:t>Yours faithfully,</w:t>
      </w:r>
    </w:p>
    <w:p w14:paraId="192DA976" w14:textId="77777777" w:rsidR="007E6A68" w:rsidRPr="003C786B" w:rsidRDefault="007E6A68" w:rsidP="007E6A68">
      <w:pPr>
        <w:ind w:right="-347"/>
        <w:jc w:val="both"/>
        <w:rPr>
          <w:bCs/>
          <w:color w:val="000000" w:themeColor="text1"/>
        </w:rPr>
      </w:pPr>
    </w:p>
    <w:p w14:paraId="07CADC40" w14:textId="77777777" w:rsidR="007E6A68" w:rsidRPr="003C786B" w:rsidRDefault="007E6A68" w:rsidP="007E6A68">
      <w:pPr>
        <w:ind w:right="-347"/>
        <w:jc w:val="both"/>
        <w:rPr>
          <w:bCs/>
          <w:color w:val="000000" w:themeColor="text1"/>
        </w:rPr>
      </w:pPr>
    </w:p>
    <w:p w14:paraId="0C704890" w14:textId="77777777" w:rsidR="007E6A68" w:rsidRPr="003C786B" w:rsidRDefault="007E6A68" w:rsidP="007E6A68">
      <w:pPr>
        <w:ind w:right="-347"/>
        <w:jc w:val="both"/>
        <w:rPr>
          <w:bCs/>
          <w:color w:val="000000" w:themeColor="text1"/>
        </w:rPr>
      </w:pPr>
    </w:p>
    <w:p w14:paraId="4A9C7076" w14:textId="77777777" w:rsidR="007E6A68" w:rsidRPr="003C786B" w:rsidRDefault="007E6A68" w:rsidP="007E6A68">
      <w:pPr>
        <w:ind w:right="-347"/>
        <w:jc w:val="both"/>
        <w:rPr>
          <w:bCs/>
          <w:color w:val="000000" w:themeColor="text1"/>
        </w:rPr>
      </w:pPr>
      <w:r w:rsidRPr="003C786B">
        <w:rPr>
          <w:bCs/>
          <w:color w:val="000000" w:themeColor="text1"/>
        </w:rPr>
        <w:t>Benedict Bartl</w:t>
      </w:r>
    </w:p>
    <w:p w14:paraId="6E9348E3" w14:textId="77777777" w:rsidR="007E6A68" w:rsidRPr="003C786B" w:rsidRDefault="007E6A68" w:rsidP="007E6A68">
      <w:pPr>
        <w:ind w:right="-347"/>
        <w:jc w:val="both"/>
        <w:rPr>
          <w:bCs/>
          <w:color w:val="000000" w:themeColor="text1"/>
        </w:rPr>
      </w:pPr>
      <w:r w:rsidRPr="003C786B">
        <w:rPr>
          <w:bCs/>
          <w:color w:val="000000" w:themeColor="text1"/>
        </w:rPr>
        <w:t>Policy Officer</w:t>
      </w:r>
    </w:p>
    <w:p w14:paraId="4CBD2045" w14:textId="059CFE31" w:rsidR="001416DE" w:rsidRPr="002236E0" w:rsidRDefault="007E6A68" w:rsidP="002236E0">
      <w:pPr>
        <w:pBdr>
          <w:bottom w:val="single" w:sz="6" w:space="1" w:color="auto"/>
        </w:pBdr>
        <w:ind w:right="-347"/>
        <w:jc w:val="both"/>
        <w:rPr>
          <w:b/>
          <w:bCs/>
          <w:color w:val="000000" w:themeColor="text1"/>
        </w:rPr>
      </w:pPr>
      <w:r w:rsidRPr="003C786B">
        <w:rPr>
          <w:b/>
          <w:bCs/>
          <w:color w:val="000000" w:themeColor="text1"/>
        </w:rPr>
        <w:t>Community Legal Centres Tasma</w:t>
      </w:r>
      <w:r w:rsidR="004310DC">
        <w:rPr>
          <w:b/>
          <w:bCs/>
          <w:color w:val="000000" w:themeColor="text1"/>
        </w:rPr>
        <w:t>nia</w:t>
      </w:r>
    </w:p>
    <w:sectPr w:rsidR="001416DE" w:rsidRPr="002236E0" w:rsidSect="001416DE">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DC77C" w14:textId="77777777" w:rsidR="006407B8" w:rsidRDefault="006407B8" w:rsidP="007E6A68">
      <w:r>
        <w:separator/>
      </w:r>
    </w:p>
  </w:endnote>
  <w:endnote w:type="continuationSeparator" w:id="0">
    <w:p w14:paraId="6991315C" w14:textId="77777777" w:rsidR="006407B8" w:rsidRDefault="006407B8" w:rsidP="007E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16EF" w14:textId="77777777" w:rsidR="006407B8" w:rsidRDefault="006407B8" w:rsidP="00141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794A8" w14:textId="77777777" w:rsidR="006407B8" w:rsidRDefault="006407B8" w:rsidP="001416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27FB" w14:textId="77777777" w:rsidR="006407B8" w:rsidRDefault="006407B8" w:rsidP="00141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49A">
      <w:rPr>
        <w:rStyle w:val="PageNumber"/>
        <w:noProof/>
      </w:rPr>
      <w:t>1</w:t>
    </w:r>
    <w:r>
      <w:rPr>
        <w:rStyle w:val="PageNumber"/>
      </w:rPr>
      <w:fldChar w:fldCharType="end"/>
    </w:r>
  </w:p>
  <w:p w14:paraId="053B8BC6" w14:textId="77777777" w:rsidR="006407B8" w:rsidRDefault="006407B8" w:rsidP="001416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374C4" w14:textId="77777777" w:rsidR="006407B8" w:rsidRDefault="006407B8" w:rsidP="007E6A68">
      <w:r>
        <w:separator/>
      </w:r>
    </w:p>
  </w:footnote>
  <w:footnote w:type="continuationSeparator" w:id="0">
    <w:p w14:paraId="180A1C89" w14:textId="77777777" w:rsidR="006407B8" w:rsidRDefault="006407B8" w:rsidP="007E6A68">
      <w:r>
        <w:continuationSeparator/>
      </w:r>
    </w:p>
  </w:footnote>
  <w:footnote w:id="1">
    <w:p w14:paraId="1D45C7A0" w14:textId="30ABA3AA" w:rsidR="006407B8" w:rsidRPr="00245A2F" w:rsidRDefault="006407B8" w:rsidP="008124A4">
      <w:pPr>
        <w:pStyle w:val="FootnoteText"/>
      </w:pPr>
      <w:r w:rsidRPr="00245A2F">
        <w:rPr>
          <w:rStyle w:val="FootnoteReference"/>
        </w:rPr>
        <w:footnoteRef/>
      </w:r>
      <w:r w:rsidRPr="00245A2F">
        <w:t xml:space="preserve"> </w:t>
      </w:r>
      <w:r w:rsidRPr="00245A2F">
        <w:rPr>
          <w:sz w:val="20"/>
          <w:szCs w:val="20"/>
        </w:rPr>
        <w:t>CLC Tas would like to acknowledge</w:t>
      </w:r>
      <w:r>
        <w:rPr>
          <w:sz w:val="20"/>
          <w:szCs w:val="20"/>
        </w:rPr>
        <w:t xml:space="preserve"> </w:t>
      </w:r>
      <w:r w:rsidRPr="00245A2F">
        <w:rPr>
          <w:i/>
          <w:sz w:val="20"/>
          <w:szCs w:val="20"/>
        </w:rPr>
        <w:t>knowmore</w:t>
      </w:r>
      <w:r>
        <w:rPr>
          <w:sz w:val="20"/>
          <w:szCs w:val="20"/>
        </w:rPr>
        <w:t xml:space="preserve"> for its</w:t>
      </w:r>
      <w:r w:rsidRPr="00245A2F">
        <w:rPr>
          <w:sz w:val="20"/>
          <w:szCs w:val="20"/>
        </w:rPr>
        <w:t xml:space="preserve"> assistance with this response.</w:t>
      </w:r>
      <w:r w:rsidRPr="00245A2F">
        <w:t xml:space="preserve">  </w:t>
      </w:r>
    </w:p>
  </w:footnote>
  <w:footnote w:id="2">
    <w:p w14:paraId="2A914705" w14:textId="46C90296" w:rsidR="006407B8" w:rsidRPr="00245A2F" w:rsidRDefault="006407B8">
      <w:pPr>
        <w:pStyle w:val="FootnoteText"/>
      </w:pPr>
      <w:r w:rsidRPr="00245A2F">
        <w:rPr>
          <w:rStyle w:val="FootnoteReference"/>
        </w:rPr>
        <w:footnoteRef/>
      </w:r>
      <w:r w:rsidRPr="00245A2F">
        <w:t xml:space="preserve"> </w:t>
      </w:r>
      <w:r w:rsidRPr="00245A2F">
        <w:rPr>
          <w:rFonts w:eastAsia="Times New Roman" w:cs="Times New Roman"/>
          <w:sz w:val="20"/>
          <w:szCs w:val="20"/>
          <w:lang w:val="en-AU"/>
        </w:rPr>
        <w:t xml:space="preserve">Royal Commission into Institutional Responses to Child Sexual Abuse, </w:t>
      </w:r>
      <w:r w:rsidRPr="00F72A27">
        <w:rPr>
          <w:rFonts w:eastAsia="Times New Roman" w:cs="Times New Roman"/>
          <w:i/>
          <w:sz w:val="20"/>
          <w:szCs w:val="20"/>
          <w:lang w:val="en-AU"/>
        </w:rPr>
        <w:t>Final Report, Volume 4, Identifying and Disclosing Child Sexual Abuse</w:t>
      </w:r>
      <w:r>
        <w:rPr>
          <w:rFonts w:eastAsia="Times New Roman" w:cs="Times New Roman"/>
          <w:sz w:val="20"/>
          <w:szCs w:val="20"/>
          <w:lang w:val="en-AU"/>
        </w:rPr>
        <w:t xml:space="preserve"> (December 2017) at 9</w:t>
      </w:r>
      <w:r w:rsidRPr="00245A2F">
        <w:rPr>
          <w:rFonts w:eastAsia="Times New Roman" w:cs="Times New Roman"/>
          <w:sz w:val="20"/>
          <w:szCs w:val="20"/>
          <w:lang w:val="en-AU"/>
        </w:rPr>
        <w:t xml:space="preserve">. </w:t>
      </w:r>
    </w:p>
  </w:footnote>
  <w:footnote w:id="3">
    <w:p w14:paraId="71C86B89" w14:textId="1638B8F6" w:rsidR="006407B8" w:rsidRPr="009302B2" w:rsidRDefault="006407B8" w:rsidP="002B2F90">
      <w:pPr>
        <w:rPr>
          <w:sz w:val="20"/>
          <w:szCs w:val="20"/>
        </w:rPr>
      </w:pPr>
      <w:r w:rsidRPr="00245A2F">
        <w:rPr>
          <w:rStyle w:val="FootnoteReference"/>
        </w:rPr>
        <w:footnoteRef/>
      </w:r>
      <w:r w:rsidRPr="00245A2F">
        <w:t xml:space="preserve"> </w:t>
      </w:r>
      <w:r w:rsidRPr="009302B2">
        <w:rPr>
          <w:sz w:val="20"/>
          <w:szCs w:val="20"/>
        </w:rPr>
        <w:t xml:space="preserve">Knowmore, </w:t>
      </w:r>
      <w:r w:rsidRPr="009302B2">
        <w:rPr>
          <w:i/>
          <w:sz w:val="20"/>
          <w:szCs w:val="20"/>
        </w:rPr>
        <w:t>National Redress Scheme Infographic</w:t>
      </w:r>
      <w:r w:rsidRPr="009302B2">
        <w:rPr>
          <w:sz w:val="20"/>
          <w:szCs w:val="20"/>
        </w:rPr>
        <w:t xml:space="preserve"> (June 2019). As found at </w:t>
      </w:r>
      <w:hyperlink r:id="rId1" w:history="1">
        <w:r w:rsidRPr="009302B2">
          <w:rPr>
            <w:rStyle w:val="Hyperlink"/>
            <w:sz w:val="20"/>
            <w:szCs w:val="20"/>
          </w:rPr>
          <w:t>https://knowmore.org.au/wp-content/uploads/2019/08/12.-Redress-Scheme-Infographic-June-2019.pdf</w:t>
        </w:r>
      </w:hyperlink>
      <w:r w:rsidRPr="009302B2">
        <w:rPr>
          <w:sz w:val="20"/>
          <w:szCs w:val="20"/>
        </w:rPr>
        <w:t xml:space="preserve">  </w:t>
      </w:r>
      <w:r w:rsidRPr="009302B2">
        <w:rPr>
          <w:rFonts w:eastAsia="Times New Roman" w:cs="Times New Roman"/>
          <w:sz w:val="20"/>
          <w:szCs w:val="20"/>
          <w:lang w:val="en-AU"/>
        </w:rPr>
        <w:t>(Accessed 31 July 2019).</w:t>
      </w:r>
      <w:r w:rsidRPr="00245A2F">
        <w:rPr>
          <w:rFonts w:eastAsia="Times New Roman" w:cs="Times New Roman"/>
          <w:sz w:val="20"/>
          <w:szCs w:val="20"/>
          <w:lang w:val="en-AU"/>
        </w:rPr>
        <w:t xml:space="preserve"> </w:t>
      </w:r>
    </w:p>
  </w:footnote>
  <w:footnote w:id="4">
    <w:p w14:paraId="7304DF9F" w14:textId="47C9E2C2" w:rsidR="006407B8" w:rsidRPr="00245A2F" w:rsidRDefault="006407B8">
      <w:pPr>
        <w:pStyle w:val="FootnoteText"/>
      </w:pPr>
      <w:r w:rsidRPr="00245A2F">
        <w:rPr>
          <w:rStyle w:val="FootnoteReference"/>
        </w:rPr>
        <w:footnoteRef/>
      </w:r>
      <w:r w:rsidRPr="00245A2F">
        <w:t xml:space="preserve"> </w:t>
      </w:r>
      <w:r w:rsidRPr="00245A2F">
        <w:rPr>
          <w:sz w:val="20"/>
          <w:szCs w:val="20"/>
        </w:rPr>
        <w:t xml:space="preserve">Section 5B(1) of the </w:t>
      </w:r>
      <w:r w:rsidRPr="00245A2F">
        <w:rPr>
          <w:i/>
          <w:sz w:val="20"/>
          <w:szCs w:val="20"/>
        </w:rPr>
        <w:t>Limitations Act 1974</w:t>
      </w:r>
      <w:r w:rsidRPr="00245A2F">
        <w:rPr>
          <w:sz w:val="20"/>
          <w:szCs w:val="20"/>
        </w:rPr>
        <w:t xml:space="preserve"> (Tas).</w:t>
      </w:r>
      <w:r w:rsidRPr="00245A2F">
        <w:t xml:space="preserve"> </w:t>
      </w:r>
    </w:p>
  </w:footnote>
  <w:footnote w:id="5">
    <w:p w14:paraId="6ACE99A9" w14:textId="6EE137D7" w:rsidR="006407B8" w:rsidRPr="00245A2F" w:rsidRDefault="006407B8" w:rsidP="00896B9F">
      <w:pPr>
        <w:rPr>
          <w:rFonts w:eastAsia="Times New Roman" w:cs="Times New Roman"/>
          <w:sz w:val="20"/>
          <w:szCs w:val="20"/>
          <w:lang w:val="en-AU"/>
        </w:rPr>
      </w:pPr>
      <w:r w:rsidRPr="00245A2F">
        <w:rPr>
          <w:rStyle w:val="FootnoteReference"/>
        </w:rPr>
        <w:footnoteRef/>
      </w:r>
      <w:r w:rsidRPr="00245A2F">
        <w:t xml:space="preserve"> </w:t>
      </w:r>
      <w:r w:rsidRPr="00245A2F">
        <w:rPr>
          <w:rFonts w:eastAsia="Times New Roman" w:cs="Times New Roman"/>
          <w:bCs/>
          <w:color w:val="000000" w:themeColor="text1"/>
          <w:spacing w:val="-5"/>
          <w:kern w:val="36"/>
          <w:sz w:val="20"/>
          <w:szCs w:val="20"/>
          <w:lang w:val="en-AU"/>
        </w:rPr>
        <w:t xml:space="preserve">[2019] QSC 157. Also see </w:t>
      </w:r>
      <w:r w:rsidRPr="00245A2F">
        <w:rPr>
          <w:rFonts w:eastAsia="Times New Roman" w:cs="Times New Roman"/>
          <w:bCs/>
          <w:i/>
          <w:color w:val="000000" w:themeColor="text1"/>
          <w:spacing w:val="-5"/>
          <w:kern w:val="36"/>
          <w:sz w:val="20"/>
          <w:szCs w:val="20"/>
          <w:lang w:val="en-AU"/>
        </w:rPr>
        <w:t xml:space="preserve">JAS </w:t>
      </w:r>
      <w:r w:rsidRPr="00245A2F">
        <w:rPr>
          <w:rFonts w:eastAsia="Times New Roman" w:cs="Times New Roman"/>
          <w:i/>
          <w:iCs/>
          <w:color w:val="000000" w:themeColor="text1"/>
          <w:sz w:val="20"/>
          <w:szCs w:val="20"/>
          <w:shd w:val="clear" w:color="auto" w:fill="FFFFFF"/>
          <w:lang w:val="en-AU"/>
        </w:rPr>
        <w:t>v Trustees of Christian Brothers </w:t>
      </w:r>
      <w:r w:rsidRPr="00245A2F">
        <w:rPr>
          <w:rFonts w:eastAsia="Times New Roman" w:cs="Times New Roman"/>
          <w:color w:val="000000" w:themeColor="text1"/>
          <w:sz w:val="20"/>
          <w:szCs w:val="20"/>
          <w:shd w:val="clear" w:color="auto" w:fill="FFFFFF"/>
          <w:lang w:val="en-AU"/>
        </w:rPr>
        <w:t>[2018] WADC 169</w:t>
      </w:r>
      <w:r w:rsidRPr="00245A2F">
        <w:rPr>
          <w:rFonts w:eastAsia="Times New Roman" w:cs="Times New Roman"/>
          <w:i/>
          <w:iCs/>
          <w:color w:val="000000" w:themeColor="text1"/>
          <w:sz w:val="20"/>
          <w:szCs w:val="20"/>
          <w:shd w:val="clear" w:color="auto" w:fill="FFFFFF"/>
          <w:lang w:val="en-AU"/>
        </w:rPr>
        <w:t xml:space="preserve"> </w:t>
      </w:r>
      <w:r w:rsidRPr="00245A2F">
        <w:rPr>
          <w:rFonts w:eastAsia="Times New Roman" w:cs="Times New Roman"/>
          <w:iCs/>
          <w:color w:val="000000" w:themeColor="text1"/>
          <w:sz w:val="20"/>
          <w:szCs w:val="20"/>
          <w:shd w:val="clear" w:color="auto" w:fill="FFFFFF"/>
          <w:lang w:val="en-AU"/>
        </w:rPr>
        <w:t xml:space="preserve">in which the respondent did not oppose the application. </w:t>
      </w:r>
    </w:p>
  </w:footnote>
  <w:footnote w:id="6">
    <w:p w14:paraId="532E4650" w14:textId="55C5AB07" w:rsidR="006407B8" w:rsidRPr="00245A2F" w:rsidRDefault="006407B8">
      <w:pPr>
        <w:pStyle w:val="FootnoteText"/>
      </w:pPr>
      <w:r w:rsidRPr="00245A2F">
        <w:rPr>
          <w:rStyle w:val="FootnoteReference"/>
        </w:rPr>
        <w:footnoteRef/>
      </w:r>
      <w:r w:rsidRPr="00245A2F">
        <w:t xml:space="preserve"> </w:t>
      </w:r>
      <w:r w:rsidRPr="00245A2F">
        <w:rPr>
          <w:rFonts w:eastAsia="Times New Roman" w:cs="Times New Roman"/>
          <w:bCs/>
          <w:color w:val="000000" w:themeColor="text1"/>
          <w:spacing w:val="-5"/>
          <w:kern w:val="36"/>
          <w:sz w:val="20"/>
          <w:szCs w:val="20"/>
          <w:lang w:val="en-AU"/>
        </w:rPr>
        <w:t xml:space="preserve">[2019] QSC 157 at paras [161]-[271].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0B8"/>
    <w:multiLevelType w:val="multilevel"/>
    <w:tmpl w:val="938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073CB"/>
    <w:multiLevelType w:val="multilevel"/>
    <w:tmpl w:val="1694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20AB1"/>
    <w:multiLevelType w:val="multilevel"/>
    <w:tmpl w:val="9086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F34CC"/>
    <w:multiLevelType w:val="multilevel"/>
    <w:tmpl w:val="8028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D0EC6"/>
    <w:multiLevelType w:val="multilevel"/>
    <w:tmpl w:val="DF56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76E87"/>
    <w:multiLevelType w:val="multilevel"/>
    <w:tmpl w:val="DD26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40500"/>
    <w:multiLevelType w:val="multilevel"/>
    <w:tmpl w:val="EC0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F4CD7"/>
    <w:multiLevelType w:val="hybridMultilevel"/>
    <w:tmpl w:val="154C4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34281"/>
    <w:multiLevelType w:val="multilevel"/>
    <w:tmpl w:val="2DB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C24F4"/>
    <w:multiLevelType w:val="hybridMultilevel"/>
    <w:tmpl w:val="A294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27928"/>
    <w:multiLevelType w:val="multilevel"/>
    <w:tmpl w:val="8028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C67177"/>
    <w:multiLevelType w:val="multilevel"/>
    <w:tmpl w:val="44D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6D2479"/>
    <w:multiLevelType w:val="multilevel"/>
    <w:tmpl w:val="DCD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85"/>
    </w:lvlOverride>
  </w:num>
  <w:num w:numId="2">
    <w:abstractNumId w:val="2"/>
    <w:lvlOverride w:ilvl="0">
      <w:startOverride w:val="86"/>
    </w:lvlOverride>
  </w:num>
  <w:num w:numId="3">
    <w:abstractNumId w:val="2"/>
    <w:lvlOverride w:ilvl="0">
      <w:startOverride w:val="87"/>
    </w:lvlOverride>
  </w:num>
  <w:num w:numId="4">
    <w:abstractNumId w:val="2"/>
    <w:lvlOverride w:ilvl="0">
      <w:startOverride w:val="88"/>
    </w:lvlOverride>
  </w:num>
  <w:num w:numId="5">
    <w:abstractNumId w:val="10"/>
    <w:lvlOverride w:ilvl="0">
      <w:startOverride w:val="63"/>
    </w:lvlOverride>
  </w:num>
  <w:num w:numId="6">
    <w:abstractNumId w:val="3"/>
  </w:num>
  <w:num w:numId="7">
    <w:abstractNumId w:val="12"/>
  </w:num>
  <w:num w:numId="8">
    <w:abstractNumId w:val="5"/>
  </w:num>
  <w:num w:numId="9">
    <w:abstractNumId w:val="1"/>
  </w:num>
  <w:num w:numId="10">
    <w:abstractNumId w:val="11"/>
  </w:num>
  <w:num w:numId="11">
    <w:abstractNumId w:val="8"/>
  </w:num>
  <w:num w:numId="12">
    <w:abstractNumId w:val="4"/>
  </w:num>
  <w:num w:numId="13">
    <w:abstractNumId w:val="6"/>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68"/>
    <w:rsid w:val="00022AF2"/>
    <w:rsid w:val="00023B63"/>
    <w:rsid w:val="000919A6"/>
    <w:rsid w:val="000D0C5E"/>
    <w:rsid w:val="000D5BC9"/>
    <w:rsid w:val="000D729A"/>
    <w:rsid w:val="000E20F3"/>
    <w:rsid w:val="001416DE"/>
    <w:rsid w:val="00171B9A"/>
    <w:rsid w:val="001D194F"/>
    <w:rsid w:val="001E32A4"/>
    <w:rsid w:val="001E587D"/>
    <w:rsid w:val="002236E0"/>
    <w:rsid w:val="00245A2F"/>
    <w:rsid w:val="00267497"/>
    <w:rsid w:val="002B2F90"/>
    <w:rsid w:val="00370664"/>
    <w:rsid w:val="003F1012"/>
    <w:rsid w:val="003F5EE1"/>
    <w:rsid w:val="00404ACE"/>
    <w:rsid w:val="004310DC"/>
    <w:rsid w:val="004625CE"/>
    <w:rsid w:val="004806CC"/>
    <w:rsid w:val="004C0469"/>
    <w:rsid w:val="004F5F51"/>
    <w:rsid w:val="00534C0B"/>
    <w:rsid w:val="005353F8"/>
    <w:rsid w:val="005414DB"/>
    <w:rsid w:val="005512A4"/>
    <w:rsid w:val="005824FE"/>
    <w:rsid w:val="005B7AE4"/>
    <w:rsid w:val="005D2B5A"/>
    <w:rsid w:val="005E0267"/>
    <w:rsid w:val="005F2BF6"/>
    <w:rsid w:val="00622064"/>
    <w:rsid w:val="00624C7B"/>
    <w:rsid w:val="006333E7"/>
    <w:rsid w:val="006407B8"/>
    <w:rsid w:val="00645889"/>
    <w:rsid w:val="00661BFD"/>
    <w:rsid w:val="006D10A9"/>
    <w:rsid w:val="006E158C"/>
    <w:rsid w:val="007106CA"/>
    <w:rsid w:val="00715DD5"/>
    <w:rsid w:val="007215A5"/>
    <w:rsid w:val="007470F9"/>
    <w:rsid w:val="007806AF"/>
    <w:rsid w:val="007E6A68"/>
    <w:rsid w:val="007F316F"/>
    <w:rsid w:val="008124A4"/>
    <w:rsid w:val="00896B9F"/>
    <w:rsid w:val="008B5BE8"/>
    <w:rsid w:val="00922D8B"/>
    <w:rsid w:val="009237D3"/>
    <w:rsid w:val="009302B2"/>
    <w:rsid w:val="00937F25"/>
    <w:rsid w:val="00972DD2"/>
    <w:rsid w:val="009A764A"/>
    <w:rsid w:val="009B018D"/>
    <w:rsid w:val="009C56CF"/>
    <w:rsid w:val="009F2A7C"/>
    <w:rsid w:val="009F38FC"/>
    <w:rsid w:val="00A61475"/>
    <w:rsid w:val="00AF01A3"/>
    <w:rsid w:val="00B10939"/>
    <w:rsid w:val="00B45C8F"/>
    <w:rsid w:val="00B7249A"/>
    <w:rsid w:val="00B756A5"/>
    <w:rsid w:val="00BC1D5E"/>
    <w:rsid w:val="00C64F1B"/>
    <w:rsid w:val="00C74632"/>
    <w:rsid w:val="00CD7F5E"/>
    <w:rsid w:val="00D6342C"/>
    <w:rsid w:val="00D75D92"/>
    <w:rsid w:val="00DB5BC4"/>
    <w:rsid w:val="00E91D12"/>
    <w:rsid w:val="00EF7F61"/>
    <w:rsid w:val="00F023EE"/>
    <w:rsid w:val="00F13E37"/>
    <w:rsid w:val="00F35F8A"/>
    <w:rsid w:val="00F36DD8"/>
    <w:rsid w:val="00F7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DBD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68"/>
  </w:style>
  <w:style w:type="paragraph" w:styleId="Heading1">
    <w:name w:val="heading 1"/>
    <w:basedOn w:val="Normal"/>
    <w:link w:val="Heading1Char"/>
    <w:uiPriority w:val="9"/>
    <w:qFormat/>
    <w:rsid w:val="007215A5"/>
    <w:pPr>
      <w:spacing w:before="100" w:beforeAutospacing="1" w:after="100" w:afterAutospacing="1"/>
      <w:outlineLvl w:val="0"/>
    </w:pPr>
    <w:rPr>
      <w:rFonts w:ascii="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7E6A68"/>
  </w:style>
  <w:style w:type="character" w:customStyle="1" w:styleId="FootnoteTextChar">
    <w:name w:val="Footnote Text Char"/>
    <w:aliases w:val="Footnote Char,Text Char"/>
    <w:basedOn w:val="DefaultParagraphFont"/>
    <w:link w:val="FootnoteText"/>
    <w:rsid w:val="007E6A68"/>
  </w:style>
  <w:style w:type="character" w:styleId="FootnoteReference">
    <w:name w:val="footnote reference"/>
    <w:basedOn w:val="DefaultParagraphFont"/>
    <w:unhideWhenUsed/>
    <w:rsid w:val="007E6A68"/>
    <w:rPr>
      <w:vertAlign w:val="superscript"/>
    </w:rPr>
  </w:style>
  <w:style w:type="paragraph" w:styleId="Footer">
    <w:name w:val="footer"/>
    <w:basedOn w:val="Normal"/>
    <w:link w:val="FooterChar"/>
    <w:uiPriority w:val="99"/>
    <w:unhideWhenUsed/>
    <w:rsid w:val="007E6A68"/>
    <w:pPr>
      <w:tabs>
        <w:tab w:val="center" w:pos="4513"/>
        <w:tab w:val="right" w:pos="9026"/>
      </w:tabs>
    </w:pPr>
  </w:style>
  <w:style w:type="character" w:customStyle="1" w:styleId="FooterChar">
    <w:name w:val="Footer Char"/>
    <w:basedOn w:val="DefaultParagraphFont"/>
    <w:link w:val="Footer"/>
    <w:uiPriority w:val="99"/>
    <w:rsid w:val="007E6A68"/>
  </w:style>
  <w:style w:type="character" w:styleId="PageNumber">
    <w:name w:val="page number"/>
    <w:basedOn w:val="DefaultParagraphFont"/>
    <w:uiPriority w:val="99"/>
    <w:semiHidden/>
    <w:unhideWhenUsed/>
    <w:rsid w:val="007E6A68"/>
  </w:style>
  <w:style w:type="paragraph" w:styleId="BalloonText">
    <w:name w:val="Balloon Text"/>
    <w:basedOn w:val="Normal"/>
    <w:link w:val="BalloonTextChar"/>
    <w:uiPriority w:val="99"/>
    <w:semiHidden/>
    <w:unhideWhenUsed/>
    <w:rsid w:val="007E6A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A68"/>
    <w:rPr>
      <w:rFonts w:ascii="Lucida Grande" w:hAnsi="Lucida Grande" w:cs="Lucida Grande"/>
      <w:sz w:val="18"/>
      <w:szCs w:val="18"/>
    </w:rPr>
  </w:style>
  <w:style w:type="paragraph" w:styleId="NormalWeb">
    <w:name w:val="Normal (Web)"/>
    <w:basedOn w:val="Normal"/>
    <w:uiPriority w:val="99"/>
    <w:unhideWhenUsed/>
    <w:rsid w:val="007E6A68"/>
    <w:pPr>
      <w:spacing w:before="100" w:beforeAutospacing="1" w:after="100" w:afterAutospacing="1"/>
    </w:pPr>
    <w:rPr>
      <w:rFonts w:ascii="Times New Roman" w:hAnsi="Times New Roman" w:cs="Times New Roman"/>
      <w:sz w:val="20"/>
      <w:szCs w:val="20"/>
      <w:lang w:val="en-AU"/>
    </w:rPr>
  </w:style>
  <w:style w:type="character" w:styleId="Emphasis">
    <w:name w:val="Emphasis"/>
    <w:basedOn w:val="DefaultParagraphFont"/>
    <w:uiPriority w:val="20"/>
    <w:qFormat/>
    <w:rsid w:val="007E6A68"/>
    <w:rPr>
      <w:i/>
      <w:iCs/>
    </w:rPr>
  </w:style>
  <w:style w:type="character" w:styleId="Hyperlink">
    <w:name w:val="Hyperlink"/>
    <w:basedOn w:val="DefaultParagraphFont"/>
    <w:uiPriority w:val="99"/>
    <w:unhideWhenUsed/>
    <w:rsid w:val="005F2BF6"/>
    <w:rPr>
      <w:color w:val="0000FF"/>
      <w:u w:val="single"/>
    </w:rPr>
  </w:style>
  <w:style w:type="character" w:customStyle="1" w:styleId="Heading1Char">
    <w:name w:val="Heading 1 Char"/>
    <w:basedOn w:val="DefaultParagraphFont"/>
    <w:link w:val="Heading1"/>
    <w:uiPriority w:val="9"/>
    <w:rsid w:val="007215A5"/>
    <w:rPr>
      <w:rFonts w:ascii="Times New Roman" w:hAnsi="Times New Roman" w:cs="Times New Roman"/>
      <w:b/>
      <w:bCs/>
      <w:kern w:val="36"/>
      <w:sz w:val="48"/>
      <w:szCs w:val="48"/>
      <w:lang w:val="en-AU"/>
    </w:rPr>
  </w:style>
  <w:style w:type="paragraph" w:customStyle="1" w:styleId="headingparagraph">
    <w:name w:val="headingparagraph"/>
    <w:basedOn w:val="Normal"/>
    <w:rsid w:val="00EF7F61"/>
    <w:pPr>
      <w:spacing w:before="100" w:beforeAutospacing="1" w:after="100" w:afterAutospacing="1"/>
    </w:pPr>
    <w:rPr>
      <w:rFonts w:ascii="Times New Roman" w:hAnsi="Times New Roman" w:cs="Times New Roman"/>
      <w:sz w:val="20"/>
      <w:szCs w:val="20"/>
      <w:lang w:val="en-AU"/>
    </w:rPr>
  </w:style>
  <w:style w:type="character" w:customStyle="1" w:styleId="spellingerror">
    <w:name w:val="spellingerror"/>
    <w:basedOn w:val="DefaultParagraphFont"/>
    <w:rsid w:val="009A764A"/>
  </w:style>
  <w:style w:type="character" w:customStyle="1" w:styleId="normaltextrun">
    <w:name w:val="normaltextrun"/>
    <w:basedOn w:val="DefaultParagraphFont"/>
    <w:rsid w:val="009A764A"/>
  </w:style>
  <w:style w:type="paragraph" w:styleId="ListParagraph">
    <w:name w:val="List Paragraph"/>
    <w:basedOn w:val="Normal"/>
    <w:uiPriority w:val="34"/>
    <w:qFormat/>
    <w:rsid w:val="002236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68"/>
  </w:style>
  <w:style w:type="paragraph" w:styleId="Heading1">
    <w:name w:val="heading 1"/>
    <w:basedOn w:val="Normal"/>
    <w:link w:val="Heading1Char"/>
    <w:uiPriority w:val="9"/>
    <w:qFormat/>
    <w:rsid w:val="007215A5"/>
    <w:pPr>
      <w:spacing w:before="100" w:beforeAutospacing="1" w:after="100" w:afterAutospacing="1"/>
      <w:outlineLvl w:val="0"/>
    </w:pPr>
    <w:rPr>
      <w:rFonts w:ascii="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7E6A68"/>
  </w:style>
  <w:style w:type="character" w:customStyle="1" w:styleId="FootnoteTextChar">
    <w:name w:val="Footnote Text Char"/>
    <w:aliases w:val="Footnote Char,Text Char"/>
    <w:basedOn w:val="DefaultParagraphFont"/>
    <w:link w:val="FootnoteText"/>
    <w:rsid w:val="007E6A68"/>
  </w:style>
  <w:style w:type="character" w:styleId="FootnoteReference">
    <w:name w:val="footnote reference"/>
    <w:basedOn w:val="DefaultParagraphFont"/>
    <w:unhideWhenUsed/>
    <w:rsid w:val="007E6A68"/>
    <w:rPr>
      <w:vertAlign w:val="superscript"/>
    </w:rPr>
  </w:style>
  <w:style w:type="paragraph" w:styleId="Footer">
    <w:name w:val="footer"/>
    <w:basedOn w:val="Normal"/>
    <w:link w:val="FooterChar"/>
    <w:uiPriority w:val="99"/>
    <w:unhideWhenUsed/>
    <w:rsid w:val="007E6A68"/>
    <w:pPr>
      <w:tabs>
        <w:tab w:val="center" w:pos="4513"/>
        <w:tab w:val="right" w:pos="9026"/>
      </w:tabs>
    </w:pPr>
  </w:style>
  <w:style w:type="character" w:customStyle="1" w:styleId="FooterChar">
    <w:name w:val="Footer Char"/>
    <w:basedOn w:val="DefaultParagraphFont"/>
    <w:link w:val="Footer"/>
    <w:uiPriority w:val="99"/>
    <w:rsid w:val="007E6A68"/>
  </w:style>
  <w:style w:type="character" w:styleId="PageNumber">
    <w:name w:val="page number"/>
    <w:basedOn w:val="DefaultParagraphFont"/>
    <w:uiPriority w:val="99"/>
    <w:semiHidden/>
    <w:unhideWhenUsed/>
    <w:rsid w:val="007E6A68"/>
  </w:style>
  <w:style w:type="paragraph" w:styleId="BalloonText">
    <w:name w:val="Balloon Text"/>
    <w:basedOn w:val="Normal"/>
    <w:link w:val="BalloonTextChar"/>
    <w:uiPriority w:val="99"/>
    <w:semiHidden/>
    <w:unhideWhenUsed/>
    <w:rsid w:val="007E6A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A68"/>
    <w:rPr>
      <w:rFonts w:ascii="Lucida Grande" w:hAnsi="Lucida Grande" w:cs="Lucida Grande"/>
      <w:sz w:val="18"/>
      <w:szCs w:val="18"/>
    </w:rPr>
  </w:style>
  <w:style w:type="paragraph" w:styleId="NormalWeb">
    <w:name w:val="Normal (Web)"/>
    <w:basedOn w:val="Normal"/>
    <w:uiPriority w:val="99"/>
    <w:unhideWhenUsed/>
    <w:rsid w:val="007E6A68"/>
    <w:pPr>
      <w:spacing w:before="100" w:beforeAutospacing="1" w:after="100" w:afterAutospacing="1"/>
    </w:pPr>
    <w:rPr>
      <w:rFonts w:ascii="Times New Roman" w:hAnsi="Times New Roman" w:cs="Times New Roman"/>
      <w:sz w:val="20"/>
      <w:szCs w:val="20"/>
      <w:lang w:val="en-AU"/>
    </w:rPr>
  </w:style>
  <w:style w:type="character" w:styleId="Emphasis">
    <w:name w:val="Emphasis"/>
    <w:basedOn w:val="DefaultParagraphFont"/>
    <w:uiPriority w:val="20"/>
    <w:qFormat/>
    <w:rsid w:val="007E6A68"/>
    <w:rPr>
      <w:i/>
      <w:iCs/>
    </w:rPr>
  </w:style>
  <w:style w:type="character" w:styleId="Hyperlink">
    <w:name w:val="Hyperlink"/>
    <w:basedOn w:val="DefaultParagraphFont"/>
    <w:uiPriority w:val="99"/>
    <w:unhideWhenUsed/>
    <w:rsid w:val="005F2BF6"/>
    <w:rPr>
      <w:color w:val="0000FF"/>
      <w:u w:val="single"/>
    </w:rPr>
  </w:style>
  <w:style w:type="character" w:customStyle="1" w:styleId="Heading1Char">
    <w:name w:val="Heading 1 Char"/>
    <w:basedOn w:val="DefaultParagraphFont"/>
    <w:link w:val="Heading1"/>
    <w:uiPriority w:val="9"/>
    <w:rsid w:val="007215A5"/>
    <w:rPr>
      <w:rFonts w:ascii="Times New Roman" w:hAnsi="Times New Roman" w:cs="Times New Roman"/>
      <w:b/>
      <w:bCs/>
      <w:kern w:val="36"/>
      <w:sz w:val="48"/>
      <w:szCs w:val="48"/>
      <w:lang w:val="en-AU"/>
    </w:rPr>
  </w:style>
  <w:style w:type="paragraph" w:customStyle="1" w:styleId="headingparagraph">
    <w:name w:val="headingparagraph"/>
    <w:basedOn w:val="Normal"/>
    <w:rsid w:val="00EF7F61"/>
    <w:pPr>
      <w:spacing w:before="100" w:beforeAutospacing="1" w:after="100" w:afterAutospacing="1"/>
    </w:pPr>
    <w:rPr>
      <w:rFonts w:ascii="Times New Roman" w:hAnsi="Times New Roman" w:cs="Times New Roman"/>
      <w:sz w:val="20"/>
      <w:szCs w:val="20"/>
      <w:lang w:val="en-AU"/>
    </w:rPr>
  </w:style>
  <w:style w:type="character" w:customStyle="1" w:styleId="spellingerror">
    <w:name w:val="spellingerror"/>
    <w:basedOn w:val="DefaultParagraphFont"/>
    <w:rsid w:val="009A764A"/>
  </w:style>
  <w:style w:type="character" w:customStyle="1" w:styleId="normaltextrun">
    <w:name w:val="normaltextrun"/>
    <w:basedOn w:val="DefaultParagraphFont"/>
    <w:rsid w:val="009A764A"/>
  </w:style>
  <w:style w:type="paragraph" w:styleId="ListParagraph">
    <w:name w:val="List Paragraph"/>
    <w:basedOn w:val="Normal"/>
    <w:uiPriority w:val="34"/>
    <w:qFormat/>
    <w:rsid w:val="0022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937">
      <w:bodyDiv w:val="1"/>
      <w:marLeft w:val="0"/>
      <w:marRight w:val="0"/>
      <w:marTop w:val="0"/>
      <w:marBottom w:val="0"/>
      <w:divBdr>
        <w:top w:val="none" w:sz="0" w:space="0" w:color="auto"/>
        <w:left w:val="none" w:sz="0" w:space="0" w:color="auto"/>
        <w:bottom w:val="none" w:sz="0" w:space="0" w:color="auto"/>
        <w:right w:val="none" w:sz="0" w:space="0" w:color="auto"/>
      </w:divBdr>
      <w:divsChild>
        <w:div w:id="126700818">
          <w:marLeft w:val="0"/>
          <w:marRight w:val="0"/>
          <w:marTop w:val="0"/>
          <w:marBottom w:val="0"/>
          <w:divBdr>
            <w:top w:val="none" w:sz="0" w:space="0" w:color="auto"/>
            <w:left w:val="none" w:sz="0" w:space="0" w:color="auto"/>
            <w:bottom w:val="none" w:sz="0" w:space="0" w:color="auto"/>
            <w:right w:val="none" w:sz="0" w:space="0" w:color="auto"/>
          </w:divBdr>
        </w:div>
        <w:div w:id="1442647544">
          <w:marLeft w:val="0"/>
          <w:marRight w:val="0"/>
          <w:marTop w:val="0"/>
          <w:marBottom w:val="0"/>
          <w:divBdr>
            <w:top w:val="none" w:sz="0" w:space="0" w:color="auto"/>
            <w:left w:val="none" w:sz="0" w:space="0" w:color="auto"/>
            <w:bottom w:val="none" w:sz="0" w:space="0" w:color="auto"/>
            <w:right w:val="none" w:sz="0" w:space="0" w:color="auto"/>
          </w:divBdr>
        </w:div>
      </w:divsChild>
    </w:div>
    <w:div w:id="34284017">
      <w:bodyDiv w:val="1"/>
      <w:marLeft w:val="0"/>
      <w:marRight w:val="0"/>
      <w:marTop w:val="0"/>
      <w:marBottom w:val="0"/>
      <w:divBdr>
        <w:top w:val="none" w:sz="0" w:space="0" w:color="auto"/>
        <w:left w:val="none" w:sz="0" w:space="0" w:color="auto"/>
        <w:bottom w:val="none" w:sz="0" w:space="0" w:color="auto"/>
        <w:right w:val="none" w:sz="0" w:space="0" w:color="auto"/>
      </w:divBdr>
    </w:div>
    <w:div w:id="64958055">
      <w:bodyDiv w:val="1"/>
      <w:marLeft w:val="0"/>
      <w:marRight w:val="0"/>
      <w:marTop w:val="0"/>
      <w:marBottom w:val="0"/>
      <w:divBdr>
        <w:top w:val="none" w:sz="0" w:space="0" w:color="auto"/>
        <w:left w:val="none" w:sz="0" w:space="0" w:color="auto"/>
        <w:bottom w:val="none" w:sz="0" w:space="0" w:color="auto"/>
        <w:right w:val="none" w:sz="0" w:space="0" w:color="auto"/>
      </w:divBdr>
      <w:divsChild>
        <w:div w:id="48065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3997">
      <w:bodyDiv w:val="1"/>
      <w:marLeft w:val="0"/>
      <w:marRight w:val="0"/>
      <w:marTop w:val="0"/>
      <w:marBottom w:val="0"/>
      <w:divBdr>
        <w:top w:val="none" w:sz="0" w:space="0" w:color="auto"/>
        <w:left w:val="none" w:sz="0" w:space="0" w:color="auto"/>
        <w:bottom w:val="none" w:sz="0" w:space="0" w:color="auto"/>
        <w:right w:val="none" w:sz="0" w:space="0" w:color="auto"/>
      </w:divBdr>
    </w:div>
    <w:div w:id="104928706">
      <w:bodyDiv w:val="1"/>
      <w:marLeft w:val="0"/>
      <w:marRight w:val="0"/>
      <w:marTop w:val="0"/>
      <w:marBottom w:val="0"/>
      <w:divBdr>
        <w:top w:val="none" w:sz="0" w:space="0" w:color="auto"/>
        <w:left w:val="none" w:sz="0" w:space="0" w:color="auto"/>
        <w:bottom w:val="none" w:sz="0" w:space="0" w:color="auto"/>
        <w:right w:val="none" w:sz="0" w:space="0" w:color="auto"/>
      </w:divBdr>
      <w:divsChild>
        <w:div w:id="147883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2376">
      <w:bodyDiv w:val="1"/>
      <w:marLeft w:val="0"/>
      <w:marRight w:val="0"/>
      <w:marTop w:val="0"/>
      <w:marBottom w:val="0"/>
      <w:divBdr>
        <w:top w:val="none" w:sz="0" w:space="0" w:color="auto"/>
        <w:left w:val="none" w:sz="0" w:space="0" w:color="auto"/>
        <w:bottom w:val="none" w:sz="0" w:space="0" w:color="auto"/>
        <w:right w:val="none" w:sz="0" w:space="0" w:color="auto"/>
      </w:divBdr>
      <w:divsChild>
        <w:div w:id="10231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994365">
      <w:bodyDiv w:val="1"/>
      <w:marLeft w:val="0"/>
      <w:marRight w:val="0"/>
      <w:marTop w:val="0"/>
      <w:marBottom w:val="0"/>
      <w:divBdr>
        <w:top w:val="none" w:sz="0" w:space="0" w:color="auto"/>
        <w:left w:val="none" w:sz="0" w:space="0" w:color="auto"/>
        <w:bottom w:val="none" w:sz="0" w:space="0" w:color="auto"/>
        <w:right w:val="none" w:sz="0" w:space="0" w:color="auto"/>
      </w:divBdr>
      <w:divsChild>
        <w:div w:id="99014116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53393504">
              <w:blockQuote w:val="1"/>
              <w:marLeft w:val="0"/>
              <w:marRight w:val="0"/>
              <w:marTop w:val="120"/>
              <w:marBottom w:val="120"/>
              <w:divBdr>
                <w:top w:val="none" w:sz="0" w:space="0" w:color="auto"/>
                <w:left w:val="none" w:sz="0" w:space="0" w:color="auto"/>
                <w:bottom w:val="none" w:sz="0" w:space="0" w:color="auto"/>
                <w:right w:val="none" w:sz="0" w:space="0" w:color="auto"/>
              </w:divBdr>
              <w:divsChild>
                <w:div w:id="813832874">
                  <w:blockQuote w:val="1"/>
                  <w:marLeft w:val="0"/>
                  <w:marRight w:val="0"/>
                  <w:marTop w:val="120"/>
                  <w:marBottom w:val="120"/>
                  <w:divBdr>
                    <w:top w:val="none" w:sz="0" w:space="0" w:color="auto"/>
                    <w:left w:val="none" w:sz="0" w:space="0" w:color="auto"/>
                    <w:bottom w:val="none" w:sz="0" w:space="0" w:color="auto"/>
                    <w:right w:val="none" w:sz="0" w:space="0" w:color="auto"/>
                  </w:divBdr>
                </w:div>
                <w:div w:id="18604669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9518766">
              <w:blockQuote w:val="1"/>
              <w:marLeft w:val="0"/>
              <w:marRight w:val="0"/>
              <w:marTop w:val="120"/>
              <w:marBottom w:val="120"/>
              <w:divBdr>
                <w:top w:val="none" w:sz="0" w:space="0" w:color="auto"/>
                <w:left w:val="none" w:sz="0" w:space="0" w:color="auto"/>
                <w:bottom w:val="none" w:sz="0" w:space="0" w:color="auto"/>
                <w:right w:val="none" w:sz="0" w:space="0" w:color="auto"/>
              </w:divBdr>
            </w:div>
            <w:div w:id="1889610179">
              <w:blockQuote w:val="1"/>
              <w:marLeft w:val="0"/>
              <w:marRight w:val="0"/>
              <w:marTop w:val="120"/>
              <w:marBottom w:val="120"/>
              <w:divBdr>
                <w:top w:val="none" w:sz="0" w:space="0" w:color="auto"/>
                <w:left w:val="none" w:sz="0" w:space="0" w:color="auto"/>
                <w:bottom w:val="none" w:sz="0" w:space="0" w:color="auto"/>
                <w:right w:val="none" w:sz="0" w:space="0" w:color="auto"/>
              </w:divBdr>
              <w:divsChild>
                <w:div w:id="1031224778">
                  <w:blockQuote w:val="1"/>
                  <w:marLeft w:val="0"/>
                  <w:marRight w:val="0"/>
                  <w:marTop w:val="120"/>
                  <w:marBottom w:val="120"/>
                  <w:divBdr>
                    <w:top w:val="none" w:sz="0" w:space="0" w:color="auto"/>
                    <w:left w:val="none" w:sz="0" w:space="0" w:color="auto"/>
                    <w:bottom w:val="none" w:sz="0" w:space="0" w:color="auto"/>
                    <w:right w:val="none" w:sz="0" w:space="0" w:color="auto"/>
                  </w:divBdr>
                </w:div>
                <w:div w:id="3432406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20028109">
      <w:bodyDiv w:val="1"/>
      <w:marLeft w:val="0"/>
      <w:marRight w:val="0"/>
      <w:marTop w:val="0"/>
      <w:marBottom w:val="0"/>
      <w:divBdr>
        <w:top w:val="none" w:sz="0" w:space="0" w:color="auto"/>
        <w:left w:val="none" w:sz="0" w:space="0" w:color="auto"/>
        <w:bottom w:val="none" w:sz="0" w:space="0" w:color="auto"/>
        <w:right w:val="none" w:sz="0" w:space="0" w:color="auto"/>
      </w:divBdr>
    </w:div>
    <w:div w:id="431826811">
      <w:bodyDiv w:val="1"/>
      <w:marLeft w:val="0"/>
      <w:marRight w:val="0"/>
      <w:marTop w:val="0"/>
      <w:marBottom w:val="0"/>
      <w:divBdr>
        <w:top w:val="none" w:sz="0" w:space="0" w:color="auto"/>
        <w:left w:val="none" w:sz="0" w:space="0" w:color="auto"/>
        <w:bottom w:val="none" w:sz="0" w:space="0" w:color="auto"/>
        <w:right w:val="none" w:sz="0" w:space="0" w:color="auto"/>
      </w:divBdr>
    </w:div>
    <w:div w:id="436679318">
      <w:bodyDiv w:val="1"/>
      <w:marLeft w:val="0"/>
      <w:marRight w:val="0"/>
      <w:marTop w:val="0"/>
      <w:marBottom w:val="0"/>
      <w:divBdr>
        <w:top w:val="none" w:sz="0" w:space="0" w:color="auto"/>
        <w:left w:val="none" w:sz="0" w:space="0" w:color="auto"/>
        <w:bottom w:val="none" w:sz="0" w:space="0" w:color="auto"/>
        <w:right w:val="none" w:sz="0" w:space="0" w:color="auto"/>
      </w:divBdr>
    </w:div>
    <w:div w:id="441802302">
      <w:bodyDiv w:val="1"/>
      <w:marLeft w:val="0"/>
      <w:marRight w:val="0"/>
      <w:marTop w:val="0"/>
      <w:marBottom w:val="0"/>
      <w:divBdr>
        <w:top w:val="none" w:sz="0" w:space="0" w:color="auto"/>
        <w:left w:val="none" w:sz="0" w:space="0" w:color="auto"/>
        <w:bottom w:val="none" w:sz="0" w:space="0" w:color="auto"/>
        <w:right w:val="none" w:sz="0" w:space="0" w:color="auto"/>
      </w:divBdr>
    </w:div>
    <w:div w:id="540871318">
      <w:bodyDiv w:val="1"/>
      <w:marLeft w:val="0"/>
      <w:marRight w:val="0"/>
      <w:marTop w:val="0"/>
      <w:marBottom w:val="0"/>
      <w:divBdr>
        <w:top w:val="none" w:sz="0" w:space="0" w:color="auto"/>
        <w:left w:val="none" w:sz="0" w:space="0" w:color="auto"/>
        <w:bottom w:val="none" w:sz="0" w:space="0" w:color="auto"/>
        <w:right w:val="none" w:sz="0" w:space="0" w:color="auto"/>
      </w:divBdr>
    </w:div>
    <w:div w:id="646209107">
      <w:bodyDiv w:val="1"/>
      <w:marLeft w:val="0"/>
      <w:marRight w:val="0"/>
      <w:marTop w:val="0"/>
      <w:marBottom w:val="0"/>
      <w:divBdr>
        <w:top w:val="none" w:sz="0" w:space="0" w:color="auto"/>
        <w:left w:val="none" w:sz="0" w:space="0" w:color="auto"/>
        <w:bottom w:val="none" w:sz="0" w:space="0" w:color="auto"/>
        <w:right w:val="none" w:sz="0" w:space="0" w:color="auto"/>
      </w:divBdr>
    </w:div>
    <w:div w:id="743796696">
      <w:bodyDiv w:val="1"/>
      <w:marLeft w:val="0"/>
      <w:marRight w:val="0"/>
      <w:marTop w:val="0"/>
      <w:marBottom w:val="0"/>
      <w:divBdr>
        <w:top w:val="none" w:sz="0" w:space="0" w:color="auto"/>
        <w:left w:val="none" w:sz="0" w:space="0" w:color="auto"/>
        <w:bottom w:val="none" w:sz="0" w:space="0" w:color="auto"/>
        <w:right w:val="none" w:sz="0" w:space="0" w:color="auto"/>
      </w:divBdr>
    </w:div>
    <w:div w:id="746000247">
      <w:bodyDiv w:val="1"/>
      <w:marLeft w:val="0"/>
      <w:marRight w:val="0"/>
      <w:marTop w:val="0"/>
      <w:marBottom w:val="0"/>
      <w:divBdr>
        <w:top w:val="none" w:sz="0" w:space="0" w:color="auto"/>
        <w:left w:val="none" w:sz="0" w:space="0" w:color="auto"/>
        <w:bottom w:val="none" w:sz="0" w:space="0" w:color="auto"/>
        <w:right w:val="none" w:sz="0" w:space="0" w:color="auto"/>
      </w:divBdr>
    </w:div>
    <w:div w:id="836960897">
      <w:bodyDiv w:val="1"/>
      <w:marLeft w:val="0"/>
      <w:marRight w:val="0"/>
      <w:marTop w:val="0"/>
      <w:marBottom w:val="0"/>
      <w:divBdr>
        <w:top w:val="none" w:sz="0" w:space="0" w:color="auto"/>
        <w:left w:val="none" w:sz="0" w:space="0" w:color="auto"/>
        <w:bottom w:val="none" w:sz="0" w:space="0" w:color="auto"/>
        <w:right w:val="none" w:sz="0" w:space="0" w:color="auto"/>
      </w:divBdr>
    </w:div>
    <w:div w:id="886840547">
      <w:bodyDiv w:val="1"/>
      <w:marLeft w:val="0"/>
      <w:marRight w:val="0"/>
      <w:marTop w:val="0"/>
      <w:marBottom w:val="0"/>
      <w:divBdr>
        <w:top w:val="none" w:sz="0" w:space="0" w:color="auto"/>
        <w:left w:val="none" w:sz="0" w:space="0" w:color="auto"/>
        <w:bottom w:val="none" w:sz="0" w:space="0" w:color="auto"/>
        <w:right w:val="none" w:sz="0" w:space="0" w:color="auto"/>
      </w:divBdr>
      <w:divsChild>
        <w:div w:id="1458337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773012">
      <w:bodyDiv w:val="1"/>
      <w:marLeft w:val="0"/>
      <w:marRight w:val="0"/>
      <w:marTop w:val="0"/>
      <w:marBottom w:val="0"/>
      <w:divBdr>
        <w:top w:val="none" w:sz="0" w:space="0" w:color="auto"/>
        <w:left w:val="none" w:sz="0" w:space="0" w:color="auto"/>
        <w:bottom w:val="none" w:sz="0" w:space="0" w:color="auto"/>
        <w:right w:val="none" w:sz="0" w:space="0" w:color="auto"/>
      </w:divBdr>
    </w:div>
    <w:div w:id="940141656">
      <w:bodyDiv w:val="1"/>
      <w:marLeft w:val="0"/>
      <w:marRight w:val="0"/>
      <w:marTop w:val="0"/>
      <w:marBottom w:val="0"/>
      <w:divBdr>
        <w:top w:val="none" w:sz="0" w:space="0" w:color="auto"/>
        <w:left w:val="none" w:sz="0" w:space="0" w:color="auto"/>
        <w:bottom w:val="none" w:sz="0" w:space="0" w:color="auto"/>
        <w:right w:val="none" w:sz="0" w:space="0" w:color="auto"/>
      </w:divBdr>
    </w:div>
    <w:div w:id="941886628">
      <w:bodyDiv w:val="1"/>
      <w:marLeft w:val="0"/>
      <w:marRight w:val="0"/>
      <w:marTop w:val="0"/>
      <w:marBottom w:val="0"/>
      <w:divBdr>
        <w:top w:val="none" w:sz="0" w:space="0" w:color="auto"/>
        <w:left w:val="none" w:sz="0" w:space="0" w:color="auto"/>
        <w:bottom w:val="none" w:sz="0" w:space="0" w:color="auto"/>
        <w:right w:val="none" w:sz="0" w:space="0" w:color="auto"/>
      </w:divBdr>
    </w:div>
    <w:div w:id="1027369008">
      <w:bodyDiv w:val="1"/>
      <w:marLeft w:val="0"/>
      <w:marRight w:val="0"/>
      <w:marTop w:val="0"/>
      <w:marBottom w:val="0"/>
      <w:divBdr>
        <w:top w:val="none" w:sz="0" w:space="0" w:color="auto"/>
        <w:left w:val="none" w:sz="0" w:space="0" w:color="auto"/>
        <w:bottom w:val="none" w:sz="0" w:space="0" w:color="auto"/>
        <w:right w:val="none" w:sz="0" w:space="0" w:color="auto"/>
      </w:divBdr>
    </w:div>
    <w:div w:id="1034383943">
      <w:bodyDiv w:val="1"/>
      <w:marLeft w:val="0"/>
      <w:marRight w:val="0"/>
      <w:marTop w:val="0"/>
      <w:marBottom w:val="0"/>
      <w:divBdr>
        <w:top w:val="none" w:sz="0" w:space="0" w:color="auto"/>
        <w:left w:val="none" w:sz="0" w:space="0" w:color="auto"/>
        <w:bottom w:val="none" w:sz="0" w:space="0" w:color="auto"/>
        <w:right w:val="none" w:sz="0" w:space="0" w:color="auto"/>
      </w:divBdr>
    </w:div>
    <w:div w:id="1058045067">
      <w:bodyDiv w:val="1"/>
      <w:marLeft w:val="0"/>
      <w:marRight w:val="0"/>
      <w:marTop w:val="0"/>
      <w:marBottom w:val="0"/>
      <w:divBdr>
        <w:top w:val="none" w:sz="0" w:space="0" w:color="auto"/>
        <w:left w:val="none" w:sz="0" w:space="0" w:color="auto"/>
        <w:bottom w:val="none" w:sz="0" w:space="0" w:color="auto"/>
        <w:right w:val="none" w:sz="0" w:space="0" w:color="auto"/>
      </w:divBdr>
    </w:div>
    <w:div w:id="1061320611">
      <w:bodyDiv w:val="1"/>
      <w:marLeft w:val="0"/>
      <w:marRight w:val="0"/>
      <w:marTop w:val="0"/>
      <w:marBottom w:val="0"/>
      <w:divBdr>
        <w:top w:val="none" w:sz="0" w:space="0" w:color="auto"/>
        <w:left w:val="none" w:sz="0" w:space="0" w:color="auto"/>
        <w:bottom w:val="none" w:sz="0" w:space="0" w:color="auto"/>
        <w:right w:val="none" w:sz="0" w:space="0" w:color="auto"/>
      </w:divBdr>
    </w:div>
    <w:div w:id="1072659285">
      <w:bodyDiv w:val="1"/>
      <w:marLeft w:val="0"/>
      <w:marRight w:val="0"/>
      <w:marTop w:val="0"/>
      <w:marBottom w:val="0"/>
      <w:divBdr>
        <w:top w:val="none" w:sz="0" w:space="0" w:color="auto"/>
        <w:left w:val="none" w:sz="0" w:space="0" w:color="auto"/>
        <w:bottom w:val="none" w:sz="0" w:space="0" w:color="auto"/>
        <w:right w:val="none" w:sz="0" w:space="0" w:color="auto"/>
      </w:divBdr>
    </w:div>
    <w:div w:id="1100949553">
      <w:bodyDiv w:val="1"/>
      <w:marLeft w:val="0"/>
      <w:marRight w:val="0"/>
      <w:marTop w:val="0"/>
      <w:marBottom w:val="0"/>
      <w:divBdr>
        <w:top w:val="none" w:sz="0" w:space="0" w:color="auto"/>
        <w:left w:val="none" w:sz="0" w:space="0" w:color="auto"/>
        <w:bottom w:val="none" w:sz="0" w:space="0" w:color="auto"/>
        <w:right w:val="none" w:sz="0" w:space="0" w:color="auto"/>
      </w:divBdr>
    </w:div>
    <w:div w:id="1125319769">
      <w:bodyDiv w:val="1"/>
      <w:marLeft w:val="0"/>
      <w:marRight w:val="0"/>
      <w:marTop w:val="0"/>
      <w:marBottom w:val="0"/>
      <w:divBdr>
        <w:top w:val="none" w:sz="0" w:space="0" w:color="auto"/>
        <w:left w:val="none" w:sz="0" w:space="0" w:color="auto"/>
        <w:bottom w:val="none" w:sz="0" w:space="0" w:color="auto"/>
        <w:right w:val="none" w:sz="0" w:space="0" w:color="auto"/>
      </w:divBdr>
    </w:div>
    <w:div w:id="1300959037">
      <w:bodyDiv w:val="1"/>
      <w:marLeft w:val="0"/>
      <w:marRight w:val="0"/>
      <w:marTop w:val="0"/>
      <w:marBottom w:val="0"/>
      <w:divBdr>
        <w:top w:val="none" w:sz="0" w:space="0" w:color="auto"/>
        <w:left w:val="none" w:sz="0" w:space="0" w:color="auto"/>
        <w:bottom w:val="none" w:sz="0" w:space="0" w:color="auto"/>
        <w:right w:val="none" w:sz="0" w:space="0" w:color="auto"/>
      </w:divBdr>
    </w:div>
    <w:div w:id="1389963267">
      <w:bodyDiv w:val="1"/>
      <w:marLeft w:val="0"/>
      <w:marRight w:val="0"/>
      <w:marTop w:val="0"/>
      <w:marBottom w:val="0"/>
      <w:divBdr>
        <w:top w:val="none" w:sz="0" w:space="0" w:color="auto"/>
        <w:left w:val="none" w:sz="0" w:space="0" w:color="auto"/>
        <w:bottom w:val="none" w:sz="0" w:space="0" w:color="auto"/>
        <w:right w:val="none" w:sz="0" w:space="0" w:color="auto"/>
      </w:divBdr>
    </w:div>
    <w:div w:id="1397776616">
      <w:bodyDiv w:val="1"/>
      <w:marLeft w:val="0"/>
      <w:marRight w:val="0"/>
      <w:marTop w:val="0"/>
      <w:marBottom w:val="0"/>
      <w:divBdr>
        <w:top w:val="none" w:sz="0" w:space="0" w:color="auto"/>
        <w:left w:val="none" w:sz="0" w:space="0" w:color="auto"/>
        <w:bottom w:val="none" w:sz="0" w:space="0" w:color="auto"/>
        <w:right w:val="none" w:sz="0" w:space="0" w:color="auto"/>
      </w:divBdr>
    </w:div>
    <w:div w:id="1508518822">
      <w:bodyDiv w:val="1"/>
      <w:marLeft w:val="0"/>
      <w:marRight w:val="0"/>
      <w:marTop w:val="0"/>
      <w:marBottom w:val="0"/>
      <w:divBdr>
        <w:top w:val="none" w:sz="0" w:space="0" w:color="auto"/>
        <w:left w:val="none" w:sz="0" w:space="0" w:color="auto"/>
        <w:bottom w:val="none" w:sz="0" w:space="0" w:color="auto"/>
        <w:right w:val="none" w:sz="0" w:space="0" w:color="auto"/>
      </w:divBdr>
    </w:div>
    <w:div w:id="1528257390">
      <w:bodyDiv w:val="1"/>
      <w:marLeft w:val="0"/>
      <w:marRight w:val="0"/>
      <w:marTop w:val="0"/>
      <w:marBottom w:val="0"/>
      <w:divBdr>
        <w:top w:val="none" w:sz="0" w:space="0" w:color="auto"/>
        <w:left w:val="none" w:sz="0" w:space="0" w:color="auto"/>
        <w:bottom w:val="none" w:sz="0" w:space="0" w:color="auto"/>
        <w:right w:val="none" w:sz="0" w:space="0" w:color="auto"/>
      </w:divBdr>
    </w:div>
    <w:div w:id="1534806758">
      <w:bodyDiv w:val="1"/>
      <w:marLeft w:val="0"/>
      <w:marRight w:val="0"/>
      <w:marTop w:val="0"/>
      <w:marBottom w:val="0"/>
      <w:divBdr>
        <w:top w:val="none" w:sz="0" w:space="0" w:color="auto"/>
        <w:left w:val="none" w:sz="0" w:space="0" w:color="auto"/>
        <w:bottom w:val="none" w:sz="0" w:space="0" w:color="auto"/>
        <w:right w:val="none" w:sz="0" w:space="0" w:color="auto"/>
      </w:divBdr>
      <w:divsChild>
        <w:div w:id="121866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91561">
      <w:bodyDiv w:val="1"/>
      <w:marLeft w:val="0"/>
      <w:marRight w:val="0"/>
      <w:marTop w:val="0"/>
      <w:marBottom w:val="0"/>
      <w:divBdr>
        <w:top w:val="none" w:sz="0" w:space="0" w:color="auto"/>
        <w:left w:val="none" w:sz="0" w:space="0" w:color="auto"/>
        <w:bottom w:val="none" w:sz="0" w:space="0" w:color="auto"/>
        <w:right w:val="none" w:sz="0" w:space="0" w:color="auto"/>
      </w:divBdr>
      <w:divsChild>
        <w:div w:id="88737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12313">
      <w:bodyDiv w:val="1"/>
      <w:marLeft w:val="0"/>
      <w:marRight w:val="0"/>
      <w:marTop w:val="0"/>
      <w:marBottom w:val="0"/>
      <w:divBdr>
        <w:top w:val="none" w:sz="0" w:space="0" w:color="auto"/>
        <w:left w:val="none" w:sz="0" w:space="0" w:color="auto"/>
        <w:bottom w:val="none" w:sz="0" w:space="0" w:color="auto"/>
        <w:right w:val="none" w:sz="0" w:space="0" w:color="auto"/>
      </w:divBdr>
      <w:divsChild>
        <w:div w:id="77660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535681">
      <w:bodyDiv w:val="1"/>
      <w:marLeft w:val="0"/>
      <w:marRight w:val="0"/>
      <w:marTop w:val="0"/>
      <w:marBottom w:val="0"/>
      <w:divBdr>
        <w:top w:val="none" w:sz="0" w:space="0" w:color="auto"/>
        <w:left w:val="none" w:sz="0" w:space="0" w:color="auto"/>
        <w:bottom w:val="none" w:sz="0" w:space="0" w:color="auto"/>
        <w:right w:val="none" w:sz="0" w:space="0" w:color="auto"/>
      </w:divBdr>
    </w:div>
    <w:div w:id="1765151599">
      <w:bodyDiv w:val="1"/>
      <w:marLeft w:val="0"/>
      <w:marRight w:val="0"/>
      <w:marTop w:val="0"/>
      <w:marBottom w:val="0"/>
      <w:divBdr>
        <w:top w:val="none" w:sz="0" w:space="0" w:color="auto"/>
        <w:left w:val="none" w:sz="0" w:space="0" w:color="auto"/>
        <w:bottom w:val="none" w:sz="0" w:space="0" w:color="auto"/>
        <w:right w:val="none" w:sz="0" w:space="0" w:color="auto"/>
      </w:divBdr>
    </w:div>
    <w:div w:id="1779526937">
      <w:bodyDiv w:val="1"/>
      <w:marLeft w:val="0"/>
      <w:marRight w:val="0"/>
      <w:marTop w:val="0"/>
      <w:marBottom w:val="0"/>
      <w:divBdr>
        <w:top w:val="none" w:sz="0" w:space="0" w:color="auto"/>
        <w:left w:val="none" w:sz="0" w:space="0" w:color="auto"/>
        <w:bottom w:val="none" w:sz="0" w:space="0" w:color="auto"/>
        <w:right w:val="none" w:sz="0" w:space="0" w:color="auto"/>
      </w:divBdr>
    </w:div>
    <w:div w:id="1865023610">
      <w:bodyDiv w:val="1"/>
      <w:marLeft w:val="0"/>
      <w:marRight w:val="0"/>
      <w:marTop w:val="0"/>
      <w:marBottom w:val="0"/>
      <w:divBdr>
        <w:top w:val="none" w:sz="0" w:space="0" w:color="auto"/>
        <w:left w:val="none" w:sz="0" w:space="0" w:color="auto"/>
        <w:bottom w:val="none" w:sz="0" w:space="0" w:color="auto"/>
        <w:right w:val="none" w:sz="0" w:space="0" w:color="auto"/>
      </w:divBdr>
    </w:div>
    <w:div w:id="1894385923">
      <w:bodyDiv w:val="1"/>
      <w:marLeft w:val="0"/>
      <w:marRight w:val="0"/>
      <w:marTop w:val="0"/>
      <w:marBottom w:val="0"/>
      <w:divBdr>
        <w:top w:val="none" w:sz="0" w:space="0" w:color="auto"/>
        <w:left w:val="none" w:sz="0" w:space="0" w:color="auto"/>
        <w:bottom w:val="none" w:sz="0" w:space="0" w:color="auto"/>
        <w:right w:val="none" w:sz="0" w:space="0" w:color="auto"/>
      </w:divBdr>
      <w:divsChild>
        <w:div w:id="367679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026711">
      <w:bodyDiv w:val="1"/>
      <w:marLeft w:val="0"/>
      <w:marRight w:val="0"/>
      <w:marTop w:val="0"/>
      <w:marBottom w:val="0"/>
      <w:divBdr>
        <w:top w:val="none" w:sz="0" w:space="0" w:color="auto"/>
        <w:left w:val="none" w:sz="0" w:space="0" w:color="auto"/>
        <w:bottom w:val="none" w:sz="0" w:space="0" w:color="auto"/>
        <w:right w:val="none" w:sz="0" w:space="0" w:color="auto"/>
      </w:divBdr>
    </w:div>
    <w:div w:id="1927685944">
      <w:bodyDiv w:val="1"/>
      <w:marLeft w:val="0"/>
      <w:marRight w:val="0"/>
      <w:marTop w:val="0"/>
      <w:marBottom w:val="0"/>
      <w:divBdr>
        <w:top w:val="none" w:sz="0" w:space="0" w:color="auto"/>
        <w:left w:val="none" w:sz="0" w:space="0" w:color="auto"/>
        <w:bottom w:val="none" w:sz="0" w:space="0" w:color="auto"/>
        <w:right w:val="none" w:sz="0" w:space="0" w:color="auto"/>
      </w:divBdr>
    </w:div>
    <w:div w:id="1987784969">
      <w:bodyDiv w:val="1"/>
      <w:marLeft w:val="0"/>
      <w:marRight w:val="0"/>
      <w:marTop w:val="0"/>
      <w:marBottom w:val="0"/>
      <w:divBdr>
        <w:top w:val="none" w:sz="0" w:space="0" w:color="auto"/>
        <w:left w:val="none" w:sz="0" w:space="0" w:color="auto"/>
        <w:bottom w:val="none" w:sz="0" w:space="0" w:color="auto"/>
        <w:right w:val="none" w:sz="0" w:space="0" w:color="auto"/>
      </w:divBdr>
      <w:divsChild>
        <w:div w:id="1946769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677399">
      <w:bodyDiv w:val="1"/>
      <w:marLeft w:val="0"/>
      <w:marRight w:val="0"/>
      <w:marTop w:val="0"/>
      <w:marBottom w:val="0"/>
      <w:divBdr>
        <w:top w:val="none" w:sz="0" w:space="0" w:color="auto"/>
        <w:left w:val="none" w:sz="0" w:space="0" w:color="auto"/>
        <w:bottom w:val="none" w:sz="0" w:space="0" w:color="auto"/>
        <w:right w:val="none" w:sz="0" w:space="0" w:color="auto"/>
      </w:divBdr>
    </w:div>
    <w:div w:id="2051495037">
      <w:bodyDiv w:val="1"/>
      <w:marLeft w:val="0"/>
      <w:marRight w:val="0"/>
      <w:marTop w:val="0"/>
      <w:marBottom w:val="0"/>
      <w:divBdr>
        <w:top w:val="none" w:sz="0" w:space="0" w:color="auto"/>
        <w:left w:val="none" w:sz="0" w:space="0" w:color="auto"/>
        <w:bottom w:val="none" w:sz="0" w:space="0" w:color="auto"/>
        <w:right w:val="none" w:sz="0" w:space="0" w:color="auto"/>
      </w:divBdr>
    </w:div>
    <w:div w:id="2077318410">
      <w:bodyDiv w:val="1"/>
      <w:marLeft w:val="0"/>
      <w:marRight w:val="0"/>
      <w:marTop w:val="0"/>
      <w:marBottom w:val="0"/>
      <w:divBdr>
        <w:top w:val="none" w:sz="0" w:space="0" w:color="auto"/>
        <w:left w:val="none" w:sz="0" w:space="0" w:color="auto"/>
        <w:bottom w:val="none" w:sz="0" w:space="0" w:color="auto"/>
        <w:right w:val="none" w:sz="0" w:space="0" w:color="auto"/>
      </w:divBdr>
    </w:div>
    <w:div w:id="2080906578">
      <w:bodyDiv w:val="1"/>
      <w:marLeft w:val="0"/>
      <w:marRight w:val="0"/>
      <w:marTop w:val="0"/>
      <w:marBottom w:val="0"/>
      <w:divBdr>
        <w:top w:val="none" w:sz="0" w:space="0" w:color="auto"/>
        <w:left w:val="none" w:sz="0" w:space="0" w:color="auto"/>
        <w:bottom w:val="none" w:sz="0" w:space="0" w:color="auto"/>
        <w:right w:val="none" w:sz="0" w:space="0" w:color="auto"/>
      </w:divBdr>
    </w:div>
    <w:div w:id="2121563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haveyoursay@justice.tas.gov.au"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nowmore.org.au/wp-content/uploads/2019/08/12.-Redress-Scheme-Infographic-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837</Words>
  <Characters>4776</Characters>
  <Application>Microsoft Macintosh Word</Application>
  <DocSecurity>0</DocSecurity>
  <Lines>39</Lines>
  <Paragraphs>11</Paragraphs>
  <ScaleCrop>false</ScaleCrop>
  <Company>TACLC</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Office Worker</cp:lastModifiedBy>
  <cp:revision>57</cp:revision>
  <dcterms:created xsi:type="dcterms:W3CDTF">2019-07-27T06:39:00Z</dcterms:created>
  <dcterms:modified xsi:type="dcterms:W3CDTF">2019-08-02T04:36:00Z</dcterms:modified>
</cp:coreProperties>
</file>