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09973" w14:textId="77777777" w:rsidR="00D843EF" w:rsidRDefault="00D843EF" w:rsidP="00D843EF">
      <w:pPr>
        <w:ind w:right="-347"/>
        <w:jc w:val="center"/>
      </w:pPr>
      <w:r>
        <w:rPr>
          <w:noProof/>
          <w:sz w:val="20"/>
          <w:szCs w:val="20"/>
        </w:rPr>
        <w:drawing>
          <wp:inline distT="0" distB="0" distL="0" distR="0" wp14:anchorId="4AFB9CFB" wp14:editId="31C2342F">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2AEB8E38" w14:textId="77777777" w:rsidR="00D843EF" w:rsidRPr="006750B9" w:rsidRDefault="00D843EF" w:rsidP="00D843EF">
      <w:pPr>
        <w:ind w:right="-347"/>
        <w:rPr>
          <w:rFonts w:asciiTheme="minorHAnsi" w:hAnsiTheme="minorHAnsi"/>
          <w:color w:val="000000" w:themeColor="text1"/>
        </w:rPr>
      </w:pPr>
    </w:p>
    <w:p w14:paraId="29BBD216" w14:textId="77777777" w:rsidR="00D843EF" w:rsidRPr="006750B9" w:rsidRDefault="00D843EF" w:rsidP="00D843EF">
      <w:pPr>
        <w:ind w:right="-347"/>
        <w:rPr>
          <w:rFonts w:asciiTheme="minorHAnsi" w:hAnsiTheme="minorHAnsi"/>
          <w:color w:val="000000" w:themeColor="text1"/>
        </w:rPr>
      </w:pPr>
    </w:p>
    <w:p w14:paraId="2577645E" w14:textId="77777777" w:rsidR="00D843EF" w:rsidRPr="00992459" w:rsidRDefault="00D843EF" w:rsidP="00D843EF">
      <w:pPr>
        <w:ind w:right="-205"/>
        <w:rPr>
          <w:rFonts w:asciiTheme="minorHAnsi" w:hAnsiTheme="minorHAnsi"/>
          <w:color w:val="000000" w:themeColor="text1"/>
        </w:rPr>
      </w:pPr>
    </w:p>
    <w:p w14:paraId="705243D6" w14:textId="77777777" w:rsidR="00D843EF" w:rsidRPr="00992459" w:rsidRDefault="00D843EF" w:rsidP="00D843EF">
      <w:pPr>
        <w:ind w:right="-205"/>
        <w:rPr>
          <w:rFonts w:asciiTheme="minorHAnsi" w:hAnsiTheme="minorHAnsi"/>
          <w:color w:val="000000" w:themeColor="text1"/>
        </w:rPr>
      </w:pPr>
    </w:p>
    <w:p w14:paraId="1F0152D8" w14:textId="77777777" w:rsidR="00D843EF" w:rsidRPr="00992459" w:rsidRDefault="00D843EF" w:rsidP="00D843EF">
      <w:pPr>
        <w:ind w:right="-205"/>
        <w:rPr>
          <w:rFonts w:asciiTheme="minorHAnsi" w:hAnsiTheme="minorHAnsi"/>
          <w:color w:val="000000" w:themeColor="text1"/>
        </w:rPr>
      </w:pPr>
      <w:r w:rsidRPr="00992459">
        <w:rPr>
          <w:rFonts w:asciiTheme="minorHAnsi" w:hAnsiTheme="minorHAnsi"/>
          <w:color w:val="000000" w:themeColor="text1"/>
        </w:rPr>
        <w:t>10 May 2019</w:t>
      </w:r>
    </w:p>
    <w:p w14:paraId="10D3E3BE" w14:textId="77777777" w:rsidR="00D843EF" w:rsidRPr="00992459" w:rsidRDefault="00D843EF" w:rsidP="00D843EF">
      <w:pPr>
        <w:ind w:right="-205"/>
        <w:rPr>
          <w:rFonts w:asciiTheme="minorHAnsi" w:hAnsiTheme="minorHAnsi"/>
          <w:color w:val="000000" w:themeColor="text1"/>
        </w:rPr>
      </w:pPr>
    </w:p>
    <w:p w14:paraId="2BD49723" w14:textId="77777777" w:rsidR="00D843EF" w:rsidRPr="00992459" w:rsidRDefault="00D843EF" w:rsidP="00D843EF">
      <w:pPr>
        <w:rPr>
          <w:rFonts w:asciiTheme="minorHAnsi" w:eastAsia="Times New Roman" w:hAnsiTheme="minorHAnsi"/>
          <w:color w:val="000000" w:themeColor="text1"/>
          <w:shd w:val="clear" w:color="auto" w:fill="FFFFFF"/>
        </w:rPr>
      </w:pPr>
      <w:r w:rsidRPr="00992459">
        <w:rPr>
          <w:rFonts w:asciiTheme="minorHAnsi" w:eastAsia="Times New Roman" w:hAnsiTheme="minorHAnsi"/>
          <w:color w:val="000000" w:themeColor="text1"/>
          <w:shd w:val="clear" w:color="auto" w:fill="FFFFFF"/>
        </w:rPr>
        <w:t>Department of Justice </w:t>
      </w:r>
      <w:r w:rsidRPr="00992459">
        <w:rPr>
          <w:rFonts w:asciiTheme="minorHAnsi" w:eastAsia="Times New Roman" w:hAnsiTheme="minorHAnsi"/>
          <w:color w:val="000000" w:themeColor="text1"/>
        </w:rPr>
        <w:br/>
      </w:r>
      <w:r w:rsidRPr="00992459">
        <w:rPr>
          <w:rFonts w:asciiTheme="minorHAnsi" w:eastAsia="Times New Roman" w:hAnsiTheme="minorHAnsi"/>
          <w:color w:val="000000" w:themeColor="text1"/>
          <w:shd w:val="clear" w:color="auto" w:fill="FFFFFF"/>
        </w:rPr>
        <w:t>Strategic Legislation and Policy </w:t>
      </w:r>
      <w:r w:rsidRPr="00992459">
        <w:rPr>
          <w:rFonts w:asciiTheme="minorHAnsi" w:eastAsia="Times New Roman" w:hAnsiTheme="minorHAnsi"/>
          <w:color w:val="000000" w:themeColor="text1"/>
        </w:rPr>
        <w:br/>
      </w:r>
      <w:r w:rsidRPr="00992459">
        <w:rPr>
          <w:rFonts w:asciiTheme="minorHAnsi" w:eastAsia="Times New Roman" w:hAnsiTheme="minorHAnsi"/>
          <w:color w:val="000000" w:themeColor="text1"/>
          <w:shd w:val="clear" w:color="auto" w:fill="FFFFFF"/>
        </w:rPr>
        <w:t xml:space="preserve">GPO Box 825 </w:t>
      </w:r>
    </w:p>
    <w:p w14:paraId="15B6EC83" w14:textId="77777777" w:rsidR="00D843EF" w:rsidRPr="00992459" w:rsidRDefault="00D843EF" w:rsidP="00D843EF">
      <w:pPr>
        <w:rPr>
          <w:rFonts w:asciiTheme="minorHAnsi" w:eastAsia="Times New Roman" w:hAnsiTheme="minorHAnsi"/>
          <w:color w:val="000000" w:themeColor="text1"/>
        </w:rPr>
      </w:pPr>
      <w:r w:rsidRPr="00992459">
        <w:rPr>
          <w:rFonts w:asciiTheme="minorHAnsi" w:eastAsia="Times New Roman" w:hAnsiTheme="minorHAnsi"/>
          <w:color w:val="000000" w:themeColor="text1"/>
          <w:shd w:val="clear" w:color="auto" w:fill="FFFFFF"/>
        </w:rPr>
        <w:t>Hobart TAS 7001</w:t>
      </w:r>
    </w:p>
    <w:p w14:paraId="259C2C6B" w14:textId="77777777" w:rsidR="00D843EF" w:rsidRPr="00992459" w:rsidRDefault="00D843EF" w:rsidP="00D843EF">
      <w:pPr>
        <w:ind w:left="2160" w:firstLine="720"/>
        <w:rPr>
          <w:rFonts w:asciiTheme="minorHAnsi" w:eastAsia="Times New Roman" w:hAnsiTheme="minorHAnsi"/>
          <w:i/>
          <w:color w:val="000000" w:themeColor="text1"/>
        </w:rPr>
      </w:pPr>
      <w:r w:rsidRPr="00992459">
        <w:rPr>
          <w:rFonts w:asciiTheme="minorHAnsi" w:hAnsiTheme="minorHAnsi"/>
          <w:b/>
          <w:i/>
          <w:color w:val="000000" w:themeColor="text1"/>
        </w:rPr>
        <w:t xml:space="preserve">via email: </w:t>
      </w:r>
      <w:hyperlink r:id="rId8" w:history="1">
        <w:r w:rsidRPr="00992459">
          <w:rPr>
            <w:rFonts w:asciiTheme="minorHAnsi" w:eastAsia="Times New Roman" w:hAnsiTheme="minorHAnsi"/>
            <w:i/>
            <w:color w:val="000000" w:themeColor="text1"/>
            <w:u w:val="single"/>
            <w:shd w:val="clear" w:color="auto" w:fill="FFFFFF"/>
          </w:rPr>
          <w:t>haveyoursay@justice.tas.gov.au</w:t>
        </w:r>
      </w:hyperlink>
    </w:p>
    <w:p w14:paraId="7360BBA4" w14:textId="77777777" w:rsidR="00D843EF" w:rsidRPr="00992459" w:rsidRDefault="00D843EF" w:rsidP="00D843EF">
      <w:pPr>
        <w:ind w:right="-205"/>
        <w:rPr>
          <w:rFonts w:asciiTheme="minorHAnsi" w:hAnsiTheme="minorHAnsi"/>
          <w:b/>
          <w:i/>
          <w:color w:val="000000" w:themeColor="text1"/>
        </w:rPr>
      </w:pPr>
    </w:p>
    <w:p w14:paraId="610B7A50" w14:textId="77777777" w:rsidR="00D843EF" w:rsidRPr="00992459" w:rsidRDefault="00D843EF" w:rsidP="00D843EF">
      <w:pPr>
        <w:ind w:right="-64"/>
        <w:rPr>
          <w:rFonts w:asciiTheme="minorHAnsi" w:hAnsiTheme="minorHAnsi"/>
          <w:color w:val="000000" w:themeColor="text1"/>
        </w:rPr>
      </w:pPr>
      <w:r w:rsidRPr="00992459">
        <w:rPr>
          <w:rFonts w:asciiTheme="minorHAnsi" w:hAnsiTheme="minorHAnsi"/>
          <w:color w:val="000000" w:themeColor="text1"/>
        </w:rPr>
        <w:t>To the Department of Justice,</w:t>
      </w:r>
    </w:p>
    <w:p w14:paraId="10603318" w14:textId="77777777" w:rsidR="00D843EF" w:rsidRPr="00992459" w:rsidRDefault="00D843EF" w:rsidP="00D843EF">
      <w:pPr>
        <w:pBdr>
          <w:bottom w:val="single" w:sz="6" w:space="1" w:color="auto"/>
        </w:pBdr>
        <w:rPr>
          <w:rFonts w:asciiTheme="minorHAnsi" w:hAnsiTheme="minorHAnsi"/>
          <w:b/>
          <w:color w:val="000000" w:themeColor="text1"/>
        </w:rPr>
      </w:pPr>
      <w:r w:rsidRPr="00992459">
        <w:rPr>
          <w:rFonts w:asciiTheme="minorHAnsi" w:hAnsiTheme="minorHAnsi"/>
          <w:b/>
          <w:color w:val="000000" w:themeColor="text1"/>
        </w:rPr>
        <w:t xml:space="preserve">Re: Section 194K </w:t>
      </w:r>
      <w:r w:rsidRPr="00992459">
        <w:rPr>
          <w:rFonts w:asciiTheme="minorHAnsi" w:hAnsiTheme="minorHAnsi"/>
          <w:b/>
          <w:i/>
          <w:color w:val="000000" w:themeColor="text1"/>
        </w:rPr>
        <w:t>Evidence Act 2001</w:t>
      </w:r>
      <w:r w:rsidRPr="00992459">
        <w:rPr>
          <w:rFonts w:asciiTheme="minorHAnsi" w:hAnsiTheme="minorHAnsi"/>
          <w:b/>
          <w:color w:val="000000" w:themeColor="text1"/>
        </w:rPr>
        <w:t xml:space="preserve"> (Tas)</w:t>
      </w:r>
    </w:p>
    <w:p w14:paraId="5594E600" w14:textId="77777777" w:rsidR="00D843EF" w:rsidRPr="00992459" w:rsidRDefault="00D843EF" w:rsidP="00D843EF">
      <w:pPr>
        <w:ind w:right="-64"/>
        <w:rPr>
          <w:rFonts w:asciiTheme="minorHAnsi" w:hAnsiTheme="minorHAnsi"/>
          <w:color w:val="000000" w:themeColor="text1"/>
        </w:rPr>
      </w:pPr>
      <w:r w:rsidRPr="00992459">
        <w:rPr>
          <w:rFonts w:asciiTheme="minorHAnsi" w:hAnsiTheme="minorHAnsi"/>
          <w:color w:val="000000" w:themeColor="text1"/>
        </w:rPr>
        <w:t xml:space="preserve"> </w:t>
      </w:r>
    </w:p>
    <w:p w14:paraId="4C487660" w14:textId="43811F30" w:rsidR="00D843EF" w:rsidRPr="00992459" w:rsidRDefault="00D843EF" w:rsidP="00D843EF">
      <w:pPr>
        <w:ind w:right="-347"/>
        <w:jc w:val="both"/>
        <w:rPr>
          <w:rFonts w:asciiTheme="minorHAnsi" w:hAnsiTheme="minorHAnsi"/>
          <w:color w:val="000000" w:themeColor="text1"/>
        </w:rPr>
      </w:pPr>
      <w:r w:rsidRPr="00992459">
        <w:rPr>
          <w:rFonts w:asciiTheme="minorHAnsi" w:hAnsiTheme="minorHAnsi" w:cs="Calibri"/>
          <w:color w:val="000000" w:themeColor="text1"/>
        </w:rPr>
        <w:t>Community Legal Centres Tasmania (CLC Tas)</w:t>
      </w:r>
      <w:r w:rsidRPr="00992459">
        <w:rPr>
          <w:rFonts w:asciiTheme="minorHAnsi" w:hAnsiTheme="minorHAnsi"/>
          <w:color w:val="000000" w:themeColor="text1"/>
        </w:rPr>
        <w:t xml:space="preserve"> welcomes the op</w:t>
      </w:r>
      <w:r w:rsidR="00C83524" w:rsidRPr="00992459">
        <w:rPr>
          <w:rFonts w:asciiTheme="minorHAnsi" w:hAnsiTheme="minorHAnsi"/>
          <w:color w:val="000000" w:themeColor="text1"/>
        </w:rPr>
        <w:t xml:space="preserve">portunity to provide comment on </w:t>
      </w:r>
      <w:r w:rsidR="00D44F11" w:rsidRPr="00992459">
        <w:rPr>
          <w:rFonts w:asciiTheme="minorHAnsi" w:hAnsiTheme="minorHAnsi"/>
          <w:color w:val="000000" w:themeColor="text1"/>
        </w:rPr>
        <w:t xml:space="preserve">the Discussion Paper reviewing </w:t>
      </w:r>
      <w:r w:rsidRPr="00992459">
        <w:rPr>
          <w:rFonts w:asciiTheme="minorHAnsi" w:hAnsiTheme="minorHAnsi"/>
          <w:color w:val="000000" w:themeColor="text1"/>
        </w:rPr>
        <w:t xml:space="preserve">section 194K of the </w:t>
      </w:r>
      <w:r w:rsidRPr="00992459">
        <w:rPr>
          <w:rFonts w:asciiTheme="minorHAnsi" w:hAnsiTheme="minorHAnsi"/>
          <w:i/>
          <w:color w:val="000000" w:themeColor="text1"/>
        </w:rPr>
        <w:t>Evidence Act 2001</w:t>
      </w:r>
      <w:r w:rsidRPr="00992459">
        <w:rPr>
          <w:rFonts w:asciiTheme="minorHAnsi" w:hAnsiTheme="minorHAnsi"/>
          <w:color w:val="000000" w:themeColor="text1"/>
        </w:rPr>
        <w:t xml:space="preserve"> (Tas).</w:t>
      </w:r>
      <w:r w:rsidR="00C83524" w:rsidRPr="00992459">
        <w:rPr>
          <w:rStyle w:val="FootnoteReference"/>
          <w:rFonts w:asciiTheme="minorHAnsi" w:hAnsiTheme="minorHAnsi"/>
          <w:color w:val="000000" w:themeColor="text1"/>
        </w:rPr>
        <w:footnoteReference w:id="1"/>
      </w:r>
    </w:p>
    <w:p w14:paraId="12F21BB1" w14:textId="77777777" w:rsidR="00D843EF" w:rsidRPr="00992459" w:rsidRDefault="00D843EF" w:rsidP="00D843EF">
      <w:pPr>
        <w:ind w:right="-347"/>
        <w:jc w:val="both"/>
        <w:rPr>
          <w:rFonts w:asciiTheme="minorHAnsi" w:hAnsiTheme="minorHAnsi"/>
          <w:color w:val="000000" w:themeColor="text1"/>
        </w:rPr>
      </w:pPr>
    </w:p>
    <w:p w14:paraId="61EC5874" w14:textId="77777777" w:rsidR="00D44F11" w:rsidRPr="00992459" w:rsidRDefault="00D843EF" w:rsidP="00D44F11">
      <w:pPr>
        <w:ind w:right="-347"/>
        <w:jc w:val="both"/>
        <w:rPr>
          <w:rFonts w:asciiTheme="minorHAnsi" w:hAnsiTheme="minorHAnsi" w:cstheme="minorBidi"/>
          <w:color w:val="000000" w:themeColor="text1"/>
        </w:rPr>
      </w:pPr>
      <w:r w:rsidRPr="00992459">
        <w:rPr>
          <w:rFonts w:asciiTheme="minorHAnsi" w:eastAsia="Times New Roman" w:hAnsiTheme="minorHAnsi" w:cs="Arial"/>
          <w:color w:val="000000" w:themeColor="text1"/>
        </w:rPr>
        <w:t xml:space="preserve">CLC Tas </w:t>
      </w:r>
      <w:r w:rsidRPr="00992459">
        <w:rPr>
          <w:rFonts w:asciiTheme="minorHAnsi" w:hAnsiTheme="minorHAnsi" w:cs="Arial"/>
          <w:color w:val="000000" w:themeColor="text1"/>
        </w:rPr>
        <w:t xml:space="preserve">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7A9B48CA" w14:textId="77777777" w:rsidR="00D44F11" w:rsidRPr="00992459" w:rsidRDefault="00D44F11" w:rsidP="00D44F11">
      <w:pPr>
        <w:ind w:right="-347"/>
        <w:jc w:val="both"/>
        <w:rPr>
          <w:rFonts w:asciiTheme="minorHAnsi" w:hAnsiTheme="minorHAnsi" w:cstheme="minorBidi"/>
          <w:color w:val="000000" w:themeColor="text1"/>
        </w:rPr>
      </w:pPr>
    </w:p>
    <w:p w14:paraId="3CBDDC05" w14:textId="4D4E4127" w:rsidR="00D44F11" w:rsidRPr="00992459" w:rsidRDefault="00D44F11" w:rsidP="00D44F11">
      <w:pPr>
        <w:ind w:right="-347"/>
        <w:jc w:val="both"/>
        <w:rPr>
          <w:rFonts w:asciiTheme="minorHAnsi" w:hAnsiTheme="minorHAnsi" w:cstheme="minorBidi"/>
          <w:color w:val="000000" w:themeColor="text1"/>
        </w:rPr>
      </w:pPr>
      <w:r w:rsidRPr="00992459">
        <w:rPr>
          <w:rFonts w:asciiTheme="minorHAnsi" w:hAnsiTheme="minorHAnsi"/>
          <w:color w:val="000000" w:themeColor="text1"/>
        </w:rPr>
        <w:t xml:space="preserve">We strongly believe that section 194K of the </w:t>
      </w:r>
      <w:r w:rsidRPr="00992459">
        <w:rPr>
          <w:rFonts w:asciiTheme="minorHAnsi" w:hAnsiTheme="minorHAnsi"/>
          <w:i/>
          <w:color w:val="000000" w:themeColor="text1"/>
        </w:rPr>
        <w:t xml:space="preserve">Evidence Act 2001 </w:t>
      </w:r>
      <w:r w:rsidRPr="00992459">
        <w:rPr>
          <w:rFonts w:asciiTheme="minorHAnsi" w:hAnsiTheme="minorHAnsi"/>
          <w:color w:val="000000" w:themeColor="text1"/>
        </w:rPr>
        <w:t>(Tas) does not provide adequate protections for sexual assault complainants</w:t>
      </w:r>
      <w:r w:rsidRPr="00992459">
        <w:rPr>
          <w:rFonts w:asciiTheme="minorHAnsi" w:hAnsiTheme="minorHAnsi"/>
          <w:color w:val="000000" w:themeColor="text1"/>
          <w:lang w:val="en-US"/>
        </w:rPr>
        <w:t xml:space="preserve"> and should be amended to better protect sexual assault complainants. This is because a large number of studies consistently demonstrate that only a small proportion of sexual assaults are reported to the police and even fewer result in a charge, prosecution or conviction when compared with other criminal offences.</w:t>
      </w:r>
      <w:r w:rsidRPr="00992459">
        <w:rPr>
          <w:rStyle w:val="FootnoteReference"/>
          <w:rFonts w:asciiTheme="minorHAnsi" w:hAnsiTheme="minorHAnsi"/>
          <w:color w:val="000000" w:themeColor="text1"/>
          <w:lang w:val="en-US"/>
        </w:rPr>
        <w:footnoteReference w:id="2"/>
      </w:r>
    </w:p>
    <w:p w14:paraId="4E2658F9" w14:textId="77777777" w:rsidR="00EA5FDD" w:rsidRPr="00992459" w:rsidRDefault="00EA5FDD" w:rsidP="00D44F11">
      <w:pPr>
        <w:ind w:right="-347"/>
        <w:jc w:val="both"/>
        <w:rPr>
          <w:rFonts w:asciiTheme="minorHAnsi" w:hAnsiTheme="minorHAnsi" w:cstheme="minorBidi"/>
          <w:color w:val="000000" w:themeColor="text1"/>
        </w:rPr>
      </w:pPr>
    </w:p>
    <w:p w14:paraId="08C48182" w14:textId="77777777" w:rsidR="00D44F11" w:rsidRPr="00992459" w:rsidRDefault="00D44F11" w:rsidP="00D44F11">
      <w:pPr>
        <w:ind w:right="-347"/>
        <w:jc w:val="both"/>
        <w:rPr>
          <w:rFonts w:asciiTheme="minorHAnsi" w:hAnsiTheme="minorHAnsi" w:cstheme="minorBidi"/>
          <w:color w:val="000000" w:themeColor="text1"/>
        </w:rPr>
      </w:pPr>
      <w:r w:rsidRPr="00992459">
        <w:rPr>
          <w:rFonts w:asciiTheme="minorHAnsi" w:hAnsiTheme="minorHAnsi"/>
          <w:color w:val="000000" w:themeColor="text1"/>
          <w:lang w:val="en-US"/>
        </w:rPr>
        <w:t xml:space="preserve">It is of great concern that substantial under-reporting of sexual offences remains and that many complainants continue to feel uncomfortable about giving evidence in sexual offence trials. It is important that sexual assault reforms are implemented </w:t>
      </w:r>
      <w:r w:rsidRPr="00992459">
        <w:rPr>
          <w:rFonts w:asciiTheme="minorHAnsi" w:hAnsiTheme="minorHAnsi"/>
          <w:color w:val="000000" w:themeColor="text1"/>
          <w:lang w:val="en-US"/>
        </w:rPr>
        <w:lastRenderedPageBreak/>
        <w:t xml:space="preserve">that encourage more complainants to report sexual assault and which ensure that complainants are appropriately protected in giving evidence. It is likely that deficiencies and uncertainties in the existing law may lead to less reporting of sexual assault and discourage complainants from giving evidence at trial. </w:t>
      </w:r>
    </w:p>
    <w:p w14:paraId="741B4890" w14:textId="77777777" w:rsidR="00D44F11" w:rsidRPr="00992459" w:rsidRDefault="00D44F11" w:rsidP="00D44F11">
      <w:pPr>
        <w:ind w:right="-347"/>
        <w:jc w:val="both"/>
        <w:rPr>
          <w:rFonts w:asciiTheme="minorHAnsi" w:hAnsiTheme="minorHAnsi" w:cstheme="minorBidi"/>
          <w:color w:val="000000" w:themeColor="text1"/>
        </w:rPr>
      </w:pPr>
    </w:p>
    <w:p w14:paraId="30302033" w14:textId="415012E7" w:rsidR="00EA5FDD" w:rsidRPr="00992459" w:rsidRDefault="00EA5FDD" w:rsidP="00D31746">
      <w:pPr>
        <w:ind w:right="-347"/>
        <w:jc w:val="both"/>
        <w:rPr>
          <w:rFonts w:asciiTheme="minorHAnsi" w:hAnsiTheme="minorHAnsi"/>
          <w:b/>
          <w:color w:val="000000" w:themeColor="text1"/>
        </w:rPr>
      </w:pPr>
      <w:r w:rsidRPr="00992459">
        <w:rPr>
          <w:rFonts w:asciiTheme="minorHAnsi" w:hAnsiTheme="minorHAnsi"/>
          <w:b/>
          <w:color w:val="000000" w:themeColor="text1"/>
        </w:rPr>
        <w:t xml:space="preserve">Section 194K of the </w:t>
      </w:r>
      <w:r w:rsidRPr="00992459">
        <w:rPr>
          <w:rFonts w:asciiTheme="minorHAnsi" w:hAnsiTheme="minorHAnsi"/>
          <w:b/>
          <w:i/>
          <w:color w:val="000000" w:themeColor="text1"/>
        </w:rPr>
        <w:t>Evidence Act 2001</w:t>
      </w:r>
      <w:r w:rsidRPr="00992459">
        <w:rPr>
          <w:rFonts w:asciiTheme="minorHAnsi" w:hAnsiTheme="minorHAnsi"/>
          <w:b/>
          <w:color w:val="000000" w:themeColor="text1"/>
        </w:rPr>
        <w:t xml:space="preserve"> (Tas)</w:t>
      </w:r>
    </w:p>
    <w:p w14:paraId="5A348168" w14:textId="74B226AF" w:rsidR="00EA5FDD" w:rsidRPr="00992459" w:rsidRDefault="00992459" w:rsidP="00D31746">
      <w:pPr>
        <w:ind w:right="-347"/>
        <w:jc w:val="both"/>
        <w:rPr>
          <w:rFonts w:asciiTheme="minorHAnsi" w:hAnsiTheme="minorHAnsi"/>
          <w:color w:val="000000" w:themeColor="text1"/>
        </w:rPr>
      </w:pPr>
      <w:r w:rsidRPr="00992459">
        <w:rPr>
          <w:rFonts w:asciiTheme="minorHAnsi" w:hAnsiTheme="minorHAnsi"/>
          <w:color w:val="000000" w:themeColor="text1"/>
        </w:rPr>
        <w:t>With specific reference to the issues raised in the Discussion Paper w</w:t>
      </w:r>
      <w:r w:rsidR="00D31746" w:rsidRPr="00992459">
        <w:rPr>
          <w:rFonts w:asciiTheme="minorHAnsi" w:hAnsiTheme="minorHAnsi"/>
          <w:color w:val="000000" w:themeColor="text1"/>
        </w:rPr>
        <w:t xml:space="preserve">e support clarification of the phrase ‘likely to lead to the identification of any person’ within section 194K of the </w:t>
      </w:r>
      <w:r w:rsidR="00D31746" w:rsidRPr="00992459">
        <w:rPr>
          <w:rFonts w:asciiTheme="minorHAnsi" w:hAnsiTheme="minorHAnsi"/>
          <w:i/>
          <w:color w:val="000000" w:themeColor="text1"/>
        </w:rPr>
        <w:t>Evidence Act</w:t>
      </w:r>
      <w:r w:rsidR="00D31746" w:rsidRPr="00992459">
        <w:rPr>
          <w:rFonts w:asciiTheme="minorHAnsi" w:hAnsiTheme="minorHAnsi"/>
          <w:color w:val="000000" w:themeColor="text1"/>
        </w:rPr>
        <w:t xml:space="preserve"> </w:t>
      </w:r>
      <w:r w:rsidR="00D31746" w:rsidRPr="00992459">
        <w:rPr>
          <w:rFonts w:asciiTheme="minorHAnsi" w:hAnsiTheme="minorHAnsi"/>
          <w:i/>
          <w:color w:val="000000" w:themeColor="text1"/>
        </w:rPr>
        <w:t>2001</w:t>
      </w:r>
      <w:r w:rsidR="00D31746" w:rsidRPr="00992459">
        <w:rPr>
          <w:rFonts w:asciiTheme="minorHAnsi" w:hAnsiTheme="minorHAnsi"/>
          <w:color w:val="000000" w:themeColor="text1"/>
        </w:rPr>
        <w:t xml:space="preserve"> (Tas) as has previously been recommended by the Tasmanian Law Reform Institute.</w:t>
      </w:r>
      <w:r w:rsidR="00D31746" w:rsidRPr="00992459">
        <w:rPr>
          <w:rStyle w:val="FootnoteReference"/>
          <w:rFonts w:asciiTheme="minorHAnsi" w:hAnsiTheme="minorHAnsi"/>
          <w:color w:val="000000" w:themeColor="text1"/>
        </w:rPr>
        <w:footnoteReference w:id="3"/>
      </w:r>
      <w:r w:rsidR="00D31746" w:rsidRPr="00992459">
        <w:rPr>
          <w:rFonts w:asciiTheme="minorHAnsi" w:hAnsiTheme="minorHAnsi"/>
          <w:color w:val="000000" w:themeColor="text1"/>
        </w:rPr>
        <w:t xml:space="preserve"> In </w:t>
      </w:r>
      <w:r w:rsidR="00D31746" w:rsidRPr="00992459">
        <w:rPr>
          <w:rFonts w:asciiTheme="minorHAnsi" w:eastAsia="Times New Roman" w:hAnsiTheme="minorHAnsi"/>
          <w:i/>
          <w:color w:val="000000" w:themeColor="text1"/>
        </w:rPr>
        <w:t>Protecting the Anonymity of Victims of Sexual Crimes</w:t>
      </w:r>
      <w:r w:rsidR="00D31746" w:rsidRPr="00992459">
        <w:rPr>
          <w:rFonts w:asciiTheme="minorHAnsi" w:eastAsia="Times New Roman" w:hAnsiTheme="minorHAnsi"/>
          <w:color w:val="000000" w:themeColor="text1"/>
        </w:rPr>
        <w:t>, the TLRI recommends</w:t>
      </w:r>
      <w:r w:rsidR="00D31746" w:rsidRPr="00992459">
        <w:rPr>
          <w:rFonts w:asciiTheme="minorHAnsi" w:eastAsia="Times New Roman" w:hAnsiTheme="minorHAnsi"/>
          <w:i/>
          <w:color w:val="000000" w:themeColor="text1"/>
        </w:rPr>
        <w:t xml:space="preserve"> </w:t>
      </w:r>
      <w:r w:rsidR="00D31746" w:rsidRPr="00992459">
        <w:rPr>
          <w:rFonts w:asciiTheme="minorHAnsi" w:eastAsia="Times New Roman" w:hAnsiTheme="minorHAnsi"/>
          <w:color w:val="000000" w:themeColor="text1"/>
        </w:rPr>
        <w:t>the definition</w:t>
      </w:r>
      <w:r w:rsidR="00D31746" w:rsidRPr="00992459">
        <w:rPr>
          <w:rFonts w:asciiTheme="minorHAnsi" w:eastAsia="Times New Roman" w:hAnsiTheme="minorHAnsi"/>
          <w:i/>
          <w:color w:val="000000" w:themeColor="text1"/>
        </w:rPr>
        <w:t xml:space="preserve"> </w:t>
      </w:r>
      <w:r w:rsidR="00D31746" w:rsidRPr="00992459">
        <w:rPr>
          <w:rFonts w:asciiTheme="minorHAnsi" w:hAnsiTheme="minorHAnsi"/>
          <w:color w:val="000000" w:themeColor="text1"/>
        </w:rPr>
        <w:t xml:space="preserve">of ‘likely’ as ‘an appreciable risk, more than a fanciful risk’. The adoption of this interpretation will ensure </w:t>
      </w:r>
      <w:r w:rsidR="00EA23E9" w:rsidRPr="00992459">
        <w:rPr>
          <w:rFonts w:asciiTheme="minorHAnsi" w:hAnsiTheme="minorHAnsi"/>
          <w:color w:val="000000" w:themeColor="text1"/>
        </w:rPr>
        <w:t>that</w:t>
      </w:r>
      <w:r w:rsidR="00D31746" w:rsidRPr="00992459">
        <w:rPr>
          <w:rFonts w:asciiTheme="minorHAnsi" w:hAnsiTheme="minorHAnsi"/>
          <w:color w:val="000000" w:themeColor="text1"/>
        </w:rPr>
        <w:t xml:space="preserve"> the threshold test is identification by readers, viewers and listeners equipped with knowledge in the public domain, in all the circumstances of the case.</w:t>
      </w:r>
      <w:r w:rsidR="00D31746" w:rsidRPr="00992459">
        <w:rPr>
          <w:rStyle w:val="FootnoteReference"/>
          <w:rFonts w:asciiTheme="minorHAnsi" w:hAnsiTheme="minorHAnsi"/>
          <w:color w:val="000000" w:themeColor="text1"/>
        </w:rPr>
        <w:footnoteReference w:id="4"/>
      </w:r>
      <w:r w:rsidR="00D31746" w:rsidRPr="00992459">
        <w:rPr>
          <w:rFonts w:asciiTheme="minorHAnsi" w:hAnsiTheme="minorHAnsi"/>
          <w:color w:val="000000" w:themeColor="text1"/>
        </w:rPr>
        <w:t xml:space="preserve"> This will provide much needed clarity as the term ‘likely’ in other jurisdictions has been interpreted broadly as being “more probable than not”</w:t>
      </w:r>
      <w:r w:rsidR="00D31746" w:rsidRPr="00992459">
        <w:rPr>
          <w:rStyle w:val="FootnoteReference"/>
          <w:rFonts w:asciiTheme="minorHAnsi" w:hAnsiTheme="minorHAnsi"/>
          <w:color w:val="000000" w:themeColor="text1"/>
        </w:rPr>
        <w:footnoteReference w:id="5"/>
      </w:r>
      <w:r w:rsidR="00D31746" w:rsidRPr="00992459">
        <w:rPr>
          <w:rFonts w:asciiTheme="minorHAnsi" w:hAnsiTheme="minorHAnsi"/>
          <w:color w:val="000000" w:themeColor="text1"/>
        </w:rPr>
        <w:t xml:space="preserve"> and “a real or substantial and not remote chance of [identification]”.</w:t>
      </w:r>
      <w:r w:rsidR="00D31746" w:rsidRPr="00992459">
        <w:rPr>
          <w:rStyle w:val="FootnoteReference"/>
          <w:rFonts w:asciiTheme="minorHAnsi" w:hAnsiTheme="minorHAnsi"/>
          <w:color w:val="000000" w:themeColor="text1"/>
        </w:rPr>
        <w:footnoteReference w:id="6"/>
      </w:r>
      <w:r w:rsidR="00D31746" w:rsidRPr="00992459">
        <w:rPr>
          <w:rFonts w:asciiTheme="minorHAnsi" w:hAnsiTheme="minorHAnsi"/>
          <w:color w:val="000000" w:themeColor="text1"/>
        </w:rPr>
        <w:t xml:space="preserve"> </w:t>
      </w:r>
    </w:p>
    <w:p w14:paraId="039433FD" w14:textId="77777777" w:rsidR="00EA5FDD" w:rsidRPr="00992459" w:rsidRDefault="00EA5FDD" w:rsidP="00D31746">
      <w:pPr>
        <w:ind w:right="-347"/>
        <w:jc w:val="both"/>
        <w:rPr>
          <w:rFonts w:asciiTheme="minorHAnsi" w:hAnsiTheme="minorHAnsi"/>
          <w:color w:val="000000" w:themeColor="text1"/>
        </w:rPr>
      </w:pPr>
    </w:p>
    <w:p w14:paraId="2A8B5DC5" w14:textId="2A37FFB8" w:rsidR="00EA23E9" w:rsidRPr="00992459" w:rsidRDefault="00D31746" w:rsidP="00EA5FDD">
      <w:pPr>
        <w:ind w:right="-347"/>
        <w:jc w:val="both"/>
        <w:rPr>
          <w:rFonts w:asciiTheme="minorHAnsi" w:hAnsiTheme="minorHAnsi"/>
          <w:color w:val="000000" w:themeColor="text1"/>
        </w:rPr>
      </w:pPr>
      <w:r w:rsidRPr="00992459">
        <w:rPr>
          <w:rFonts w:asciiTheme="minorHAnsi" w:hAnsiTheme="minorHAnsi"/>
          <w:color w:val="000000" w:themeColor="text1"/>
        </w:rPr>
        <w:t xml:space="preserve">We also recommend that the test not only be applied to stand alone information </w:t>
      </w:r>
      <w:r w:rsidR="00EA5FDD" w:rsidRPr="00992459">
        <w:rPr>
          <w:rFonts w:asciiTheme="minorHAnsi" w:hAnsiTheme="minorHAnsi"/>
          <w:color w:val="000000" w:themeColor="text1"/>
        </w:rPr>
        <w:t>but also of</w:t>
      </w:r>
      <w:r w:rsidRPr="00992459">
        <w:rPr>
          <w:rFonts w:asciiTheme="minorHAnsi" w:hAnsiTheme="minorHAnsi"/>
          <w:color w:val="000000" w:themeColor="text1"/>
        </w:rPr>
        <w:t xml:space="preserve"> “</w:t>
      </w:r>
      <w:r w:rsidR="00EA5FDD" w:rsidRPr="00992459">
        <w:rPr>
          <w:rFonts w:asciiTheme="minorHAnsi" w:hAnsiTheme="minorHAnsi" w:cstheme="minorBidi"/>
          <w:color w:val="000000" w:themeColor="text1"/>
        </w:rPr>
        <w:t>information which could lead to identification when combined with prior knowledge, or other publicly available information</w:t>
      </w:r>
      <w:r w:rsidRPr="00992459">
        <w:rPr>
          <w:rFonts w:asciiTheme="minorHAnsi" w:hAnsiTheme="minorHAnsi"/>
          <w:color w:val="000000" w:themeColor="text1"/>
        </w:rPr>
        <w:t>”.</w:t>
      </w:r>
      <w:r w:rsidRPr="00992459">
        <w:rPr>
          <w:rStyle w:val="FootnoteReference"/>
          <w:rFonts w:asciiTheme="minorHAnsi" w:hAnsiTheme="minorHAnsi"/>
          <w:color w:val="000000" w:themeColor="text1"/>
        </w:rPr>
        <w:footnoteReference w:id="7"/>
      </w:r>
      <w:r w:rsidRPr="00992459">
        <w:rPr>
          <w:rFonts w:asciiTheme="minorHAnsi" w:hAnsiTheme="minorHAnsi" w:cstheme="minorBidi"/>
          <w:color w:val="000000" w:themeColor="text1"/>
        </w:rPr>
        <w:t xml:space="preserve"> </w:t>
      </w:r>
      <w:r w:rsidRPr="00992459">
        <w:rPr>
          <w:rFonts w:asciiTheme="minorHAnsi" w:hAnsiTheme="minorHAnsi"/>
          <w:color w:val="000000" w:themeColor="text1"/>
          <w:lang w:val="en-US"/>
        </w:rPr>
        <w:t xml:space="preserve">This view has been judicially adopted in Victoria following the Supreme Court decision of </w:t>
      </w:r>
      <w:r w:rsidRPr="00992459">
        <w:rPr>
          <w:rFonts w:asciiTheme="minorHAnsi" w:hAnsiTheme="minorHAnsi"/>
          <w:i/>
          <w:color w:val="000000" w:themeColor="text1"/>
          <w:lang w:val="en-US"/>
        </w:rPr>
        <w:t>Bailey v Hinch</w:t>
      </w:r>
      <w:r w:rsidR="00DE14F1">
        <w:rPr>
          <w:rFonts w:asciiTheme="minorHAnsi" w:hAnsiTheme="minorHAnsi"/>
          <w:color w:val="000000" w:themeColor="text1"/>
          <w:lang w:val="en-US"/>
        </w:rPr>
        <w:t xml:space="preserve"> where Gobbo J observed that “</w:t>
      </w:r>
      <w:r w:rsidRPr="00992459">
        <w:rPr>
          <w:rFonts w:asciiTheme="minorHAnsi" w:hAnsiTheme="minorHAnsi"/>
          <w:color w:val="000000" w:themeColor="text1"/>
          <w:lang w:val="en-US"/>
        </w:rPr>
        <w:t xml:space="preserve">[t]he victim is not merely entitled to protection from the least </w:t>
      </w:r>
      <w:r w:rsidR="00DE14F1">
        <w:rPr>
          <w:rFonts w:asciiTheme="minorHAnsi" w:hAnsiTheme="minorHAnsi"/>
          <w:color w:val="000000" w:themeColor="text1"/>
          <w:lang w:val="en-US"/>
        </w:rPr>
        <w:t>astute members of the community”</w:t>
      </w:r>
      <w:r w:rsidRPr="00992459">
        <w:rPr>
          <w:rFonts w:asciiTheme="minorHAnsi" w:hAnsiTheme="minorHAnsi"/>
          <w:color w:val="000000" w:themeColor="text1"/>
          <w:lang w:val="en-US"/>
        </w:rPr>
        <w:t>.</w:t>
      </w:r>
      <w:r w:rsidRPr="00992459">
        <w:rPr>
          <w:rStyle w:val="FootnoteReference"/>
          <w:rFonts w:asciiTheme="minorHAnsi" w:hAnsiTheme="minorHAnsi"/>
          <w:color w:val="000000" w:themeColor="text1"/>
          <w:lang w:val="en-US"/>
        </w:rPr>
        <w:footnoteReference w:id="8"/>
      </w:r>
      <w:r w:rsidRPr="00992459">
        <w:rPr>
          <w:rFonts w:asciiTheme="minorHAnsi" w:hAnsiTheme="minorHAnsi"/>
          <w:color w:val="000000" w:themeColor="text1"/>
          <w:lang w:val="en-US"/>
        </w:rPr>
        <w:t xml:space="preserve"> </w:t>
      </w:r>
    </w:p>
    <w:p w14:paraId="7173922B" w14:textId="77777777" w:rsidR="00EA23E9" w:rsidRPr="00992459" w:rsidRDefault="00EA23E9" w:rsidP="00EA5FDD">
      <w:pPr>
        <w:ind w:right="-347"/>
        <w:jc w:val="both"/>
        <w:rPr>
          <w:rFonts w:asciiTheme="minorHAnsi" w:hAnsiTheme="minorHAnsi"/>
          <w:color w:val="000000" w:themeColor="text1"/>
        </w:rPr>
      </w:pPr>
    </w:p>
    <w:p w14:paraId="0F5B5D45" w14:textId="2C19E065" w:rsidR="00872876" w:rsidRPr="00992459" w:rsidRDefault="00D31746" w:rsidP="00D31746">
      <w:pPr>
        <w:ind w:right="-347"/>
        <w:jc w:val="both"/>
        <w:rPr>
          <w:rFonts w:asciiTheme="minorHAnsi" w:hAnsiTheme="minorHAnsi"/>
          <w:color w:val="000000" w:themeColor="text1"/>
          <w:lang w:val="en-US"/>
        </w:rPr>
      </w:pPr>
      <w:r w:rsidRPr="00992459">
        <w:rPr>
          <w:rFonts w:asciiTheme="minorHAnsi" w:hAnsiTheme="minorHAnsi"/>
          <w:color w:val="000000" w:themeColor="text1"/>
          <w:lang w:val="en-US"/>
        </w:rPr>
        <w:t xml:space="preserve">As well as judicial support for a broader interpretation of ‘likely to lead to </w:t>
      </w:r>
      <w:r w:rsidR="00EA23E9" w:rsidRPr="00992459">
        <w:rPr>
          <w:rFonts w:asciiTheme="minorHAnsi" w:hAnsiTheme="minorHAnsi"/>
          <w:color w:val="000000" w:themeColor="text1"/>
          <w:lang w:val="en-US"/>
        </w:rPr>
        <w:t>identification</w:t>
      </w:r>
      <w:r w:rsidRPr="00992459">
        <w:rPr>
          <w:rFonts w:asciiTheme="minorHAnsi" w:hAnsiTheme="minorHAnsi"/>
          <w:color w:val="000000" w:themeColor="text1"/>
          <w:lang w:val="en-US"/>
        </w:rPr>
        <w:t xml:space="preserve">’ there are also policy considerations in support of this reform including most importantly that </w:t>
      </w:r>
      <w:r w:rsidR="006750B9" w:rsidRPr="00992459">
        <w:rPr>
          <w:rFonts w:asciiTheme="minorHAnsi" w:hAnsiTheme="minorHAnsi"/>
          <w:color w:val="000000" w:themeColor="text1"/>
          <w:lang w:val="en-US"/>
        </w:rPr>
        <w:t>family members, friends or other people known to the victim, most frequently commit sexual offences</w:t>
      </w:r>
      <w:r w:rsidRPr="00992459">
        <w:rPr>
          <w:rFonts w:asciiTheme="minorHAnsi" w:hAnsiTheme="minorHAnsi"/>
          <w:color w:val="000000" w:themeColor="text1"/>
          <w:lang w:val="en-US"/>
        </w:rPr>
        <w:t>.</w:t>
      </w:r>
      <w:r w:rsidRPr="00992459">
        <w:rPr>
          <w:rStyle w:val="FootnoteReference"/>
          <w:rFonts w:asciiTheme="minorHAnsi" w:hAnsiTheme="minorHAnsi"/>
          <w:color w:val="000000" w:themeColor="text1"/>
          <w:lang w:val="en-US"/>
        </w:rPr>
        <w:footnoteReference w:id="9"/>
      </w:r>
      <w:r w:rsidRPr="00992459">
        <w:rPr>
          <w:rFonts w:asciiTheme="minorHAnsi" w:hAnsiTheme="minorHAnsi"/>
          <w:color w:val="000000" w:themeColor="text1"/>
          <w:lang w:val="en-US"/>
        </w:rPr>
        <w:t xml:space="preserve"> The sexual abuse perpetrated by a trusted family member, friend or acquaintance may be exacerbated for the complainant if extended family members, friends or acquaintances were able to piece together publicly available information about the sexual assault with information already known to them. Appropriate protections of the complainant’s identity are particularly important in Tasmania, as the </w:t>
      </w:r>
      <w:r w:rsidR="004F143A" w:rsidRPr="00992459">
        <w:rPr>
          <w:rFonts w:asciiTheme="minorHAnsi" w:hAnsiTheme="minorHAnsi"/>
          <w:color w:val="000000" w:themeColor="text1"/>
          <w:lang w:val="en-US"/>
        </w:rPr>
        <w:t>TLRI has noted</w:t>
      </w:r>
      <w:r w:rsidRPr="00992459">
        <w:rPr>
          <w:rFonts w:asciiTheme="minorHAnsi" w:hAnsiTheme="minorHAnsi"/>
          <w:color w:val="000000" w:themeColor="text1"/>
          <w:lang w:val="en-US"/>
        </w:rPr>
        <w:t>,</w:t>
      </w:r>
      <w:r w:rsidR="00872876" w:rsidRPr="00992459">
        <w:rPr>
          <w:rFonts w:asciiTheme="minorHAnsi" w:hAnsiTheme="minorHAnsi"/>
          <w:color w:val="000000" w:themeColor="text1"/>
          <w:lang w:val="en-US"/>
        </w:rPr>
        <w:t xml:space="preserve"> </w:t>
      </w:r>
      <w:r w:rsidR="006750B9" w:rsidRPr="00992459">
        <w:rPr>
          <w:rFonts w:asciiTheme="minorHAnsi" w:hAnsiTheme="minorHAnsi"/>
          <w:color w:val="000000" w:themeColor="text1"/>
          <w:lang w:val="en-US"/>
        </w:rPr>
        <w:t>“</w:t>
      </w:r>
      <w:r w:rsidRPr="00992459">
        <w:rPr>
          <w:rFonts w:asciiTheme="minorHAnsi" w:hAnsiTheme="minorHAnsi"/>
          <w:color w:val="000000" w:themeColor="text1"/>
          <w:lang w:val="en-US"/>
        </w:rPr>
        <w:t xml:space="preserve">where there may be a greater likelihood that significant sections of the community have some </w:t>
      </w:r>
      <w:r w:rsidR="006750B9" w:rsidRPr="00992459">
        <w:rPr>
          <w:rFonts w:asciiTheme="minorHAnsi" w:hAnsiTheme="minorHAnsi"/>
          <w:color w:val="000000" w:themeColor="text1"/>
          <w:lang w:val="en-US"/>
        </w:rPr>
        <w:t>knowledge of the parties”</w:t>
      </w:r>
      <w:r w:rsidRPr="00992459">
        <w:rPr>
          <w:rFonts w:asciiTheme="minorHAnsi" w:hAnsiTheme="minorHAnsi"/>
          <w:color w:val="000000" w:themeColor="text1"/>
          <w:lang w:val="en-US"/>
        </w:rPr>
        <w:t>.</w:t>
      </w:r>
      <w:r w:rsidRPr="00992459">
        <w:rPr>
          <w:rStyle w:val="FootnoteReference"/>
          <w:rFonts w:asciiTheme="minorHAnsi" w:hAnsiTheme="minorHAnsi"/>
          <w:color w:val="000000" w:themeColor="text1"/>
          <w:lang w:val="en-US"/>
        </w:rPr>
        <w:footnoteReference w:id="10"/>
      </w:r>
      <w:r w:rsidR="00872876" w:rsidRPr="00992459">
        <w:rPr>
          <w:rFonts w:asciiTheme="minorHAnsi" w:hAnsiTheme="minorHAnsi"/>
          <w:color w:val="000000" w:themeColor="text1"/>
          <w:lang w:val="en-US"/>
        </w:rPr>
        <w:t xml:space="preserve"> </w:t>
      </w:r>
      <w:r w:rsidR="00ED360A" w:rsidRPr="00992459">
        <w:rPr>
          <w:rFonts w:asciiTheme="minorHAnsi" w:hAnsiTheme="minorHAnsi"/>
          <w:color w:val="000000" w:themeColor="text1"/>
        </w:rPr>
        <w:t xml:space="preserve">We therefore </w:t>
      </w:r>
      <w:r w:rsidR="00C83524" w:rsidRPr="00992459">
        <w:rPr>
          <w:rFonts w:asciiTheme="minorHAnsi" w:hAnsiTheme="minorHAnsi"/>
          <w:color w:val="000000" w:themeColor="text1"/>
        </w:rPr>
        <w:t xml:space="preserve">endorse the </w:t>
      </w:r>
      <w:r w:rsidR="006750B9" w:rsidRPr="00992459">
        <w:rPr>
          <w:rFonts w:asciiTheme="minorHAnsi" w:hAnsiTheme="minorHAnsi"/>
          <w:color w:val="000000" w:themeColor="text1"/>
        </w:rPr>
        <w:t>TLRI</w:t>
      </w:r>
      <w:r w:rsidR="00ED360A" w:rsidRPr="00992459">
        <w:rPr>
          <w:rFonts w:asciiTheme="minorHAnsi" w:hAnsiTheme="minorHAnsi"/>
          <w:color w:val="000000" w:themeColor="text1"/>
        </w:rPr>
        <w:t>’s recommendation</w:t>
      </w:r>
      <w:r w:rsidR="00C83524" w:rsidRPr="00992459">
        <w:rPr>
          <w:rFonts w:asciiTheme="minorHAnsi" w:hAnsiTheme="minorHAnsi"/>
          <w:color w:val="000000" w:themeColor="text1"/>
        </w:rPr>
        <w:t xml:space="preserve"> prohibiting the publication of the name, address and/or image of the defendant where it is ‘likely’ to identify the complainant.</w:t>
      </w:r>
      <w:r w:rsidR="00ED360A" w:rsidRPr="00992459">
        <w:rPr>
          <w:rStyle w:val="FootnoteReference"/>
          <w:rFonts w:asciiTheme="minorHAnsi" w:hAnsiTheme="minorHAnsi"/>
          <w:color w:val="000000" w:themeColor="text1"/>
        </w:rPr>
        <w:footnoteReference w:id="11"/>
      </w:r>
      <w:r w:rsidR="00C83524" w:rsidRPr="00992459">
        <w:rPr>
          <w:rFonts w:asciiTheme="minorHAnsi" w:hAnsiTheme="minorHAnsi"/>
          <w:color w:val="000000" w:themeColor="text1"/>
        </w:rPr>
        <w:t xml:space="preserve"> This may lift the barrier of the concern for privacy, and encourage more complainants to report sexual offences.</w:t>
      </w:r>
    </w:p>
    <w:p w14:paraId="42EB7278" w14:textId="77777777" w:rsidR="00872876" w:rsidRPr="00992459" w:rsidRDefault="00872876" w:rsidP="00D31746">
      <w:pPr>
        <w:ind w:right="-347"/>
        <w:jc w:val="both"/>
        <w:rPr>
          <w:rFonts w:asciiTheme="minorHAnsi" w:hAnsiTheme="minorHAnsi"/>
          <w:color w:val="000000" w:themeColor="text1"/>
          <w:lang w:val="en-US"/>
        </w:rPr>
      </w:pPr>
    </w:p>
    <w:p w14:paraId="77371D00" w14:textId="77777777" w:rsidR="00872876" w:rsidRPr="00992459" w:rsidRDefault="009F61F3" w:rsidP="00872876">
      <w:pPr>
        <w:ind w:right="-347"/>
        <w:jc w:val="both"/>
        <w:rPr>
          <w:rFonts w:asciiTheme="minorHAnsi" w:hAnsiTheme="minorHAnsi"/>
          <w:color w:val="000000" w:themeColor="text1"/>
          <w:lang w:val="en-US"/>
        </w:rPr>
      </w:pPr>
      <w:r w:rsidRPr="00992459">
        <w:rPr>
          <w:rFonts w:asciiTheme="minorHAnsi" w:hAnsiTheme="minorHAnsi"/>
          <w:color w:val="000000" w:themeColor="text1"/>
        </w:rPr>
        <w:t>We are</w:t>
      </w:r>
      <w:r w:rsidR="00C83524" w:rsidRPr="00992459">
        <w:rPr>
          <w:rFonts w:asciiTheme="minorHAnsi" w:hAnsiTheme="minorHAnsi"/>
          <w:color w:val="000000" w:themeColor="text1"/>
        </w:rPr>
        <w:t xml:space="preserve"> also firmly of the view that section 194K of the </w:t>
      </w:r>
      <w:r w:rsidR="00C83524" w:rsidRPr="00992459">
        <w:rPr>
          <w:rFonts w:asciiTheme="minorHAnsi" w:hAnsiTheme="minorHAnsi"/>
          <w:i/>
          <w:color w:val="000000" w:themeColor="text1"/>
        </w:rPr>
        <w:t xml:space="preserve">Evidence Act 2001 </w:t>
      </w:r>
      <w:r w:rsidR="00545589" w:rsidRPr="00992459">
        <w:rPr>
          <w:rFonts w:asciiTheme="minorHAnsi" w:hAnsiTheme="minorHAnsi"/>
          <w:color w:val="000000" w:themeColor="text1"/>
        </w:rPr>
        <w:t xml:space="preserve">(Tas) </w:t>
      </w:r>
      <w:r w:rsidR="00C83524" w:rsidRPr="00992459">
        <w:rPr>
          <w:rFonts w:asciiTheme="minorHAnsi" w:hAnsiTheme="minorHAnsi"/>
          <w:color w:val="000000" w:themeColor="text1"/>
        </w:rPr>
        <w:t>should be amended to provide compl</w:t>
      </w:r>
      <w:r w:rsidRPr="00992459">
        <w:rPr>
          <w:rFonts w:asciiTheme="minorHAnsi" w:hAnsiTheme="minorHAnsi"/>
          <w:color w:val="000000" w:themeColor="text1"/>
        </w:rPr>
        <w:t>ainants with the right to waive</w:t>
      </w:r>
      <w:r w:rsidR="00C83524" w:rsidRPr="00992459">
        <w:rPr>
          <w:rFonts w:asciiTheme="minorHAnsi" w:hAnsiTheme="minorHAnsi"/>
          <w:color w:val="000000" w:themeColor="text1"/>
        </w:rPr>
        <w:t xml:space="preserve"> their anonym</w:t>
      </w:r>
      <w:r w:rsidR="00545589" w:rsidRPr="00992459">
        <w:rPr>
          <w:rFonts w:asciiTheme="minorHAnsi" w:hAnsiTheme="minorHAnsi"/>
          <w:color w:val="000000" w:themeColor="text1"/>
        </w:rPr>
        <w:t xml:space="preserve">ity and consent to publication. </w:t>
      </w:r>
      <w:r w:rsidR="00C83524" w:rsidRPr="00992459">
        <w:rPr>
          <w:rFonts w:asciiTheme="minorHAnsi" w:hAnsiTheme="minorHAnsi"/>
          <w:color w:val="000000" w:themeColor="text1"/>
        </w:rPr>
        <w:t xml:space="preserve">We </w:t>
      </w:r>
      <w:r w:rsidR="00545589" w:rsidRPr="00992459">
        <w:rPr>
          <w:rFonts w:asciiTheme="minorHAnsi" w:hAnsiTheme="minorHAnsi"/>
          <w:color w:val="000000" w:themeColor="text1"/>
        </w:rPr>
        <w:t>strongly support</w:t>
      </w:r>
      <w:r w:rsidR="00C83524" w:rsidRPr="00992459">
        <w:rPr>
          <w:rFonts w:asciiTheme="minorHAnsi" w:hAnsiTheme="minorHAnsi"/>
          <w:color w:val="000000" w:themeColor="text1"/>
        </w:rPr>
        <w:t xml:space="preserve"> </w:t>
      </w:r>
      <w:r w:rsidR="00545589" w:rsidRPr="00992459">
        <w:rPr>
          <w:rFonts w:asciiTheme="minorHAnsi" w:hAnsiTheme="minorHAnsi"/>
          <w:color w:val="000000" w:themeColor="text1"/>
        </w:rPr>
        <w:t>the TLRI’s recommendation that would permit</w:t>
      </w:r>
      <w:r w:rsidR="00C83524" w:rsidRPr="00992459">
        <w:rPr>
          <w:rFonts w:asciiTheme="minorHAnsi" w:hAnsiTheme="minorHAnsi"/>
          <w:color w:val="000000" w:themeColor="text1"/>
        </w:rPr>
        <w:t xml:space="preserve"> the publication of the complainant’s details, if the complaina</w:t>
      </w:r>
      <w:r w:rsidR="00DD159C" w:rsidRPr="00992459">
        <w:rPr>
          <w:rFonts w:asciiTheme="minorHAnsi" w:hAnsiTheme="minorHAnsi"/>
          <w:color w:val="000000" w:themeColor="text1"/>
        </w:rPr>
        <w:t>nt is over the age of eighteen, not considered ‘especially vulnerable’</w:t>
      </w:r>
      <w:r w:rsidR="00DD159C" w:rsidRPr="00992459">
        <w:rPr>
          <w:rStyle w:val="FootnoteReference"/>
          <w:rFonts w:asciiTheme="minorHAnsi" w:hAnsiTheme="minorHAnsi"/>
          <w:color w:val="000000" w:themeColor="text1"/>
        </w:rPr>
        <w:footnoteReference w:id="12"/>
      </w:r>
      <w:r w:rsidR="00DD159C" w:rsidRPr="00992459">
        <w:rPr>
          <w:rFonts w:asciiTheme="minorHAnsi" w:hAnsiTheme="minorHAnsi"/>
          <w:color w:val="000000" w:themeColor="text1"/>
        </w:rPr>
        <w:t xml:space="preserve"> </w:t>
      </w:r>
      <w:r w:rsidR="00C83524" w:rsidRPr="00992459">
        <w:rPr>
          <w:rFonts w:asciiTheme="minorHAnsi" w:hAnsiTheme="minorHAnsi"/>
          <w:color w:val="000000" w:themeColor="text1"/>
        </w:rPr>
        <w:t xml:space="preserve">and </w:t>
      </w:r>
      <w:r w:rsidR="00545589" w:rsidRPr="00992459">
        <w:rPr>
          <w:rFonts w:asciiTheme="minorHAnsi" w:hAnsiTheme="minorHAnsi"/>
          <w:color w:val="000000" w:themeColor="text1"/>
        </w:rPr>
        <w:t>their</w:t>
      </w:r>
      <w:r w:rsidR="00C83524" w:rsidRPr="00992459">
        <w:rPr>
          <w:rFonts w:asciiTheme="minorHAnsi" w:hAnsiTheme="minorHAnsi"/>
          <w:color w:val="000000" w:themeColor="text1"/>
        </w:rPr>
        <w:t xml:space="preserve"> consent has been provided without coercion, fraud or manipulation.</w:t>
      </w:r>
      <w:r w:rsidR="00545589" w:rsidRPr="00992459">
        <w:rPr>
          <w:rStyle w:val="FootnoteReference"/>
          <w:rFonts w:asciiTheme="minorHAnsi" w:hAnsiTheme="minorHAnsi"/>
          <w:color w:val="000000" w:themeColor="text1"/>
        </w:rPr>
        <w:footnoteReference w:id="13"/>
      </w:r>
      <w:r w:rsidR="00545589" w:rsidRPr="00992459">
        <w:rPr>
          <w:rFonts w:asciiTheme="minorHAnsi" w:hAnsiTheme="minorHAnsi"/>
          <w:color w:val="000000" w:themeColor="text1"/>
        </w:rPr>
        <w:t xml:space="preserve"> In our view, t</w:t>
      </w:r>
      <w:r w:rsidR="00C83524" w:rsidRPr="00992459">
        <w:rPr>
          <w:rFonts w:asciiTheme="minorHAnsi" w:hAnsiTheme="minorHAnsi"/>
          <w:color w:val="000000" w:themeColor="text1"/>
        </w:rPr>
        <w:t xml:space="preserve">hese are important safeguards ensuring that consent has been legitimately provided and that the publication </w:t>
      </w:r>
      <w:r w:rsidR="00C55F67" w:rsidRPr="00992459">
        <w:rPr>
          <w:rFonts w:asciiTheme="minorHAnsi" w:hAnsiTheme="minorHAnsi"/>
          <w:color w:val="000000" w:themeColor="text1"/>
        </w:rPr>
        <w:t>is</w:t>
      </w:r>
      <w:r w:rsidR="00C83524" w:rsidRPr="00992459">
        <w:rPr>
          <w:rFonts w:asciiTheme="minorHAnsi" w:hAnsiTheme="minorHAnsi"/>
          <w:color w:val="000000" w:themeColor="text1"/>
        </w:rPr>
        <w:t xml:space="preserve"> in the best interest of the complainant. It also ideally ensures that the media has not </w:t>
      </w:r>
      <w:r w:rsidR="00545589" w:rsidRPr="00992459">
        <w:rPr>
          <w:rFonts w:asciiTheme="minorHAnsi" w:hAnsiTheme="minorHAnsi"/>
          <w:color w:val="000000" w:themeColor="text1"/>
        </w:rPr>
        <w:t>unduly p</w:t>
      </w:r>
      <w:r w:rsidR="00A54BAD" w:rsidRPr="00992459">
        <w:rPr>
          <w:rFonts w:asciiTheme="minorHAnsi" w:hAnsiTheme="minorHAnsi"/>
          <w:color w:val="000000" w:themeColor="text1"/>
        </w:rPr>
        <w:t>r</w:t>
      </w:r>
      <w:r w:rsidR="00545589" w:rsidRPr="00992459">
        <w:rPr>
          <w:rFonts w:asciiTheme="minorHAnsi" w:hAnsiTheme="minorHAnsi"/>
          <w:color w:val="000000" w:themeColor="text1"/>
        </w:rPr>
        <w:t>essured</w:t>
      </w:r>
      <w:r w:rsidR="00C83524" w:rsidRPr="00992459">
        <w:rPr>
          <w:rFonts w:asciiTheme="minorHAnsi" w:hAnsiTheme="minorHAnsi"/>
          <w:color w:val="000000" w:themeColor="text1"/>
        </w:rPr>
        <w:t xml:space="preserve"> the victim to consent to publicity. </w:t>
      </w:r>
    </w:p>
    <w:p w14:paraId="470429AD" w14:textId="77777777" w:rsidR="00872876" w:rsidRPr="00992459" w:rsidRDefault="00872876" w:rsidP="00872876">
      <w:pPr>
        <w:ind w:right="-347"/>
        <w:jc w:val="both"/>
        <w:rPr>
          <w:rFonts w:asciiTheme="minorHAnsi" w:hAnsiTheme="minorHAnsi"/>
          <w:color w:val="000000" w:themeColor="text1"/>
          <w:lang w:val="en-US"/>
        </w:rPr>
      </w:pPr>
    </w:p>
    <w:p w14:paraId="0555C0B1" w14:textId="47ED3FFF" w:rsidR="00872876" w:rsidRPr="00992459" w:rsidRDefault="00C83524" w:rsidP="00872876">
      <w:pPr>
        <w:ind w:right="-347"/>
        <w:jc w:val="both"/>
        <w:rPr>
          <w:rFonts w:asciiTheme="minorHAnsi" w:hAnsiTheme="minorHAnsi"/>
          <w:color w:val="000000" w:themeColor="text1"/>
          <w:lang w:val="en-US"/>
        </w:rPr>
      </w:pPr>
      <w:r w:rsidRPr="00992459">
        <w:rPr>
          <w:rFonts w:asciiTheme="minorHAnsi" w:hAnsiTheme="minorHAnsi"/>
          <w:color w:val="000000" w:themeColor="text1"/>
        </w:rPr>
        <w:t xml:space="preserve">In the alternative, the court in determining whether to permit publication could also consider other discretionary factors. As identified </w:t>
      </w:r>
      <w:r w:rsidR="006750B9" w:rsidRPr="00992459">
        <w:rPr>
          <w:rFonts w:asciiTheme="minorHAnsi" w:hAnsiTheme="minorHAnsi"/>
          <w:color w:val="000000" w:themeColor="text1"/>
        </w:rPr>
        <w:t>by the TLRI</w:t>
      </w:r>
      <w:r w:rsidRPr="00992459">
        <w:rPr>
          <w:rFonts w:asciiTheme="minorHAnsi" w:hAnsiTheme="minorHAnsi"/>
          <w:color w:val="000000" w:themeColor="text1"/>
        </w:rPr>
        <w:t xml:space="preserve"> (and endorsed by the Women’s Legal Service Tasmania),</w:t>
      </w:r>
      <w:r w:rsidR="006750B9" w:rsidRPr="00992459">
        <w:rPr>
          <w:rStyle w:val="FootnoteReference"/>
          <w:rFonts w:asciiTheme="minorHAnsi" w:hAnsiTheme="minorHAnsi"/>
          <w:color w:val="000000" w:themeColor="text1"/>
        </w:rPr>
        <w:footnoteReference w:id="14"/>
      </w:r>
      <w:r w:rsidRPr="00992459">
        <w:rPr>
          <w:rFonts w:asciiTheme="minorHAnsi" w:hAnsiTheme="minorHAnsi"/>
          <w:color w:val="000000" w:themeColor="text1"/>
        </w:rPr>
        <w:t xml:space="preserve"> these factors, include the time elapsed since the offence, and the complainant’s reason for disclosure. </w:t>
      </w:r>
    </w:p>
    <w:p w14:paraId="08E30541" w14:textId="77777777" w:rsidR="00872876" w:rsidRPr="00992459" w:rsidRDefault="00872876" w:rsidP="00872876">
      <w:pPr>
        <w:ind w:right="-347"/>
        <w:jc w:val="both"/>
        <w:rPr>
          <w:rFonts w:asciiTheme="minorHAnsi" w:hAnsiTheme="minorHAnsi"/>
          <w:color w:val="000000" w:themeColor="text1"/>
          <w:lang w:val="en-US"/>
        </w:rPr>
      </w:pPr>
    </w:p>
    <w:p w14:paraId="70BB979A" w14:textId="46197DDD" w:rsidR="00D96843" w:rsidRDefault="00872876" w:rsidP="00D96843">
      <w:pPr>
        <w:ind w:right="-347"/>
        <w:jc w:val="both"/>
        <w:rPr>
          <w:rFonts w:asciiTheme="minorHAnsi" w:hAnsiTheme="minorHAnsi"/>
          <w:color w:val="000000" w:themeColor="text1"/>
        </w:rPr>
      </w:pPr>
      <w:r w:rsidRPr="00992459">
        <w:rPr>
          <w:rFonts w:asciiTheme="minorHAnsi" w:hAnsiTheme="minorHAnsi"/>
          <w:color w:val="000000" w:themeColor="text1"/>
        </w:rPr>
        <w:t>We strongly believe that providing</w:t>
      </w:r>
      <w:r w:rsidR="00C83524" w:rsidRPr="00992459">
        <w:rPr>
          <w:rFonts w:asciiTheme="minorHAnsi" w:hAnsiTheme="minorHAnsi"/>
          <w:color w:val="000000" w:themeColor="text1"/>
        </w:rPr>
        <w:t xml:space="preserve"> the complainant </w:t>
      </w:r>
      <w:r w:rsidRPr="00992459">
        <w:rPr>
          <w:rFonts w:asciiTheme="minorHAnsi" w:hAnsiTheme="minorHAnsi"/>
          <w:color w:val="000000" w:themeColor="text1"/>
        </w:rPr>
        <w:t xml:space="preserve">with </w:t>
      </w:r>
      <w:r w:rsidR="00C83524" w:rsidRPr="00992459">
        <w:rPr>
          <w:rFonts w:asciiTheme="minorHAnsi" w:hAnsiTheme="minorHAnsi"/>
          <w:color w:val="000000" w:themeColor="text1"/>
        </w:rPr>
        <w:t xml:space="preserve">the power to consent to the publication of their identity will not only have the effect of empowering the victim and </w:t>
      </w:r>
      <w:r w:rsidRPr="00992459">
        <w:rPr>
          <w:rFonts w:asciiTheme="minorHAnsi" w:hAnsiTheme="minorHAnsi"/>
          <w:color w:val="000000" w:themeColor="text1"/>
        </w:rPr>
        <w:t xml:space="preserve">potentially </w:t>
      </w:r>
      <w:r w:rsidR="00C83524" w:rsidRPr="00992459">
        <w:rPr>
          <w:rFonts w:asciiTheme="minorHAnsi" w:hAnsiTheme="minorHAnsi"/>
          <w:color w:val="000000" w:themeColor="text1"/>
        </w:rPr>
        <w:t xml:space="preserve">assisting them in the healing process, but </w:t>
      </w:r>
      <w:r w:rsidRPr="00992459">
        <w:rPr>
          <w:rFonts w:asciiTheme="minorHAnsi" w:hAnsiTheme="minorHAnsi"/>
          <w:color w:val="000000" w:themeColor="text1"/>
        </w:rPr>
        <w:t xml:space="preserve">it </w:t>
      </w:r>
      <w:r w:rsidR="00C83524" w:rsidRPr="00992459">
        <w:rPr>
          <w:rFonts w:asciiTheme="minorHAnsi" w:hAnsiTheme="minorHAnsi"/>
          <w:color w:val="000000" w:themeColor="text1"/>
        </w:rPr>
        <w:t>may also</w:t>
      </w:r>
      <w:r w:rsidRPr="00992459">
        <w:rPr>
          <w:rFonts w:asciiTheme="minorHAnsi" w:hAnsiTheme="minorHAnsi"/>
          <w:color w:val="000000" w:themeColor="text1"/>
        </w:rPr>
        <w:t xml:space="preserve"> encourage other victims to</w:t>
      </w:r>
      <w:r w:rsidR="00C83524" w:rsidRPr="00992459">
        <w:rPr>
          <w:rFonts w:asciiTheme="minorHAnsi" w:hAnsiTheme="minorHAnsi"/>
          <w:color w:val="000000" w:themeColor="text1"/>
        </w:rPr>
        <w:t xml:space="preserve"> report sexual crimes committed against them.</w:t>
      </w:r>
      <w:r w:rsidRPr="00992459">
        <w:rPr>
          <w:rFonts w:asciiTheme="minorHAnsi" w:hAnsiTheme="minorHAnsi"/>
          <w:color w:val="000000" w:themeColor="text1"/>
        </w:rPr>
        <w:t xml:space="preserve"> </w:t>
      </w:r>
      <w:r w:rsidR="008B6AC4" w:rsidRPr="00992459">
        <w:rPr>
          <w:rFonts w:asciiTheme="minorHAnsi" w:hAnsiTheme="minorHAnsi"/>
          <w:color w:val="000000" w:themeColor="text1"/>
        </w:rPr>
        <w:t>Importantly, v</w:t>
      </w:r>
      <w:r w:rsidR="00C83524" w:rsidRPr="00992459">
        <w:rPr>
          <w:rFonts w:asciiTheme="minorHAnsi" w:hAnsiTheme="minorHAnsi"/>
          <w:color w:val="000000" w:themeColor="text1"/>
        </w:rPr>
        <w:t xml:space="preserve">ictims of sexual offences are also in support of amendments section 194K of the </w:t>
      </w:r>
      <w:r w:rsidR="00C83524" w:rsidRPr="00992459">
        <w:rPr>
          <w:rFonts w:asciiTheme="minorHAnsi" w:hAnsiTheme="minorHAnsi"/>
          <w:i/>
          <w:color w:val="000000" w:themeColor="text1"/>
        </w:rPr>
        <w:t>Evidence Act 2001</w:t>
      </w:r>
      <w:r w:rsidRPr="00992459">
        <w:rPr>
          <w:rFonts w:asciiTheme="minorHAnsi" w:hAnsiTheme="minorHAnsi"/>
          <w:color w:val="000000" w:themeColor="text1"/>
        </w:rPr>
        <w:t xml:space="preserve"> (Tas) with </w:t>
      </w:r>
      <w:r w:rsidRPr="00992459">
        <w:rPr>
          <w:rFonts w:asciiTheme="minorHAnsi" w:hAnsiTheme="minorHAnsi"/>
          <w:i/>
          <w:color w:val="000000" w:themeColor="text1"/>
        </w:rPr>
        <w:t>The Mercury</w:t>
      </w:r>
      <w:r w:rsidRPr="00992459">
        <w:rPr>
          <w:rFonts w:asciiTheme="minorHAnsi" w:hAnsiTheme="minorHAnsi"/>
          <w:color w:val="000000" w:themeColor="text1"/>
        </w:rPr>
        <w:t xml:space="preserve"> newspaper recently publishing stories from a number of sexual assault victims, including notably </w:t>
      </w:r>
      <w:r w:rsidR="00C83524" w:rsidRPr="00992459">
        <w:rPr>
          <w:rFonts w:asciiTheme="minorHAnsi" w:hAnsiTheme="minorHAnsi"/>
          <w:color w:val="000000" w:themeColor="text1"/>
        </w:rPr>
        <w:t xml:space="preserve">the complainant in the </w:t>
      </w:r>
      <w:r w:rsidR="00C83524" w:rsidRPr="00992459">
        <w:rPr>
          <w:rFonts w:asciiTheme="minorHAnsi" w:hAnsiTheme="minorHAnsi"/>
          <w:i/>
          <w:color w:val="000000" w:themeColor="text1"/>
        </w:rPr>
        <w:t>State of Tasmania v Nicolaas Ockert Bester</w:t>
      </w:r>
      <w:r w:rsidR="00C90391" w:rsidRPr="00992459">
        <w:rPr>
          <w:rFonts w:asciiTheme="minorHAnsi" w:hAnsiTheme="minorHAnsi"/>
          <w:i/>
          <w:color w:val="000000" w:themeColor="text1"/>
        </w:rPr>
        <w:t>,</w:t>
      </w:r>
      <w:r w:rsidR="00C83524" w:rsidRPr="00992459">
        <w:rPr>
          <w:rStyle w:val="FootnoteReference"/>
          <w:rFonts w:asciiTheme="minorHAnsi" w:hAnsiTheme="minorHAnsi"/>
          <w:color w:val="000000" w:themeColor="text1"/>
        </w:rPr>
        <w:footnoteReference w:id="15"/>
      </w:r>
      <w:r w:rsidR="00C83524" w:rsidRPr="00992459">
        <w:rPr>
          <w:rFonts w:asciiTheme="minorHAnsi" w:hAnsiTheme="minorHAnsi"/>
          <w:color w:val="000000" w:themeColor="text1"/>
        </w:rPr>
        <w:t xml:space="preserve"> who has publically advocated under the pseudonym ‘Jane Doe’ that the</w:t>
      </w:r>
      <w:r w:rsidR="00D96843">
        <w:rPr>
          <w:rFonts w:asciiTheme="minorHAnsi" w:hAnsiTheme="minorHAnsi"/>
          <w:color w:val="000000" w:themeColor="text1"/>
        </w:rPr>
        <w:t xml:space="preserve"> law:</w:t>
      </w:r>
      <w:r w:rsidR="00D96843">
        <w:rPr>
          <w:rStyle w:val="FootnoteReference"/>
          <w:rFonts w:asciiTheme="minorHAnsi" w:hAnsiTheme="minorHAnsi"/>
          <w:color w:val="000000" w:themeColor="text1"/>
        </w:rPr>
        <w:footnoteReference w:id="16"/>
      </w:r>
    </w:p>
    <w:p w14:paraId="7C12C02C" w14:textId="77777777" w:rsidR="00D96843" w:rsidRDefault="00D96843" w:rsidP="00D96843">
      <w:pPr>
        <w:ind w:right="-347"/>
        <w:jc w:val="both"/>
        <w:rPr>
          <w:rFonts w:asciiTheme="minorHAnsi" w:hAnsiTheme="minorHAnsi"/>
          <w:color w:val="000000" w:themeColor="text1"/>
        </w:rPr>
      </w:pPr>
    </w:p>
    <w:p w14:paraId="1C081D28" w14:textId="67B3E987" w:rsidR="00D96843" w:rsidRPr="00D96843" w:rsidRDefault="00D96843" w:rsidP="00D96843">
      <w:pPr>
        <w:ind w:left="567" w:right="397"/>
        <w:jc w:val="both"/>
        <w:rPr>
          <w:rFonts w:asciiTheme="minorHAnsi" w:hAnsiTheme="minorHAnsi"/>
          <w:color w:val="000000" w:themeColor="text1"/>
          <w:sz w:val="22"/>
          <w:szCs w:val="22"/>
        </w:rPr>
      </w:pPr>
      <w:r w:rsidRPr="00D96843">
        <w:rPr>
          <w:rFonts w:asciiTheme="minorHAnsi" w:eastAsia="Times New Roman" w:hAnsiTheme="minorHAnsi"/>
          <w:color w:val="232323"/>
          <w:sz w:val="22"/>
          <w:szCs w:val="22"/>
          <w:shd w:val="clear" w:color="auto" w:fill="FFFFFF"/>
        </w:rPr>
        <w:t>should be amended on the basis that it perpetuates inequality. The fact that victims are criminalised for identifying themselves publicly but perpetrators are not, is simply unjust. Survivors should have the right to publicly speak about their experiences, whether they choose to exercise it or not.</w:t>
      </w:r>
    </w:p>
    <w:p w14:paraId="49C42993" w14:textId="77777777" w:rsidR="00D96843" w:rsidRDefault="00D96843" w:rsidP="0079536B">
      <w:pPr>
        <w:ind w:right="-347"/>
        <w:jc w:val="both"/>
        <w:rPr>
          <w:rFonts w:asciiTheme="minorHAnsi" w:hAnsiTheme="minorHAnsi"/>
          <w:color w:val="000000" w:themeColor="text1"/>
        </w:rPr>
      </w:pPr>
    </w:p>
    <w:p w14:paraId="0CE706C0" w14:textId="6DE51FF2" w:rsidR="00C83524" w:rsidRPr="00992459" w:rsidRDefault="00C90391" w:rsidP="0079536B">
      <w:pPr>
        <w:ind w:right="-347"/>
        <w:jc w:val="both"/>
        <w:rPr>
          <w:rFonts w:asciiTheme="minorHAnsi" w:hAnsiTheme="minorHAnsi"/>
          <w:color w:val="000000" w:themeColor="text1"/>
          <w:lang w:val="en-US"/>
        </w:rPr>
      </w:pPr>
      <w:r w:rsidRPr="00992459">
        <w:rPr>
          <w:rFonts w:asciiTheme="minorHAnsi" w:hAnsiTheme="minorHAnsi"/>
          <w:color w:val="000000" w:themeColor="text1"/>
        </w:rPr>
        <w:t>Finally, we concur with the</w:t>
      </w:r>
      <w:r w:rsidR="00C83524" w:rsidRPr="00992459">
        <w:rPr>
          <w:rFonts w:asciiTheme="minorHAnsi" w:hAnsiTheme="minorHAnsi"/>
          <w:color w:val="000000" w:themeColor="text1"/>
        </w:rPr>
        <w:t xml:space="preserve"> </w:t>
      </w:r>
      <w:r w:rsidR="007C3902">
        <w:rPr>
          <w:rFonts w:asciiTheme="minorHAnsi" w:hAnsiTheme="minorHAnsi"/>
          <w:color w:val="000000" w:themeColor="text1"/>
        </w:rPr>
        <w:t>TLRI</w:t>
      </w:r>
      <w:r w:rsidRPr="00992459">
        <w:rPr>
          <w:rFonts w:asciiTheme="minorHAnsi" w:hAnsiTheme="minorHAnsi"/>
          <w:color w:val="000000" w:themeColor="text1"/>
        </w:rPr>
        <w:t xml:space="preserve"> </w:t>
      </w:r>
      <w:r w:rsidR="00C83524" w:rsidRPr="00992459">
        <w:rPr>
          <w:rFonts w:asciiTheme="minorHAnsi" w:hAnsiTheme="minorHAnsi"/>
          <w:color w:val="000000" w:themeColor="text1"/>
        </w:rPr>
        <w:t>that in deciding whethe</w:t>
      </w:r>
      <w:r w:rsidRPr="00992459">
        <w:rPr>
          <w:rFonts w:asciiTheme="minorHAnsi" w:hAnsiTheme="minorHAnsi"/>
          <w:color w:val="000000" w:themeColor="text1"/>
        </w:rPr>
        <w:t>r to authorise publication</w:t>
      </w:r>
      <w:r w:rsidR="00C83524" w:rsidRPr="00992459">
        <w:rPr>
          <w:rFonts w:asciiTheme="minorHAnsi" w:hAnsiTheme="minorHAnsi"/>
          <w:color w:val="000000" w:themeColor="text1"/>
        </w:rPr>
        <w:t xml:space="preserve"> the court must give consideration to the possible risk that other victims may be identified without their consent.</w:t>
      </w:r>
      <w:r w:rsidRPr="00992459">
        <w:rPr>
          <w:rStyle w:val="FootnoteReference"/>
          <w:rFonts w:asciiTheme="minorHAnsi" w:hAnsiTheme="minorHAnsi"/>
          <w:color w:val="000000" w:themeColor="text1"/>
        </w:rPr>
        <w:footnoteReference w:id="17"/>
      </w:r>
      <w:r w:rsidR="00C83524" w:rsidRPr="00992459">
        <w:rPr>
          <w:rFonts w:asciiTheme="minorHAnsi" w:hAnsiTheme="minorHAnsi"/>
          <w:color w:val="000000" w:themeColor="text1"/>
        </w:rPr>
        <w:t xml:space="preserve"> For example, in </w:t>
      </w:r>
      <w:r w:rsidR="00C83524" w:rsidRPr="00992459">
        <w:rPr>
          <w:rFonts w:asciiTheme="minorHAnsi" w:hAnsiTheme="minorHAnsi"/>
          <w:i/>
          <w:color w:val="000000" w:themeColor="text1"/>
        </w:rPr>
        <w:t>R v The Age Company Ltd</w:t>
      </w:r>
      <w:r w:rsidR="007E5031" w:rsidRPr="00992459">
        <w:rPr>
          <w:rFonts w:asciiTheme="minorHAnsi" w:hAnsiTheme="minorHAnsi"/>
          <w:color w:val="000000" w:themeColor="text1"/>
        </w:rPr>
        <w:t xml:space="preserve"> </w:t>
      </w:r>
      <w:r w:rsidR="00C83524" w:rsidRPr="00992459">
        <w:rPr>
          <w:rFonts w:asciiTheme="minorHAnsi" w:hAnsiTheme="minorHAnsi"/>
          <w:color w:val="000000" w:themeColor="text1"/>
        </w:rPr>
        <w:t xml:space="preserve">where </w:t>
      </w:r>
      <w:r w:rsidR="0079536B" w:rsidRPr="00992459">
        <w:rPr>
          <w:rFonts w:asciiTheme="minorHAnsi" w:hAnsiTheme="minorHAnsi"/>
          <w:color w:val="000000" w:themeColor="text1"/>
        </w:rPr>
        <w:t xml:space="preserve">Evans J found </w:t>
      </w:r>
      <w:r w:rsidR="00C83524" w:rsidRPr="00992459">
        <w:rPr>
          <w:rFonts w:asciiTheme="minorHAnsi" w:hAnsiTheme="minorHAnsi"/>
          <w:color w:val="000000" w:themeColor="text1"/>
        </w:rPr>
        <w:t>the newspaper edi</w:t>
      </w:r>
      <w:r w:rsidR="0079536B" w:rsidRPr="00992459">
        <w:rPr>
          <w:rFonts w:asciiTheme="minorHAnsi" w:hAnsiTheme="minorHAnsi"/>
          <w:color w:val="000000" w:themeColor="text1"/>
        </w:rPr>
        <w:t xml:space="preserve">tor </w:t>
      </w:r>
      <w:r w:rsidR="009560A1" w:rsidRPr="00992459">
        <w:rPr>
          <w:rFonts w:asciiTheme="minorHAnsi" w:hAnsiTheme="minorHAnsi"/>
          <w:color w:val="000000" w:themeColor="text1"/>
        </w:rPr>
        <w:t xml:space="preserve">in contempt of </w:t>
      </w:r>
      <w:r w:rsidR="00C83524" w:rsidRPr="00992459">
        <w:rPr>
          <w:rFonts w:asciiTheme="minorHAnsi" w:hAnsiTheme="minorHAnsi"/>
          <w:color w:val="000000" w:themeColor="text1"/>
        </w:rPr>
        <w:t>court for publishing the identity of a complainant without considering the risk of this leading to the identification of other victims.</w:t>
      </w:r>
      <w:r w:rsidR="00C83524" w:rsidRPr="00992459">
        <w:rPr>
          <w:rStyle w:val="FootnoteReference"/>
          <w:rFonts w:asciiTheme="minorHAnsi" w:hAnsiTheme="minorHAnsi"/>
          <w:color w:val="000000" w:themeColor="text1"/>
        </w:rPr>
        <w:footnoteReference w:id="18"/>
      </w:r>
      <w:r w:rsidR="0079536B" w:rsidRPr="00992459">
        <w:rPr>
          <w:rFonts w:asciiTheme="minorHAnsi" w:hAnsiTheme="minorHAnsi"/>
          <w:color w:val="000000" w:themeColor="text1"/>
        </w:rPr>
        <w:t xml:space="preserve"> </w:t>
      </w:r>
      <w:r w:rsidR="00C83524" w:rsidRPr="00992459">
        <w:rPr>
          <w:rFonts w:asciiTheme="minorHAnsi" w:hAnsiTheme="minorHAnsi"/>
          <w:color w:val="000000" w:themeColor="text1"/>
        </w:rPr>
        <w:t>Additional safeguards could be included within the amendment, including that all victims of the relevant perpetrator must be over the age of eighteen</w:t>
      </w:r>
      <w:r w:rsidR="0079536B" w:rsidRPr="00992459">
        <w:rPr>
          <w:rFonts w:asciiTheme="minorHAnsi" w:hAnsiTheme="minorHAnsi"/>
          <w:color w:val="000000" w:themeColor="text1"/>
        </w:rPr>
        <w:t xml:space="preserve"> and not considered ‘especially vulnerable’. The adoption of these safeguards </w:t>
      </w:r>
      <w:r w:rsidR="006750B9" w:rsidRPr="00992459">
        <w:rPr>
          <w:rFonts w:asciiTheme="minorHAnsi" w:hAnsiTheme="minorHAnsi"/>
          <w:color w:val="000000" w:themeColor="text1"/>
        </w:rPr>
        <w:t>will provide clarification around permissible publication,</w:t>
      </w:r>
      <w:r w:rsidR="00C83524" w:rsidRPr="00992459">
        <w:rPr>
          <w:rFonts w:asciiTheme="minorHAnsi" w:hAnsiTheme="minorHAnsi"/>
          <w:color w:val="000000" w:themeColor="text1"/>
        </w:rPr>
        <w:t xml:space="preserve"> ensure the protection of non-consenting victims and deter the media from undertaking similar conduct in the future.</w:t>
      </w:r>
    </w:p>
    <w:p w14:paraId="15FABA7C" w14:textId="77777777" w:rsidR="00C83524" w:rsidRPr="00992459" w:rsidRDefault="00C83524" w:rsidP="00C83524">
      <w:pPr>
        <w:jc w:val="both"/>
        <w:rPr>
          <w:rFonts w:asciiTheme="minorHAnsi" w:hAnsiTheme="minorHAnsi"/>
          <w:color w:val="000000" w:themeColor="text1"/>
        </w:rPr>
      </w:pPr>
    </w:p>
    <w:p w14:paraId="2223649B" w14:textId="77777777" w:rsidR="00D843EF" w:rsidRPr="00992459" w:rsidRDefault="00D843EF" w:rsidP="00D843EF">
      <w:pPr>
        <w:ind w:right="-347"/>
        <w:jc w:val="both"/>
        <w:rPr>
          <w:rFonts w:asciiTheme="minorHAnsi" w:hAnsiTheme="minorHAnsi" w:cs="Arial"/>
          <w:color w:val="000000" w:themeColor="text1"/>
        </w:rPr>
      </w:pPr>
      <w:r w:rsidRPr="00992459">
        <w:rPr>
          <w:rFonts w:asciiTheme="minorHAnsi" w:eastAsia="Times New Roman" w:hAnsiTheme="minorHAnsi"/>
          <w:bCs/>
          <w:color w:val="000000" w:themeColor="text1"/>
        </w:rPr>
        <w:t>If we can be of any further assistance, please do not hesitate to contact us.</w:t>
      </w:r>
    </w:p>
    <w:p w14:paraId="42D76467" w14:textId="77777777" w:rsidR="00D843EF" w:rsidRPr="00992459" w:rsidRDefault="00D843EF" w:rsidP="00D843EF">
      <w:pPr>
        <w:shd w:val="clear" w:color="auto" w:fill="FFFFFF"/>
        <w:ind w:right="-347"/>
        <w:jc w:val="both"/>
        <w:rPr>
          <w:rFonts w:asciiTheme="minorHAnsi" w:eastAsia="Times New Roman" w:hAnsiTheme="minorHAnsi"/>
          <w:bCs/>
          <w:color w:val="000000" w:themeColor="text1"/>
        </w:rPr>
      </w:pPr>
    </w:p>
    <w:p w14:paraId="5C3391F1" w14:textId="77777777" w:rsidR="00D843EF" w:rsidRPr="00992459" w:rsidRDefault="00D843EF" w:rsidP="00D843EF">
      <w:pPr>
        <w:shd w:val="clear" w:color="auto" w:fill="FFFFFF"/>
        <w:ind w:right="-347"/>
        <w:jc w:val="both"/>
        <w:rPr>
          <w:rFonts w:asciiTheme="minorHAnsi" w:eastAsia="Times New Roman" w:hAnsiTheme="minorHAnsi"/>
          <w:bCs/>
          <w:color w:val="000000" w:themeColor="text1"/>
        </w:rPr>
      </w:pPr>
    </w:p>
    <w:p w14:paraId="4172B22D" w14:textId="77777777" w:rsidR="00D843EF" w:rsidRPr="00992459" w:rsidRDefault="00D843EF" w:rsidP="00D843EF">
      <w:pPr>
        <w:shd w:val="clear" w:color="auto" w:fill="FFFFFF"/>
        <w:ind w:right="-347"/>
        <w:jc w:val="both"/>
        <w:rPr>
          <w:rFonts w:asciiTheme="minorHAnsi" w:eastAsia="Times New Roman" w:hAnsiTheme="minorHAnsi"/>
          <w:bCs/>
          <w:color w:val="000000" w:themeColor="text1"/>
        </w:rPr>
      </w:pPr>
      <w:r w:rsidRPr="00992459">
        <w:rPr>
          <w:rFonts w:asciiTheme="minorHAnsi" w:eastAsia="Times New Roman" w:hAnsiTheme="minorHAnsi"/>
          <w:bCs/>
          <w:color w:val="000000" w:themeColor="text1"/>
        </w:rPr>
        <w:t>Yours faithfully,</w:t>
      </w:r>
    </w:p>
    <w:p w14:paraId="682A4A34" w14:textId="77777777" w:rsidR="00D843EF" w:rsidRPr="00992459" w:rsidRDefault="00D843EF" w:rsidP="00D843EF">
      <w:pPr>
        <w:shd w:val="clear" w:color="auto" w:fill="FFFFFF"/>
        <w:ind w:right="-347"/>
        <w:jc w:val="both"/>
        <w:rPr>
          <w:rFonts w:asciiTheme="minorHAnsi" w:eastAsia="Times New Roman" w:hAnsiTheme="minorHAnsi"/>
          <w:bCs/>
          <w:color w:val="000000" w:themeColor="text1"/>
        </w:rPr>
      </w:pPr>
    </w:p>
    <w:p w14:paraId="396D8F46" w14:textId="77777777" w:rsidR="00D843EF" w:rsidRPr="00992459" w:rsidRDefault="00D843EF" w:rsidP="00D843EF">
      <w:pPr>
        <w:shd w:val="clear" w:color="auto" w:fill="FFFFFF"/>
        <w:ind w:right="-347"/>
        <w:jc w:val="both"/>
        <w:rPr>
          <w:rFonts w:asciiTheme="minorHAnsi" w:eastAsia="Times New Roman" w:hAnsiTheme="minorHAnsi"/>
          <w:bCs/>
          <w:color w:val="000000" w:themeColor="text1"/>
        </w:rPr>
      </w:pPr>
    </w:p>
    <w:p w14:paraId="3B1E36DD" w14:textId="77777777" w:rsidR="00D843EF" w:rsidRPr="00992459" w:rsidRDefault="00D843EF" w:rsidP="00D843EF">
      <w:pPr>
        <w:shd w:val="clear" w:color="auto" w:fill="FFFFFF"/>
        <w:ind w:right="-347"/>
        <w:jc w:val="both"/>
        <w:rPr>
          <w:rFonts w:asciiTheme="minorHAnsi" w:eastAsia="Times New Roman" w:hAnsiTheme="minorHAnsi"/>
          <w:bCs/>
          <w:color w:val="000000" w:themeColor="text1"/>
        </w:rPr>
      </w:pPr>
    </w:p>
    <w:p w14:paraId="112B8C3D" w14:textId="77777777" w:rsidR="00D843EF" w:rsidRPr="00992459" w:rsidRDefault="00D843EF" w:rsidP="00D843EF">
      <w:pPr>
        <w:shd w:val="clear" w:color="auto" w:fill="FFFFFF"/>
        <w:ind w:right="-347"/>
        <w:jc w:val="both"/>
        <w:rPr>
          <w:rFonts w:asciiTheme="minorHAnsi" w:eastAsia="Times New Roman" w:hAnsiTheme="minorHAnsi"/>
          <w:bCs/>
          <w:color w:val="000000" w:themeColor="text1"/>
        </w:rPr>
      </w:pPr>
      <w:r w:rsidRPr="00992459">
        <w:rPr>
          <w:rFonts w:asciiTheme="minorHAnsi" w:eastAsia="Times New Roman" w:hAnsiTheme="minorHAnsi"/>
          <w:bCs/>
          <w:color w:val="000000" w:themeColor="text1"/>
        </w:rPr>
        <w:t>Benedict Bartl</w:t>
      </w:r>
    </w:p>
    <w:p w14:paraId="4EAFAC5E" w14:textId="77777777" w:rsidR="00D843EF" w:rsidRPr="00992459" w:rsidRDefault="00D843EF" w:rsidP="00D843EF">
      <w:pPr>
        <w:shd w:val="clear" w:color="auto" w:fill="FFFFFF"/>
        <w:ind w:right="-347"/>
        <w:jc w:val="both"/>
        <w:rPr>
          <w:rFonts w:asciiTheme="minorHAnsi" w:eastAsia="Times New Roman" w:hAnsiTheme="minorHAnsi"/>
          <w:bCs/>
          <w:color w:val="000000" w:themeColor="text1"/>
        </w:rPr>
      </w:pPr>
      <w:r w:rsidRPr="00992459">
        <w:rPr>
          <w:rFonts w:asciiTheme="minorHAnsi" w:eastAsia="Times New Roman" w:hAnsiTheme="minorHAnsi"/>
          <w:bCs/>
          <w:color w:val="000000" w:themeColor="text1"/>
        </w:rPr>
        <w:t>Policy Officer</w:t>
      </w:r>
    </w:p>
    <w:p w14:paraId="19FAF0FB" w14:textId="64E6AD61" w:rsidR="004C0469" w:rsidRPr="00992459" w:rsidRDefault="00D843EF" w:rsidP="006750B9">
      <w:pPr>
        <w:pBdr>
          <w:bottom w:val="single" w:sz="6" w:space="1" w:color="auto"/>
        </w:pBdr>
        <w:shd w:val="clear" w:color="auto" w:fill="FFFFFF"/>
        <w:ind w:right="-347"/>
        <w:jc w:val="both"/>
        <w:rPr>
          <w:rFonts w:asciiTheme="minorHAnsi" w:eastAsia="Times New Roman" w:hAnsiTheme="minorHAnsi"/>
          <w:b/>
          <w:bCs/>
          <w:color w:val="000000" w:themeColor="text1"/>
        </w:rPr>
      </w:pPr>
      <w:r w:rsidRPr="00992459">
        <w:rPr>
          <w:rFonts w:asciiTheme="minorHAnsi" w:eastAsia="Times New Roman" w:hAnsiTheme="minorHAnsi"/>
          <w:b/>
          <w:bCs/>
          <w:color w:val="000000" w:themeColor="text1"/>
        </w:rPr>
        <w:t>Community Legal Centres Tasmania</w:t>
      </w:r>
    </w:p>
    <w:sectPr w:rsidR="004C0469" w:rsidRPr="00992459" w:rsidSect="00F60969">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28A88" w14:textId="77777777" w:rsidR="000D0F5A" w:rsidRDefault="000D0F5A" w:rsidP="00D843EF">
      <w:r>
        <w:separator/>
      </w:r>
    </w:p>
  </w:endnote>
  <w:endnote w:type="continuationSeparator" w:id="0">
    <w:p w14:paraId="6C704AAB" w14:textId="77777777" w:rsidR="000D0F5A" w:rsidRDefault="000D0F5A" w:rsidP="00D8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Roman">
    <w:charset w:val="00"/>
    <w:family w:val="auto"/>
    <w:pitch w:val="variable"/>
    <w:sig w:usb0="E00002FF" w:usb1="5000205A"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723C1" w14:textId="77777777" w:rsidR="0079536B" w:rsidRDefault="0079536B" w:rsidP="00F609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3681F" w14:textId="77777777" w:rsidR="0079536B" w:rsidRDefault="0079536B" w:rsidP="00F609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6CED8" w14:textId="77777777" w:rsidR="0079536B" w:rsidRDefault="0079536B" w:rsidP="00F609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F5A">
      <w:rPr>
        <w:rStyle w:val="PageNumber"/>
        <w:noProof/>
      </w:rPr>
      <w:t>1</w:t>
    </w:r>
    <w:r>
      <w:rPr>
        <w:rStyle w:val="PageNumber"/>
      </w:rPr>
      <w:fldChar w:fldCharType="end"/>
    </w:r>
  </w:p>
  <w:p w14:paraId="687A33FF" w14:textId="77777777" w:rsidR="0079536B" w:rsidRDefault="0079536B" w:rsidP="00F609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D6239" w14:textId="77777777" w:rsidR="000D0F5A" w:rsidRDefault="000D0F5A" w:rsidP="00D843EF">
      <w:r>
        <w:separator/>
      </w:r>
    </w:p>
  </w:footnote>
  <w:footnote w:type="continuationSeparator" w:id="0">
    <w:p w14:paraId="4244C19B" w14:textId="77777777" w:rsidR="000D0F5A" w:rsidRDefault="000D0F5A" w:rsidP="00D843EF">
      <w:r>
        <w:continuationSeparator/>
      </w:r>
    </w:p>
  </w:footnote>
  <w:footnote w:id="1">
    <w:p w14:paraId="35CBD123" w14:textId="77777777" w:rsidR="0079536B" w:rsidRPr="004F143A" w:rsidRDefault="0079536B">
      <w:pPr>
        <w:pStyle w:val="FootnoteText"/>
        <w:rPr>
          <w:rFonts w:asciiTheme="minorHAnsi" w:hAnsiTheme="minorHAnsi"/>
          <w:lang w:val="en-US"/>
        </w:rPr>
      </w:pPr>
      <w:r w:rsidRPr="004F143A">
        <w:rPr>
          <w:rStyle w:val="FootnoteReference"/>
          <w:rFonts w:asciiTheme="minorHAnsi" w:hAnsiTheme="minorHAnsi"/>
        </w:rPr>
        <w:footnoteRef/>
      </w:r>
      <w:r w:rsidRPr="004F143A">
        <w:rPr>
          <w:rFonts w:asciiTheme="minorHAnsi" w:hAnsiTheme="minorHAnsi"/>
        </w:rPr>
        <w:t xml:space="preserve"> </w:t>
      </w:r>
      <w:r w:rsidRPr="004F143A">
        <w:rPr>
          <w:rFonts w:asciiTheme="minorHAnsi" w:hAnsiTheme="minorHAnsi"/>
          <w:sz w:val="20"/>
          <w:szCs w:val="20"/>
          <w:lang w:val="en-US"/>
        </w:rPr>
        <w:t>CLC Tas would like to acknowledge Katherine Sproule and Erin Moore who assisted in the preparation of this response.</w:t>
      </w:r>
      <w:r w:rsidRPr="004F143A">
        <w:rPr>
          <w:rFonts w:asciiTheme="minorHAnsi" w:hAnsiTheme="minorHAnsi"/>
          <w:lang w:val="en-US"/>
        </w:rPr>
        <w:t xml:space="preserve">  </w:t>
      </w:r>
    </w:p>
  </w:footnote>
  <w:footnote w:id="2">
    <w:p w14:paraId="56884FA2" w14:textId="77777777" w:rsidR="0079536B" w:rsidRPr="0086301E" w:rsidRDefault="0079536B" w:rsidP="00D44F11">
      <w:pPr>
        <w:jc w:val="both"/>
        <w:rPr>
          <w:rFonts w:eastAsia="Times New Roman"/>
        </w:rPr>
      </w:pPr>
      <w:r w:rsidRPr="004F143A">
        <w:rPr>
          <w:rStyle w:val="FootnoteReference"/>
          <w:rFonts w:asciiTheme="minorHAnsi" w:hAnsiTheme="minorHAnsi"/>
        </w:rPr>
        <w:footnoteRef/>
      </w:r>
      <w:r w:rsidRPr="004F143A">
        <w:rPr>
          <w:rFonts w:asciiTheme="minorHAnsi" w:hAnsiTheme="minorHAnsi"/>
        </w:rPr>
        <w:t xml:space="preserve"> </w:t>
      </w:r>
      <w:r w:rsidRPr="00992459">
        <w:rPr>
          <w:rFonts w:asciiTheme="minorHAnsi" w:hAnsiTheme="minorHAnsi"/>
          <w:color w:val="000000" w:themeColor="text1"/>
          <w:sz w:val="20"/>
          <w:szCs w:val="20"/>
          <w:lang w:val="en-US"/>
        </w:rPr>
        <w:t xml:space="preserve">See for example </w:t>
      </w:r>
      <w:r w:rsidRPr="00992459">
        <w:rPr>
          <w:rFonts w:asciiTheme="minorHAnsi" w:eastAsia="Times New Roman" w:hAnsiTheme="minorHAnsi"/>
          <w:color w:val="000000" w:themeColor="text1"/>
          <w:sz w:val="20"/>
          <w:szCs w:val="20"/>
        </w:rPr>
        <w:t xml:space="preserve">Australian Institute of Criminology, </w:t>
      </w:r>
      <w:r w:rsidRPr="00992459">
        <w:rPr>
          <w:rFonts w:asciiTheme="minorHAnsi" w:eastAsia="Times New Roman" w:hAnsiTheme="minorHAnsi"/>
          <w:i/>
          <w:iCs/>
          <w:color w:val="000000" w:themeColor="text1"/>
          <w:sz w:val="20"/>
          <w:szCs w:val="20"/>
        </w:rPr>
        <w:t>Guilty Outcomes in Reported Sexual Assault and Related Offence Incidents</w:t>
      </w:r>
      <w:r w:rsidRPr="00992459">
        <w:rPr>
          <w:rFonts w:asciiTheme="minorHAnsi" w:eastAsia="Times New Roman" w:hAnsiTheme="minorHAnsi"/>
          <w:color w:val="000000" w:themeColor="text1"/>
          <w:sz w:val="20"/>
          <w:szCs w:val="20"/>
        </w:rPr>
        <w:t xml:space="preserve"> (2007); </w:t>
      </w:r>
      <w:r w:rsidRPr="00992459">
        <w:rPr>
          <w:rFonts w:asciiTheme="minorHAnsi" w:hAnsiTheme="minorHAnsi"/>
          <w:color w:val="000000" w:themeColor="text1"/>
          <w:sz w:val="20"/>
          <w:szCs w:val="20"/>
          <w:lang w:val="en-US"/>
        </w:rPr>
        <w:t xml:space="preserve">Australian Bureau of Statistics, </w:t>
      </w:r>
      <w:r w:rsidRPr="00992459">
        <w:rPr>
          <w:rFonts w:asciiTheme="minorHAnsi" w:hAnsiTheme="minorHAnsi"/>
          <w:i/>
          <w:color w:val="000000" w:themeColor="text1"/>
          <w:sz w:val="20"/>
          <w:szCs w:val="20"/>
          <w:lang w:val="en-US"/>
        </w:rPr>
        <w:t>Personal Safety Survey</w:t>
      </w:r>
      <w:r w:rsidRPr="00992459">
        <w:rPr>
          <w:rFonts w:asciiTheme="minorHAnsi" w:hAnsiTheme="minorHAnsi"/>
          <w:color w:val="000000" w:themeColor="text1"/>
          <w:sz w:val="20"/>
          <w:szCs w:val="20"/>
          <w:lang w:val="en-US"/>
        </w:rPr>
        <w:t xml:space="preserve">, Australia Catalogue 4906.0 (2006); </w:t>
      </w:r>
      <w:r w:rsidRPr="00992459">
        <w:rPr>
          <w:rFonts w:asciiTheme="minorHAnsi" w:eastAsia="Times New Roman" w:hAnsiTheme="minorHAnsi"/>
          <w:color w:val="000000" w:themeColor="text1"/>
          <w:sz w:val="20"/>
          <w:szCs w:val="20"/>
        </w:rPr>
        <w:t xml:space="preserve">Criminal Justice Sexual Offences Taskforce, </w:t>
      </w:r>
      <w:r w:rsidRPr="00992459">
        <w:rPr>
          <w:rFonts w:asciiTheme="minorHAnsi" w:eastAsia="Times New Roman" w:hAnsiTheme="minorHAnsi"/>
          <w:i/>
          <w:iCs/>
          <w:color w:val="000000" w:themeColor="text1"/>
          <w:sz w:val="20"/>
          <w:szCs w:val="20"/>
        </w:rPr>
        <w:t xml:space="preserve">Responding to Sexual Assault: The Way Forward </w:t>
      </w:r>
      <w:r w:rsidRPr="00992459">
        <w:rPr>
          <w:rFonts w:asciiTheme="minorHAnsi" w:eastAsia="Times New Roman" w:hAnsiTheme="minorHAnsi"/>
          <w:color w:val="000000" w:themeColor="text1"/>
          <w:sz w:val="20"/>
          <w:szCs w:val="20"/>
        </w:rPr>
        <w:t xml:space="preserve">(2005); Australian Bureau of Statistics, </w:t>
      </w:r>
      <w:r w:rsidRPr="00992459">
        <w:rPr>
          <w:rFonts w:asciiTheme="minorHAnsi" w:eastAsia="Times New Roman" w:hAnsiTheme="minorHAnsi"/>
          <w:i/>
          <w:iCs/>
          <w:color w:val="000000" w:themeColor="text1"/>
          <w:sz w:val="20"/>
          <w:szCs w:val="20"/>
        </w:rPr>
        <w:t>Sexual Assault in Australia: A Statistical Overview</w:t>
      </w:r>
      <w:r w:rsidRPr="00992459">
        <w:rPr>
          <w:rFonts w:asciiTheme="minorHAnsi" w:eastAsia="Times New Roman" w:hAnsiTheme="minorHAnsi"/>
          <w:color w:val="000000" w:themeColor="text1"/>
          <w:sz w:val="20"/>
          <w:szCs w:val="20"/>
        </w:rPr>
        <w:t xml:space="preserve"> (2004); </w:t>
      </w:r>
      <w:r w:rsidRPr="00992459">
        <w:rPr>
          <w:rFonts w:asciiTheme="minorHAnsi" w:hAnsiTheme="minorHAnsi"/>
          <w:color w:val="000000" w:themeColor="text1"/>
          <w:sz w:val="20"/>
          <w:szCs w:val="20"/>
          <w:lang w:val="en-US"/>
        </w:rPr>
        <w:t xml:space="preserve">Victorian Law Reform Commission, </w:t>
      </w:r>
      <w:r w:rsidRPr="00992459">
        <w:rPr>
          <w:rFonts w:asciiTheme="minorHAnsi" w:hAnsiTheme="minorHAnsi"/>
          <w:i/>
          <w:color w:val="000000" w:themeColor="text1"/>
          <w:sz w:val="20"/>
          <w:szCs w:val="20"/>
          <w:lang w:val="en-US"/>
        </w:rPr>
        <w:t>Sexual Offences: Final Report</w:t>
      </w:r>
      <w:r w:rsidRPr="00992459">
        <w:rPr>
          <w:rFonts w:asciiTheme="minorHAnsi" w:hAnsiTheme="minorHAnsi"/>
          <w:color w:val="000000" w:themeColor="text1"/>
          <w:sz w:val="20"/>
          <w:szCs w:val="20"/>
          <w:lang w:val="en-US"/>
        </w:rPr>
        <w:t xml:space="preserve"> (2004).</w:t>
      </w:r>
    </w:p>
  </w:footnote>
  <w:footnote w:id="3">
    <w:p w14:paraId="4CB579A1" w14:textId="77777777" w:rsidR="0079536B" w:rsidRPr="004F143A" w:rsidRDefault="0079536B" w:rsidP="00D31746">
      <w:pPr>
        <w:pStyle w:val="FootnoteText"/>
        <w:rPr>
          <w:rFonts w:asciiTheme="minorHAnsi" w:hAnsiTheme="minorHAnsi"/>
          <w:lang w:val="en-US"/>
        </w:rPr>
      </w:pPr>
      <w:r w:rsidRPr="004F143A">
        <w:rPr>
          <w:rStyle w:val="FootnoteReference"/>
          <w:rFonts w:asciiTheme="minorHAnsi" w:hAnsiTheme="minorHAnsi"/>
        </w:rPr>
        <w:footnoteRef/>
      </w:r>
      <w:r w:rsidRPr="004F143A">
        <w:rPr>
          <w:rFonts w:asciiTheme="minorHAnsi" w:hAnsiTheme="minorHAnsi"/>
        </w:rPr>
        <w:t xml:space="preserve"> </w:t>
      </w:r>
      <w:r w:rsidRPr="004F143A">
        <w:rPr>
          <w:rFonts w:asciiTheme="minorHAnsi" w:hAnsiTheme="minorHAnsi"/>
          <w:sz w:val="20"/>
          <w:szCs w:val="20"/>
        </w:rPr>
        <w:t xml:space="preserve">Tasmania Law Reform Institute, </w:t>
      </w:r>
      <w:r w:rsidRPr="004F143A">
        <w:rPr>
          <w:rFonts w:asciiTheme="minorHAnsi" w:eastAsia="Times New Roman" w:hAnsiTheme="minorHAnsi"/>
          <w:i/>
          <w:sz w:val="20"/>
          <w:szCs w:val="20"/>
        </w:rPr>
        <w:t>Protecting the Anonymity of Victims of Sexual Crimes</w:t>
      </w:r>
      <w:r w:rsidRPr="004F143A">
        <w:rPr>
          <w:rFonts w:asciiTheme="minorHAnsi" w:eastAsia="Times New Roman" w:hAnsiTheme="minorHAnsi"/>
          <w:sz w:val="20"/>
          <w:szCs w:val="20"/>
        </w:rPr>
        <w:t xml:space="preserve">, Final Report No. 19 (November 2013), </w:t>
      </w:r>
      <w:r w:rsidRPr="004F143A">
        <w:rPr>
          <w:rFonts w:asciiTheme="minorHAnsi" w:hAnsiTheme="minorHAnsi"/>
          <w:sz w:val="20"/>
          <w:szCs w:val="20"/>
        </w:rPr>
        <w:t>recommendations 1(a)(v), 8.</w:t>
      </w:r>
    </w:p>
  </w:footnote>
  <w:footnote w:id="4">
    <w:p w14:paraId="6908014F" w14:textId="77777777" w:rsidR="0079536B" w:rsidRPr="004F143A" w:rsidRDefault="0079536B" w:rsidP="00D31746">
      <w:pPr>
        <w:pStyle w:val="FootnoteText"/>
        <w:rPr>
          <w:rFonts w:asciiTheme="minorHAnsi" w:hAnsiTheme="minorHAnsi"/>
          <w:lang w:val="en-US"/>
        </w:rPr>
      </w:pPr>
      <w:r w:rsidRPr="004F143A">
        <w:rPr>
          <w:rStyle w:val="FootnoteReference"/>
          <w:rFonts w:asciiTheme="minorHAnsi" w:hAnsiTheme="minorHAnsi"/>
        </w:rPr>
        <w:footnoteRef/>
      </w:r>
      <w:r w:rsidRPr="004F143A">
        <w:rPr>
          <w:rFonts w:asciiTheme="minorHAnsi" w:hAnsiTheme="minorHAnsi"/>
        </w:rPr>
        <w:t xml:space="preserve"> </w:t>
      </w:r>
      <w:r w:rsidRPr="004F143A">
        <w:rPr>
          <w:rFonts w:asciiTheme="minorHAnsi" w:hAnsiTheme="minorHAnsi"/>
          <w:sz w:val="20"/>
          <w:szCs w:val="20"/>
        </w:rPr>
        <w:t xml:space="preserve">Tasmania Law Reform Institute, </w:t>
      </w:r>
      <w:r w:rsidRPr="004F143A">
        <w:rPr>
          <w:rFonts w:asciiTheme="minorHAnsi" w:eastAsia="Times New Roman" w:hAnsiTheme="minorHAnsi"/>
          <w:i/>
          <w:sz w:val="20"/>
          <w:szCs w:val="20"/>
        </w:rPr>
        <w:t>Protecting the Anonymity of Victims of Sexual Crimes</w:t>
      </w:r>
      <w:r w:rsidRPr="004F143A">
        <w:rPr>
          <w:rFonts w:asciiTheme="minorHAnsi" w:eastAsia="Times New Roman" w:hAnsiTheme="minorHAnsi"/>
          <w:sz w:val="20"/>
          <w:szCs w:val="20"/>
        </w:rPr>
        <w:t xml:space="preserve">, Final Report No. 19 (November 2013), </w:t>
      </w:r>
      <w:r w:rsidRPr="004F143A">
        <w:rPr>
          <w:rFonts w:asciiTheme="minorHAnsi" w:hAnsiTheme="minorHAnsi"/>
          <w:sz w:val="20"/>
          <w:szCs w:val="20"/>
          <w:lang w:val="en-US"/>
        </w:rPr>
        <w:t>recommendation 1(a)(vi).</w:t>
      </w:r>
    </w:p>
  </w:footnote>
  <w:footnote w:id="5">
    <w:p w14:paraId="73271C25" w14:textId="77777777" w:rsidR="0079536B" w:rsidRPr="004F143A" w:rsidRDefault="0079536B" w:rsidP="00D31746">
      <w:pPr>
        <w:pStyle w:val="FootnoteText"/>
        <w:rPr>
          <w:rFonts w:asciiTheme="minorHAnsi" w:hAnsiTheme="minorHAnsi"/>
          <w:lang w:val="en-US"/>
        </w:rPr>
      </w:pPr>
      <w:r w:rsidRPr="004F143A">
        <w:rPr>
          <w:rStyle w:val="FootnoteReference"/>
          <w:rFonts w:asciiTheme="minorHAnsi" w:hAnsiTheme="minorHAnsi"/>
        </w:rPr>
        <w:footnoteRef/>
      </w:r>
      <w:r w:rsidRPr="004F143A">
        <w:rPr>
          <w:rFonts w:asciiTheme="minorHAnsi" w:hAnsiTheme="minorHAnsi"/>
        </w:rPr>
        <w:t xml:space="preserve"> </w:t>
      </w:r>
      <w:r w:rsidRPr="004F143A">
        <w:rPr>
          <w:rFonts w:asciiTheme="minorHAnsi" w:hAnsiTheme="minorHAnsi"/>
          <w:i/>
          <w:sz w:val="20"/>
          <w:szCs w:val="20"/>
        </w:rPr>
        <w:t>Jane Doe v Fairfax Media Publications Pty Limited &amp; Anor</w:t>
      </w:r>
      <w:r w:rsidRPr="004F143A">
        <w:rPr>
          <w:rFonts w:asciiTheme="minorHAnsi" w:hAnsiTheme="minorHAnsi"/>
          <w:sz w:val="20"/>
          <w:szCs w:val="20"/>
        </w:rPr>
        <w:t xml:space="preserve"> [2018] NSWSC 1996 at </w:t>
      </w:r>
      <w:r w:rsidRPr="004F143A">
        <w:rPr>
          <w:rFonts w:asciiTheme="minorHAnsi" w:hAnsiTheme="minorHAnsi"/>
          <w:sz w:val="20"/>
          <w:szCs w:val="20"/>
          <w:lang w:val="en-US"/>
        </w:rPr>
        <w:t>para. 202.</w:t>
      </w:r>
    </w:p>
  </w:footnote>
  <w:footnote w:id="6">
    <w:p w14:paraId="3E6FBF96" w14:textId="77777777" w:rsidR="0079536B" w:rsidRPr="004F143A" w:rsidRDefault="0079536B" w:rsidP="00D31746">
      <w:pPr>
        <w:pStyle w:val="NoSpacing"/>
        <w:rPr>
          <w:rFonts w:asciiTheme="minorHAnsi" w:hAnsiTheme="minorHAnsi" w:cs="Times Roman"/>
          <w:lang w:val="en-US" w:eastAsia="en-US"/>
        </w:rPr>
      </w:pPr>
      <w:r w:rsidRPr="004F143A">
        <w:rPr>
          <w:rStyle w:val="FootnoteReference"/>
          <w:rFonts w:asciiTheme="minorHAnsi" w:hAnsiTheme="minorHAnsi"/>
        </w:rPr>
        <w:footnoteRef/>
      </w:r>
      <w:r w:rsidRPr="004F143A">
        <w:rPr>
          <w:rFonts w:asciiTheme="minorHAnsi" w:hAnsiTheme="minorHAnsi"/>
        </w:rPr>
        <w:t xml:space="preserve"> </w:t>
      </w:r>
      <w:r w:rsidRPr="004F143A">
        <w:rPr>
          <w:rFonts w:asciiTheme="minorHAnsi" w:hAnsiTheme="minorHAnsi" w:cs="Times Roman"/>
          <w:i/>
          <w:sz w:val="20"/>
          <w:szCs w:val="20"/>
          <w:lang w:val="en-US" w:eastAsia="en-US"/>
        </w:rPr>
        <w:t>Howe v Harvey</w:t>
      </w:r>
      <w:r w:rsidRPr="004F143A">
        <w:rPr>
          <w:rFonts w:asciiTheme="minorHAnsi" w:hAnsiTheme="minorHAnsi" w:cs="Times Roman"/>
          <w:sz w:val="20"/>
          <w:szCs w:val="20"/>
          <w:lang w:val="en-US" w:eastAsia="en-US"/>
        </w:rPr>
        <w:t xml:space="preserve"> </w:t>
      </w:r>
      <w:r w:rsidRPr="004F143A">
        <w:rPr>
          <w:rFonts w:asciiTheme="minorHAnsi" w:hAnsiTheme="minorHAnsi"/>
          <w:sz w:val="20"/>
          <w:szCs w:val="20"/>
          <w:lang w:val="en-US" w:eastAsia="en-US"/>
        </w:rPr>
        <w:t xml:space="preserve">[2008] VSCA 181, [37], citing </w:t>
      </w:r>
      <w:r w:rsidRPr="004F143A">
        <w:rPr>
          <w:rFonts w:asciiTheme="minorHAnsi" w:hAnsiTheme="minorHAnsi" w:cs="Times Roman"/>
          <w:i/>
          <w:sz w:val="20"/>
          <w:szCs w:val="20"/>
          <w:lang w:val="en-US" w:eastAsia="en-US"/>
        </w:rPr>
        <w:t>Boughey v R</w:t>
      </w:r>
      <w:r w:rsidRPr="004F143A">
        <w:rPr>
          <w:rFonts w:asciiTheme="minorHAnsi" w:hAnsiTheme="minorHAnsi" w:cs="Times Roman"/>
          <w:sz w:val="20"/>
          <w:szCs w:val="20"/>
          <w:lang w:val="en-US" w:eastAsia="en-US"/>
        </w:rPr>
        <w:t xml:space="preserve"> </w:t>
      </w:r>
      <w:r w:rsidRPr="004F143A">
        <w:rPr>
          <w:rFonts w:asciiTheme="minorHAnsi" w:hAnsiTheme="minorHAnsi"/>
          <w:sz w:val="20"/>
          <w:szCs w:val="20"/>
          <w:lang w:val="en-US" w:eastAsia="en-US"/>
        </w:rPr>
        <w:t xml:space="preserve">(1986) 161 CLR 10 at 21 per Mason, Wilson and Deane JJ; </w:t>
      </w:r>
      <w:r w:rsidRPr="004F143A">
        <w:rPr>
          <w:rFonts w:asciiTheme="minorHAnsi" w:hAnsiTheme="minorHAnsi" w:cs="Times Roman"/>
          <w:i/>
          <w:sz w:val="20"/>
          <w:szCs w:val="20"/>
          <w:lang w:val="en-US" w:eastAsia="en-US"/>
        </w:rPr>
        <w:t>TSL v Secretary, Department of Justice</w:t>
      </w:r>
      <w:r w:rsidRPr="004F143A">
        <w:rPr>
          <w:rFonts w:asciiTheme="minorHAnsi" w:hAnsiTheme="minorHAnsi" w:cs="Times Roman"/>
          <w:sz w:val="20"/>
          <w:szCs w:val="20"/>
          <w:lang w:val="en-US" w:eastAsia="en-US"/>
        </w:rPr>
        <w:t xml:space="preserve"> </w:t>
      </w:r>
      <w:r w:rsidRPr="004F143A">
        <w:rPr>
          <w:rFonts w:asciiTheme="minorHAnsi" w:hAnsiTheme="minorHAnsi"/>
          <w:sz w:val="20"/>
          <w:szCs w:val="20"/>
          <w:lang w:val="en-US" w:eastAsia="en-US"/>
        </w:rPr>
        <w:t xml:space="preserve">(2006) 14 VR 109 at 112–3 per Callaway AP. </w:t>
      </w:r>
      <w:r w:rsidRPr="004F143A">
        <w:rPr>
          <w:rFonts w:asciiTheme="minorHAnsi" w:hAnsiTheme="minorHAnsi" w:cs="Times Roman"/>
          <w:sz w:val="20"/>
          <w:szCs w:val="20"/>
          <w:lang w:val="en-US" w:eastAsia="en-US"/>
        </w:rPr>
        <w:t> </w:t>
      </w:r>
    </w:p>
  </w:footnote>
  <w:footnote w:id="7">
    <w:p w14:paraId="6015B8FA" w14:textId="44523753" w:rsidR="0079536B" w:rsidRPr="004F143A" w:rsidRDefault="0079536B" w:rsidP="00D31746">
      <w:pPr>
        <w:pStyle w:val="FootnoteText"/>
        <w:rPr>
          <w:rFonts w:asciiTheme="minorHAnsi" w:hAnsiTheme="minorHAnsi"/>
          <w:lang w:val="en-US"/>
        </w:rPr>
      </w:pPr>
      <w:r w:rsidRPr="004F143A">
        <w:rPr>
          <w:rStyle w:val="FootnoteReference"/>
          <w:rFonts w:asciiTheme="minorHAnsi" w:hAnsiTheme="minorHAnsi"/>
        </w:rPr>
        <w:footnoteRef/>
      </w:r>
      <w:r w:rsidRPr="004F143A">
        <w:rPr>
          <w:rFonts w:asciiTheme="minorHAnsi" w:hAnsiTheme="minorHAnsi"/>
        </w:rPr>
        <w:t xml:space="preserve"> </w:t>
      </w:r>
      <w:r w:rsidR="006750B9" w:rsidRPr="004F143A">
        <w:rPr>
          <w:rFonts w:asciiTheme="minorHAnsi" w:hAnsiTheme="minorHAnsi"/>
          <w:sz w:val="20"/>
          <w:szCs w:val="20"/>
        </w:rPr>
        <w:t xml:space="preserve">Tasmania Law Reform Institute, </w:t>
      </w:r>
      <w:r w:rsidR="006750B9" w:rsidRPr="004F143A">
        <w:rPr>
          <w:rFonts w:asciiTheme="minorHAnsi" w:eastAsia="Times New Roman" w:hAnsiTheme="minorHAnsi"/>
          <w:i/>
          <w:sz w:val="20"/>
          <w:szCs w:val="20"/>
        </w:rPr>
        <w:t>Protecting the Anonymity of Victims of Sexual Crimes</w:t>
      </w:r>
      <w:r w:rsidR="006750B9" w:rsidRPr="004F143A">
        <w:rPr>
          <w:rFonts w:asciiTheme="minorHAnsi" w:eastAsia="Times New Roman" w:hAnsiTheme="minorHAnsi"/>
          <w:sz w:val="20"/>
          <w:szCs w:val="20"/>
        </w:rPr>
        <w:t>, Final</w:t>
      </w:r>
      <w:r w:rsidR="006750B9">
        <w:rPr>
          <w:rFonts w:asciiTheme="minorHAnsi" w:eastAsia="Times New Roman" w:hAnsiTheme="minorHAnsi"/>
          <w:sz w:val="20"/>
          <w:szCs w:val="20"/>
        </w:rPr>
        <w:t xml:space="preserve"> Report No. 19 (November 2013) at 28. </w:t>
      </w:r>
    </w:p>
  </w:footnote>
  <w:footnote w:id="8">
    <w:p w14:paraId="00B56156" w14:textId="77777777" w:rsidR="0079536B" w:rsidRPr="004F143A" w:rsidRDefault="0079536B" w:rsidP="00D31746">
      <w:pPr>
        <w:pStyle w:val="FootnoteText"/>
        <w:rPr>
          <w:rFonts w:asciiTheme="minorHAnsi" w:hAnsiTheme="minorHAnsi"/>
          <w:lang w:val="en-US"/>
        </w:rPr>
      </w:pPr>
      <w:r w:rsidRPr="004F143A">
        <w:rPr>
          <w:rStyle w:val="FootnoteReference"/>
          <w:rFonts w:asciiTheme="minorHAnsi" w:hAnsiTheme="minorHAnsi"/>
        </w:rPr>
        <w:footnoteRef/>
      </w:r>
      <w:r w:rsidRPr="004F143A">
        <w:rPr>
          <w:rFonts w:asciiTheme="minorHAnsi" w:hAnsiTheme="minorHAnsi"/>
        </w:rPr>
        <w:t xml:space="preserve"> </w:t>
      </w:r>
      <w:r w:rsidRPr="004F143A">
        <w:rPr>
          <w:rFonts w:asciiTheme="minorHAnsi" w:hAnsiTheme="minorHAnsi"/>
          <w:sz w:val="20"/>
          <w:szCs w:val="20"/>
          <w:lang w:val="en-US"/>
        </w:rPr>
        <w:t>[1989] VR 78 at 94.</w:t>
      </w:r>
      <w:r w:rsidRPr="004F143A">
        <w:rPr>
          <w:rFonts w:asciiTheme="minorHAnsi" w:hAnsiTheme="minorHAnsi"/>
          <w:lang w:val="en-US"/>
        </w:rPr>
        <w:t xml:space="preserve"> </w:t>
      </w:r>
    </w:p>
  </w:footnote>
  <w:footnote w:id="9">
    <w:p w14:paraId="4963D25E" w14:textId="3581C8D0" w:rsidR="0079536B" w:rsidRPr="004F143A" w:rsidRDefault="0079536B" w:rsidP="00EA23E9">
      <w:pPr>
        <w:pStyle w:val="FootnoteText"/>
        <w:rPr>
          <w:rFonts w:asciiTheme="minorHAnsi" w:hAnsiTheme="minorHAnsi"/>
          <w:sz w:val="20"/>
          <w:szCs w:val="20"/>
          <w:lang w:val="en-US"/>
        </w:rPr>
      </w:pPr>
      <w:r w:rsidRPr="004F143A">
        <w:rPr>
          <w:rStyle w:val="FootnoteReference"/>
          <w:rFonts w:asciiTheme="minorHAnsi" w:hAnsiTheme="minorHAnsi"/>
        </w:rPr>
        <w:footnoteRef/>
      </w:r>
      <w:r w:rsidRPr="004F143A">
        <w:rPr>
          <w:rFonts w:asciiTheme="minorHAnsi" w:hAnsiTheme="minorHAnsi"/>
        </w:rPr>
        <w:t xml:space="preserve"> </w:t>
      </w:r>
      <w:r w:rsidRPr="004F143A">
        <w:rPr>
          <w:rFonts w:asciiTheme="minorHAnsi" w:hAnsiTheme="minorHAnsi"/>
          <w:color w:val="000000" w:themeColor="text1"/>
          <w:sz w:val="20"/>
          <w:szCs w:val="20"/>
          <w:lang w:val="en-US"/>
        </w:rPr>
        <w:t>According to the</w:t>
      </w:r>
      <w:r w:rsidRPr="004F143A">
        <w:rPr>
          <w:rFonts w:asciiTheme="minorHAnsi" w:eastAsia="Times New Roman" w:hAnsiTheme="minorHAnsi"/>
          <w:color w:val="000000" w:themeColor="text1"/>
          <w:sz w:val="20"/>
          <w:szCs w:val="20"/>
          <w:shd w:val="clear" w:color="auto" w:fill="FFFFFF"/>
          <w:lang w:eastAsia="en-US"/>
        </w:rPr>
        <w:t xml:space="preserve"> Royal Australian College of General Practitioners, in 2011, almost half of all victims were sexually assaulted by a ‘known other’ and 31 per cent by a family member. As found at </w:t>
      </w:r>
      <w:hyperlink r:id="rId1" w:anchor="ref-num-231" w:history="1">
        <w:r w:rsidRPr="004F143A">
          <w:rPr>
            <w:rStyle w:val="Hyperlink"/>
            <w:rFonts w:asciiTheme="minorHAnsi" w:eastAsia="Times New Roman" w:hAnsiTheme="minorHAnsi"/>
            <w:sz w:val="20"/>
            <w:szCs w:val="20"/>
          </w:rPr>
          <w:t>https://www.racgp.org.au/clinical-resources/clinical-guidelines/key-racgp-guidelines/view-all-racgp-guidelines/white-book/sexual-assault#ref-num-231</w:t>
        </w:r>
      </w:hyperlink>
      <w:r w:rsidRPr="004F143A">
        <w:rPr>
          <w:rFonts w:asciiTheme="minorHAnsi" w:eastAsia="Times New Roman" w:hAnsiTheme="minorHAnsi"/>
          <w:sz w:val="20"/>
          <w:szCs w:val="20"/>
        </w:rPr>
        <w:t xml:space="preserve"> (Accessed 8 May 2019).</w:t>
      </w:r>
      <w:r w:rsidRPr="004F143A">
        <w:rPr>
          <w:rFonts w:asciiTheme="minorHAnsi" w:eastAsia="Times New Roman" w:hAnsiTheme="minorHAnsi"/>
        </w:rPr>
        <w:t xml:space="preserve"> </w:t>
      </w:r>
    </w:p>
  </w:footnote>
  <w:footnote w:id="10">
    <w:p w14:paraId="158A4DD9" w14:textId="698DB544" w:rsidR="0079536B" w:rsidRPr="004F143A" w:rsidRDefault="0079536B" w:rsidP="00D31746">
      <w:pPr>
        <w:pStyle w:val="FootnoteText"/>
        <w:rPr>
          <w:rFonts w:asciiTheme="minorHAnsi" w:hAnsiTheme="minorHAnsi"/>
          <w:lang w:val="en-US"/>
        </w:rPr>
      </w:pPr>
      <w:r w:rsidRPr="004F143A">
        <w:rPr>
          <w:rStyle w:val="FootnoteReference"/>
          <w:rFonts w:asciiTheme="minorHAnsi" w:hAnsiTheme="minorHAnsi"/>
        </w:rPr>
        <w:footnoteRef/>
      </w:r>
      <w:r w:rsidRPr="004F143A">
        <w:rPr>
          <w:rFonts w:asciiTheme="minorHAnsi" w:hAnsiTheme="minorHAnsi"/>
        </w:rPr>
        <w:t xml:space="preserve"> </w:t>
      </w:r>
      <w:r w:rsidRPr="004F143A">
        <w:rPr>
          <w:rFonts w:asciiTheme="minorHAnsi" w:hAnsiTheme="minorHAnsi"/>
          <w:sz w:val="20"/>
          <w:szCs w:val="20"/>
        </w:rPr>
        <w:t xml:space="preserve">Tasmania Law Reform Institute, </w:t>
      </w:r>
      <w:r w:rsidRPr="004F143A">
        <w:rPr>
          <w:rFonts w:asciiTheme="minorHAnsi" w:eastAsia="Times New Roman" w:hAnsiTheme="minorHAnsi"/>
          <w:i/>
          <w:sz w:val="20"/>
          <w:szCs w:val="20"/>
        </w:rPr>
        <w:t>Protecting the Anonymity of Victims of Sexual Crimes</w:t>
      </w:r>
      <w:r w:rsidRPr="004F143A">
        <w:rPr>
          <w:rFonts w:asciiTheme="minorHAnsi" w:eastAsia="Times New Roman" w:hAnsiTheme="minorHAnsi"/>
          <w:sz w:val="20"/>
          <w:szCs w:val="20"/>
        </w:rPr>
        <w:t>, Final Report No. 19 (November 2013)</w:t>
      </w:r>
      <w:r>
        <w:rPr>
          <w:rFonts w:asciiTheme="minorHAnsi" w:eastAsia="Times New Roman" w:hAnsiTheme="minorHAnsi"/>
          <w:sz w:val="20"/>
          <w:szCs w:val="20"/>
        </w:rPr>
        <w:t xml:space="preserve"> at 28. </w:t>
      </w:r>
    </w:p>
  </w:footnote>
  <w:footnote w:id="11">
    <w:p w14:paraId="60C0C686" w14:textId="3CCEB3DA" w:rsidR="0079536B" w:rsidRPr="004F143A" w:rsidRDefault="0079536B" w:rsidP="00ED360A">
      <w:pPr>
        <w:rPr>
          <w:rFonts w:asciiTheme="minorHAnsi" w:eastAsia="Times New Roman" w:hAnsiTheme="minorHAnsi"/>
        </w:rPr>
      </w:pPr>
      <w:r w:rsidRPr="004F143A">
        <w:rPr>
          <w:rStyle w:val="FootnoteReference"/>
          <w:rFonts w:asciiTheme="minorHAnsi" w:hAnsiTheme="minorHAnsi"/>
        </w:rPr>
        <w:footnoteRef/>
      </w:r>
      <w:r w:rsidRPr="004F143A">
        <w:rPr>
          <w:rFonts w:asciiTheme="minorHAnsi" w:hAnsiTheme="minorHAnsi"/>
        </w:rPr>
        <w:t xml:space="preserve"> </w:t>
      </w:r>
      <w:r w:rsidRPr="004F143A">
        <w:rPr>
          <w:rFonts w:asciiTheme="minorHAnsi" w:hAnsiTheme="minorHAnsi"/>
          <w:sz w:val="20"/>
          <w:szCs w:val="20"/>
        </w:rPr>
        <w:t xml:space="preserve">Tasmania Law Reform Institute, </w:t>
      </w:r>
      <w:r w:rsidRPr="004F143A">
        <w:rPr>
          <w:rFonts w:asciiTheme="minorHAnsi" w:eastAsia="Times New Roman" w:hAnsiTheme="minorHAnsi"/>
          <w:i/>
          <w:sz w:val="20"/>
          <w:szCs w:val="20"/>
        </w:rPr>
        <w:t>Protecting the Anonymity of Victims of Sexual Crimes</w:t>
      </w:r>
      <w:r w:rsidRPr="004F143A">
        <w:rPr>
          <w:rFonts w:asciiTheme="minorHAnsi" w:eastAsia="Times New Roman" w:hAnsiTheme="minorHAnsi"/>
          <w:sz w:val="20"/>
          <w:szCs w:val="20"/>
        </w:rPr>
        <w:t xml:space="preserve">, Final Report No. 19 (November 2013), </w:t>
      </w:r>
      <w:r w:rsidRPr="004F143A">
        <w:rPr>
          <w:rFonts w:asciiTheme="minorHAnsi" w:hAnsiTheme="minorHAnsi"/>
          <w:sz w:val="20"/>
          <w:szCs w:val="20"/>
        </w:rPr>
        <w:t>recommendation 1(a)(ii).</w:t>
      </w:r>
      <w:r w:rsidRPr="004F143A">
        <w:rPr>
          <w:rFonts w:asciiTheme="minorHAnsi" w:hAnsiTheme="minorHAnsi"/>
        </w:rPr>
        <w:t xml:space="preserve"> </w:t>
      </w:r>
    </w:p>
  </w:footnote>
  <w:footnote w:id="12">
    <w:p w14:paraId="1461218A" w14:textId="4396D41A" w:rsidR="0079536B" w:rsidRPr="004F143A" w:rsidRDefault="0079536B">
      <w:pPr>
        <w:pStyle w:val="FootnoteText"/>
        <w:rPr>
          <w:rFonts w:asciiTheme="minorHAnsi" w:hAnsiTheme="minorHAnsi"/>
          <w:lang w:val="en-US"/>
        </w:rPr>
      </w:pPr>
      <w:r w:rsidRPr="004F143A">
        <w:rPr>
          <w:rStyle w:val="FootnoteReference"/>
          <w:rFonts w:asciiTheme="minorHAnsi" w:hAnsiTheme="minorHAnsi"/>
        </w:rPr>
        <w:footnoteRef/>
      </w:r>
      <w:r w:rsidRPr="004F143A">
        <w:rPr>
          <w:rFonts w:asciiTheme="minorHAnsi" w:hAnsiTheme="minorHAnsi"/>
        </w:rPr>
        <w:t xml:space="preserve"> </w:t>
      </w:r>
      <w:r w:rsidRPr="007E5031">
        <w:rPr>
          <w:rFonts w:asciiTheme="minorHAnsi" w:hAnsiTheme="minorHAnsi"/>
          <w:sz w:val="20"/>
          <w:szCs w:val="20"/>
          <w:lang w:val="en-US"/>
        </w:rPr>
        <w:t xml:space="preserve">The TLRI defines ‘especially vulnerable’ as including persons with a mental impairment and persons with an intellectual disability. See </w:t>
      </w:r>
      <w:r w:rsidRPr="007E5031">
        <w:rPr>
          <w:rFonts w:asciiTheme="minorHAnsi" w:hAnsiTheme="minorHAnsi"/>
          <w:sz w:val="20"/>
          <w:szCs w:val="20"/>
        </w:rPr>
        <w:t xml:space="preserve">Tasmania Law Reform Institute, </w:t>
      </w:r>
      <w:r w:rsidRPr="007E5031">
        <w:rPr>
          <w:rFonts w:asciiTheme="minorHAnsi" w:eastAsia="Times New Roman" w:hAnsiTheme="minorHAnsi"/>
          <w:i/>
          <w:sz w:val="20"/>
          <w:szCs w:val="20"/>
        </w:rPr>
        <w:t>Protecting the Anonymity of Victims of Sexual Crimes</w:t>
      </w:r>
      <w:r w:rsidRPr="007E5031">
        <w:rPr>
          <w:rFonts w:asciiTheme="minorHAnsi" w:eastAsia="Times New Roman" w:hAnsiTheme="minorHAnsi"/>
          <w:sz w:val="20"/>
          <w:szCs w:val="20"/>
        </w:rPr>
        <w:t xml:space="preserve">, Final Report No. 19 (November 2013), </w:t>
      </w:r>
      <w:r w:rsidRPr="007E5031">
        <w:rPr>
          <w:rFonts w:asciiTheme="minorHAnsi" w:hAnsiTheme="minorHAnsi"/>
          <w:sz w:val="20"/>
          <w:szCs w:val="20"/>
          <w:lang w:val="en-US"/>
        </w:rPr>
        <w:t>recommendation 1(x).</w:t>
      </w:r>
      <w:r w:rsidRPr="004F143A">
        <w:rPr>
          <w:rFonts w:asciiTheme="minorHAnsi" w:hAnsiTheme="minorHAnsi"/>
          <w:lang w:val="en-US"/>
        </w:rPr>
        <w:t xml:space="preserve"> </w:t>
      </w:r>
    </w:p>
  </w:footnote>
  <w:footnote w:id="13">
    <w:p w14:paraId="1E39836A" w14:textId="4B99AD6E" w:rsidR="0079536B" w:rsidRPr="004F143A" w:rsidRDefault="0079536B">
      <w:pPr>
        <w:pStyle w:val="FootnoteText"/>
        <w:rPr>
          <w:rFonts w:asciiTheme="minorHAnsi" w:hAnsiTheme="minorHAnsi"/>
          <w:lang w:val="en-US"/>
        </w:rPr>
      </w:pPr>
      <w:r w:rsidRPr="004F143A">
        <w:rPr>
          <w:rStyle w:val="FootnoteReference"/>
          <w:rFonts w:asciiTheme="minorHAnsi" w:hAnsiTheme="minorHAnsi"/>
        </w:rPr>
        <w:footnoteRef/>
      </w:r>
      <w:r w:rsidRPr="004F143A">
        <w:rPr>
          <w:rFonts w:asciiTheme="minorHAnsi" w:hAnsiTheme="minorHAnsi"/>
        </w:rPr>
        <w:t xml:space="preserve"> </w:t>
      </w:r>
      <w:r w:rsidRPr="004F143A">
        <w:rPr>
          <w:rFonts w:asciiTheme="minorHAnsi" w:hAnsiTheme="minorHAnsi"/>
          <w:sz w:val="20"/>
          <w:szCs w:val="20"/>
        </w:rPr>
        <w:t xml:space="preserve">Tasmania Law Reform Institute, </w:t>
      </w:r>
      <w:r w:rsidRPr="004F143A">
        <w:rPr>
          <w:rFonts w:asciiTheme="minorHAnsi" w:eastAsia="Times New Roman" w:hAnsiTheme="minorHAnsi"/>
          <w:i/>
          <w:sz w:val="20"/>
          <w:szCs w:val="20"/>
        </w:rPr>
        <w:t>Protecting the Anonymity of Victims of Sexual Crimes</w:t>
      </w:r>
      <w:r w:rsidRPr="004F143A">
        <w:rPr>
          <w:rFonts w:asciiTheme="minorHAnsi" w:eastAsia="Times New Roman" w:hAnsiTheme="minorHAnsi"/>
          <w:sz w:val="20"/>
          <w:szCs w:val="20"/>
        </w:rPr>
        <w:t xml:space="preserve">, Final Report No. 19 (November 2013), </w:t>
      </w:r>
      <w:r w:rsidRPr="004F143A">
        <w:rPr>
          <w:rFonts w:asciiTheme="minorHAnsi" w:hAnsiTheme="minorHAnsi"/>
          <w:sz w:val="20"/>
          <w:szCs w:val="20"/>
          <w:lang w:val="en-US"/>
        </w:rPr>
        <w:t>recommendation 4.</w:t>
      </w:r>
    </w:p>
  </w:footnote>
  <w:footnote w:id="14">
    <w:p w14:paraId="5AF2474B" w14:textId="77777777" w:rsidR="006750B9" w:rsidRPr="008B6AC4" w:rsidRDefault="006750B9" w:rsidP="006750B9">
      <w:pPr>
        <w:pStyle w:val="NoSpacing"/>
        <w:rPr>
          <w:rFonts w:cs="Times"/>
          <w:lang w:val="en-US"/>
        </w:rPr>
      </w:pPr>
      <w:r w:rsidRPr="004F143A">
        <w:rPr>
          <w:rStyle w:val="FootnoteReference"/>
          <w:rFonts w:asciiTheme="minorHAnsi" w:hAnsiTheme="minorHAnsi"/>
        </w:rPr>
        <w:footnoteRef/>
      </w:r>
      <w:r w:rsidRPr="004F143A">
        <w:t xml:space="preserve"> </w:t>
      </w:r>
      <w:r w:rsidRPr="008B6AC4">
        <w:rPr>
          <w:rFonts w:asciiTheme="minorHAnsi" w:hAnsiTheme="minorHAnsi"/>
          <w:sz w:val="20"/>
          <w:szCs w:val="20"/>
        </w:rPr>
        <w:t xml:space="preserve">Tasmania Law Reform Institute, </w:t>
      </w:r>
      <w:r w:rsidRPr="008B6AC4">
        <w:rPr>
          <w:rFonts w:asciiTheme="minorHAnsi" w:hAnsiTheme="minorHAnsi"/>
          <w:i/>
          <w:sz w:val="20"/>
          <w:szCs w:val="20"/>
        </w:rPr>
        <w:t>Protecting the Anonymity of Victims of Sexual Crimes</w:t>
      </w:r>
      <w:r w:rsidRPr="008B6AC4">
        <w:rPr>
          <w:rFonts w:asciiTheme="minorHAnsi" w:hAnsiTheme="minorHAnsi"/>
          <w:sz w:val="20"/>
          <w:szCs w:val="20"/>
        </w:rPr>
        <w:t xml:space="preserve">, Final Report No. 19 (November 2013) </w:t>
      </w:r>
      <w:r w:rsidRPr="008B6AC4">
        <w:rPr>
          <w:rFonts w:asciiTheme="minorHAnsi" w:hAnsiTheme="minorHAnsi" w:cs="Cambria"/>
          <w:sz w:val="20"/>
          <w:szCs w:val="20"/>
          <w:lang w:val="en-US"/>
        </w:rPr>
        <w:t>at 39.</w:t>
      </w:r>
      <w:r w:rsidRPr="004F143A">
        <w:rPr>
          <w:rFonts w:cs="Cambria"/>
          <w:sz w:val="26"/>
          <w:szCs w:val="26"/>
          <w:lang w:val="en-US"/>
        </w:rPr>
        <w:t xml:space="preserve"> </w:t>
      </w:r>
    </w:p>
  </w:footnote>
  <w:footnote w:id="15">
    <w:p w14:paraId="1B9A6CBC" w14:textId="6A5856AF" w:rsidR="0079536B" w:rsidRPr="004F143A" w:rsidRDefault="0079536B" w:rsidP="00C83524">
      <w:pPr>
        <w:pStyle w:val="FootnoteText"/>
        <w:rPr>
          <w:rFonts w:asciiTheme="minorHAnsi" w:hAnsiTheme="minorHAnsi"/>
          <w:lang w:val="en-US"/>
        </w:rPr>
      </w:pPr>
      <w:r w:rsidRPr="004F143A">
        <w:rPr>
          <w:rStyle w:val="FootnoteReference"/>
          <w:rFonts w:asciiTheme="minorHAnsi" w:hAnsiTheme="minorHAnsi"/>
        </w:rPr>
        <w:footnoteRef/>
      </w:r>
      <w:r w:rsidRPr="004F143A">
        <w:rPr>
          <w:rFonts w:asciiTheme="minorHAnsi" w:hAnsiTheme="minorHAnsi"/>
        </w:rPr>
        <w:t xml:space="preserve"> </w:t>
      </w:r>
      <w:r>
        <w:rPr>
          <w:rFonts w:asciiTheme="minorHAnsi" w:hAnsiTheme="minorHAnsi"/>
          <w:sz w:val="20"/>
          <w:szCs w:val="20"/>
        </w:rPr>
        <w:t>See</w:t>
      </w:r>
      <w:r w:rsidRPr="00872876">
        <w:rPr>
          <w:rFonts w:asciiTheme="minorHAnsi" w:hAnsiTheme="minorHAnsi"/>
          <w:sz w:val="20"/>
          <w:szCs w:val="20"/>
        </w:rPr>
        <w:t xml:space="preserve"> </w:t>
      </w:r>
      <w:r w:rsidR="007C3902">
        <w:rPr>
          <w:rFonts w:asciiTheme="minorHAnsi" w:hAnsiTheme="minorHAnsi"/>
          <w:i/>
          <w:sz w:val="20"/>
          <w:szCs w:val="20"/>
        </w:rPr>
        <w:t xml:space="preserve">State of Tasmania v Nicolaas Ockert </w:t>
      </w:r>
      <w:r w:rsidRPr="00872876">
        <w:rPr>
          <w:rFonts w:asciiTheme="minorHAnsi" w:hAnsiTheme="minorHAnsi"/>
          <w:i/>
          <w:sz w:val="20"/>
          <w:szCs w:val="20"/>
        </w:rPr>
        <w:t>Bester</w:t>
      </w:r>
      <w:r w:rsidRPr="00872876">
        <w:rPr>
          <w:rFonts w:asciiTheme="minorHAnsi" w:hAnsiTheme="minorHAnsi"/>
          <w:sz w:val="20"/>
          <w:szCs w:val="20"/>
        </w:rPr>
        <w:t>, Comments on passing sentence per Wood J (12 August 2011).</w:t>
      </w:r>
    </w:p>
  </w:footnote>
  <w:footnote w:id="16">
    <w:p w14:paraId="5AFE5CDA" w14:textId="0D1097D9" w:rsidR="00D96843" w:rsidRPr="00D96843" w:rsidRDefault="00D96843">
      <w:pPr>
        <w:pStyle w:val="FootnoteText"/>
        <w:rPr>
          <w:rFonts w:asciiTheme="minorHAnsi" w:hAnsiTheme="minorHAnsi"/>
        </w:rPr>
      </w:pPr>
      <w:r w:rsidRPr="00D96843">
        <w:rPr>
          <w:rStyle w:val="FootnoteReference"/>
          <w:rFonts w:asciiTheme="minorHAnsi" w:hAnsiTheme="minorHAnsi"/>
        </w:rPr>
        <w:footnoteRef/>
      </w:r>
      <w:r w:rsidRPr="00D96843">
        <w:rPr>
          <w:rFonts w:asciiTheme="minorHAnsi" w:hAnsiTheme="minorHAnsi"/>
        </w:rPr>
        <w:t xml:space="preserve"> </w:t>
      </w:r>
      <w:r w:rsidRPr="0010180B">
        <w:rPr>
          <w:rFonts w:asciiTheme="minorHAnsi" w:hAnsiTheme="minorHAnsi"/>
          <w:sz w:val="20"/>
          <w:szCs w:val="20"/>
        </w:rPr>
        <w:t>Jane Doe, ‘Offenders can use their new platform but gagged victims are just pronouns’</w:t>
      </w:r>
      <w:r w:rsidR="00D77816" w:rsidRPr="0010180B">
        <w:rPr>
          <w:rFonts w:asciiTheme="minorHAnsi" w:hAnsiTheme="minorHAnsi"/>
          <w:sz w:val="20"/>
          <w:szCs w:val="20"/>
        </w:rPr>
        <w:t>,</w:t>
      </w:r>
      <w:r w:rsidRPr="0010180B">
        <w:rPr>
          <w:rFonts w:asciiTheme="minorHAnsi" w:hAnsiTheme="minorHAnsi"/>
          <w:sz w:val="20"/>
          <w:szCs w:val="20"/>
        </w:rPr>
        <w:t xml:space="preserve"> </w:t>
      </w:r>
      <w:r w:rsidRPr="0010180B">
        <w:rPr>
          <w:rFonts w:asciiTheme="minorHAnsi" w:hAnsiTheme="minorHAnsi"/>
          <w:i/>
          <w:sz w:val="20"/>
          <w:szCs w:val="20"/>
        </w:rPr>
        <w:t>The Mercury</w:t>
      </w:r>
      <w:r w:rsidR="00D77816" w:rsidRPr="0010180B">
        <w:rPr>
          <w:rFonts w:asciiTheme="minorHAnsi" w:hAnsiTheme="minorHAnsi"/>
          <w:sz w:val="20"/>
          <w:szCs w:val="20"/>
        </w:rPr>
        <w:t>, 3</w:t>
      </w:r>
      <w:r w:rsidR="00D77816" w:rsidRPr="0010180B">
        <w:rPr>
          <w:rFonts w:asciiTheme="minorHAnsi" w:hAnsiTheme="minorHAnsi"/>
          <w:sz w:val="20"/>
          <w:szCs w:val="20"/>
          <w:vertAlign w:val="superscript"/>
        </w:rPr>
        <w:t>rd</w:t>
      </w:r>
      <w:r w:rsidR="00D77816" w:rsidRPr="0010180B">
        <w:rPr>
          <w:rFonts w:asciiTheme="minorHAnsi" w:hAnsiTheme="minorHAnsi"/>
          <w:sz w:val="20"/>
          <w:szCs w:val="20"/>
        </w:rPr>
        <w:t xml:space="preserve"> May 2019 at</w:t>
      </w:r>
      <w:r w:rsidR="0010180B" w:rsidRPr="0010180B">
        <w:rPr>
          <w:rFonts w:asciiTheme="minorHAnsi" w:hAnsiTheme="minorHAnsi"/>
          <w:sz w:val="20"/>
          <w:szCs w:val="20"/>
        </w:rPr>
        <w:t xml:space="preserve"> 24-25.</w:t>
      </w:r>
      <w:r w:rsidR="0010180B">
        <w:rPr>
          <w:rFonts w:asciiTheme="minorHAnsi" w:hAnsiTheme="minorHAnsi"/>
        </w:rPr>
        <w:t xml:space="preserve"> </w:t>
      </w:r>
      <w:r w:rsidR="00D77816">
        <w:rPr>
          <w:rFonts w:asciiTheme="minorHAnsi" w:hAnsiTheme="minorHAnsi"/>
        </w:rPr>
        <w:t xml:space="preserve"> </w:t>
      </w:r>
      <w:bookmarkStart w:id="0" w:name="_GoBack"/>
      <w:bookmarkEnd w:id="0"/>
    </w:p>
  </w:footnote>
  <w:footnote w:id="17">
    <w:p w14:paraId="7C7EE026" w14:textId="219B56ED" w:rsidR="0079536B" w:rsidRPr="007E5031" w:rsidRDefault="0079536B">
      <w:pPr>
        <w:pStyle w:val="FootnoteText"/>
        <w:rPr>
          <w:rFonts w:asciiTheme="minorHAnsi" w:hAnsiTheme="minorHAnsi"/>
          <w:lang w:val="en-US"/>
        </w:rPr>
      </w:pPr>
      <w:r w:rsidRPr="007E5031">
        <w:rPr>
          <w:rStyle w:val="FootnoteReference"/>
          <w:rFonts w:asciiTheme="minorHAnsi" w:hAnsiTheme="minorHAnsi"/>
        </w:rPr>
        <w:footnoteRef/>
      </w:r>
      <w:r w:rsidRPr="007E5031">
        <w:rPr>
          <w:rFonts w:asciiTheme="minorHAnsi" w:hAnsiTheme="minorHAnsi"/>
        </w:rPr>
        <w:t xml:space="preserve"> </w:t>
      </w:r>
      <w:r w:rsidRPr="007E5031">
        <w:rPr>
          <w:rFonts w:asciiTheme="minorHAnsi" w:hAnsiTheme="minorHAnsi"/>
          <w:sz w:val="20"/>
          <w:szCs w:val="20"/>
        </w:rPr>
        <w:t xml:space="preserve">Tasmania Law Reform Institute, </w:t>
      </w:r>
      <w:r w:rsidRPr="007E5031">
        <w:rPr>
          <w:rFonts w:asciiTheme="minorHAnsi" w:eastAsia="Times New Roman" w:hAnsiTheme="minorHAnsi"/>
          <w:i/>
          <w:sz w:val="20"/>
          <w:szCs w:val="20"/>
        </w:rPr>
        <w:t>Protecting the Anonymity of Victims of Sexual Crimes</w:t>
      </w:r>
      <w:r w:rsidRPr="007E5031">
        <w:rPr>
          <w:rFonts w:asciiTheme="minorHAnsi" w:eastAsia="Times New Roman" w:hAnsiTheme="minorHAnsi"/>
          <w:sz w:val="20"/>
          <w:szCs w:val="20"/>
        </w:rPr>
        <w:t xml:space="preserve">, Final Report No. 19 (November 2013), </w:t>
      </w:r>
      <w:r w:rsidRPr="007E5031">
        <w:rPr>
          <w:rFonts w:asciiTheme="minorHAnsi" w:hAnsiTheme="minorHAnsi"/>
          <w:sz w:val="20"/>
          <w:szCs w:val="20"/>
          <w:lang w:val="en-US"/>
        </w:rPr>
        <w:t xml:space="preserve">recommendation 4(b). </w:t>
      </w:r>
    </w:p>
  </w:footnote>
  <w:footnote w:id="18">
    <w:p w14:paraId="225335A9" w14:textId="4C0ADC09" w:rsidR="0079536B" w:rsidRPr="009F7BE4" w:rsidRDefault="0079536B" w:rsidP="00C83524">
      <w:pPr>
        <w:pStyle w:val="FootnoteText"/>
        <w:rPr>
          <w:lang w:val="en-US"/>
        </w:rPr>
      </w:pPr>
      <w:r w:rsidRPr="007E5031">
        <w:rPr>
          <w:rStyle w:val="FootnoteReference"/>
          <w:rFonts w:asciiTheme="minorHAnsi" w:hAnsiTheme="minorHAnsi"/>
        </w:rPr>
        <w:footnoteRef/>
      </w:r>
      <w:r w:rsidRPr="007E5031">
        <w:rPr>
          <w:rFonts w:asciiTheme="minorHAnsi" w:hAnsiTheme="minorHAnsi"/>
        </w:rPr>
        <w:t xml:space="preserve"> </w:t>
      </w:r>
      <w:r w:rsidR="007E5031">
        <w:rPr>
          <w:rFonts w:asciiTheme="minorHAnsi" w:hAnsiTheme="minorHAnsi"/>
          <w:sz w:val="20"/>
          <w:szCs w:val="20"/>
          <w:lang w:val="en-US"/>
        </w:rPr>
        <w:t xml:space="preserve">[2000] TASSC 62 at </w:t>
      </w:r>
      <w:r w:rsidRPr="007E5031">
        <w:rPr>
          <w:rFonts w:asciiTheme="minorHAnsi" w:hAnsiTheme="minorHAnsi"/>
          <w:sz w:val="20"/>
          <w:szCs w:val="20"/>
          <w:lang w:val="en-US"/>
        </w:rPr>
        <w:t>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5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7E3BA7"/>
    <w:multiLevelType w:val="hybridMultilevel"/>
    <w:tmpl w:val="4964E286"/>
    <w:lvl w:ilvl="0" w:tplc="0C090003">
      <w:start w:val="1"/>
      <w:numFmt w:val="bullet"/>
      <w:lvlText w:val="o"/>
      <w:lvlJc w:val="left"/>
      <w:pPr>
        <w:ind w:left="768" w:hanging="360"/>
      </w:pPr>
      <w:rPr>
        <w:rFonts w:ascii="Courier New" w:hAnsi="Courier New" w:cs="Courier New"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
    <w:nsid w:val="3B3636A5"/>
    <w:multiLevelType w:val="hybridMultilevel"/>
    <w:tmpl w:val="412C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EF"/>
    <w:rsid w:val="000D0F5A"/>
    <w:rsid w:val="000F77DC"/>
    <w:rsid w:val="0010180B"/>
    <w:rsid w:val="001C2DEB"/>
    <w:rsid w:val="002062A3"/>
    <w:rsid w:val="002E4941"/>
    <w:rsid w:val="0035374B"/>
    <w:rsid w:val="0038685D"/>
    <w:rsid w:val="0047700A"/>
    <w:rsid w:val="004C0469"/>
    <w:rsid w:val="004F143A"/>
    <w:rsid w:val="00502612"/>
    <w:rsid w:val="005031BE"/>
    <w:rsid w:val="00545589"/>
    <w:rsid w:val="005E4542"/>
    <w:rsid w:val="006750B9"/>
    <w:rsid w:val="00726F19"/>
    <w:rsid w:val="0079171D"/>
    <w:rsid w:val="007919CB"/>
    <w:rsid w:val="0079536B"/>
    <w:rsid w:val="007C3902"/>
    <w:rsid w:val="007E5031"/>
    <w:rsid w:val="00803A68"/>
    <w:rsid w:val="00872876"/>
    <w:rsid w:val="008A6AFA"/>
    <w:rsid w:val="008B6AC4"/>
    <w:rsid w:val="008E3DD3"/>
    <w:rsid w:val="009158BE"/>
    <w:rsid w:val="009560A1"/>
    <w:rsid w:val="00992459"/>
    <w:rsid w:val="009F61F3"/>
    <w:rsid w:val="00A54BAD"/>
    <w:rsid w:val="00A959E3"/>
    <w:rsid w:val="00AE3270"/>
    <w:rsid w:val="00B822EE"/>
    <w:rsid w:val="00BB0CC9"/>
    <w:rsid w:val="00BB15C5"/>
    <w:rsid w:val="00BC6C13"/>
    <w:rsid w:val="00C55F67"/>
    <w:rsid w:val="00C83524"/>
    <w:rsid w:val="00C90391"/>
    <w:rsid w:val="00C9544C"/>
    <w:rsid w:val="00CF509F"/>
    <w:rsid w:val="00D30AFC"/>
    <w:rsid w:val="00D31746"/>
    <w:rsid w:val="00D44F11"/>
    <w:rsid w:val="00D77816"/>
    <w:rsid w:val="00D843EF"/>
    <w:rsid w:val="00D96843"/>
    <w:rsid w:val="00DD159C"/>
    <w:rsid w:val="00DE14F1"/>
    <w:rsid w:val="00EA23E9"/>
    <w:rsid w:val="00EA5FDD"/>
    <w:rsid w:val="00ED360A"/>
    <w:rsid w:val="00EF7B50"/>
    <w:rsid w:val="00F60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B9E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EF"/>
    <w:rPr>
      <w:rFonts w:ascii="Times New Roman" w:eastAsiaTheme="minorHAnsi"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iPriority w:val="99"/>
    <w:unhideWhenUsed/>
    <w:rsid w:val="00D843EF"/>
  </w:style>
  <w:style w:type="character" w:customStyle="1" w:styleId="FootnoteTextChar">
    <w:name w:val="Footnote Text Char"/>
    <w:aliases w:val="Footnote Char,Text Char"/>
    <w:basedOn w:val="DefaultParagraphFont"/>
    <w:link w:val="FootnoteText"/>
    <w:uiPriority w:val="99"/>
    <w:rsid w:val="00D843EF"/>
    <w:rPr>
      <w:rFonts w:ascii="Times New Roman" w:eastAsiaTheme="minorHAnsi" w:hAnsi="Times New Roman" w:cs="Times New Roman"/>
      <w:lang w:val="en-AU" w:eastAsia="en-AU"/>
    </w:rPr>
  </w:style>
  <w:style w:type="character" w:styleId="FootnoteReference">
    <w:name w:val="footnote reference"/>
    <w:basedOn w:val="DefaultParagraphFont"/>
    <w:uiPriority w:val="99"/>
    <w:unhideWhenUsed/>
    <w:rsid w:val="00D843EF"/>
    <w:rPr>
      <w:vertAlign w:val="superscript"/>
    </w:rPr>
  </w:style>
  <w:style w:type="character" w:customStyle="1" w:styleId="apple-converted-space">
    <w:name w:val="apple-converted-space"/>
    <w:basedOn w:val="DefaultParagraphFont"/>
    <w:rsid w:val="00D843EF"/>
  </w:style>
  <w:style w:type="paragraph" w:styleId="Footer">
    <w:name w:val="footer"/>
    <w:basedOn w:val="Normal"/>
    <w:link w:val="FooterChar"/>
    <w:uiPriority w:val="99"/>
    <w:unhideWhenUsed/>
    <w:rsid w:val="00D843EF"/>
    <w:pPr>
      <w:tabs>
        <w:tab w:val="center" w:pos="4513"/>
        <w:tab w:val="right" w:pos="9026"/>
      </w:tabs>
    </w:pPr>
  </w:style>
  <w:style w:type="character" w:customStyle="1" w:styleId="FooterChar">
    <w:name w:val="Footer Char"/>
    <w:basedOn w:val="DefaultParagraphFont"/>
    <w:link w:val="Footer"/>
    <w:uiPriority w:val="99"/>
    <w:rsid w:val="00D843EF"/>
    <w:rPr>
      <w:rFonts w:ascii="Times New Roman" w:eastAsiaTheme="minorHAnsi" w:hAnsi="Times New Roman" w:cs="Times New Roman"/>
      <w:lang w:val="en-AU" w:eastAsia="en-AU"/>
    </w:rPr>
  </w:style>
  <w:style w:type="character" w:styleId="PageNumber">
    <w:name w:val="page number"/>
    <w:basedOn w:val="DefaultParagraphFont"/>
    <w:uiPriority w:val="99"/>
    <w:semiHidden/>
    <w:unhideWhenUsed/>
    <w:rsid w:val="00D843EF"/>
  </w:style>
  <w:style w:type="paragraph" w:styleId="ListParagraph">
    <w:name w:val="List Paragraph"/>
    <w:basedOn w:val="Normal"/>
    <w:uiPriority w:val="34"/>
    <w:qFormat/>
    <w:rsid w:val="00D843EF"/>
    <w:pPr>
      <w:ind w:left="720"/>
      <w:contextualSpacing/>
    </w:pPr>
  </w:style>
  <w:style w:type="paragraph" w:styleId="BalloonText">
    <w:name w:val="Balloon Text"/>
    <w:basedOn w:val="Normal"/>
    <w:link w:val="BalloonTextChar"/>
    <w:uiPriority w:val="99"/>
    <w:semiHidden/>
    <w:unhideWhenUsed/>
    <w:rsid w:val="00D843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3EF"/>
    <w:rPr>
      <w:rFonts w:ascii="Lucida Grande" w:eastAsiaTheme="minorHAnsi" w:hAnsi="Lucida Grande" w:cs="Lucida Grande"/>
      <w:sz w:val="18"/>
      <w:szCs w:val="18"/>
      <w:lang w:val="en-AU" w:eastAsia="en-AU"/>
    </w:rPr>
  </w:style>
  <w:style w:type="character" w:styleId="Hyperlink">
    <w:name w:val="Hyperlink"/>
    <w:basedOn w:val="DefaultParagraphFont"/>
    <w:uiPriority w:val="99"/>
    <w:unhideWhenUsed/>
    <w:rsid w:val="00C83524"/>
    <w:rPr>
      <w:color w:val="0000FF" w:themeColor="hyperlink"/>
      <w:u w:val="single"/>
    </w:rPr>
  </w:style>
  <w:style w:type="paragraph" w:styleId="NoSpacing">
    <w:name w:val="No Spacing"/>
    <w:uiPriority w:val="1"/>
    <w:qFormat/>
    <w:rsid w:val="002062A3"/>
    <w:rPr>
      <w:rFonts w:ascii="Times New Roman" w:eastAsiaTheme="minorHAnsi"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44">
      <w:bodyDiv w:val="1"/>
      <w:marLeft w:val="0"/>
      <w:marRight w:val="0"/>
      <w:marTop w:val="0"/>
      <w:marBottom w:val="0"/>
      <w:divBdr>
        <w:top w:val="none" w:sz="0" w:space="0" w:color="auto"/>
        <w:left w:val="none" w:sz="0" w:space="0" w:color="auto"/>
        <w:bottom w:val="none" w:sz="0" w:space="0" w:color="auto"/>
        <w:right w:val="none" w:sz="0" w:space="0" w:color="auto"/>
      </w:divBdr>
    </w:div>
    <w:div w:id="17001954">
      <w:bodyDiv w:val="1"/>
      <w:marLeft w:val="0"/>
      <w:marRight w:val="0"/>
      <w:marTop w:val="0"/>
      <w:marBottom w:val="0"/>
      <w:divBdr>
        <w:top w:val="none" w:sz="0" w:space="0" w:color="auto"/>
        <w:left w:val="none" w:sz="0" w:space="0" w:color="auto"/>
        <w:bottom w:val="none" w:sz="0" w:space="0" w:color="auto"/>
        <w:right w:val="none" w:sz="0" w:space="0" w:color="auto"/>
      </w:divBdr>
    </w:div>
    <w:div w:id="477381546">
      <w:bodyDiv w:val="1"/>
      <w:marLeft w:val="0"/>
      <w:marRight w:val="0"/>
      <w:marTop w:val="0"/>
      <w:marBottom w:val="0"/>
      <w:divBdr>
        <w:top w:val="none" w:sz="0" w:space="0" w:color="auto"/>
        <w:left w:val="none" w:sz="0" w:space="0" w:color="auto"/>
        <w:bottom w:val="none" w:sz="0" w:space="0" w:color="auto"/>
        <w:right w:val="none" w:sz="0" w:space="0" w:color="auto"/>
      </w:divBdr>
    </w:div>
    <w:div w:id="709038358">
      <w:bodyDiv w:val="1"/>
      <w:marLeft w:val="0"/>
      <w:marRight w:val="0"/>
      <w:marTop w:val="0"/>
      <w:marBottom w:val="0"/>
      <w:divBdr>
        <w:top w:val="none" w:sz="0" w:space="0" w:color="auto"/>
        <w:left w:val="none" w:sz="0" w:space="0" w:color="auto"/>
        <w:bottom w:val="none" w:sz="0" w:space="0" w:color="auto"/>
        <w:right w:val="none" w:sz="0" w:space="0" w:color="auto"/>
      </w:divBdr>
    </w:div>
    <w:div w:id="1466502684">
      <w:bodyDiv w:val="1"/>
      <w:marLeft w:val="0"/>
      <w:marRight w:val="0"/>
      <w:marTop w:val="0"/>
      <w:marBottom w:val="0"/>
      <w:divBdr>
        <w:top w:val="none" w:sz="0" w:space="0" w:color="auto"/>
        <w:left w:val="none" w:sz="0" w:space="0" w:color="auto"/>
        <w:bottom w:val="none" w:sz="0" w:space="0" w:color="auto"/>
        <w:right w:val="none" w:sz="0" w:space="0" w:color="auto"/>
      </w:divBdr>
    </w:div>
    <w:div w:id="1897280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haveyoursay@justice.tas.gov.au"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acgp.org.au/clinical-resources/clinical-guidelines/key-racgp-guidelines/view-all-racgp-guidelines/white-book/sexual-ass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1098</Words>
  <Characters>6265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TACLC</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Worker</dc:creator>
  <cp:keywords/>
  <dc:description/>
  <cp:lastModifiedBy>Microsoft Office User</cp:lastModifiedBy>
  <cp:revision>5</cp:revision>
  <cp:lastPrinted>2019-05-10T02:39:00Z</cp:lastPrinted>
  <dcterms:created xsi:type="dcterms:W3CDTF">2019-05-10T02:11:00Z</dcterms:created>
  <dcterms:modified xsi:type="dcterms:W3CDTF">2019-05-10T02:40:00Z</dcterms:modified>
</cp:coreProperties>
</file>