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FF490" w14:textId="77777777" w:rsidR="00F94549" w:rsidRDefault="00F94549" w:rsidP="00F94549">
      <w:pPr>
        <w:ind w:right="-347"/>
        <w:jc w:val="center"/>
      </w:pPr>
      <w:r>
        <w:rPr>
          <w:noProof/>
          <w:sz w:val="20"/>
          <w:szCs w:val="20"/>
          <w:lang w:val="en-AU" w:eastAsia="en-AU"/>
        </w:rPr>
        <w:drawing>
          <wp:inline distT="0" distB="0" distL="0" distR="0" wp14:anchorId="682013AF" wp14:editId="31A00FEB">
            <wp:extent cx="3235960" cy="1099476"/>
            <wp:effectExtent l="0" t="0" r="0" b="0"/>
            <wp:docPr id="5" name="Picture 1" descr="Shared Docs:Public:Sister Organisations:CLC Tas:CLCLogos:CLCTas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 Docs:Public:Sister Organisations:CLC Tas:CLCLogos:CLCTascolo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72" cy="11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0770" w14:textId="77777777" w:rsidR="00F94549" w:rsidRPr="00A7231F" w:rsidRDefault="00F94549" w:rsidP="00F94549">
      <w:pPr>
        <w:ind w:right="-347"/>
      </w:pPr>
    </w:p>
    <w:p w14:paraId="4D582655" w14:textId="77777777" w:rsidR="00F94549" w:rsidRPr="009D2C55" w:rsidRDefault="00F94549" w:rsidP="00F94549">
      <w:pPr>
        <w:ind w:right="-347"/>
        <w:rPr>
          <w:color w:val="000000" w:themeColor="text1"/>
        </w:rPr>
      </w:pPr>
    </w:p>
    <w:p w14:paraId="49C37221" w14:textId="77777777" w:rsidR="00F94549" w:rsidRPr="009D2C55" w:rsidRDefault="00F94549" w:rsidP="00F94549">
      <w:pPr>
        <w:ind w:right="-347"/>
        <w:rPr>
          <w:color w:val="000000" w:themeColor="text1"/>
        </w:rPr>
      </w:pPr>
    </w:p>
    <w:p w14:paraId="69FE415D" w14:textId="127E6264" w:rsidR="00F94549" w:rsidRPr="009D2C55" w:rsidRDefault="007D0767" w:rsidP="00F94549">
      <w:pPr>
        <w:ind w:right="-347"/>
        <w:rPr>
          <w:color w:val="000000" w:themeColor="text1"/>
        </w:rPr>
      </w:pPr>
      <w:r w:rsidRPr="009D2C55">
        <w:rPr>
          <w:color w:val="000000" w:themeColor="text1"/>
        </w:rPr>
        <w:t>12</w:t>
      </w:r>
      <w:r w:rsidR="00E90D40" w:rsidRPr="009D2C55">
        <w:rPr>
          <w:color w:val="000000" w:themeColor="text1"/>
        </w:rPr>
        <w:t xml:space="preserve"> June</w:t>
      </w:r>
      <w:r w:rsidR="00F94549" w:rsidRPr="009D2C55">
        <w:rPr>
          <w:color w:val="000000" w:themeColor="text1"/>
        </w:rPr>
        <w:t xml:space="preserve"> </w:t>
      </w:r>
      <w:r w:rsidR="00E90D40" w:rsidRPr="009D2C55">
        <w:rPr>
          <w:color w:val="000000" w:themeColor="text1"/>
        </w:rPr>
        <w:t>2019</w:t>
      </w:r>
    </w:p>
    <w:p w14:paraId="5A1E83C5" w14:textId="77777777" w:rsidR="00F94549" w:rsidRPr="009D2C55" w:rsidRDefault="00F94549" w:rsidP="00F94549">
      <w:pPr>
        <w:ind w:right="-347"/>
        <w:rPr>
          <w:color w:val="000000" w:themeColor="text1"/>
        </w:rPr>
      </w:pPr>
    </w:p>
    <w:p w14:paraId="5FB2077D" w14:textId="39ACA5D8" w:rsidR="00F94549" w:rsidRPr="009D2C55" w:rsidRDefault="007D0767" w:rsidP="00F94549">
      <w:pPr>
        <w:rPr>
          <w:color w:val="000000" w:themeColor="text1"/>
        </w:rPr>
      </w:pPr>
      <w:r w:rsidRPr="009D2C55">
        <w:rPr>
          <w:color w:val="000000" w:themeColor="text1"/>
        </w:rPr>
        <w:t>Tasmania</w:t>
      </w:r>
      <w:r w:rsidR="00F94549" w:rsidRPr="009D2C55">
        <w:rPr>
          <w:color w:val="000000" w:themeColor="text1"/>
        </w:rPr>
        <w:t xml:space="preserve"> Law Reform Institute</w:t>
      </w:r>
    </w:p>
    <w:p w14:paraId="4BD627F7" w14:textId="77777777" w:rsidR="00F94549" w:rsidRPr="009D2C55" w:rsidRDefault="00F94549" w:rsidP="00F94549">
      <w:pPr>
        <w:rPr>
          <w:color w:val="000000" w:themeColor="text1"/>
        </w:rPr>
      </w:pPr>
      <w:r w:rsidRPr="009D2C55">
        <w:rPr>
          <w:color w:val="000000" w:themeColor="text1"/>
        </w:rPr>
        <w:t>Private Bag 89</w:t>
      </w:r>
    </w:p>
    <w:p w14:paraId="71C81B99" w14:textId="77777777" w:rsidR="00F94549" w:rsidRPr="009D2C55" w:rsidRDefault="00F94549" w:rsidP="00F94549">
      <w:pPr>
        <w:rPr>
          <w:color w:val="000000" w:themeColor="text1"/>
        </w:rPr>
      </w:pPr>
      <w:r w:rsidRPr="009D2C55">
        <w:rPr>
          <w:color w:val="000000" w:themeColor="text1"/>
        </w:rPr>
        <w:t>HOBART TAS 7001</w:t>
      </w:r>
    </w:p>
    <w:p w14:paraId="24D7B9DD" w14:textId="03AD5080" w:rsidR="00F94549" w:rsidRPr="009D2C55" w:rsidRDefault="00E90D40" w:rsidP="00F94549">
      <w:pPr>
        <w:rPr>
          <w:color w:val="000000" w:themeColor="text1"/>
        </w:rPr>
      </w:pPr>
      <w:r w:rsidRPr="009D2C55">
        <w:rPr>
          <w:color w:val="000000" w:themeColor="text1"/>
        </w:rPr>
        <w:t xml:space="preserve">attn: </w:t>
      </w:r>
      <w:r w:rsidR="007D0767" w:rsidRPr="009D2C55">
        <w:rPr>
          <w:color w:val="000000" w:themeColor="text1"/>
        </w:rPr>
        <w:t>Rebecca Bradfield</w:t>
      </w:r>
    </w:p>
    <w:p w14:paraId="030221BD" w14:textId="77777777" w:rsidR="00F94549" w:rsidRPr="009D2C55" w:rsidRDefault="00F94549" w:rsidP="00F94549">
      <w:pPr>
        <w:rPr>
          <w:color w:val="000000" w:themeColor="text1"/>
        </w:rPr>
      </w:pPr>
    </w:p>
    <w:p w14:paraId="03D509F5" w14:textId="024C5F22" w:rsidR="00F94549" w:rsidRPr="009D2C55" w:rsidRDefault="00F94549" w:rsidP="00F94549">
      <w:pPr>
        <w:rPr>
          <w:color w:val="000000" w:themeColor="text1"/>
        </w:rPr>
      </w:pPr>
      <w:r w:rsidRPr="009D2C55">
        <w:rPr>
          <w:color w:val="000000" w:themeColor="text1"/>
        </w:rPr>
        <w:t xml:space="preserve">via email: </w:t>
      </w:r>
      <w:hyperlink r:id="rId8" w:history="1">
        <w:r w:rsidR="000D0409" w:rsidRPr="00A464FB">
          <w:rPr>
            <w:rStyle w:val="Hyperlink"/>
          </w:rPr>
          <w:t>law.reform@utas.edu.au</w:t>
        </w:r>
      </w:hyperlink>
      <w:r w:rsidR="000D0409">
        <w:rPr>
          <w:color w:val="000000" w:themeColor="text1"/>
        </w:rPr>
        <w:t xml:space="preserve"> </w:t>
      </w:r>
      <w:bookmarkStart w:id="0" w:name="_GoBack"/>
      <w:bookmarkEnd w:id="0"/>
      <w:r w:rsidRPr="009D2C55">
        <w:rPr>
          <w:color w:val="000000" w:themeColor="text1"/>
        </w:rPr>
        <w:t xml:space="preserve"> </w:t>
      </w:r>
    </w:p>
    <w:p w14:paraId="1EEBBB9F" w14:textId="77777777" w:rsidR="00F94549" w:rsidRPr="009D2C55" w:rsidRDefault="00F94549" w:rsidP="00F94549">
      <w:pPr>
        <w:rPr>
          <w:color w:val="000000" w:themeColor="text1"/>
        </w:rPr>
      </w:pPr>
      <w:r w:rsidRPr="009D2C55">
        <w:rPr>
          <w:color w:val="000000" w:themeColor="text1"/>
        </w:rPr>
        <w:t> </w:t>
      </w:r>
    </w:p>
    <w:p w14:paraId="54899566" w14:textId="77777777" w:rsidR="00F94549" w:rsidRPr="009D2C55" w:rsidRDefault="00F94549" w:rsidP="00F94549">
      <w:pPr>
        <w:rPr>
          <w:color w:val="000000" w:themeColor="text1"/>
        </w:rPr>
      </w:pPr>
      <w:r w:rsidRPr="009D2C55">
        <w:rPr>
          <w:color w:val="000000" w:themeColor="text1"/>
        </w:rPr>
        <w:t>Dear</w:t>
      </w:r>
      <w:r w:rsidR="00E90D40" w:rsidRPr="009D2C55">
        <w:rPr>
          <w:color w:val="000000" w:themeColor="text1"/>
        </w:rPr>
        <w:t xml:space="preserve"> Bec</w:t>
      </w:r>
      <w:r w:rsidRPr="009D2C55">
        <w:rPr>
          <w:color w:val="000000" w:themeColor="text1"/>
        </w:rPr>
        <w:t xml:space="preserve">, </w:t>
      </w:r>
    </w:p>
    <w:p w14:paraId="3D35420F" w14:textId="77777777" w:rsidR="00F94549" w:rsidRPr="009D2C55" w:rsidRDefault="00F94549" w:rsidP="00F94549">
      <w:pPr>
        <w:pBdr>
          <w:bottom w:val="single" w:sz="6" w:space="1" w:color="auto"/>
        </w:pBdr>
        <w:rPr>
          <w:b/>
          <w:bCs/>
          <w:color w:val="000000" w:themeColor="text1"/>
        </w:rPr>
      </w:pPr>
      <w:r w:rsidRPr="009D2C55">
        <w:rPr>
          <w:b/>
          <w:bCs/>
          <w:color w:val="000000" w:themeColor="text1"/>
        </w:rPr>
        <w:t xml:space="preserve">Re: </w:t>
      </w:r>
      <w:r w:rsidR="00E90D40" w:rsidRPr="009D2C55">
        <w:rPr>
          <w:b/>
          <w:i/>
          <w:color w:val="000000" w:themeColor="text1"/>
        </w:rPr>
        <w:t>Review of the Defence of Insanity in s 16 of the Criminal Code and Fitness to Plead Issues Paper</w:t>
      </w:r>
    </w:p>
    <w:p w14:paraId="3F340D12" w14:textId="77777777" w:rsidR="00F94549" w:rsidRPr="009D2C55" w:rsidRDefault="00F94549" w:rsidP="00F94549">
      <w:pPr>
        <w:ind w:right="-347"/>
        <w:jc w:val="both"/>
        <w:rPr>
          <w:rFonts w:cs="Arial"/>
          <w:color w:val="000000" w:themeColor="text1"/>
        </w:rPr>
      </w:pPr>
    </w:p>
    <w:p w14:paraId="4AE63A4A" w14:textId="2847C336" w:rsidR="00F94549" w:rsidRPr="009D2C55" w:rsidRDefault="00F94549" w:rsidP="00F94549">
      <w:pPr>
        <w:ind w:right="-347"/>
        <w:jc w:val="both"/>
        <w:rPr>
          <w:color w:val="000000" w:themeColor="text1"/>
        </w:rPr>
      </w:pPr>
      <w:r w:rsidRPr="009D2C55">
        <w:rPr>
          <w:rFonts w:cs="Calibri"/>
          <w:color w:val="000000" w:themeColor="text1"/>
        </w:rPr>
        <w:t>Community Legal Centres Tasmania (CLC Tas)</w:t>
      </w:r>
      <w:r w:rsidRPr="009D2C55">
        <w:rPr>
          <w:color w:val="000000" w:themeColor="text1"/>
        </w:rPr>
        <w:t xml:space="preserve"> welcomes the opportunity to provide comment on the Tasmania Law Reform Institute’s </w:t>
      </w:r>
      <w:r w:rsidRPr="009D2C55">
        <w:rPr>
          <w:i/>
          <w:color w:val="000000" w:themeColor="text1"/>
        </w:rPr>
        <w:t>Review of the</w:t>
      </w:r>
      <w:r w:rsidR="00E90D40" w:rsidRPr="009D2C55">
        <w:rPr>
          <w:i/>
          <w:color w:val="000000" w:themeColor="text1"/>
        </w:rPr>
        <w:t xml:space="preserve"> Defence of Insanity in s 16 of the Criminal Code and Fitness to Plead </w:t>
      </w:r>
      <w:r w:rsidRPr="009D2C55">
        <w:rPr>
          <w:color w:val="000000" w:themeColor="text1"/>
        </w:rPr>
        <w:t>Issues Paper</w:t>
      </w:r>
      <w:r w:rsidR="00B94D5E" w:rsidRPr="009D2C55">
        <w:rPr>
          <w:color w:val="000000" w:themeColor="text1"/>
        </w:rPr>
        <w:t xml:space="preserve"> (‘the Issues Paper’)</w:t>
      </w:r>
      <w:r w:rsidRPr="009D2C55">
        <w:rPr>
          <w:color w:val="000000" w:themeColor="text1"/>
        </w:rPr>
        <w:t>.</w:t>
      </w:r>
      <w:r w:rsidR="000332AA" w:rsidRPr="009D2C55">
        <w:rPr>
          <w:rStyle w:val="FootnoteReference"/>
          <w:color w:val="000000" w:themeColor="text1"/>
        </w:rPr>
        <w:footnoteReference w:id="1"/>
      </w:r>
    </w:p>
    <w:p w14:paraId="7D56FF0C" w14:textId="77777777" w:rsidR="00F94549" w:rsidRPr="009D2C55" w:rsidRDefault="00F94549" w:rsidP="00F94549">
      <w:pPr>
        <w:ind w:right="-347"/>
        <w:jc w:val="both"/>
        <w:rPr>
          <w:rFonts w:eastAsia="Times New Roman" w:cs="Arial"/>
          <w:color w:val="000000" w:themeColor="text1"/>
          <w:lang w:eastAsia="en-AU"/>
        </w:rPr>
      </w:pPr>
    </w:p>
    <w:p w14:paraId="2394D51F" w14:textId="77777777" w:rsidR="007D1EDC" w:rsidRPr="009D2C55" w:rsidRDefault="00F94549" w:rsidP="00940ADC">
      <w:pPr>
        <w:ind w:right="-347"/>
        <w:jc w:val="both"/>
        <w:rPr>
          <w:rFonts w:cs="Arial"/>
          <w:color w:val="000000" w:themeColor="text1"/>
        </w:rPr>
      </w:pPr>
      <w:r w:rsidRPr="009D2C55">
        <w:rPr>
          <w:rFonts w:eastAsia="Times New Roman" w:cs="Arial"/>
          <w:color w:val="000000" w:themeColor="text1"/>
          <w:lang w:eastAsia="en-AU"/>
        </w:rPr>
        <w:t xml:space="preserve">CLC Tas </w:t>
      </w:r>
      <w:r w:rsidRPr="009D2C55">
        <w:rPr>
          <w:rFonts w:cs="Arial"/>
          <w:color w:val="000000" w:themeColor="text1"/>
        </w:rPr>
        <w:t>is the peak body representing the interests of nine community legal centres (CLCs) located throughout Tasmania. We are a member-based, independent, not-for-profit and incorporated organisation that advocates for law reform on a range of public interest matters aimed at improving access to justice, reducing discrimination and protect</w:t>
      </w:r>
      <w:r w:rsidR="00940ADC" w:rsidRPr="009D2C55">
        <w:rPr>
          <w:rFonts w:cs="Arial"/>
          <w:color w:val="000000" w:themeColor="text1"/>
        </w:rPr>
        <w:t xml:space="preserve">ing and promoting human rights. </w:t>
      </w:r>
    </w:p>
    <w:p w14:paraId="40F869F1" w14:textId="77777777" w:rsidR="007D1EDC" w:rsidRPr="009D2C55" w:rsidRDefault="007D1EDC" w:rsidP="00940ADC">
      <w:pPr>
        <w:ind w:right="-347"/>
        <w:jc w:val="both"/>
        <w:rPr>
          <w:rFonts w:cs="Arial"/>
          <w:color w:val="000000" w:themeColor="text1"/>
        </w:rPr>
      </w:pPr>
    </w:p>
    <w:p w14:paraId="425FBB59" w14:textId="0FA222A3" w:rsidR="003928B1" w:rsidRPr="009D2C55" w:rsidRDefault="007D0767" w:rsidP="00940ADC">
      <w:pPr>
        <w:ind w:right="-347"/>
        <w:jc w:val="both"/>
        <w:rPr>
          <w:rFonts w:cs="Arial"/>
          <w:color w:val="000000" w:themeColor="text1"/>
        </w:rPr>
      </w:pPr>
      <w:r w:rsidRPr="009D2C55">
        <w:rPr>
          <w:color w:val="000000" w:themeColor="text1"/>
        </w:rPr>
        <w:t xml:space="preserve">We </w:t>
      </w:r>
      <w:r w:rsidR="00D65789" w:rsidRPr="009D2C55">
        <w:rPr>
          <w:color w:val="000000" w:themeColor="text1"/>
        </w:rPr>
        <w:t xml:space="preserve">strongly believe that Tasmania’s criminal justice system is failing persons with cognitive and mental health impairments. </w:t>
      </w:r>
      <w:r w:rsidR="00503630" w:rsidRPr="009D2C55">
        <w:rPr>
          <w:color w:val="000000" w:themeColor="text1"/>
        </w:rPr>
        <w:t xml:space="preserve">The research clearly demonstrates that </w:t>
      </w:r>
      <w:r w:rsidR="00FD3579" w:rsidRPr="009D2C55">
        <w:rPr>
          <w:color w:val="000000" w:themeColor="text1"/>
        </w:rPr>
        <w:t>there are</w:t>
      </w:r>
      <w:r w:rsidR="003928B1" w:rsidRPr="009D2C55">
        <w:rPr>
          <w:color w:val="000000" w:themeColor="text1"/>
        </w:rPr>
        <w:t xml:space="preserve"> a disproportionately high number of </w:t>
      </w:r>
      <w:r w:rsidR="00503630" w:rsidRPr="009D2C55">
        <w:rPr>
          <w:color w:val="000000" w:themeColor="text1"/>
        </w:rPr>
        <w:t xml:space="preserve">persons with cognitive and mental health impairments </w:t>
      </w:r>
      <w:r w:rsidR="003928B1" w:rsidRPr="009D2C55">
        <w:rPr>
          <w:color w:val="000000" w:themeColor="text1"/>
        </w:rPr>
        <w:t xml:space="preserve">caught up in the criminal justice system and </w:t>
      </w:r>
      <w:r w:rsidR="00503630" w:rsidRPr="009D2C55">
        <w:rPr>
          <w:color w:val="000000" w:themeColor="text1"/>
        </w:rPr>
        <w:t xml:space="preserve">in </w:t>
      </w:r>
      <w:r w:rsidR="003928B1" w:rsidRPr="009D2C55">
        <w:rPr>
          <w:color w:val="000000" w:themeColor="text1"/>
        </w:rPr>
        <w:t xml:space="preserve">our </w:t>
      </w:r>
      <w:r w:rsidR="00503630" w:rsidRPr="009D2C55">
        <w:rPr>
          <w:color w:val="000000" w:themeColor="text1"/>
        </w:rPr>
        <w:t>prison</w:t>
      </w:r>
      <w:r w:rsidR="003928B1" w:rsidRPr="009D2C55">
        <w:rPr>
          <w:color w:val="000000" w:themeColor="text1"/>
        </w:rPr>
        <w:t>s</w:t>
      </w:r>
      <w:r w:rsidR="00503630" w:rsidRPr="009D2C55">
        <w:rPr>
          <w:color w:val="000000" w:themeColor="text1"/>
        </w:rPr>
        <w:t xml:space="preserve">. We strongly believe that there should be an emphasis on diverting </w:t>
      </w:r>
      <w:r w:rsidR="00117C51" w:rsidRPr="009D2C55">
        <w:rPr>
          <w:color w:val="000000" w:themeColor="text1"/>
        </w:rPr>
        <w:t xml:space="preserve">persons with </w:t>
      </w:r>
      <w:r w:rsidR="00503630" w:rsidRPr="009D2C55">
        <w:rPr>
          <w:color w:val="000000" w:themeColor="text1"/>
        </w:rPr>
        <w:t xml:space="preserve">cognitive and </w:t>
      </w:r>
      <w:r w:rsidR="00117C51" w:rsidRPr="009D2C55">
        <w:rPr>
          <w:color w:val="000000" w:themeColor="text1"/>
        </w:rPr>
        <w:t xml:space="preserve">mental </w:t>
      </w:r>
      <w:r w:rsidR="00503630" w:rsidRPr="009D2C55">
        <w:rPr>
          <w:color w:val="000000" w:themeColor="text1"/>
        </w:rPr>
        <w:t xml:space="preserve">health </w:t>
      </w:r>
      <w:r w:rsidR="007A7A28" w:rsidRPr="009D2C55">
        <w:rPr>
          <w:color w:val="000000" w:themeColor="text1"/>
        </w:rPr>
        <w:t xml:space="preserve">impairments </w:t>
      </w:r>
      <w:r w:rsidR="00503630" w:rsidRPr="009D2C55">
        <w:rPr>
          <w:color w:val="000000" w:themeColor="text1"/>
        </w:rPr>
        <w:t>away from</w:t>
      </w:r>
      <w:r w:rsidR="007A7A28" w:rsidRPr="009D2C55">
        <w:rPr>
          <w:color w:val="000000" w:themeColor="text1"/>
        </w:rPr>
        <w:t xml:space="preserve"> the criminal justice system </w:t>
      </w:r>
      <w:r w:rsidR="00503630" w:rsidRPr="009D2C55">
        <w:rPr>
          <w:color w:val="000000" w:themeColor="text1"/>
        </w:rPr>
        <w:t>and into treatment</w:t>
      </w:r>
      <w:r w:rsidR="00393023" w:rsidRPr="009D2C55">
        <w:rPr>
          <w:color w:val="000000" w:themeColor="text1"/>
        </w:rPr>
        <w:t xml:space="preserve"> and our submission is therefore focused</w:t>
      </w:r>
      <w:r w:rsidR="00FD3579" w:rsidRPr="009D2C55">
        <w:rPr>
          <w:color w:val="000000" w:themeColor="text1"/>
        </w:rPr>
        <w:t xml:space="preserve"> on reforms that should be introduced in the Magistrates Court where most </w:t>
      </w:r>
      <w:r w:rsidR="009377F3" w:rsidRPr="009D2C55">
        <w:rPr>
          <w:color w:val="000000" w:themeColor="text1"/>
        </w:rPr>
        <w:t>criminal matters</w:t>
      </w:r>
      <w:r w:rsidR="00FD3579" w:rsidRPr="009D2C55">
        <w:rPr>
          <w:color w:val="000000" w:themeColor="text1"/>
        </w:rPr>
        <w:t xml:space="preserve"> are heard</w:t>
      </w:r>
      <w:r w:rsidR="009377F3" w:rsidRPr="009D2C55">
        <w:rPr>
          <w:color w:val="000000" w:themeColor="text1"/>
        </w:rPr>
        <w:t>.</w:t>
      </w:r>
      <w:r w:rsidR="00FD3579" w:rsidRPr="009D2C55">
        <w:rPr>
          <w:color w:val="000000" w:themeColor="text1"/>
        </w:rPr>
        <w:t xml:space="preserve">  </w:t>
      </w:r>
      <w:r w:rsidR="007A7A28" w:rsidRPr="009D2C55">
        <w:rPr>
          <w:color w:val="000000" w:themeColor="text1"/>
        </w:rPr>
        <w:t xml:space="preserve"> </w:t>
      </w:r>
    </w:p>
    <w:p w14:paraId="7A4B19E8" w14:textId="77777777" w:rsidR="007D1EDC" w:rsidRPr="009D2C55" w:rsidRDefault="007D1EDC" w:rsidP="00940ADC">
      <w:pPr>
        <w:ind w:right="-347"/>
        <w:jc w:val="both"/>
        <w:rPr>
          <w:b/>
          <w:i/>
          <w:color w:val="000000" w:themeColor="text1"/>
        </w:rPr>
      </w:pPr>
    </w:p>
    <w:p w14:paraId="4AC93B5A" w14:textId="715885B3" w:rsidR="00C43DFF" w:rsidRPr="009D2C55" w:rsidRDefault="00161704" w:rsidP="00940ADC">
      <w:pPr>
        <w:ind w:right="-347"/>
        <w:jc w:val="both"/>
        <w:rPr>
          <w:b/>
          <w:i/>
          <w:color w:val="000000" w:themeColor="text1"/>
        </w:rPr>
      </w:pPr>
      <w:r w:rsidRPr="009D2C55">
        <w:rPr>
          <w:b/>
          <w:i/>
          <w:color w:val="000000" w:themeColor="text1"/>
        </w:rPr>
        <w:t>Cognitive and</w:t>
      </w:r>
      <w:r w:rsidR="00C43DFF" w:rsidRPr="009D2C55">
        <w:rPr>
          <w:b/>
          <w:i/>
          <w:color w:val="000000" w:themeColor="text1"/>
        </w:rPr>
        <w:t xml:space="preserve"> Mental Health </w:t>
      </w:r>
      <w:r w:rsidR="009E70E2" w:rsidRPr="009D2C55">
        <w:rPr>
          <w:b/>
          <w:i/>
          <w:color w:val="000000" w:themeColor="text1"/>
        </w:rPr>
        <w:t>Impairments in Tasmania’s Custodial</w:t>
      </w:r>
      <w:r w:rsidR="00C43DFF" w:rsidRPr="009D2C55">
        <w:rPr>
          <w:b/>
          <w:i/>
          <w:color w:val="000000" w:themeColor="text1"/>
        </w:rPr>
        <w:t xml:space="preserve"> System </w:t>
      </w:r>
    </w:p>
    <w:p w14:paraId="510A5B95" w14:textId="756467C6" w:rsidR="00FD3579" w:rsidRPr="009D2C55" w:rsidRDefault="007D0767" w:rsidP="00A53EC3">
      <w:pPr>
        <w:ind w:right="-347"/>
        <w:jc w:val="both"/>
        <w:rPr>
          <w:color w:val="000000" w:themeColor="text1"/>
        </w:rPr>
      </w:pPr>
      <w:r w:rsidRPr="009D2C55">
        <w:rPr>
          <w:color w:val="000000" w:themeColor="text1"/>
        </w:rPr>
        <w:t xml:space="preserve">Tasmania’s prison population is </w:t>
      </w:r>
      <w:r w:rsidR="00D458E6" w:rsidRPr="009D2C55">
        <w:rPr>
          <w:color w:val="000000" w:themeColor="text1"/>
        </w:rPr>
        <w:t xml:space="preserve">rapidly </w:t>
      </w:r>
      <w:r w:rsidR="001B3AA8" w:rsidRPr="009D2C55">
        <w:rPr>
          <w:color w:val="000000" w:themeColor="text1"/>
        </w:rPr>
        <w:t>increasing</w:t>
      </w:r>
      <w:r w:rsidR="008C6E13" w:rsidRPr="009D2C55">
        <w:rPr>
          <w:color w:val="000000" w:themeColor="text1"/>
        </w:rPr>
        <w:t>. Over the last five</w:t>
      </w:r>
      <w:r w:rsidR="001B3AA8" w:rsidRPr="009D2C55">
        <w:rPr>
          <w:color w:val="000000" w:themeColor="text1"/>
        </w:rPr>
        <w:t xml:space="preserve"> years </w:t>
      </w:r>
      <w:r w:rsidR="00D458E6" w:rsidRPr="009D2C55">
        <w:rPr>
          <w:color w:val="000000" w:themeColor="text1"/>
        </w:rPr>
        <w:t xml:space="preserve">our </w:t>
      </w:r>
      <w:r w:rsidR="001B3AA8" w:rsidRPr="009D2C55">
        <w:rPr>
          <w:color w:val="000000" w:themeColor="text1"/>
        </w:rPr>
        <w:t xml:space="preserve">prison population has increased by </w:t>
      </w:r>
      <w:r w:rsidR="00D458E6" w:rsidRPr="009D2C55">
        <w:rPr>
          <w:color w:val="000000" w:themeColor="text1"/>
        </w:rPr>
        <w:t>27</w:t>
      </w:r>
      <w:r w:rsidR="001B3AA8" w:rsidRPr="009D2C55">
        <w:rPr>
          <w:color w:val="000000" w:themeColor="text1"/>
        </w:rPr>
        <w:t xml:space="preserve"> per cent</w:t>
      </w:r>
      <w:r w:rsidR="008C6E13" w:rsidRPr="009D2C55">
        <w:rPr>
          <w:color w:val="000000" w:themeColor="text1"/>
        </w:rPr>
        <w:t xml:space="preserve"> from 451</w:t>
      </w:r>
      <w:r w:rsidR="001B3AA8" w:rsidRPr="009D2C55">
        <w:rPr>
          <w:color w:val="000000" w:themeColor="text1"/>
        </w:rPr>
        <w:t xml:space="preserve"> </w:t>
      </w:r>
      <w:r w:rsidRPr="009D2C55">
        <w:rPr>
          <w:color w:val="000000" w:themeColor="text1"/>
        </w:rPr>
        <w:t xml:space="preserve">prisoners </w:t>
      </w:r>
      <w:r w:rsidR="008C6E13" w:rsidRPr="009D2C55">
        <w:rPr>
          <w:color w:val="000000" w:themeColor="text1"/>
        </w:rPr>
        <w:t xml:space="preserve">in 2014 to </w:t>
      </w:r>
      <w:r w:rsidR="00D458E6" w:rsidRPr="009D2C55">
        <w:rPr>
          <w:color w:val="000000" w:themeColor="text1"/>
        </w:rPr>
        <w:t>614</w:t>
      </w:r>
      <w:r w:rsidR="001B3AA8" w:rsidRPr="009D2C55">
        <w:rPr>
          <w:color w:val="000000" w:themeColor="text1"/>
        </w:rPr>
        <w:t xml:space="preserve"> </w:t>
      </w:r>
      <w:r w:rsidR="008C6E13" w:rsidRPr="009D2C55">
        <w:rPr>
          <w:color w:val="000000" w:themeColor="text1"/>
        </w:rPr>
        <w:lastRenderedPageBreak/>
        <w:t xml:space="preserve">prisoners </w:t>
      </w:r>
      <w:r w:rsidR="00D458E6" w:rsidRPr="009D2C55">
        <w:rPr>
          <w:color w:val="000000" w:themeColor="text1"/>
        </w:rPr>
        <w:t>in 2018</w:t>
      </w:r>
      <w:r w:rsidR="001B3AA8" w:rsidRPr="009D2C55">
        <w:rPr>
          <w:color w:val="000000" w:themeColor="text1"/>
        </w:rPr>
        <w:t>.</w:t>
      </w:r>
      <w:r w:rsidR="001B3AA8" w:rsidRPr="009D2C55">
        <w:rPr>
          <w:rStyle w:val="FootnoteReference"/>
          <w:color w:val="000000" w:themeColor="text1"/>
        </w:rPr>
        <w:footnoteReference w:id="2"/>
      </w:r>
      <w:r w:rsidR="00D458E6" w:rsidRPr="009D2C55">
        <w:rPr>
          <w:color w:val="000000" w:themeColor="text1"/>
        </w:rPr>
        <w:t xml:space="preserve"> At the same time, it is </w:t>
      </w:r>
      <w:r w:rsidR="00F4163D" w:rsidRPr="009D2C55">
        <w:rPr>
          <w:color w:val="000000" w:themeColor="text1"/>
        </w:rPr>
        <w:t>well recognised</w:t>
      </w:r>
      <w:r w:rsidR="005103E5" w:rsidRPr="009D2C55">
        <w:rPr>
          <w:color w:val="000000" w:themeColor="text1"/>
        </w:rPr>
        <w:t xml:space="preserve"> that </w:t>
      </w:r>
      <w:r w:rsidR="00FD3579" w:rsidRPr="009D2C55">
        <w:rPr>
          <w:color w:val="000000" w:themeColor="text1"/>
        </w:rPr>
        <w:t>there is a</w:t>
      </w:r>
      <w:r w:rsidR="000D758A" w:rsidRPr="009D2C55">
        <w:rPr>
          <w:color w:val="000000" w:themeColor="text1"/>
        </w:rPr>
        <w:t xml:space="preserve"> </w:t>
      </w:r>
      <w:r w:rsidR="009377F3" w:rsidRPr="009D2C55">
        <w:rPr>
          <w:color w:val="000000" w:themeColor="text1"/>
        </w:rPr>
        <w:t xml:space="preserve">overrepresentation </w:t>
      </w:r>
      <w:r w:rsidR="001110E9" w:rsidRPr="009D2C55">
        <w:rPr>
          <w:color w:val="000000" w:themeColor="text1"/>
        </w:rPr>
        <w:t>of</w:t>
      </w:r>
      <w:r w:rsidR="000D758A" w:rsidRPr="009D2C55">
        <w:rPr>
          <w:color w:val="000000" w:themeColor="text1"/>
        </w:rPr>
        <w:t xml:space="preserve"> </w:t>
      </w:r>
      <w:r w:rsidR="00934DD4" w:rsidRPr="009D2C55">
        <w:rPr>
          <w:color w:val="000000" w:themeColor="text1"/>
        </w:rPr>
        <w:t>persons in the criminal justice system</w:t>
      </w:r>
      <w:r w:rsidR="000D758A" w:rsidRPr="009D2C55">
        <w:rPr>
          <w:color w:val="000000" w:themeColor="text1"/>
        </w:rPr>
        <w:t xml:space="preserve"> with</w:t>
      </w:r>
      <w:r w:rsidR="005103E5" w:rsidRPr="009D2C55">
        <w:rPr>
          <w:color w:val="000000" w:themeColor="text1"/>
        </w:rPr>
        <w:t xml:space="preserve"> cognitive or mental health impairments</w:t>
      </w:r>
      <w:r w:rsidR="000D758A" w:rsidRPr="009D2C55">
        <w:rPr>
          <w:color w:val="000000" w:themeColor="text1"/>
        </w:rPr>
        <w:t xml:space="preserve"> when compared against </w:t>
      </w:r>
      <w:r w:rsidR="00A6728A" w:rsidRPr="009D2C55">
        <w:rPr>
          <w:color w:val="000000" w:themeColor="text1"/>
        </w:rPr>
        <w:t xml:space="preserve">the </w:t>
      </w:r>
      <w:r w:rsidR="005B5988" w:rsidRPr="009D2C55">
        <w:rPr>
          <w:color w:val="000000" w:themeColor="text1"/>
        </w:rPr>
        <w:t>general population</w:t>
      </w:r>
      <w:r w:rsidR="005103E5" w:rsidRPr="009D2C55">
        <w:rPr>
          <w:color w:val="000000" w:themeColor="text1"/>
        </w:rPr>
        <w:t xml:space="preserve">. </w:t>
      </w:r>
      <w:r w:rsidR="001916ED" w:rsidRPr="009D2C55">
        <w:rPr>
          <w:color w:val="000000" w:themeColor="text1"/>
        </w:rPr>
        <w:t>A report from the Australian Institute of Criminology for example, found that</w:t>
      </w:r>
      <w:r w:rsidR="001916ED" w:rsidRPr="009D2C55">
        <w:rPr>
          <w:rFonts w:cs="Arial"/>
          <w:color w:val="000000" w:themeColor="text1"/>
        </w:rPr>
        <w:t xml:space="preserve"> the</w:t>
      </w:r>
      <w:r w:rsidR="00C572BD" w:rsidRPr="009D2C55">
        <w:rPr>
          <w:rFonts w:cs="Arial"/>
          <w:color w:val="000000" w:themeColor="text1"/>
        </w:rPr>
        <w:t xml:space="preserve"> rates of major mental illness</w:t>
      </w:r>
      <w:r w:rsidR="001916ED" w:rsidRPr="009D2C55">
        <w:rPr>
          <w:rFonts w:cs="Arial"/>
          <w:color w:val="000000" w:themeColor="text1"/>
        </w:rPr>
        <w:t xml:space="preserve">, such as schizophrenia and depression, are between three and five times higher in the offender population in Australia than </w:t>
      </w:r>
      <w:r w:rsidR="009377F3" w:rsidRPr="009D2C55">
        <w:rPr>
          <w:rFonts w:cs="Arial"/>
          <w:color w:val="000000" w:themeColor="text1"/>
        </w:rPr>
        <w:t>society at large</w:t>
      </w:r>
      <w:r w:rsidR="001916ED" w:rsidRPr="009D2C55">
        <w:rPr>
          <w:rFonts w:cs="Arial"/>
          <w:color w:val="000000" w:themeColor="text1"/>
        </w:rPr>
        <w:t>.</w:t>
      </w:r>
      <w:r w:rsidR="001916ED" w:rsidRPr="009D2C55">
        <w:rPr>
          <w:rStyle w:val="FootnoteReference"/>
          <w:rFonts w:cs="Arial"/>
          <w:color w:val="000000" w:themeColor="text1"/>
        </w:rPr>
        <w:footnoteReference w:id="3"/>
      </w:r>
      <w:r w:rsidR="001916ED" w:rsidRPr="009D2C55">
        <w:rPr>
          <w:color w:val="000000" w:themeColor="text1"/>
        </w:rPr>
        <w:t xml:space="preserve"> As well, a </w:t>
      </w:r>
      <w:r w:rsidR="005103E5" w:rsidRPr="009D2C55">
        <w:rPr>
          <w:color w:val="000000" w:themeColor="text1"/>
        </w:rPr>
        <w:t xml:space="preserve">report </w:t>
      </w:r>
      <w:r w:rsidR="00D458E6" w:rsidRPr="009D2C55">
        <w:rPr>
          <w:color w:val="000000" w:themeColor="text1"/>
        </w:rPr>
        <w:t xml:space="preserve">released </w:t>
      </w:r>
      <w:r w:rsidR="000D758A" w:rsidRPr="009D2C55">
        <w:rPr>
          <w:color w:val="000000" w:themeColor="text1"/>
        </w:rPr>
        <w:t xml:space="preserve">in 2015 </w:t>
      </w:r>
      <w:r w:rsidR="00C43DFF" w:rsidRPr="009D2C55">
        <w:rPr>
          <w:color w:val="000000" w:themeColor="text1"/>
        </w:rPr>
        <w:t xml:space="preserve">and </w:t>
      </w:r>
      <w:r w:rsidR="005103E5" w:rsidRPr="009D2C55">
        <w:rPr>
          <w:color w:val="000000" w:themeColor="text1"/>
        </w:rPr>
        <w:t xml:space="preserve">entitled </w:t>
      </w:r>
      <w:r w:rsidR="005103E5" w:rsidRPr="009D2C55">
        <w:rPr>
          <w:i/>
          <w:color w:val="000000" w:themeColor="text1"/>
        </w:rPr>
        <w:t>The health of Australia’s prisoners</w:t>
      </w:r>
      <w:r w:rsidR="005103E5" w:rsidRPr="009D2C55">
        <w:rPr>
          <w:color w:val="000000" w:themeColor="text1"/>
        </w:rPr>
        <w:t xml:space="preserve"> found that 40 per cent of </w:t>
      </w:r>
      <w:r w:rsidR="00C43DFF" w:rsidRPr="009D2C55">
        <w:rPr>
          <w:color w:val="000000" w:themeColor="text1"/>
        </w:rPr>
        <w:t>Tasmanian prison entrants</w:t>
      </w:r>
      <w:r w:rsidR="005103E5" w:rsidRPr="009D2C55">
        <w:rPr>
          <w:color w:val="000000" w:themeColor="text1"/>
        </w:rPr>
        <w:t xml:space="preserve"> are referred to prison mental health services</w:t>
      </w:r>
      <w:r w:rsidR="00C43DFF" w:rsidRPr="009D2C55">
        <w:rPr>
          <w:color w:val="000000" w:themeColor="text1"/>
        </w:rPr>
        <w:t xml:space="preserve">; the second highest </w:t>
      </w:r>
      <w:r w:rsidR="00F4163D" w:rsidRPr="009D2C55">
        <w:rPr>
          <w:color w:val="000000" w:themeColor="text1"/>
        </w:rPr>
        <w:t xml:space="preserve">rate </w:t>
      </w:r>
      <w:r w:rsidR="00C43DFF" w:rsidRPr="009D2C55">
        <w:rPr>
          <w:color w:val="000000" w:themeColor="text1"/>
        </w:rPr>
        <w:t>in Australia</w:t>
      </w:r>
      <w:r w:rsidR="005103E5" w:rsidRPr="009D2C55">
        <w:rPr>
          <w:color w:val="000000" w:themeColor="text1"/>
        </w:rPr>
        <w:t>.</w:t>
      </w:r>
      <w:r w:rsidR="005103E5" w:rsidRPr="009D2C55">
        <w:rPr>
          <w:rStyle w:val="FootnoteReference"/>
          <w:color w:val="000000" w:themeColor="text1"/>
        </w:rPr>
        <w:footnoteReference w:id="4"/>
      </w:r>
      <w:r w:rsidR="006314C2" w:rsidRPr="009D2C55">
        <w:rPr>
          <w:color w:val="000000" w:themeColor="text1"/>
        </w:rPr>
        <w:t xml:space="preserve"> </w:t>
      </w:r>
      <w:r w:rsidR="00940ADC" w:rsidRPr="009D2C55">
        <w:rPr>
          <w:color w:val="000000" w:themeColor="text1"/>
        </w:rPr>
        <w:t>These</w:t>
      </w:r>
      <w:r w:rsidR="006314C2" w:rsidRPr="009D2C55">
        <w:rPr>
          <w:color w:val="000000" w:themeColor="text1"/>
        </w:rPr>
        <w:t xml:space="preserve"> statistics </w:t>
      </w:r>
      <w:r w:rsidR="001916ED" w:rsidRPr="009D2C55">
        <w:rPr>
          <w:color w:val="000000" w:themeColor="text1"/>
        </w:rPr>
        <w:t>demonstrate</w:t>
      </w:r>
      <w:r w:rsidR="006314C2" w:rsidRPr="009D2C55">
        <w:rPr>
          <w:color w:val="000000" w:themeColor="text1"/>
        </w:rPr>
        <w:t xml:space="preserve"> that </w:t>
      </w:r>
      <w:r w:rsidR="00B94D5E" w:rsidRPr="009D2C55">
        <w:rPr>
          <w:color w:val="000000" w:themeColor="text1"/>
        </w:rPr>
        <w:t xml:space="preserve">a higher rate of persons with mental health impairments are being sentenced in </w:t>
      </w:r>
      <w:r w:rsidR="006314C2" w:rsidRPr="009D2C55">
        <w:rPr>
          <w:color w:val="000000" w:themeColor="text1"/>
        </w:rPr>
        <w:t xml:space="preserve">Tasmania’s </w:t>
      </w:r>
      <w:r w:rsidR="009B2D91" w:rsidRPr="009D2C55">
        <w:rPr>
          <w:color w:val="000000" w:themeColor="text1"/>
        </w:rPr>
        <w:t xml:space="preserve">courts </w:t>
      </w:r>
      <w:r w:rsidR="006314C2" w:rsidRPr="009D2C55">
        <w:rPr>
          <w:color w:val="000000" w:themeColor="text1"/>
        </w:rPr>
        <w:t>than</w:t>
      </w:r>
      <w:r w:rsidR="005103E5" w:rsidRPr="009D2C55">
        <w:rPr>
          <w:color w:val="000000" w:themeColor="text1"/>
        </w:rPr>
        <w:t xml:space="preserve"> </w:t>
      </w:r>
      <w:r w:rsidR="00F4163D" w:rsidRPr="009D2C55">
        <w:rPr>
          <w:color w:val="000000" w:themeColor="text1"/>
        </w:rPr>
        <w:t>most</w:t>
      </w:r>
      <w:r w:rsidR="005103E5" w:rsidRPr="009D2C55">
        <w:rPr>
          <w:color w:val="000000" w:themeColor="text1"/>
        </w:rPr>
        <w:t xml:space="preserve"> Australian jurisdictions. </w:t>
      </w:r>
      <w:r w:rsidR="00161704" w:rsidRPr="009D2C55">
        <w:rPr>
          <w:color w:val="000000" w:themeColor="text1"/>
        </w:rPr>
        <w:t>W</w:t>
      </w:r>
      <w:r w:rsidR="006314C2" w:rsidRPr="009D2C55">
        <w:rPr>
          <w:color w:val="000000" w:themeColor="text1"/>
        </w:rPr>
        <w:t>hilst</w:t>
      </w:r>
      <w:r w:rsidR="005103E5" w:rsidRPr="009D2C55">
        <w:rPr>
          <w:color w:val="000000" w:themeColor="text1"/>
        </w:rPr>
        <w:t xml:space="preserve"> we are unable to point to data on the number of </w:t>
      </w:r>
      <w:r w:rsidR="006314C2" w:rsidRPr="009D2C55">
        <w:rPr>
          <w:color w:val="000000" w:themeColor="text1"/>
        </w:rPr>
        <w:t>Tasmanian prisoners</w:t>
      </w:r>
      <w:r w:rsidR="005103E5" w:rsidRPr="009D2C55">
        <w:rPr>
          <w:color w:val="000000" w:themeColor="text1"/>
        </w:rPr>
        <w:t xml:space="preserve"> with a cognitive impairment, Australia wide research has found that up to 12 per cent of the prison population has an intellectual disability and up to 30 per cent has </w:t>
      </w:r>
      <w:r w:rsidR="00F1513B" w:rsidRPr="009D2C55">
        <w:rPr>
          <w:color w:val="000000" w:themeColor="text1"/>
        </w:rPr>
        <w:t xml:space="preserve">a </w:t>
      </w:r>
      <w:r w:rsidR="005103E5" w:rsidRPr="009D2C55">
        <w:rPr>
          <w:color w:val="000000" w:themeColor="text1"/>
        </w:rPr>
        <w:t>borderline intellectual disability.</w:t>
      </w:r>
      <w:r w:rsidR="00F715D7" w:rsidRPr="009D2C55">
        <w:rPr>
          <w:rStyle w:val="FootnoteReference"/>
          <w:color w:val="000000" w:themeColor="text1"/>
        </w:rPr>
        <w:footnoteReference w:id="5"/>
      </w:r>
      <w:r w:rsidR="005103E5" w:rsidRPr="009D2C55">
        <w:rPr>
          <w:color w:val="000000" w:themeColor="text1"/>
        </w:rPr>
        <w:t xml:space="preserve"> </w:t>
      </w:r>
    </w:p>
    <w:p w14:paraId="5E22634B" w14:textId="77777777" w:rsidR="00FD3579" w:rsidRPr="009D2C55" w:rsidRDefault="00FD3579" w:rsidP="00A53EC3">
      <w:pPr>
        <w:ind w:right="-347"/>
        <w:jc w:val="both"/>
        <w:rPr>
          <w:color w:val="000000" w:themeColor="text1"/>
        </w:rPr>
      </w:pPr>
    </w:p>
    <w:p w14:paraId="5A5EBC7D" w14:textId="31E78535" w:rsidR="005E705E" w:rsidRPr="009D2C55" w:rsidRDefault="000D758A" w:rsidP="00A53EC3">
      <w:pPr>
        <w:ind w:right="-347"/>
        <w:jc w:val="both"/>
        <w:rPr>
          <w:color w:val="000000" w:themeColor="text1"/>
        </w:rPr>
      </w:pPr>
      <w:r w:rsidRPr="009D2C55">
        <w:rPr>
          <w:color w:val="000000" w:themeColor="text1"/>
        </w:rPr>
        <w:t xml:space="preserve">The large number of prisoners with cognitive or mental health impairments is not </w:t>
      </w:r>
      <w:r w:rsidR="00817229" w:rsidRPr="009D2C55">
        <w:rPr>
          <w:color w:val="000000" w:themeColor="text1"/>
        </w:rPr>
        <w:t>however reflected</w:t>
      </w:r>
      <w:r w:rsidRPr="009D2C55">
        <w:rPr>
          <w:color w:val="000000" w:themeColor="text1"/>
        </w:rPr>
        <w:t xml:space="preserve"> in the data made available from th</w:t>
      </w:r>
      <w:r w:rsidR="006F19DF" w:rsidRPr="009D2C55">
        <w:rPr>
          <w:color w:val="000000" w:themeColor="text1"/>
        </w:rPr>
        <w:t>e Magistrates and Supreme Courts</w:t>
      </w:r>
      <w:r w:rsidR="00A6728A" w:rsidRPr="009D2C55">
        <w:rPr>
          <w:color w:val="000000" w:themeColor="text1"/>
        </w:rPr>
        <w:t>,</w:t>
      </w:r>
      <w:r w:rsidR="006F19DF" w:rsidRPr="009D2C55">
        <w:rPr>
          <w:color w:val="000000" w:themeColor="text1"/>
        </w:rPr>
        <w:t xml:space="preserve"> with the </w:t>
      </w:r>
      <w:r w:rsidR="000332AA" w:rsidRPr="009D2C55">
        <w:rPr>
          <w:color w:val="000000" w:themeColor="text1"/>
        </w:rPr>
        <w:t xml:space="preserve">Issues Paper </w:t>
      </w:r>
      <w:r w:rsidR="009377F3" w:rsidRPr="009D2C55">
        <w:rPr>
          <w:color w:val="000000" w:themeColor="text1"/>
        </w:rPr>
        <w:t xml:space="preserve">reporting 21 persons having been found insane or unfit to stand trial in the Magistrates Court between 2013-14 and 2017-March 2018 and only </w:t>
      </w:r>
      <w:r w:rsidR="00B94D5E" w:rsidRPr="009D2C55">
        <w:rPr>
          <w:color w:val="000000" w:themeColor="text1"/>
        </w:rPr>
        <w:t xml:space="preserve">3.8 per cent of persons sentenced in the Supreme Court </w:t>
      </w:r>
      <w:r w:rsidR="003937C8" w:rsidRPr="009D2C55">
        <w:rPr>
          <w:color w:val="000000" w:themeColor="text1"/>
        </w:rPr>
        <w:t>between 2004–05 to 2016–17 having been found insane or unfit to stand trial.</w:t>
      </w:r>
      <w:r w:rsidR="003937C8" w:rsidRPr="009D2C55">
        <w:rPr>
          <w:rStyle w:val="FootnoteReference"/>
          <w:color w:val="000000" w:themeColor="text1"/>
        </w:rPr>
        <w:footnoteReference w:id="6"/>
      </w:r>
      <w:r w:rsidR="009377F3" w:rsidRPr="009D2C55">
        <w:rPr>
          <w:color w:val="000000" w:themeColor="text1"/>
        </w:rPr>
        <w:t xml:space="preserve"> Whilst the Mental Health Diversion List is able to divert some</w:t>
      </w:r>
      <w:r w:rsidR="00081A34" w:rsidRPr="009D2C55">
        <w:rPr>
          <w:color w:val="000000" w:themeColor="text1"/>
        </w:rPr>
        <w:t xml:space="preserve"> people away</w:t>
      </w:r>
      <w:r w:rsidR="00E759EC" w:rsidRPr="009D2C55">
        <w:rPr>
          <w:color w:val="000000" w:themeColor="text1"/>
        </w:rPr>
        <w:t xml:space="preserve"> from the criminal justice system, the </w:t>
      </w:r>
      <w:r w:rsidR="000332AA" w:rsidRPr="009D2C55">
        <w:rPr>
          <w:color w:val="000000" w:themeColor="text1"/>
        </w:rPr>
        <w:t>research clearly demonstrates that Tasmania’s</w:t>
      </w:r>
      <w:r w:rsidR="001D035A" w:rsidRPr="009D2C55">
        <w:rPr>
          <w:color w:val="000000" w:themeColor="text1"/>
        </w:rPr>
        <w:t xml:space="preserve"> criminal justice system is not </w:t>
      </w:r>
      <w:r w:rsidR="00D92ABE" w:rsidRPr="009D2C55">
        <w:rPr>
          <w:color w:val="000000" w:themeColor="text1"/>
        </w:rPr>
        <w:t>appropriately resourced</w:t>
      </w:r>
      <w:r w:rsidR="005E705E" w:rsidRPr="009D2C55">
        <w:rPr>
          <w:color w:val="000000" w:themeColor="text1"/>
        </w:rPr>
        <w:t xml:space="preserve"> to</w:t>
      </w:r>
      <w:r w:rsidR="001D035A" w:rsidRPr="009D2C55">
        <w:rPr>
          <w:color w:val="000000" w:themeColor="text1"/>
        </w:rPr>
        <w:t xml:space="preserve"> assess </w:t>
      </w:r>
      <w:r w:rsidR="000332AA" w:rsidRPr="009D2C55">
        <w:rPr>
          <w:color w:val="000000" w:themeColor="text1"/>
        </w:rPr>
        <w:t>cognitive and mental health impairments</w:t>
      </w:r>
      <w:r w:rsidR="005E705E" w:rsidRPr="009D2C55">
        <w:rPr>
          <w:color w:val="000000" w:themeColor="text1"/>
        </w:rPr>
        <w:t xml:space="preserve"> with</w:t>
      </w:r>
      <w:r w:rsidR="007D1EDC" w:rsidRPr="009D2C55">
        <w:rPr>
          <w:color w:val="000000" w:themeColor="text1"/>
        </w:rPr>
        <w:t xml:space="preserve"> two</w:t>
      </w:r>
      <w:r w:rsidR="00643039" w:rsidRPr="009D2C55">
        <w:rPr>
          <w:color w:val="000000" w:themeColor="text1"/>
        </w:rPr>
        <w:t xml:space="preserve"> </w:t>
      </w:r>
      <w:r w:rsidR="00D92ABE" w:rsidRPr="009D2C55">
        <w:rPr>
          <w:color w:val="000000" w:themeColor="text1"/>
        </w:rPr>
        <w:t xml:space="preserve">Mental Health </w:t>
      </w:r>
      <w:r w:rsidR="00643039" w:rsidRPr="009D2C55">
        <w:rPr>
          <w:color w:val="000000" w:themeColor="text1"/>
        </w:rPr>
        <w:t>Court Liais</w:t>
      </w:r>
      <w:r w:rsidR="00E759EC" w:rsidRPr="009D2C55">
        <w:rPr>
          <w:color w:val="000000" w:themeColor="text1"/>
        </w:rPr>
        <w:t xml:space="preserve">on Officers for </w:t>
      </w:r>
      <w:r w:rsidR="005E705E" w:rsidRPr="009D2C55">
        <w:rPr>
          <w:color w:val="000000" w:themeColor="text1"/>
        </w:rPr>
        <w:t xml:space="preserve">the whole of </w:t>
      </w:r>
      <w:r w:rsidR="00E759EC" w:rsidRPr="009D2C55">
        <w:rPr>
          <w:color w:val="000000" w:themeColor="text1"/>
        </w:rPr>
        <w:t>Tasmania</w:t>
      </w:r>
      <w:r w:rsidR="005E705E" w:rsidRPr="009D2C55">
        <w:rPr>
          <w:color w:val="000000" w:themeColor="text1"/>
        </w:rPr>
        <w:t xml:space="preserve"> </w:t>
      </w:r>
      <w:r w:rsidR="00B57488" w:rsidRPr="009D2C55">
        <w:rPr>
          <w:color w:val="000000" w:themeColor="text1"/>
        </w:rPr>
        <w:t>and</w:t>
      </w:r>
      <w:r w:rsidR="005E705E" w:rsidRPr="009D2C55">
        <w:rPr>
          <w:color w:val="000000" w:themeColor="text1"/>
        </w:rPr>
        <w:t xml:space="preserve"> the Mental Health Diversion List </w:t>
      </w:r>
      <w:r w:rsidR="00D92ABE" w:rsidRPr="009D2C55">
        <w:rPr>
          <w:color w:val="000000" w:themeColor="text1"/>
        </w:rPr>
        <w:t xml:space="preserve">continuing to </w:t>
      </w:r>
      <w:r w:rsidR="005E705E" w:rsidRPr="009D2C55">
        <w:rPr>
          <w:color w:val="000000" w:themeColor="text1"/>
        </w:rPr>
        <w:t>“</w:t>
      </w:r>
      <w:r w:rsidR="00D92ABE" w:rsidRPr="009D2C55">
        <w:rPr>
          <w:rFonts w:cs="Arial"/>
          <w:color w:val="000000" w:themeColor="text1"/>
        </w:rPr>
        <w:t>operate</w:t>
      </w:r>
      <w:r w:rsidR="00B57488" w:rsidRPr="009D2C55">
        <w:rPr>
          <w:rFonts w:cs="Arial"/>
          <w:color w:val="000000" w:themeColor="text1"/>
        </w:rPr>
        <w:t xml:space="preserve"> without a distinct budget allocation and with no distinct human resources or extra resources</w:t>
      </w:r>
      <w:r w:rsidR="005E705E" w:rsidRPr="009D2C55">
        <w:rPr>
          <w:rFonts w:cs="Arial"/>
          <w:color w:val="000000" w:themeColor="text1"/>
        </w:rPr>
        <w:t>”.</w:t>
      </w:r>
      <w:r w:rsidR="005E705E" w:rsidRPr="009D2C55">
        <w:rPr>
          <w:rStyle w:val="FootnoteReference"/>
          <w:rFonts w:cs="Arial"/>
          <w:color w:val="000000" w:themeColor="text1"/>
        </w:rPr>
        <w:footnoteReference w:id="7"/>
      </w:r>
      <w:r w:rsidR="00643039" w:rsidRPr="009D2C55">
        <w:rPr>
          <w:color w:val="000000" w:themeColor="text1"/>
        </w:rPr>
        <w:t xml:space="preserve"> </w:t>
      </w:r>
    </w:p>
    <w:p w14:paraId="502896EB" w14:textId="77777777" w:rsidR="005E705E" w:rsidRPr="009D2C55" w:rsidRDefault="005E705E" w:rsidP="00A53EC3">
      <w:pPr>
        <w:ind w:right="-347"/>
        <w:jc w:val="both"/>
        <w:rPr>
          <w:color w:val="000000" w:themeColor="text1"/>
        </w:rPr>
      </w:pPr>
    </w:p>
    <w:p w14:paraId="35913A4D" w14:textId="7F71E9F0" w:rsidR="000C6500" w:rsidRPr="009D2C55" w:rsidRDefault="00F86DD6" w:rsidP="00A53EC3">
      <w:pPr>
        <w:ind w:right="-347"/>
        <w:jc w:val="both"/>
        <w:rPr>
          <w:color w:val="000000" w:themeColor="text1"/>
        </w:rPr>
      </w:pPr>
      <w:r w:rsidRPr="009D2C55">
        <w:rPr>
          <w:color w:val="000000" w:themeColor="text1"/>
        </w:rPr>
        <w:t xml:space="preserve">As a result, </w:t>
      </w:r>
      <w:r w:rsidR="00EB78EB" w:rsidRPr="009D2C55">
        <w:rPr>
          <w:color w:val="000000" w:themeColor="text1"/>
        </w:rPr>
        <w:t xml:space="preserve">significant court resources are </w:t>
      </w:r>
      <w:r w:rsidR="00A6728A" w:rsidRPr="009D2C55">
        <w:rPr>
          <w:color w:val="000000" w:themeColor="text1"/>
        </w:rPr>
        <w:t>tied up i</w:t>
      </w:r>
      <w:r w:rsidR="001F58AF" w:rsidRPr="009D2C55">
        <w:rPr>
          <w:color w:val="000000" w:themeColor="text1"/>
        </w:rPr>
        <w:t>n</w:t>
      </w:r>
      <w:r w:rsidR="00EB78EB" w:rsidRPr="009D2C55">
        <w:rPr>
          <w:color w:val="000000" w:themeColor="text1"/>
        </w:rPr>
        <w:t xml:space="preserve"> matters that </w:t>
      </w:r>
      <w:r w:rsidR="00D72DB2" w:rsidRPr="009D2C55">
        <w:rPr>
          <w:color w:val="000000" w:themeColor="text1"/>
        </w:rPr>
        <w:t>c</w:t>
      </w:r>
      <w:r w:rsidR="00EB78EB" w:rsidRPr="009D2C55">
        <w:rPr>
          <w:color w:val="000000" w:themeColor="text1"/>
        </w:rPr>
        <w:t xml:space="preserve">ould have been </w:t>
      </w:r>
      <w:r w:rsidR="001F58AF" w:rsidRPr="009D2C55">
        <w:rPr>
          <w:color w:val="000000" w:themeColor="text1"/>
        </w:rPr>
        <w:t>re-directed</w:t>
      </w:r>
      <w:r w:rsidR="00EB78EB" w:rsidRPr="009D2C55">
        <w:rPr>
          <w:color w:val="000000" w:themeColor="text1"/>
        </w:rPr>
        <w:t xml:space="preserve"> and </w:t>
      </w:r>
      <w:r w:rsidRPr="009D2C55">
        <w:rPr>
          <w:color w:val="000000" w:themeColor="text1"/>
        </w:rPr>
        <w:t xml:space="preserve">persons </w:t>
      </w:r>
      <w:r w:rsidR="001D035A" w:rsidRPr="009D2C55">
        <w:rPr>
          <w:color w:val="000000" w:themeColor="text1"/>
        </w:rPr>
        <w:t xml:space="preserve">are sentenced to custodial sentences rather than </w:t>
      </w:r>
      <w:r w:rsidR="00EB78EB" w:rsidRPr="009D2C55">
        <w:rPr>
          <w:color w:val="000000" w:themeColor="text1"/>
        </w:rPr>
        <w:t xml:space="preserve">being </w:t>
      </w:r>
      <w:r w:rsidR="001F58AF" w:rsidRPr="009D2C55">
        <w:rPr>
          <w:color w:val="000000" w:themeColor="text1"/>
        </w:rPr>
        <w:t>diverted to treatment</w:t>
      </w:r>
      <w:r w:rsidR="00EB78EB" w:rsidRPr="009D2C55">
        <w:rPr>
          <w:color w:val="000000" w:themeColor="text1"/>
        </w:rPr>
        <w:t xml:space="preserve">. Or, </w:t>
      </w:r>
      <w:r w:rsidR="001F58AF" w:rsidRPr="009D2C55">
        <w:rPr>
          <w:color w:val="000000" w:themeColor="text1"/>
        </w:rPr>
        <w:t>in the words of one commentator</w:t>
      </w:r>
      <w:r w:rsidR="00A6728A" w:rsidRPr="009D2C55">
        <w:rPr>
          <w:color w:val="000000" w:themeColor="text1"/>
        </w:rPr>
        <w:t>, persons with cognitive and mental health impairments are being</w:t>
      </w:r>
      <w:r w:rsidR="001F58AF" w:rsidRPr="009D2C55">
        <w:rPr>
          <w:color w:val="000000" w:themeColor="text1"/>
        </w:rPr>
        <w:t xml:space="preserve"> </w:t>
      </w:r>
      <w:r w:rsidR="001D035A" w:rsidRPr="009D2C55">
        <w:rPr>
          <w:color w:val="000000" w:themeColor="text1"/>
        </w:rPr>
        <w:t>“funneled into agencies of control rather than services of support”.</w:t>
      </w:r>
      <w:r w:rsidR="001D035A" w:rsidRPr="009D2C55">
        <w:rPr>
          <w:rStyle w:val="FootnoteReference"/>
          <w:color w:val="000000" w:themeColor="text1"/>
        </w:rPr>
        <w:footnoteReference w:id="8"/>
      </w:r>
      <w:r w:rsidR="007D1EDC" w:rsidRPr="009D2C55">
        <w:rPr>
          <w:color w:val="000000" w:themeColor="text1"/>
        </w:rPr>
        <w:t xml:space="preserve"> </w:t>
      </w:r>
    </w:p>
    <w:p w14:paraId="58FF37ED" w14:textId="77777777" w:rsidR="0035360A" w:rsidRPr="009D2C55" w:rsidRDefault="0035360A" w:rsidP="00A53EC3">
      <w:pPr>
        <w:ind w:right="-347"/>
        <w:jc w:val="both"/>
        <w:rPr>
          <w:b/>
          <w:i/>
          <w:color w:val="000000" w:themeColor="text1"/>
        </w:rPr>
      </w:pPr>
    </w:p>
    <w:p w14:paraId="4C426362" w14:textId="1F7668B4" w:rsidR="009D6296" w:rsidRPr="009D2C55" w:rsidRDefault="009D6296" w:rsidP="00A53EC3">
      <w:pPr>
        <w:ind w:right="-347"/>
        <w:jc w:val="both"/>
        <w:rPr>
          <w:color w:val="000000" w:themeColor="text1"/>
        </w:rPr>
      </w:pPr>
      <w:r w:rsidRPr="009D2C55">
        <w:rPr>
          <w:b/>
          <w:i/>
          <w:color w:val="000000" w:themeColor="text1"/>
        </w:rPr>
        <w:t xml:space="preserve">Unfit to stand trial/Insanity </w:t>
      </w:r>
    </w:p>
    <w:p w14:paraId="3F8FDBBF" w14:textId="2EB27963" w:rsidR="00643039" w:rsidRPr="009D2C55" w:rsidRDefault="009D6296" w:rsidP="008A5BBB">
      <w:pPr>
        <w:ind w:right="-347"/>
        <w:jc w:val="both"/>
        <w:rPr>
          <w:rFonts w:cs="Arial"/>
          <w:color w:val="000000" w:themeColor="text1"/>
        </w:rPr>
      </w:pPr>
      <w:r w:rsidRPr="009D2C55">
        <w:rPr>
          <w:color w:val="000000" w:themeColor="text1"/>
        </w:rPr>
        <w:t xml:space="preserve">As the law currently stands in Tasmania, </w:t>
      </w:r>
      <w:r w:rsidR="00E0046F" w:rsidRPr="009D2C55">
        <w:rPr>
          <w:color w:val="000000" w:themeColor="text1"/>
        </w:rPr>
        <w:t xml:space="preserve">a person is presumed </w:t>
      </w:r>
      <w:r w:rsidR="00E045AA" w:rsidRPr="009D2C55">
        <w:rPr>
          <w:color w:val="000000" w:themeColor="text1"/>
        </w:rPr>
        <w:t>fit to stand trial unless it is</w:t>
      </w:r>
      <w:r w:rsidR="00E0046F" w:rsidRPr="009D2C55">
        <w:rPr>
          <w:color w:val="000000" w:themeColor="text1"/>
        </w:rPr>
        <w:t xml:space="preserve"> established </w:t>
      </w:r>
      <w:r w:rsidR="00CD4A02" w:rsidRPr="009D2C55">
        <w:rPr>
          <w:color w:val="000000" w:themeColor="text1"/>
        </w:rPr>
        <w:t xml:space="preserve">on the balance of probabilities </w:t>
      </w:r>
      <w:r w:rsidR="00E0046F" w:rsidRPr="009D2C55">
        <w:rPr>
          <w:color w:val="000000" w:themeColor="text1"/>
        </w:rPr>
        <w:t>that the</w:t>
      </w:r>
      <w:r w:rsidR="00CD4A02" w:rsidRPr="009D2C55">
        <w:rPr>
          <w:color w:val="000000" w:themeColor="text1"/>
        </w:rPr>
        <w:t xml:space="preserve">y are </w:t>
      </w:r>
      <w:r w:rsidR="00E0046F" w:rsidRPr="009D2C55">
        <w:rPr>
          <w:color w:val="000000" w:themeColor="text1"/>
        </w:rPr>
        <w:t>unfit to stand trial.</w:t>
      </w:r>
      <w:r w:rsidR="00E0046F" w:rsidRPr="009D2C55">
        <w:rPr>
          <w:rStyle w:val="FootnoteReference"/>
          <w:color w:val="000000" w:themeColor="text1"/>
        </w:rPr>
        <w:footnoteReference w:id="9"/>
      </w:r>
      <w:r w:rsidR="00A6728A" w:rsidRPr="009D2C55">
        <w:rPr>
          <w:color w:val="000000" w:themeColor="text1"/>
        </w:rPr>
        <w:t xml:space="preserve"> The onus on persons to prove their unfitness</w:t>
      </w:r>
      <w:r w:rsidR="00E045AA" w:rsidRPr="009D2C55">
        <w:rPr>
          <w:color w:val="000000" w:themeColor="text1"/>
        </w:rPr>
        <w:t xml:space="preserve"> often operate</w:t>
      </w:r>
      <w:r w:rsidR="00A6728A" w:rsidRPr="009D2C55">
        <w:rPr>
          <w:color w:val="000000" w:themeColor="text1"/>
        </w:rPr>
        <w:t>s</w:t>
      </w:r>
      <w:r w:rsidR="00E045AA" w:rsidRPr="009D2C55">
        <w:rPr>
          <w:color w:val="000000" w:themeColor="text1"/>
        </w:rPr>
        <w:t xml:space="preserve"> as a major barrier </w:t>
      </w:r>
      <w:r w:rsidR="008A5BBB" w:rsidRPr="009D2C55">
        <w:rPr>
          <w:color w:val="000000" w:themeColor="text1"/>
        </w:rPr>
        <w:t xml:space="preserve">to justice </w:t>
      </w:r>
      <w:r w:rsidR="00A6728A" w:rsidRPr="009D2C55">
        <w:rPr>
          <w:color w:val="000000" w:themeColor="text1"/>
        </w:rPr>
        <w:t xml:space="preserve">with many </w:t>
      </w:r>
      <w:r w:rsidR="00E045AA" w:rsidRPr="009D2C55">
        <w:rPr>
          <w:rFonts w:cs="Arial"/>
          <w:color w:val="000000" w:themeColor="text1"/>
        </w:rPr>
        <w:t>unable</w:t>
      </w:r>
      <w:r w:rsidR="008A5BBB" w:rsidRPr="009D2C55">
        <w:rPr>
          <w:rFonts w:cs="Arial"/>
          <w:color w:val="000000" w:themeColor="text1"/>
        </w:rPr>
        <w:t xml:space="preserve"> to afford a</w:t>
      </w:r>
      <w:r w:rsidR="000C6500" w:rsidRPr="009D2C55">
        <w:rPr>
          <w:rFonts w:cs="Arial"/>
          <w:color w:val="000000" w:themeColor="text1"/>
        </w:rPr>
        <w:t xml:space="preserve"> report from a psychiatrist or other appropriate expert. With financial assistance</w:t>
      </w:r>
      <w:r w:rsidR="008A5BBB" w:rsidRPr="009D2C55">
        <w:rPr>
          <w:rFonts w:cs="Arial"/>
          <w:color w:val="000000" w:themeColor="text1"/>
        </w:rPr>
        <w:t xml:space="preserve"> </w:t>
      </w:r>
      <w:r w:rsidR="000C6500" w:rsidRPr="009D2C55">
        <w:rPr>
          <w:rFonts w:cs="Arial"/>
          <w:color w:val="000000" w:themeColor="text1"/>
        </w:rPr>
        <w:t xml:space="preserve">from the Legal Aid Commission of Tasmania restricted to persons at risk of a custodial sentence, there </w:t>
      </w:r>
      <w:r w:rsidR="00C45613" w:rsidRPr="009D2C55">
        <w:rPr>
          <w:rFonts w:cs="Arial"/>
          <w:color w:val="000000" w:themeColor="text1"/>
        </w:rPr>
        <w:t>are</w:t>
      </w:r>
      <w:r w:rsidR="000C6500" w:rsidRPr="009D2C55">
        <w:rPr>
          <w:rFonts w:cs="Arial"/>
          <w:color w:val="000000" w:themeColor="text1"/>
        </w:rPr>
        <w:t xml:space="preserve"> a large number of persons appearing before the Magistrates Court </w:t>
      </w:r>
      <w:r w:rsidR="008A5BBB" w:rsidRPr="009D2C55">
        <w:rPr>
          <w:rFonts w:cs="Arial"/>
          <w:color w:val="000000" w:themeColor="text1"/>
        </w:rPr>
        <w:t xml:space="preserve">who </w:t>
      </w:r>
      <w:r w:rsidR="000C6500" w:rsidRPr="009D2C55">
        <w:rPr>
          <w:rFonts w:cs="Arial"/>
          <w:color w:val="000000" w:themeColor="text1"/>
        </w:rPr>
        <w:t>have a cognitive or mental health</w:t>
      </w:r>
      <w:r w:rsidR="00737B9D" w:rsidRPr="009D2C55">
        <w:rPr>
          <w:rFonts w:cs="Arial"/>
          <w:color w:val="000000" w:themeColor="text1"/>
        </w:rPr>
        <w:t xml:space="preserve"> </w:t>
      </w:r>
      <w:r w:rsidR="000C6500" w:rsidRPr="009D2C55">
        <w:rPr>
          <w:rFonts w:cs="Arial"/>
          <w:color w:val="000000" w:themeColor="text1"/>
        </w:rPr>
        <w:t xml:space="preserve">impairment, have been charged with </w:t>
      </w:r>
      <w:r w:rsidR="00737B9D" w:rsidRPr="009D2C55">
        <w:rPr>
          <w:rFonts w:cs="Arial"/>
          <w:color w:val="000000" w:themeColor="text1"/>
        </w:rPr>
        <w:t xml:space="preserve">offences </w:t>
      </w:r>
      <w:r w:rsidR="000C6500" w:rsidRPr="009D2C55">
        <w:rPr>
          <w:rFonts w:cs="Arial"/>
          <w:color w:val="000000" w:themeColor="text1"/>
        </w:rPr>
        <w:t>unlikely to result in a custodial sentence but who lack the finances to prove</w:t>
      </w:r>
      <w:r w:rsidR="00034FFD" w:rsidRPr="009D2C55">
        <w:rPr>
          <w:rFonts w:cs="Arial"/>
          <w:color w:val="000000" w:themeColor="text1"/>
        </w:rPr>
        <w:t xml:space="preserve"> their </w:t>
      </w:r>
      <w:r w:rsidR="00C45613" w:rsidRPr="009D2C55">
        <w:rPr>
          <w:rFonts w:cs="Arial"/>
          <w:color w:val="000000" w:themeColor="text1"/>
        </w:rPr>
        <w:t>in</w:t>
      </w:r>
      <w:r w:rsidR="00034FFD" w:rsidRPr="009D2C55">
        <w:rPr>
          <w:rFonts w:cs="Arial"/>
          <w:color w:val="000000" w:themeColor="text1"/>
        </w:rPr>
        <w:t>capacity to stand trial.</w:t>
      </w:r>
      <w:r w:rsidR="00AD5A11" w:rsidRPr="009D2C55">
        <w:rPr>
          <w:rFonts w:cs="Arial"/>
          <w:color w:val="000000" w:themeColor="text1"/>
        </w:rPr>
        <w:t xml:space="preserve"> </w:t>
      </w:r>
      <w:r w:rsidR="00643039" w:rsidRPr="009D2C55">
        <w:rPr>
          <w:rFonts w:cs="Arial"/>
          <w:color w:val="000000" w:themeColor="text1"/>
        </w:rPr>
        <w:t>At the same time, there is no provision in the Magistrates Court for a magistrate to dismiss a charge without conducting a special hearing</w:t>
      </w:r>
      <w:r w:rsidR="00AD5A11" w:rsidRPr="009D2C55">
        <w:rPr>
          <w:rFonts w:cs="Arial"/>
          <w:color w:val="000000" w:themeColor="text1"/>
        </w:rPr>
        <w:t>, a process that is both complex and time-consuming</w:t>
      </w:r>
      <w:r w:rsidR="00643039" w:rsidRPr="009D2C55">
        <w:rPr>
          <w:rFonts w:cs="Arial"/>
          <w:color w:val="000000" w:themeColor="text1"/>
        </w:rPr>
        <w:t>.</w:t>
      </w:r>
      <w:r w:rsidR="00AD5A11" w:rsidRPr="009D2C55">
        <w:rPr>
          <w:rStyle w:val="FootnoteReference"/>
          <w:rFonts w:cs="Arial"/>
          <w:color w:val="000000" w:themeColor="text1"/>
        </w:rPr>
        <w:footnoteReference w:id="10"/>
      </w:r>
      <w:r w:rsidR="00643039" w:rsidRPr="009D2C55">
        <w:rPr>
          <w:rFonts w:cs="Arial"/>
          <w:color w:val="000000" w:themeColor="text1"/>
        </w:rPr>
        <w:t xml:space="preserve"> </w:t>
      </w:r>
    </w:p>
    <w:p w14:paraId="48468213" w14:textId="77777777" w:rsidR="00034FFD" w:rsidRPr="009D2C55" w:rsidRDefault="00034FFD" w:rsidP="008A5BBB">
      <w:pPr>
        <w:ind w:right="-347"/>
        <w:jc w:val="both"/>
        <w:rPr>
          <w:rFonts w:cs="Arial"/>
          <w:color w:val="000000" w:themeColor="text1"/>
        </w:rPr>
      </w:pPr>
    </w:p>
    <w:p w14:paraId="1BE93A66" w14:textId="5F87C969" w:rsidR="0020357E" w:rsidRPr="009D2C55" w:rsidRDefault="00FA338E" w:rsidP="00F94549">
      <w:pPr>
        <w:ind w:right="-347"/>
        <w:jc w:val="both"/>
        <w:rPr>
          <w:color w:val="000000" w:themeColor="text1"/>
        </w:rPr>
      </w:pPr>
      <w:r w:rsidRPr="009D2C55">
        <w:rPr>
          <w:rFonts w:cs="Arial"/>
          <w:color w:val="000000" w:themeColor="text1"/>
        </w:rPr>
        <w:t>S</w:t>
      </w:r>
      <w:r w:rsidR="00AD5A11" w:rsidRPr="009D2C55">
        <w:rPr>
          <w:rFonts w:cs="Arial"/>
          <w:color w:val="000000" w:themeColor="text1"/>
        </w:rPr>
        <w:t>impler and more flexible approach</w:t>
      </w:r>
      <w:r w:rsidR="00EC2D6A" w:rsidRPr="009D2C55">
        <w:rPr>
          <w:rFonts w:cs="Arial"/>
          <w:color w:val="000000" w:themeColor="text1"/>
        </w:rPr>
        <w:t>es</w:t>
      </w:r>
      <w:r w:rsidR="00AD5A11" w:rsidRPr="009D2C55">
        <w:rPr>
          <w:rFonts w:cs="Arial"/>
          <w:color w:val="000000" w:themeColor="text1"/>
        </w:rPr>
        <w:t xml:space="preserve"> </w:t>
      </w:r>
      <w:r w:rsidRPr="009D2C55">
        <w:rPr>
          <w:rFonts w:cs="Arial"/>
          <w:color w:val="000000" w:themeColor="text1"/>
        </w:rPr>
        <w:t>are</w:t>
      </w:r>
      <w:r w:rsidR="00B41DD2" w:rsidRPr="009D2C55">
        <w:rPr>
          <w:rFonts w:cs="Arial"/>
          <w:color w:val="000000" w:themeColor="text1"/>
        </w:rPr>
        <w:t xml:space="preserve"> found </w:t>
      </w:r>
      <w:r w:rsidRPr="009D2C55">
        <w:rPr>
          <w:rFonts w:cs="Arial"/>
          <w:color w:val="000000" w:themeColor="text1"/>
        </w:rPr>
        <w:t xml:space="preserve">in New South Wales, Queensland and the Australian Capital Territory where a magistrate is able to dismiss </w:t>
      </w:r>
      <w:r w:rsidRPr="009D2C55">
        <w:rPr>
          <w:color w:val="000000" w:themeColor="text1"/>
        </w:rPr>
        <w:t>a summary offence if ‘it appears to the magistrate’ (NSW),</w:t>
      </w:r>
      <w:r w:rsidRPr="009D2C55">
        <w:rPr>
          <w:rStyle w:val="FootnoteReference"/>
          <w:color w:val="000000" w:themeColor="text1"/>
        </w:rPr>
        <w:footnoteReference w:id="11"/>
      </w:r>
      <w:r w:rsidRPr="009D2C55">
        <w:rPr>
          <w:color w:val="000000" w:themeColor="text1"/>
        </w:rPr>
        <w:t xml:space="preserve"> ‘there is a real and substantial question’ (ACT)</w:t>
      </w:r>
      <w:r w:rsidRPr="009D2C55">
        <w:rPr>
          <w:rStyle w:val="FootnoteReference"/>
          <w:color w:val="000000" w:themeColor="text1"/>
        </w:rPr>
        <w:footnoteReference w:id="12"/>
      </w:r>
      <w:r w:rsidRPr="009D2C55">
        <w:rPr>
          <w:color w:val="000000" w:themeColor="text1"/>
        </w:rPr>
        <w:t xml:space="preserve"> or ‘satisfied on the balance of probabilities’ (Qld)</w:t>
      </w:r>
      <w:r w:rsidRPr="009D2C55">
        <w:rPr>
          <w:rStyle w:val="FootnoteReference"/>
          <w:color w:val="000000" w:themeColor="text1"/>
        </w:rPr>
        <w:footnoteReference w:id="13"/>
      </w:r>
      <w:r w:rsidRPr="009D2C55">
        <w:rPr>
          <w:color w:val="000000" w:themeColor="text1"/>
        </w:rPr>
        <w:t xml:space="preserve"> that the person has a cognitive or mental health impairment.</w:t>
      </w:r>
      <w:r w:rsidR="00F96C6E" w:rsidRPr="009D2C55">
        <w:rPr>
          <w:color w:val="000000" w:themeColor="text1"/>
        </w:rPr>
        <w:t xml:space="preserve"> R</w:t>
      </w:r>
      <w:r w:rsidR="00B41DD2" w:rsidRPr="009D2C55">
        <w:rPr>
          <w:color w:val="000000" w:themeColor="text1"/>
        </w:rPr>
        <w:t>ather than the onerous procedures adopted in Tasmania, the Queensland model allows</w:t>
      </w:r>
      <w:r w:rsidR="005645D1" w:rsidRPr="009D2C55">
        <w:rPr>
          <w:color w:val="000000" w:themeColor="text1"/>
        </w:rPr>
        <w:t xml:space="preserve"> Court Liaison Officers </w:t>
      </w:r>
      <w:r w:rsidR="00B41DD2" w:rsidRPr="009D2C55">
        <w:rPr>
          <w:color w:val="000000" w:themeColor="text1"/>
        </w:rPr>
        <w:t xml:space="preserve">to </w:t>
      </w:r>
      <w:r w:rsidR="005645D1" w:rsidRPr="009D2C55">
        <w:rPr>
          <w:color w:val="000000" w:themeColor="text1"/>
        </w:rPr>
        <w:t xml:space="preserve">make an assessment of the person’s state of mind at the time of the alleged offence and their fitness to stand trial </w:t>
      </w:r>
      <w:r w:rsidR="00C45613" w:rsidRPr="009D2C55">
        <w:rPr>
          <w:color w:val="000000" w:themeColor="text1"/>
        </w:rPr>
        <w:t>with a report</w:t>
      </w:r>
      <w:r w:rsidR="0020357E" w:rsidRPr="009D2C55">
        <w:rPr>
          <w:color w:val="000000" w:themeColor="text1"/>
        </w:rPr>
        <w:t xml:space="preserve"> provided to the court</w:t>
      </w:r>
      <w:r w:rsidR="005645D1" w:rsidRPr="009D2C55">
        <w:rPr>
          <w:color w:val="000000" w:themeColor="text1"/>
        </w:rPr>
        <w:t>, the prosecutor and the defence lawyer.</w:t>
      </w:r>
      <w:r w:rsidR="005645D1" w:rsidRPr="009D2C55">
        <w:rPr>
          <w:rStyle w:val="FootnoteReference"/>
          <w:color w:val="000000" w:themeColor="text1"/>
        </w:rPr>
        <w:footnoteReference w:id="14"/>
      </w:r>
      <w:r w:rsidR="0020357E" w:rsidRPr="009D2C55">
        <w:rPr>
          <w:color w:val="000000" w:themeColor="text1"/>
        </w:rPr>
        <w:t xml:space="preserve"> </w:t>
      </w:r>
      <w:r w:rsidR="00F96C6E" w:rsidRPr="009D2C55">
        <w:rPr>
          <w:color w:val="000000" w:themeColor="text1"/>
        </w:rPr>
        <w:t>Whilst we do not have a view on which of the three threshold’s noted above should be adopted, w</w:t>
      </w:r>
      <w:r w:rsidR="00B41DD2" w:rsidRPr="009D2C55">
        <w:rPr>
          <w:color w:val="000000" w:themeColor="text1"/>
        </w:rPr>
        <w:t xml:space="preserve">e strongly believe that </w:t>
      </w:r>
      <w:r w:rsidR="00F96C6E" w:rsidRPr="009D2C55">
        <w:rPr>
          <w:color w:val="000000" w:themeColor="text1"/>
        </w:rPr>
        <w:t xml:space="preserve">magistrates must be </w:t>
      </w:r>
      <w:r w:rsidR="00D92ABE" w:rsidRPr="009D2C55">
        <w:rPr>
          <w:color w:val="000000" w:themeColor="text1"/>
        </w:rPr>
        <w:t>provided with the discretion</w:t>
      </w:r>
      <w:r w:rsidR="00406639">
        <w:rPr>
          <w:color w:val="000000" w:themeColor="text1"/>
        </w:rPr>
        <w:t>,</w:t>
      </w:r>
      <w:r w:rsidR="00D92ABE" w:rsidRPr="009D2C55">
        <w:rPr>
          <w:color w:val="000000" w:themeColor="text1"/>
        </w:rPr>
        <w:t xml:space="preserve"> </w:t>
      </w:r>
      <w:r w:rsidR="00406639">
        <w:rPr>
          <w:color w:val="000000" w:themeColor="text1"/>
        </w:rPr>
        <w:t xml:space="preserve">available in all three jurisdictions mentioned above, </w:t>
      </w:r>
      <w:r w:rsidR="00D92ABE" w:rsidRPr="009D2C55">
        <w:rPr>
          <w:color w:val="000000" w:themeColor="text1"/>
        </w:rPr>
        <w:t xml:space="preserve">to </w:t>
      </w:r>
      <w:r w:rsidR="00F96C6E" w:rsidRPr="009D2C55">
        <w:rPr>
          <w:color w:val="000000" w:themeColor="text1"/>
        </w:rPr>
        <w:t>dismiss the offence</w:t>
      </w:r>
      <w:r w:rsidR="00EC2D6A" w:rsidRPr="009D2C55">
        <w:rPr>
          <w:color w:val="000000" w:themeColor="text1"/>
        </w:rPr>
        <w:t xml:space="preserve"> </w:t>
      </w:r>
      <w:r w:rsidR="00D92ABE" w:rsidRPr="009D2C55">
        <w:rPr>
          <w:color w:val="000000" w:themeColor="text1"/>
        </w:rPr>
        <w:t>and/</w:t>
      </w:r>
      <w:r w:rsidR="00F96C6E" w:rsidRPr="009D2C55">
        <w:rPr>
          <w:color w:val="000000" w:themeColor="text1"/>
        </w:rPr>
        <w:t>or divert the person to treatment,</w:t>
      </w:r>
      <w:r w:rsidR="00655F1D" w:rsidRPr="009D2C55">
        <w:rPr>
          <w:rStyle w:val="FootnoteReference"/>
          <w:color w:val="000000" w:themeColor="text1"/>
        </w:rPr>
        <w:footnoteReference w:id="15"/>
      </w:r>
      <w:r w:rsidR="00F96C6E" w:rsidRPr="009D2C55">
        <w:rPr>
          <w:color w:val="000000" w:themeColor="text1"/>
        </w:rPr>
        <w:t xml:space="preserve"> a reform that will </w:t>
      </w:r>
      <w:r w:rsidR="00B41DD2" w:rsidRPr="009D2C55">
        <w:rPr>
          <w:color w:val="000000" w:themeColor="text1"/>
        </w:rPr>
        <w:t xml:space="preserve">reduce the </w:t>
      </w:r>
      <w:r w:rsidR="00F96C6E" w:rsidRPr="009D2C55">
        <w:rPr>
          <w:color w:val="000000" w:themeColor="text1"/>
        </w:rPr>
        <w:t>court backlog</w:t>
      </w:r>
      <w:r w:rsidR="00B41DD2" w:rsidRPr="009D2C55">
        <w:rPr>
          <w:color w:val="000000" w:themeColor="text1"/>
        </w:rPr>
        <w:t xml:space="preserve">, improve access to services and support recovery. </w:t>
      </w:r>
    </w:p>
    <w:p w14:paraId="74E7BD7F" w14:textId="77777777" w:rsidR="006A3D64" w:rsidRPr="009D2C55" w:rsidRDefault="006A3D64" w:rsidP="00F94549">
      <w:pPr>
        <w:ind w:right="-347"/>
        <w:jc w:val="both"/>
        <w:rPr>
          <w:color w:val="000000" w:themeColor="text1"/>
        </w:rPr>
      </w:pPr>
    </w:p>
    <w:p w14:paraId="7746B5A8" w14:textId="049F89F7" w:rsidR="00406639" w:rsidRPr="00406639" w:rsidRDefault="00406639" w:rsidP="00F94549">
      <w:pPr>
        <w:ind w:right="-347"/>
        <w:jc w:val="both"/>
        <w:rPr>
          <w:b/>
          <w:i/>
          <w:color w:val="000000" w:themeColor="text1"/>
        </w:rPr>
      </w:pPr>
      <w:r w:rsidRPr="00406639">
        <w:rPr>
          <w:b/>
          <w:i/>
          <w:color w:val="000000" w:themeColor="text1"/>
        </w:rPr>
        <w:t>Investigation by Supreme Court into fitness to stand trial</w:t>
      </w:r>
    </w:p>
    <w:p w14:paraId="5F3BEB55" w14:textId="7CCB9D2D" w:rsidR="00504817" w:rsidRDefault="00BC5F1A" w:rsidP="00F94549">
      <w:pPr>
        <w:ind w:right="-347"/>
        <w:jc w:val="both"/>
        <w:rPr>
          <w:color w:val="000000" w:themeColor="text1"/>
        </w:rPr>
      </w:pPr>
      <w:r w:rsidRPr="009D2C55">
        <w:rPr>
          <w:color w:val="000000" w:themeColor="text1"/>
        </w:rPr>
        <w:t>Pursuant to s</w:t>
      </w:r>
      <w:r w:rsidR="00A70F20" w:rsidRPr="009D2C55">
        <w:rPr>
          <w:color w:val="000000" w:themeColor="text1"/>
        </w:rPr>
        <w:t xml:space="preserve">ection 12(1) of the </w:t>
      </w:r>
      <w:r w:rsidR="00A70F20" w:rsidRPr="009D2C55">
        <w:rPr>
          <w:i/>
          <w:color w:val="000000" w:themeColor="text1"/>
        </w:rPr>
        <w:t>Criminal Justice (Mental Impairment) Act 1999</w:t>
      </w:r>
      <w:r w:rsidR="00A70F20" w:rsidRPr="009D2C55">
        <w:rPr>
          <w:color w:val="000000" w:themeColor="text1"/>
        </w:rPr>
        <w:t xml:space="preserve"> (Tas) a jury must determine the question of whether a defendant is fit to stand trial</w:t>
      </w:r>
      <w:r w:rsidRPr="009D2C55">
        <w:rPr>
          <w:color w:val="000000" w:themeColor="text1"/>
        </w:rPr>
        <w:t xml:space="preserve"> in the Supreme Court</w:t>
      </w:r>
      <w:r w:rsidR="00A70F20" w:rsidRPr="009D2C55">
        <w:rPr>
          <w:color w:val="000000" w:themeColor="text1"/>
        </w:rPr>
        <w:t xml:space="preserve">. </w:t>
      </w:r>
      <w:r w:rsidR="00406639">
        <w:rPr>
          <w:color w:val="000000" w:themeColor="text1"/>
        </w:rPr>
        <w:t xml:space="preserve">Anecdotally, </w:t>
      </w:r>
      <w:r w:rsidR="00406639">
        <w:rPr>
          <w:color w:val="000000" w:themeColor="text1"/>
        </w:rPr>
        <w:t>lawyers who appear as counsel in these applications observe that the jury</w:t>
      </w:r>
      <w:r w:rsidR="007F13C0">
        <w:rPr>
          <w:color w:val="000000" w:themeColor="text1"/>
        </w:rPr>
        <w:t xml:space="preserve"> is</w:t>
      </w:r>
      <w:r w:rsidR="00406639">
        <w:rPr>
          <w:color w:val="000000" w:themeColor="text1"/>
        </w:rPr>
        <w:t xml:space="preserve"> reliant on expert reports provided by </w:t>
      </w:r>
      <w:r w:rsidR="00406639" w:rsidRPr="009D2C55">
        <w:rPr>
          <w:color w:val="000000" w:themeColor="text1"/>
        </w:rPr>
        <w:t>psychiatr</w:t>
      </w:r>
      <w:r w:rsidR="004E55D0">
        <w:rPr>
          <w:color w:val="000000" w:themeColor="text1"/>
        </w:rPr>
        <w:t>ists and other medical experts.</w:t>
      </w:r>
      <w:r w:rsidR="00063DF9">
        <w:rPr>
          <w:color w:val="000000" w:themeColor="text1"/>
        </w:rPr>
        <w:t xml:space="preserve"> We believe</w:t>
      </w:r>
      <w:r w:rsidR="007F13C0">
        <w:rPr>
          <w:color w:val="000000" w:themeColor="text1"/>
        </w:rPr>
        <w:t xml:space="preserve"> it should be </w:t>
      </w:r>
      <w:r w:rsidR="00406639">
        <w:rPr>
          <w:color w:val="000000" w:themeColor="text1"/>
        </w:rPr>
        <w:t xml:space="preserve">sufficient for a judge </w:t>
      </w:r>
      <w:r w:rsidR="007F13C0">
        <w:rPr>
          <w:color w:val="000000" w:themeColor="text1"/>
        </w:rPr>
        <w:t>alone</w:t>
      </w:r>
      <w:r w:rsidR="00063DF9">
        <w:rPr>
          <w:color w:val="000000" w:themeColor="text1"/>
        </w:rPr>
        <w:t>,</w:t>
      </w:r>
      <w:r w:rsidR="007F13C0">
        <w:rPr>
          <w:color w:val="000000" w:themeColor="text1"/>
        </w:rPr>
        <w:t xml:space="preserve"> </w:t>
      </w:r>
      <w:r w:rsidR="00063DF9">
        <w:rPr>
          <w:color w:val="000000" w:themeColor="text1"/>
        </w:rPr>
        <w:t xml:space="preserve">after analyzing the expert medical evidence, </w:t>
      </w:r>
      <w:r w:rsidR="007F13C0">
        <w:rPr>
          <w:color w:val="000000" w:themeColor="text1"/>
        </w:rPr>
        <w:t>to determine the quest</w:t>
      </w:r>
      <w:r w:rsidR="00063DF9">
        <w:rPr>
          <w:color w:val="000000" w:themeColor="text1"/>
        </w:rPr>
        <w:t>ion of fitness to stand trial. I</w:t>
      </w:r>
      <w:r w:rsidR="007F13C0">
        <w:rPr>
          <w:color w:val="000000" w:themeColor="text1"/>
        </w:rPr>
        <w:t xml:space="preserve">n </w:t>
      </w:r>
      <w:r w:rsidR="00063DF9">
        <w:rPr>
          <w:color w:val="000000" w:themeColor="text1"/>
        </w:rPr>
        <w:t xml:space="preserve">our opinion legislative reform allowing the judge to determine fitness to stand trial </w:t>
      </w:r>
      <w:r w:rsidR="007F13C0">
        <w:rPr>
          <w:color w:val="000000" w:themeColor="text1"/>
        </w:rPr>
        <w:t xml:space="preserve">is likely to result in </w:t>
      </w:r>
      <w:r w:rsidR="00406639" w:rsidRPr="009D2C55">
        <w:rPr>
          <w:color w:val="000000" w:themeColor="text1"/>
        </w:rPr>
        <w:t>less delays and finalization in a more timely matter, benefiting the criminal justice system as a whole</w:t>
      </w:r>
      <w:r w:rsidR="00504817">
        <w:rPr>
          <w:color w:val="000000" w:themeColor="text1"/>
        </w:rPr>
        <w:t>.</w:t>
      </w:r>
    </w:p>
    <w:p w14:paraId="33F33CA1" w14:textId="77777777" w:rsidR="006526B7" w:rsidRPr="009D2C55" w:rsidRDefault="006526B7" w:rsidP="00F94549">
      <w:pPr>
        <w:ind w:right="-347"/>
        <w:jc w:val="both"/>
        <w:rPr>
          <w:color w:val="000000" w:themeColor="text1"/>
        </w:rPr>
      </w:pPr>
    </w:p>
    <w:p w14:paraId="4D3BA58D" w14:textId="6A073775" w:rsidR="006526B7" w:rsidRPr="009D2C55" w:rsidRDefault="00F94549" w:rsidP="00F94549">
      <w:pPr>
        <w:ind w:right="-347"/>
        <w:jc w:val="both"/>
        <w:rPr>
          <w:color w:val="000000" w:themeColor="text1"/>
        </w:rPr>
      </w:pPr>
      <w:r w:rsidRPr="009D2C55">
        <w:rPr>
          <w:rFonts w:cs="Verdana"/>
          <w:color w:val="000000" w:themeColor="text1"/>
        </w:rPr>
        <w:t xml:space="preserve">In summary, we strongly </w:t>
      </w:r>
      <w:r w:rsidR="006526B7" w:rsidRPr="009D2C55">
        <w:rPr>
          <w:rFonts w:cs="Verdana"/>
          <w:color w:val="000000" w:themeColor="text1"/>
        </w:rPr>
        <w:t xml:space="preserve">believe that legislative reform is required, particularly in the Magistrates Court to ensure that persons with cognitive and mental health impairments are </w:t>
      </w:r>
      <w:r w:rsidR="00973A52" w:rsidRPr="009D2C55">
        <w:rPr>
          <w:rFonts w:cs="Verdana"/>
          <w:color w:val="000000" w:themeColor="text1"/>
        </w:rPr>
        <w:t xml:space="preserve">able to have charges dismissed and/or be </w:t>
      </w:r>
      <w:r w:rsidR="006526B7" w:rsidRPr="009D2C55">
        <w:rPr>
          <w:rFonts w:cs="Verdana"/>
          <w:color w:val="000000" w:themeColor="text1"/>
        </w:rPr>
        <w:t xml:space="preserve">referred to treatment. In our opinion, this can be achieved through the adoption of </w:t>
      </w:r>
      <w:r w:rsidR="00D65789" w:rsidRPr="009D2C55">
        <w:rPr>
          <w:rFonts w:cs="Verdana"/>
          <w:color w:val="000000" w:themeColor="text1"/>
        </w:rPr>
        <w:t xml:space="preserve">a model such as that currently in place in </w:t>
      </w:r>
      <w:r w:rsidR="00973A52" w:rsidRPr="009D2C55">
        <w:rPr>
          <w:rFonts w:cs="Verdana"/>
          <w:color w:val="000000" w:themeColor="text1"/>
        </w:rPr>
        <w:t xml:space="preserve">New South Wales, </w:t>
      </w:r>
      <w:r w:rsidR="00D65789" w:rsidRPr="009D2C55">
        <w:rPr>
          <w:rFonts w:cs="Verdana"/>
          <w:color w:val="000000" w:themeColor="text1"/>
        </w:rPr>
        <w:t xml:space="preserve">Queensland </w:t>
      </w:r>
      <w:r w:rsidR="00973A52" w:rsidRPr="009D2C55">
        <w:rPr>
          <w:rFonts w:cs="Verdana"/>
          <w:color w:val="000000" w:themeColor="text1"/>
        </w:rPr>
        <w:t>or the Australian Capital Territory and the</w:t>
      </w:r>
      <w:r w:rsidR="006526B7" w:rsidRPr="009D2C55">
        <w:rPr>
          <w:rFonts w:cs="Verdana"/>
          <w:color w:val="000000" w:themeColor="text1"/>
        </w:rPr>
        <w:t xml:space="preserve"> proper resourcing of </w:t>
      </w:r>
      <w:r w:rsidR="00D92ABE" w:rsidRPr="009D2C55">
        <w:rPr>
          <w:rFonts w:cs="Verdana"/>
          <w:color w:val="000000" w:themeColor="text1"/>
        </w:rPr>
        <w:t xml:space="preserve">Mental Health </w:t>
      </w:r>
      <w:r w:rsidR="006526B7" w:rsidRPr="009D2C55">
        <w:rPr>
          <w:rFonts w:cs="Verdana"/>
          <w:color w:val="000000" w:themeColor="text1"/>
        </w:rPr>
        <w:t>Court Liaison Officers</w:t>
      </w:r>
      <w:r w:rsidR="004A7C69" w:rsidRPr="009D2C55">
        <w:rPr>
          <w:rFonts w:cs="Verdana"/>
          <w:color w:val="000000" w:themeColor="text1"/>
        </w:rPr>
        <w:t xml:space="preserve">. </w:t>
      </w:r>
    </w:p>
    <w:p w14:paraId="4A4BE81A" w14:textId="77777777" w:rsidR="006526B7" w:rsidRPr="009D2C55" w:rsidRDefault="006526B7" w:rsidP="00F94549">
      <w:pPr>
        <w:ind w:right="-347"/>
        <w:jc w:val="both"/>
        <w:rPr>
          <w:color w:val="000000" w:themeColor="text1"/>
        </w:rPr>
      </w:pPr>
    </w:p>
    <w:p w14:paraId="02609E24" w14:textId="044AF2A9" w:rsidR="00F94549" w:rsidRPr="009D2C55" w:rsidRDefault="00F94549" w:rsidP="00F94549">
      <w:pPr>
        <w:ind w:right="-347"/>
        <w:jc w:val="both"/>
        <w:rPr>
          <w:color w:val="000000" w:themeColor="text1"/>
        </w:rPr>
      </w:pPr>
      <w:r w:rsidRPr="009D2C55">
        <w:rPr>
          <w:rFonts w:eastAsia="Times New Roman" w:cs="Times New Roman"/>
          <w:bCs/>
          <w:color w:val="000000" w:themeColor="text1"/>
          <w:lang w:eastAsia="en-AU"/>
        </w:rPr>
        <w:t>If we can be of any further assistance, please do not hesitate to contact us.</w:t>
      </w:r>
    </w:p>
    <w:p w14:paraId="4F9F6E72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</w:p>
    <w:p w14:paraId="325CDB11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</w:p>
    <w:p w14:paraId="2F4CE8E1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  <w:r>
        <w:rPr>
          <w:rFonts w:eastAsia="Times New Roman" w:cs="Times New Roman"/>
          <w:bCs/>
          <w:color w:val="000000" w:themeColor="text1"/>
          <w:lang w:eastAsia="en-AU"/>
        </w:rPr>
        <w:t>Yours faithfully,</w:t>
      </w:r>
    </w:p>
    <w:p w14:paraId="348EC114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</w:p>
    <w:p w14:paraId="6391DEBA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</w:p>
    <w:p w14:paraId="6E1A63D4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</w:p>
    <w:p w14:paraId="0574A931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  <w:r>
        <w:rPr>
          <w:rFonts w:eastAsia="Times New Roman" w:cs="Times New Roman"/>
          <w:bCs/>
          <w:color w:val="000000" w:themeColor="text1"/>
          <w:lang w:eastAsia="en-AU"/>
        </w:rPr>
        <w:t>Benedict Bartl</w:t>
      </w:r>
    </w:p>
    <w:p w14:paraId="678B62F0" w14:textId="77777777" w:rsidR="00F94549" w:rsidRDefault="00F94549" w:rsidP="00F94549">
      <w:pPr>
        <w:shd w:val="clear" w:color="auto" w:fill="FFFFFF"/>
        <w:ind w:right="-347"/>
        <w:jc w:val="both"/>
        <w:rPr>
          <w:rFonts w:eastAsia="Times New Roman" w:cs="Times New Roman"/>
          <w:bCs/>
          <w:color w:val="000000" w:themeColor="text1"/>
          <w:lang w:eastAsia="en-AU"/>
        </w:rPr>
      </w:pPr>
      <w:r>
        <w:rPr>
          <w:rFonts w:eastAsia="Times New Roman" w:cs="Times New Roman"/>
          <w:bCs/>
          <w:color w:val="000000" w:themeColor="text1"/>
          <w:lang w:eastAsia="en-AU"/>
        </w:rPr>
        <w:t>Policy Officer</w:t>
      </w:r>
    </w:p>
    <w:p w14:paraId="695F7C7C" w14:textId="77777777" w:rsidR="00F94549" w:rsidRPr="00032E0D" w:rsidRDefault="00F94549" w:rsidP="00F94549">
      <w:pPr>
        <w:pBdr>
          <w:bottom w:val="single" w:sz="6" w:space="1" w:color="auto"/>
        </w:pBdr>
        <w:shd w:val="clear" w:color="auto" w:fill="FFFFFF"/>
        <w:ind w:right="-347"/>
        <w:jc w:val="both"/>
        <w:rPr>
          <w:rFonts w:eastAsia="Times New Roman" w:cs="Times New Roman"/>
          <w:b/>
          <w:bCs/>
          <w:color w:val="000000" w:themeColor="text1"/>
          <w:lang w:eastAsia="en-AU"/>
        </w:rPr>
      </w:pPr>
      <w:r w:rsidRPr="00032E0D">
        <w:rPr>
          <w:rFonts w:eastAsia="Times New Roman" w:cs="Times New Roman"/>
          <w:b/>
          <w:bCs/>
          <w:color w:val="000000" w:themeColor="text1"/>
          <w:lang w:eastAsia="en-AU"/>
        </w:rPr>
        <w:t>Community Legal Centres Tasmania</w:t>
      </w:r>
    </w:p>
    <w:p w14:paraId="461D19A2" w14:textId="77777777" w:rsidR="00B21B9B" w:rsidRDefault="00B21B9B" w:rsidP="00EA3EC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FA48FEE" w14:textId="77777777" w:rsidR="007220B1" w:rsidRDefault="007220B1" w:rsidP="007220B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FEDF4A" w14:textId="77777777" w:rsidR="007220B1" w:rsidRDefault="007220B1" w:rsidP="00EA3EC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2A4E4E6" w14:textId="37D87DD2" w:rsidR="003F666D" w:rsidRDefault="003F666D" w:rsidP="00EA3E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FBD4382" w14:textId="77777777" w:rsidR="003F666D" w:rsidRDefault="003F666D" w:rsidP="00EA3EC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C8364E2" w14:textId="77777777" w:rsidR="005E705E" w:rsidRDefault="005E705E" w:rsidP="005E705E"/>
    <w:p w14:paraId="2C112AF0" w14:textId="1DC1325F" w:rsidR="008249ED" w:rsidRDefault="008249ED" w:rsidP="008249ED"/>
    <w:sectPr w:rsidR="008249ED" w:rsidSect="00E90D40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31F2D" w14:textId="77777777" w:rsidR="00C96F28" w:rsidRDefault="00C96F28" w:rsidP="00F94549">
      <w:r>
        <w:separator/>
      </w:r>
    </w:p>
  </w:endnote>
  <w:endnote w:type="continuationSeparator" w:id="0">
    <w:p w14:paraId="0DD0AAF1" w14:textId="77777777" w:rsidR="00C96F28" w:rsidRDefault="00C96F28" w:rsidP="00F9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7E50E" w14:textId="77777777" w:rsidR="00AD5A11" w:rsidRDefault="00AD5A11" w:rsidP="001F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F0822" w14:textId="77777777" w:rsidR="00AD5A11" w:rsidRDefault="00AD5A11" w:rsidP="001F58A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33F6" w14:textId="77777777" w:rsidR="00AD5A11" w:rsidRDefault="00AD5A11" w:rsidP="001F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F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86047E" w14:textId="77777777" w:rsidR="00AD5A11" w:rsidRDefault="00AD5A11" w:rsidP="001F58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6F5BE" w14:textId="77777777" w:rsidR="00C96F28" w:rsidRDefault="00C96F28" w:rsidP="00F94549">
      <w:r>
        <w:separator/>
      </w:r>
    </w:p>
  </w:footnote>
  <w:footnote w:type="continuationSeparator" w:id="0">
    <w:p w14:paraId="1E30B04F" w14:textId="77777777" w:rsidR="00C96F28" w:rsidRDefault="00C96F28" w:rsidP="00F94549">
      <w:r>
        <w:continuationSeparator/>
      </w:r>
    </w:p>
  </w:footnote>
  <w:footnote w:id="1">
    <w:p w14:paraId="37ADE325" w14:textId="31B911C4" w:rsidR="00AD5A11" w:rsidRDefault="00AD5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32AA">
        <w:rPr>
          <w:sz w:val="20"/>
          <w:szCs w:val="20"/>
        </w:rPr>
        <w:t xml:space="preserve">CLC Tas would like to acknowledge Katherine Sproule </w:t>
      </w:r>
      <w:r>
        <w:rPr>
          <w:sz w:val="20"/>
          <w:szCs w:val="20"/>
        </w:rPr>
        <w:t xml:space="preserve">and an anonymous referee </w:t>
      </w:r>
      <w:r w:rsidRPr="000332AA">
        <w:rPr>
          <w:sz w:val="20"/>
          <w:szCs w:val="20"/>
        </w:rPr>
        <w:t>who assisted i</w:t>
      </w:r>
      <w:r>
        <w:rPr>
          <w:sz w:val="20"/>
          <w:szCs w:val="20"/>
        </w:rPr>
        <w:t>n the preparation of this response</w:t>
      </w:r>
      <w:r w:rsidRPr="000332AA">
        <w:rPr>
          <w:sz w:val="20"/>
          <w:szCs w:val="20"/>
        </w:rPr>
        <w:t>.</w:t>
      </w:r>
      <w:r>
        <w:t xml:space="preserve">  </w:t>
      </w:r>
    </w:p>
  </w:footnote>
  <w:footnote w:id="2">
    <w:p w14:paraId="3D7CB3A9" w14:textId="79B4B286" w:rsidR="00AD5A11" w:rsidRPr="00C84D76" w:rsidRDefault="00AD5A11" w:rsidP="00D458E6">
      <w:pPr>
        <w:rPr>
          <w:rFonts w:eastAsia="Times New Roman"/>
        </w:rPr>
      </w:pPr>
      <w:r w:rsidRPr="00C84D76">
        <w:rPr>
          <w:rStyle w:val="FootnoteReference"/>
        </w:rPr>
        <w:footnoteRef/>
      </w:r>
      <w:r w:rsidRPr="00C84D76">
        <w:t xml:space="preserve"> </w:t>
      </w:r>
      <w:r w:rsidRPr="00C84D76">
        <w:rPr>
          <w:sz w:val="20"/>
          <w:szCs w:val="20"/>
        </w:rPr>
        <w:t xml:space="preserve">Australian Bureau of Statistics, </w:t>
      </w:r>
      <w:r w:rsidRPr="00C84D76">
        <w:rPr>
          <w:rFonts w:eastAsia="Times New Roman" w:cs="Arial"/>
          <w:bCs/>
          <w:color w:val="000000"/>
          <w:sz w:val="20"/>
          <w:szCs w:val="20"/>
          <w:shd w:val="clear" w:color="auto" w:fill="FFFFFF"/>
          <w:lang w:val="en-AU"/>
        </w:rPr>
        <w:t>4517.0 - Prisoners in Australia, 2018,</w:t>
      </w:r>
      <w:r w:rsidRPr="00C84D76">
        <w:rPr>
          <w:rFonts w:eastAsia="Times New Roman" w:cs="Times New Roman"/>
          <w:sz w:val="20"/>
          <w:szCs w:val="20"/>
          <w:lang w:val="en-AU"/>
        </w:rPr>
        <w:t xml:space="preserve"> </w:t>
      </w:r>
      <w:r w:rsidRPr="00C84D76">
        <w:rPr>
          <w:sz w:val="20"/>
          <w:szCs w:val="20"/>
        </w:rPr>
        <w:t>Table 15 ‘</w:t>
      </w:r>
      <w:r w:rsidRPr="00C84D76">
        <w:rPr>
          <w:rFonts w:eastAsia="Times New Roman" w:cs="Arial"/>
          <w:bCs/>
          <w:sz w:val="20"/>
          <w:szCs w:val="20"/>
          <w:lang w:val="en-AU"/>
        </w:rPr>
        <w:t>Prisoners, state/territory by selected characteristics, 2008–2018’.</w:t>
      </w:r>
      <w:r w:rsidRPr="00C84D76">
        <w:t xml:space="preserve"> </w:t>
      </w:r>
    </w:p>
  </w:footnote>
  <w:footnote w:id="3">
    <w:p w14:paraId="60B6CB0F" w14:textId="5C704D24" w:rsidR="00AD5A11" w:rsidRPr="00C84D76" w:rsidRDefault="00AD5A11" w:rsidP="001916ED">
      <w:pPr>
        <w:pStyle w:val="FootnoteText"/>
      </w:pPr>
      <w:r w:rsidRPr="00C84D76">
        <w:rPr>
          <w:rStyle w:val="FootnoteReference"/>
        </w:rPr>
        <w:footnoteRef/>
      </w:r>
      <w:r w:rsidRPr="00C84D76">
        <w:t xml:space="preserve"> </w:t>
      </w:r>
      <w:r w:rsidRPr="00C84D76">
        <w:rPr>
          <w:sz w:val="20"/>
          <w:szCs w:val="20"/>
        </w:rPr>
        <w:t>James Ogloff, Michael Davis, George Rivers and Stuart Ross, The Identification of Mental Disorders in the Criminal Justice System, Australian Institute of Criminology (March 2007) at 1.</w:t>
      </w:r>
      <w:r w:rsidRPr="00C84D76">
        <w:t xml:space="preserve"> </w:t>
      </w:r>
    </w:p>
  </w:footnote>
  <w:footnote w:id="4">
    <w:p w14:paraId="740541DE" w14:textId="1E57A683" w:rsidR="00AD5A11" w:rsidRPr="00C84D76" w:rsidRDefault="00AD5A11">
      <w:pPr>
        <w:pStyle w:val="FootnoteText"/>
        <w:rPr>
          <w:sz w:val="20"/>
          <w:szCs w:val="20"/>
        </w:rPr>
      </w:pPr>
      <w:r w:rsidRPr="00C84D76">
        <w:rPr>
          <w:rStyle w:val="FootnoteReference"/>
        </w:rPr>
        <w:footnoteRef/>
      </w:r>
      <w:r w:rsidRPr="00C84D76">
        <w:t xml:space="preserve"> </w:t>
      </w:r>
      <w:r w:rsidR="00934DD4" w:rsidRPr="00934DD4">
        <w:rPr>
          <w:sz w:val="20"/>
          <w:szCs w:val="20"/>
        </w:rPr>
        <w:t>Table S55: Prison entrants, referrals to prison mental health service, states and territories 2015. As found at</w:t>
      </w:r>
      <w:r w:rsidR="00934DD4">
        <w:t xml:space="preserve"> </w:t>
      </w:r>
      <w:r w:rsidRPr="00C84D76">
        <w:rPr>
          <w:rFonts w:eastAsia="Times New Roman" w:cs="Times New Roman"/>
          <w:sz w:val="20"/>
          <w:szCs w:val="20"/>
          <w:lang w:val="en-AU"/>
        </w:rPr>
        <w:t xml:space="preserve">Australian </w:t>
      </w:r>
      <w:r w:rsidR="00934DD4">
        <w:rPr>
          <w:rFonts w:eastAsia="Times New Roman" w:cs="Times New Roman"/>
          <w:sz w:val="20"/>
          <w:szCs w:val="20"/>
          <w:lang w:val="en-AU"/>
        </w:rPr>
        <w:t xml:space="preserve">Institute of Health and Welfare, </w:t>
      </w:r>
      <w:r w:rsidRPr="00934DD4">
        <w:rPr>
          <w:rFonts w:eastAsia="Times New Roman" w:cs="Times New Roman"/>
          <w:i/>
          <w:sz w:val="20"/>
          <w:szCs w:val="20"/>
          <w:lang w:val="en-AU"/>
        </w:rPr>
        <w:t>The health of Australia’s prisoners 2015</w:t>
      </w:r>
      <w:r w:rsidRPr="00C84D76">
        <w:rPr>
          <w:rFonts w:eastAsia="Times New Roman" w:cs="Times New Roman"/>
          <w:sz w:val="20"/>
          <w:szCs w:val="20"/>
          <w:lang w:val="en-AU"/>
        </w:rPr>
        <w:t>. C</w:t>
      </w:r>
      <w:r w:rsidR="00934DD4">
        <w:rPr>
          <w:rFonts w:eastAsia="Times New Roman" w:cs="Times New Roman"/>
          <w:sz w:val="20"/>
          <w:szCs w:val="20"/>
          <w:lang w:val="en-AU"/>
        </w:rPr>
        <w:t xml:space="preserve">at. no. PHE 207. (Canberra: 2015). </w:t>
      </w:r>
      <w:r w:rsidRPr="00C84D76">
        <w:rPr>
          <w:sz w:val="20"/>
          <w:szCs w:val="20"/>
        </w:rPr>
        <w:t xml:space="preserve">Worryingly, the same report notes that of those Tasmanian prisoners with a mental impairment, 54 per cent are discharged with either no improvement or with deteriorating mental health compared to when </w:t>
      </w:r>
      <w:r w:rsidR="00934DD4">
        <w:rPr>
          <w:sz w:val="20"/>
          <w:szCs w:val="20"/>
        </w:rPr>
        <w:t xml:space="preserve">they were admitted. As found at Table S32: Prison discharges, change in mental health, and wellbeing while in prison, states and territories, 2015. </w:t>
      </w:r>
    </w:p>
  </w:footnote>
  <w:footnote w:id="5">
    <w:p w14:paraId="60CB25AC" w14:textId="1A73B138" w:rsidR="00AD5A11" w:rsidRPr="00C84D76" w:rsidRDefault="00AD5A11">
      <w:pPr>
        <w:pStyle w:val="FootnoteText"/>
      </w:pPr>
      <w:r w:rsidRPr="00C84D76">
        <w:rPr>
          <w:rStyle w:val="FootnoteReference"/>
        </w:rPr>
        <w:footnoteRef/>
      </w:r>
      <w:r w:rsidRPr="00C84D76">
        <w:t xml:space="preserve"> </w:t>
      </w:r>
      <w:r w:rsidRPr="00C84D76">
        <w:rPr>
          <w:rFonts w:eastAsia="Times New Roman" w:cs="Times New Roman"/>
          <w:sz w:val="20"/>
          <w:szCs w:val="20"/>
          <w:lang w:val="en-AU"/>
        </w:rPr>
        <w:t xml:space="preserve">Eileen Baldry, Melissa Clarence, Leanne Dowse and Julian Trollor, Reducing vulnerability to harm in adults with cognitive disabilities in the Australian criminal justice system, (2013) 10(3) </w:t>
      </w:r>
      <w:r w:rsidRPr="00C84D76">
        <w:rPr>
          <w:rFonts w:eastAsia="Times New Roman" w:cs="Times New Roman"/>
          <w:i/>
          <w:sz w:val="20"/>
          <w:szCs w:val="20"/>
          <w:lang w:val="en-AU"/>
        </w:rPr>
        <w:t>Journal of Policy and Practice in Intellectual Disability</w:t>
      </w:r>
      <w:r w:rsidRPr="00C84D76">
        <w:rPr>
          <w:rFonts w:eastAsia="Times New Roman" w:cs="Times New Roman"/>
          <w:sz w:val="20"/>
          <w:szCs w:val="20"/>
          <w:lang w:val="en-AU"/>
        </w:rPr>
        <w:t xml:space="preserve"> 222.</w:t>
      </w:r>
      <w:r w:rsidRPr="00C84D76">
        <w:t xml:space="preserve">  </w:t>
      </w:r>
    </w:p>
  </w:footnote>
  <w:footnote w:id="6">
    <w:p w14:paraId="395E8FDC" w14:textId="7ED5F6CF" w:rsidR="00AD5A11" w:rsidRPr="00C84D76" w:rsidRDefault="00AD5A11">
      <w:pPr>
        <w:pStyle w:val="FootnoteText"/>
      </w:pPr>
      <w:r w:rsidRPr="00C84D76">
        <w:rPr>
          <w:rStyle w:val="FootnoteReference"/>
        </w:rPr>
        <w:footnoteRef/>
      </w:r>
      <w:r w:rsidRPr="00C84D76">
        <w:t xml:space="preserve"> </w:t>
      </w:r>
      <w:r w:rsidRPr="00C84D76">
        <w:rPr>
          <w:sz w:val="20"/>
          <w:szCs w:val="20"/>
        </w:rPr>
        <w:t xml:space="preserve">Tasmania Law Reform Institute, </w:t>
      </w:r>
      <w:r w:rsidRPr="00C84D76">
        <w:rPr>
          <w:i/>
          <w:sz w:val="20"/>
          <w:szCs w:val="20"/>
        </w:rPr>
        <w:t xml:space="preserve">Review of the Defence of Insanity in s 16 of the Criminal Code and Fitness to Plead </w:t>
      </w:r>
      <w:r w:rsidRPr="00C84D76">
        <w:rPr>
          <w:sz w:val="20"/>
          <w:szCs w:val="20"/>
        </w:rPr>
        <w:t>Issues Paper No. 27 (February 2019) at 22.</w:t>
      </w:r>
      <w:r w:rsidRPr="00C84D76">
        <w:t xml:space="preserve">  </w:t>
      </w:r>
    </w:p>
  </w:footnote>
  <w:footnote w:id="7">
    <w:p w14:paraId="56336CC4" w14:textId="0DD1C397" w:rsidR="005E705E" w:rsidRPr="005E705E" w:rsidRDefault="005E705E" w:rsidP="005E705E">
      <w:r>
        <w:rPr>
          <w:rStyle w:val="FootnoteReference"/>
        </w:rPr>
        <w:footnoteRef/>
      </w:r>
      <w:r>
        <w:t xml:space="preserve"> </w:t>
      </w:r>
      <w:r w:rsidRPr="005E705E">
        <w:rPr>
          <w:sz w:val="20"/>
          <w:szCs w:val="20"/>
        </w:rPr>
        <w:t>Esther Newitt and Victor Stojcevski, Mental Health Diversion List, Evaluation Report (Magistrates Court of Tasmania: May 2009) at 15.</w:t>
      </w:r>
      <w:r>
        <w:t xml:space="preserve"> </w:t>
      </w:r>
    </w:p>
  </w:footnote>
  <w:footnote w:id="8">
    <w:p w14:paraId="28878267" w14:textId="3E921E46" w:rsidR="00AD5A11" w:rsidRPr="001D035A" w:rsidRDefault="00AD5A11" w:rsidP="001D035A">
      <w:pPr>
        <w:pStyle w:val="NoSpacing"/>
        <w:rPr>
          <w:rFonts w:ascii="Times Roman" w:hAnsi="Times Roman" w:cs="Times Roman"/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1D035A">
        <w:rPr>
          <w:sz w:val="20"/>
          <w:szCs w:val="20"/>
        </w:rPr>
        <w:t>Eileen Baldry, Melissa Clarence, Leanne Dowse &amp; Julian Trollor, Reducing vulnerability to harm in adults with cognitive disabilities in the Aust</w:t>
      </w:r>
      <w:r>
        <w:rPr>
          <w:sz w:val="20"/>
          <w:szCs w:val="20"/>
        </w:rPr>
        <w:t>ralian criminal justice system</w:t>
      </w:r>
      <w:r w:rsidRPr="001D035A">
        <w:rPr>
          <w:sz w:val="20"/>
          <w:szCs w:val="20"/>
        </w:rPr>
        <w:t xml:space="preserve"> (2013) 10(3) </w:t>
      </w:r>
      <w:r w:rsidRPr="001D035A">
        <w:rPr>
          <w:i/>
          <w:sz w:val="20"/>
          <w:szCs w:val="20"/>
        </w:rPr>
        <w:t>Journal of Policy and Practice in Intellectual Disability</w:t>
      </w:r>
      <w:r w:rsidRPr="001D035A">
        <w:rPr>
          <w:sz w:val="20"/>
          <w:szCs w:val="20"/>
        </w:rPr>
        <w:t xml:space="preserve"> 222 at 228.</w:t>
      </w:r>
      <w:r w:rsidRPr="001D035A">
        <w:rPr>
          <w:rFonts w:ascii="Times New Roman" w:hAnsi="Times New Roman"/>
        </w:rPr>
        <w:t xml:space="preserve"> </w:t>
      </w:r>
    </w:p>
  </w:footnote>
  <w:footnote w:id="9">
    <w:p w14:paraId="23B949B6" w14:textId="137DF3F0" w:rsidR="00AD5A11" w:rsidRDefault="00AD5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6500">
        <w:rPr>
          <w:sz w:val="20"/>
          <w:szCs w:val="20"/>
        </w:rPr>
        <w:t>Section</w:t>
      </w:r>
      <w:r>
        <w:rPr>
          <w:sz w:val="20"/>
          <w:szCs w:val="20"/>
        </w:rPr>
        <w:t>s</w:t>
      </w:r>
      <w:r w:rsidRPr="000C6500">
        <w:rPr>
          <w:sz w:val="20"/>
          <w:szCs w:val="20"/>
        </w:rPr>
        <w:t xml:space="preserve"> 9</w:t>
      </w:r>
      <w:r>
        <w:rPr>
          <w:sz w:val="20"/>
          <w:szCs w:val="20"/>
        </w:rPr>
        <w:t>, 11</w:t>
      </w:r>
      <w:r w:rsidRPr="000C6500">
        <w:rPr>
          <w:sz w:val="20"/>
          <w:szCs w:val="20"/>
        </w:rPr>
        <w:t xml:space="preserve"> of the </w:t>
      </w:r>
      <w:r w:rsidRPr="000C6500">
        <w:rPr>
          <w:i/>
          <w:sz w:val="20"/>
          <w:szCs w:val="20"/>
        </w:rPr>
        <w:t xml:space="preserve">Criminal Justice (Mental Impairment) Act 1999 </w:t>
      </w:r>
      <w:r w:rsidRPr="000C6500">
        <w:rPr>
          <w:sz w:val="20"/>
          <w:szCs w:val="20"/>
        </w:rPr>
        <w:t>(Tas).</w:t>
      </w:r>
      <w:r>
        <w:rPr>
          <w:i/>
        </w:rPr>
        <w:t xml:space="preserve"> </w:t>
      </w:r>
    </w:p>
  </w:footnote>
  <w:footnote w:id="10">
    <w:p w14:paraId="7586509B" w14:textId="226E524D" w:rsidR="00AD5A11" w:rsidRDefault="00AD5A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5A11">
        <w:rPr>
          <w:sz w:val="20"/>
          <w:szCs w:val="20"/>
        </w:rPr>
        <w:t xml:space="preserve">Section 15 of the </w:t>
      </w:r>
      <w:r w:rsidRPr="00AD5A11">
        <w:rPr>
          <w:i/>
          <w:sz w:val="20"/>
          <w:szCs w:val="20"/>
        </w:rPr>
        <w:t xml:space="preserve">Criminal Justice (Mental Impairment) Act 1999 </w:t>
      </w:r>
      <w:r w:rsidRPr="00AD5A11">
        <w:rPr>
          <w:sz w:val="20"/>
          <w:szCs w:val="20"/>
        </w:rPr>
        <w:t>(Tas).</w:t>
      </w:r>
      <w:r>
        <w:rPr>
          <w:i/>
        </w:rPr>
        <w:t xml:space="preserve"> </w:t>
      </w:r>
      <w:r>
        <w:t xml:space="preserve"> </w:t>
      </w:r>
    </w:p>
  </w:footnote>
  <w:footnote w:id="11">
    <w:p w14:paraId="1422767A" w14:textId="049E6FFA" w:rsidR="00FA338E" w:rsidRPr="00FA338E" w:rsidRDefault="00FA338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FA338E">
        <w:rPr>
          <w:sz w:val="20"/>
          <w:szCs w:val="20"/>
        </w:rPr>
        <w:t xml:space="preserve">Section 32 of the </w:t>
      </w:r>
      <w:r w:rsidRPr="00FA338E">
        <w:rPr>
          <w:i/>
          <w:sz w:val="20"/>
          <w:szCs w:val="20"/>
        </w:rPr>
        <w:t>Mental Health (Forensic Provisions) Act 1990</w:t>
      </w:r>
      <w:r w:rsidRPr="00FA338E">
        <w:rPr>
          <w:sz w:val="20"/>
          <w:szCs w:val="20"/>
        </w:rPr>
        <w:t xml:space="preserve"> (NSW).</w:t>
      </w:r>
    </w:p>
  </w:footnote>
  <w:footnote w:id="12">
    <w:p w14:paraId="67125BA9" w14:textId="53217524" w:rsidR="00FA338E" w:rsidRPr="00FA338E" w:rsidRDefault="00FA338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S</w:t>
      </w:r>
      <w:r w:rsidR="00E6467B">
        <w:rPr>
          <w:sz w:val="20"/>
          <w:szCs w:val="20"/>
        </w:rPr>
        <w:t>ection 314</w:t>
      </w:r>
      <w:r w:rsidRPr="00FA338E">
        <w:rPr>
          <w:sz w:val="20"/>
          <w:szCs w:val="20"/>
        </w:rPr>
        <w:t xml:space="preserve"> of the </w:t>
      </w:r>
      <w:r w:rsidRPr="00FA338E">
        <w:rPr>
          <w:i/>
          <w:sz w:val="20"/>
          <w:szCs w:val="20"/>
        </w:rPr>
        <w:t xml:space="preserve">Crimes Act 1900 </w:t>
      </w:r>
      <w:r w:rsidRPr="00FA338E">
        <w:rPr>
          <w:sz w:val="20"/>
          <w:szCs w:val="20"/>
        </w:rPr>
        <w:t>(ACT).</w:t>
      </w:r>
    </w:p>
  </w:footnote>
  <w:footnote w:id="13">
    <w:p w14:paraId="730D108D" w14:textId="2BDD19FC" w:rsidR="00FA338E" w:rsidRDefault="00FA338E" w:rsidP="00FA33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670">
        <w:rPr>
          <w:sz w:val="20"/>
          <w:szCs w:val="20"/>
        </w:rPr>
        <w:t xml:space="preserve">Section 22(1) of the </w:t>
      </w:r>
      <w:r w:rsidRPr="007F6670">
        <w:rPr>
          <w:i/>
          <w:sz w:val="20"/>
          <w:szCs w:val="20"/>
        </w:rPr>
        <w:t>Mental Health Act 2016</w:t>
      </w:r>
      <w:r w:rsidRPr="007F6670">
        <w:rPr>
          <w:sz w:val="20"/>
          <w:szCs w:val="20"/>
        </w:rPr>
        <w:t xml:space="preserve"> (Qld).</w:t>
      </w:r>
      <w:r>
        <w:rPr>
          <w:sz w:val="20"/>
          <w:szCs w:val="20"/>
        </w:rPr>
        <w:t xml:space="preserve"> </w:t>
      </w:r>
    </w:p>
  </w:footnote>
  <w:footnote w:id="14">
    <w:p w14:paraId="4355B357" w14:textId="1802A9DE" w:rsidR="00AD5A11" w:rsidRPr="007F6670" w:rsidRDefault="00AD5A11" w:rsidP="005645D1">
      <w:pPr>
        <w:rPr>
          <w:rFonts w:eastAsia="Times New Roman"/>
        </w:rPr>
      </w:pPr>
      <w:r>
        <w:rPr>
          <w:rStyle w:val="FootnoteReference"/>
        </w:rPr>
        <w:footnoteRef/>
      </w:r>
      <w:r>
        <w:t xml:space="preserve"> </w:t>
      </w:r>
      <w:r w:rsidRPr="007F6670">
        <w:rPr>
          <w:sz w:val="20"/>
          <w:szCs w:val="20"/>
        </w:rPr>
        <w:t xml:space="preserve">Queensland Health, </w:t>
      </w:r>
      <w:r w:rsidRPr="007F6670">
        <w:rPr>
          <w:rFonts w:eastAsia="Times New Roman" w:cs="Times New Roman"/>
          <w:i/>
          <w:sz w:val="20"/>
          <w:szCs w:val="20"/>
          <w:lang w:val="en-AU"/>
        </w:rPr>
        <w:t>Role of the Court Liaison Service in the Magistrates Court</w:t>
      </w:r>
      <w:r w:rsidRPr="007F6670">
        <w:rPr>
          <w:rFonts w:eastAsia="Times New Roman" w:cs="Times New Roman"/>
          <w:sz w:val="20"/>
          <w:szCs w:val="20"/>
          <w:lang w:val="en-AU"/>
        </w:rPr>
        <w:t xml:space="preserve">. As found at </w:t>
      </w:r>
      <w:hyperlink r:id="rId1" w:history="1">
        <w:r w:rsidRPr="007F6670">
          <w:rPr>
            <w:rStyle w:val="Hyperlink"/>
            <w:rFonts w:eastAsia="Times New Roman"/>
            <w:sz w:val="20"/>
            <w:szCs w:val="20"/>
          </w:rPr>
          <w:t>https://www.health.qld.gov.au/__data/assets/pdf_file/0021/640335/FAQ_Court_Liaison_Service.pdf</w:t>
        </w:r>
      </w:hyperlink>
      <w:r w:rsidRPr="007F6670">
        <w:rPr>
          <w:rFonts w:eastAsia="Times New Roman"/>
          <w:sz w:val="20"/>
          <w:szCs w:val="20"/>
        </w:rPr>
        <w:t xml:space="preserve"> (Accessed 8 June 2019).</w:t>
      </w:r>
      <w:r>
        <w:rPr>
          <w:rFonts w:eastAsia="Times New Roman"/>
        </w:rPr>
        <w:t xml:space="preserve"> </w:t>
      </w:r>
    </w:p>
  </w:footnote>
  <w:footnote w:id="15">
    <w:p w14:paraId="57E61F05" w14:textId="38C6D7D6" w:rsidR="00655F1D" w:rsidRPr="00655F1D" w:rsidRDefault="00655F1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6467B">
        <w:rPr>
          <w:sz w:val="20"/>
          <w:szCs w:val="20"/>
          <w:lang w:val="en-AU"/>
        </w:rPr>
        <w:t xml:space="preserve">See for example </w:t>
      </w:r>
      <w:r w:rsidRPr="00E6467B">
        <w:rPr>
          <w:sz w:val="20"/>
          <w:szCs w:val="20"/>
        </w:rPr>
        <w:t>s</w:t>
      </w:r>
      <w:r w:rsidRPr="00E6467B">
        <w:rPr>
          <w:sz w:val="20"/>
          <w:szCs w:val="20"/>
        </w:rPr>
        <w:t>ection 32</w:t>
      </w:r>
      <w:r w:rsidRPr="00E6467B">
        <w:rPr>
          <w:sz w:val="20"/>
          <w:szCs w:val="20"/>
        </w:rPr>
        <w:t>(3)(b)</w:t>
      </w:r>
      <w:r w:rsidRPr="00E6467B">
        <w:rPr>
          <w:sz w:val="20"/>
          <w:szCs w:val="20"/>
        </w:rPr>
        <w:t xml:space="preserve"> of the </w:t>
      </w:r>
      <w:r w:rsidRPr="00E6467B">
        <w:rPr>
          <w:i/>
          <w:sz w:val="20"/>
          <w:szCs w:val="20"/>
        </w:rPr>
        <w:t>Mental Health (Forensic Provisions) Act 1990</w:t>
      </w:r>
      <w:r w:rsidRPr="00E6467B">
        <w:rPr>
          <w:sz w:val="20"/>
          <w:szCs w:val="20"/>
        </w:rPr>
        <w:t xml:space="preserve"> (NSW)</w:t>
      </w:r>
      <w:r w:rsidRPr="00E6467B">
        <w:rPr>
          <w:sz w:val="20"/>
          <w:szCs w:val="20"/>
        </w:rPr>
        <w:t>;</w:t>
      </w:r>
      <w:r w:rsidR="00E6467B" w:rsidRPr="00E6467B">
        <w:rPr>
          <w:sz w:val="20"/>
          <w:szCs w:val="20"/>
        </w:rPr>
        <w:t xml:space="preserve"> section 315(2)(e)</w:t>
      </w:r>
      <w:r w:rsidR="00E6467B" w:rsidRPr="00E6467B">
        <w:rPr>
          <w:sz w:val="20"/>
          <w:szCs w:val="20"/>
        </w:rPr>
        <w:t xml:space="preserve"> of the </w:t>
      </w:r>
      <w:r w:rsidR="00E6467B" w:rsidRPr="00E6467B">
        <w:rPr>
          <w:i/>
          <w:sz w:val="20"/>
          <w:szCs w:val="20"/>
        </w:rPr>
        <w:t xml:space="preserve">Crimes Act 1900 </w:t>
      </w:r>
      <w:r w:rsidR="00E6467B" w:rsidRPr="00E6467B">
        <w:rPr>
          <w:sz w:val="20"/>
          <w:szCs w:val="20"/>
        </w:rPr>
        <w:t>(ACT)</w:t>
      </w:r>
      <w:r w:rsidR="00E6467B" w:rsidRPr="00E6467B">
        <w:rPr>
          <w:sz w:val="20"/>
          <w:szCs w:val="20"/>
        </w:rPr>
        <w:t>;</w:t>
      </w:r>
      <w:r w:rsidR="00676312">
        <w:rPr>
          <w:sz w:val="20"/>
          <w:szCs w:val="20"/>
        </w:rPr>
        <w:t xml:space="preserve"> section 22(2</w:t>
      </w:r>
      <w:r w:rsidR="00676312" w:rsidRPr="007F6670">
        <w:rPr>
          <w:sz w:val="20"/>
          <w:szCs w:val="20"/>
        </w:rPr>
        <w:t xml:space="preserve">) of the </w:t>
      </w:r>
      <w:r w:rsidR="00676312" w:rsidRPr="007F6670">
        <w:rPr>
          <w:i/>
          <w:sz w:val="20"/>
          <w:szCs w:val="20"/>
        </w:rPr>
        <w:t>Mental Health Act 2016</w:t>
      </w:r>
      <w:r w:rsidR="00676312" w:rsidRPr="007F6670">
        <w:rPr>
          <w:sz w:val="20"/>
          <w:szCs w:val="20"/>
        </w:rPr>
        <w:t xml:space="preserve"> (Qld).</w:t>
      </w:r>
      <w:r w:rsidR="00676312">
        <w:rPr>
          <w:sz w:val="20"/>
          <w:szCs w:val="20"/>
        </w:rPr>
        <w:t xml:space="preserve"> </w:t>
      </w:r>
      <w:r w:rsidR="00E6467B">
        <w:rPr>
          <w:sz w:val="20"/>
          <w:szCs w:val="20"/>
        </w:rPr>
        <w:t xml:space="preserve"> </w:t>
      </w:r>
      <w:r w:rsidR="00E6467B" w:rsidRPr="00E6467B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6D4A"/>
    <w:multiLevelType w:val="hybridMultilevel"/>
    <w:tmpl w:val="EFEA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28C8"/>
    <w:multiLevelType w:val="hybridMultilevel"/>
    <w:tmpl w:val="69CE8C3C"/>
    <w:lvl w:ilvl="0" w:tplc="F99A1B8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2BDE"/>
    <w:multiLevelType w:val="hybridMultilevel"/>
    <w:tmpl w:val="F0BA907E"/>
    <w:lvl w:ilvl="0" w:tplc="2ED87EDA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522D"/>
    <w:multiLevelType w:val="hybridMultilevel"/>
    <w:tmpl w:val="C084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37A12"/>
    <w:multiLevelType w:val="hybridMultilevel"/>
    <w:tmpl w:val="78827B00"/>
    <w:lvl w:ilvl="0" w:tplc="3BDCD3F2">
      <w:start w:val="3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1912291"/>
    <w:multiLevelType w:val="multilevel"/>
    <w:tmpl w:val="B92A12C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474E30CD"/>
    <w:multiLevelType w:val="hybridMultilevel"/>
    <w:tmpl w:val="056C79C6"/>
    <w:lvl w:ilvl="0" w:tplc="4DC4CF0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16B9D"/>
    <w:multiLevelType w:val="hybridMultilevel"/>
    <w:tmpl w:val="A55C4BBC"/>
    <w:lvl w:ilvl="0" w:tplc="AB682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E18C5"/>
    <w:multiLevelType w:val="hybridMultilevel"/>
    <w:tmpl w:val="E65A8862"/>
    <w:lvl w:ilvl="0" w:tplc="4DC4CF0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974FB"/>
    <w:multiLevelType w:val="hybridMultilevel"/>
    <w:tmpl w:val="8B92E9FC"/>
    <w:lvl w:ilvl="0" w:tplc="F7DA1F98">
      <w:start w:val="2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56126"/>
    <w:multiLevelType w:val="multilevel"/>
    <w:tmpl w:val="E3D27D50"/>
    <w:lvl w:ilvl="0">
      <w:start w:val="1"/>
      <w:numFmt w:val="decimal"/>
      <w:pStyle w:val="PartNoTLRI"/>
      <w:suff w:val="nothing"/>
      <w:lvlText w:val="Part %1"/>
      <w:lvlJc w:val="left"/>
      <w:pPr>
        <w:ind w:left="999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NumberedHeadingTLRI"/>
      <w:lvlText w:val="%1.%2"/>
      <w:lvlJc w:val="left"/>
      <w:pPr>
        <w:tabs>
          <w:tab w:val="num" w:pos="1571"/>
        </w:tabs>
        <w:ind w:left="851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NormalNumberedTextTLRI"/>
      <w:lvlText w:val="%1.%2.%3"/>
      <w:lvlJc w:val="left"/>
      <w:pPr>
        <w:tabs>
          <w:tab w:val="num" w:pos="862"/>
        </w:tabs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2"/>
      <w:numFmt w:val="none"/>
      <w:lvlText w:val="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52"/>
      </w:rPr>
    </w:lvl>
    <w:lvl w:ilvl="5">
      <w:start w:val="1"/>
      <w:numFmt w:val="none"/>
      <w:lvlRestart w:val="1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49"/>
    <w:rsid w:val="000136AA"/>
    <w:rsid w:val="000332AA"/>
    <w:rsid w:val="00034FFD"/>
    <w:rsid w:val="00063DF9"/>
    <w:rsid w:val="00080DD1"/>
    <w:rsid w:val="00081A34"/>
    <w:rsid w:val="000C215A"/>
    <w:rsid w:val="000C6500"/>
    <w:rsid w:val="000D0409"/>
    <w:rsid w:val="000D758A"/>
    <w:rsid w:val="001110E9"/>
    <w:rsid w:val="00117C51"/>
    <w:rsid w:val="00132CD8"/>
    <w:rsid w:val="00161704"/>
    <w:rsid w:val="00186C71"/>
    <w:rsid w:val="001916ED"/>
    <w:rsid w:val="001B3AA8"/>
    <w:rsid w:val="001D035A"/>
    <w:rsid w:val="001F58AF"/>
    <w:rsid w:val="001F5D25"/>
    <w:rsid w:val="0020357E"/>
    <w:rsid w:val="00215057"/>
    <w:rsid w:val="002B3FBA"/>
    <w:rsid w:val="002C368F"/>
    <w:rsid w:val="002E3883"/>
    <w:rsid w:val="00345454"/>
    <w:rsid w:val="0035360A"/>
    <w:rsid w:val="00353C77"/>
    <w:rsid w:val="00371358"/>
    <w:rsid w:val="003928B1"/>
    <w:rsid w:val="00393023"/>
    <w:rsid w:val="003937C8"/>
    <w:rsid w:val="003C0799"/>
    <w:rsid w:val="003C5875"/>
    <w:rsid w:val="003C5D2D"/>
    <w:rsid w:val="003D1648"/>
    <w:rsid w:val="003D69D1"/>
    <w:rsid w:val="003F666D"/>
    <w:rsid w:val="00406639"/>
    <w:rsid w:val="00415DE3"/>
    <w:rsid w:val="004374FE"/>
    <w:rsid w:val="0044186E"/>
    <w:rsid w:val="0044644B"/>
    <w:rsid w:val="00482C52"/>
    <w:rsid w:val="004946EF"/>
    <w:rsid w:val="004A367D"/>
    <w:rsid w:val="004A6F16"/>
    <w:rsid w:val="004A7C69"/>
    <w:rsid w:val="004C5131"/>
    <w:rsid w:val="004E55D0"/>
    <w:rsid w:val="004F10DD"/>
    <w:rsid w:val="0050152F"/>
    <w:rsid w:val="00503630"/>
    <w:rsid w:val="00504817"/>
    <w:rsid w:val="005103E5"/>
    <w:rsid w:val="00524C81"/>
    <w:rsid w:val="00546A32"/>
    <w:rsid w:val="005645D1"/>
    <w:rsid w:val="005B5988"/>
    <w:rsid w:val="005C218F"/>
    <w:rsid w:val="005C6EC3"/>
    <w:rsid w:val="005C70E4"/>
    <w:rsid w:val="005E705E"/>
    <w:rsid w:val="006314C2"/>
    <w:rsid w:val="00643039"/>
    <w:rsid w:val="006526B7"/>
    <w:rsid w:val="00655F1D"/>
    <w:rsid w:val="00676312"/>
    <w:rsid w:val="006A2AD4"/>
    <w:rsid w:val="006A3D64"/>
    <w:rsid w:val="006A6D3A"/>
    <w:rsid w:val="006B1F9C"/>
    <w:rsid w:val="006B5DD3"/>
    <w:rsid w:val="006D3735"/>
    <w:rsid w:val="006F19DF"/>
    <w:rsid w:val="00711AF4"/>
    <w:rsid w:val="007220B1"/>
    <w:rsid w:val="007265D9"/>
    <w:rsid w:val="00737B9D"/>
    <w:rsid w:val="007474AE"/>
    <w:rsid w:val="0075030B"/>
    <w:rsid w:val="00760A7D"/>
    <w:rsid w:val="00766449"/>
    <w:rsid w:val="00783B8E"/>
    <w:rsid w:val="007A7A28"/>
    <w:rsid w:val="007C3707"/>
    <w:rsid w:val="007D0767"/>
    <w:rsid w:val="007D1EDC"/>
    <w:rsid w:val="007F13C0"/>
    <w:rsid w:val="007F6670"/>
    <w:rsid w:val="007F7910"/>
    <w:rsid w:val="00817229"/>
    <w:rsid w:val="008249ED"/>
    <w:rsid w:val="008A5BBB"/>
    <w:rsid w:val="008B348A"/>
    <w:rsid w:val="008C6E13"/>
    <w:rsid w:val="008E0C16"/>
    <w:rsid w:val="008E1DD3"/>
    <w:rsid w:val="008F3131"/>
    <w:rsid w:val="00934DD4"/>
    <w:rsid w:val="00935E71"/>
    <w:rsid w:val="009377F3"/>
    <w:rsid w:val="00940ADC"/>
    <w:rsid w:val="00972581"/>
    <w:rsid w:val="00973A52"/>
    <w:rsid w:val="00981B52"/>
    <w:rsid w:val="00982743"/>
    <w:rsid w:val="00994580"/>
    <w:rsid w:val="009B2D91"/>
    <w:rsid w:val="009D2C55"/>
    <w:rsid w:val="009D6296"/>
    <w:rsid w:val="009E70E2"/>
    <w:rsid w:val="00A15DBF"/>
    <w:rsid w:val="00A53EC3"/>
    <w:rsid w:val="00A6728A"/>
    <w:rsid w:val="00A70F20"/>
    <w:rsid w:val="00A8344C"/>
    <w:rsid w:val="00AD5A11"/>
    <w:rsid w:val="00B21B9B"/>
    <w:rsid w:val="00B37C2B"/>
    <w:rsid w:val="00B4102E"/>
    <w:rsid w:val="00B41DD2"/>
    <w:rsid w:val="00B55556"/>
    <w:rsid w:val="00B57488"/>
    <w:rsid w:val="00B831B9"/>
    <w:rsid w:val="00B94D5E"/>
    <w:rsid w:val="00BC0CA2"/>
    <w:rsid w:val="00BC5F1A"/>
    <w:rsid w:val="00BD7133"/>
    <w:rsid w:val="00C2778D"/>
    <w:rsid w:val="00C43DFF"/>
    <w:rsid w:val="00C45613"/>
    <w:rsid w:val="00C572BD"/>
    <w:rsid w:val="00C576E5"/>
    <w:rsid w:val="00C84D76"/>
    <w:rsid w:val="00C96F28"/>
    <w:rsid w:val="00CA5A02"/>
    <w:rsid w:val="00CD4231"/>
    <w:rsid w:val="00CD4A02"/>
    <w:rsid w:val="00D124D0"/>
    <w:rsid w:val="00D458E6"/>
    <w:rsid w:val="00D46D63"/>
    <w:rsid w:val="00D65789"/>
    <w:rsid w:val="00D72DB2"/>
    <w:rsid w:val="00D77E84"/>
    <w:rsid w:val="00D92ABE"/>
    <w:rsid w:val="00DB139F"/>
    <w:rsid w:val="00DB24DB"/>
    <w:rsid w:val="00DB7622"/>
    <w:rsid w:val="00E0046F"/>
    <w:rsid w:val="00E045AA"/>
    <w:rsid w:val="00E2590F"/>
    <w:rsid w:val="00E6467B"/>
    <w:rsid w:val="00E759EC"/>
    <w:rsid w:val="00E85A17"/>
    <w:rsid w:val="00E90D40"/>
    <w:rsid w:val="00E93185"/>
    <w:rsid w:val="00E97AF5"/>
    <w:rsid w:val="00EA3ECC"/>
    <w:rsid w:val="00EB78EB"/>
    <w:rsid w:val="00EC2D6A"/>
    <w:rsid w:val="00EE62B4"/>
    <w:rsid w:val="00EF1EB8"/>
    <w:rsid w:val="00F06204"/>
    <w:rsid w:val="00F1513B"/>
    <w:rsid w:val="00F24F46"/>
    <w:rsid w:val="00F4163D"/>
    <w:rsid w:val="00F715D7"/>
    <w:rsid w:val="00F818EC"/>
    <w:rsid w:val="00F86DD6"/>
    <w:rsid w:val="00F94549"/>
    <w:rsid w:val="00F96C6E"/>
    <w:rsid w:val="00FA338E"/>
    <w:rsid w:val="00FA5F61"/>
    <w:rsid w:val="00FC61CA"/>
    <w:rsid w:val="00FD35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E224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Text"/>
    <w:basedOn w:val="Normal"/>
    <w:link w:val="FootnoteTextChar"/>
    <w:uiPriority w:val="99"/>
    <w:unhideWhenUsed/>
    <w:rsid w:val="00F94549"/>
  </w:style>
  <w:style w:type="character" w:customStyle="1" w:styleId="FootnoteTextChar">
    <w:name w:val="Footnote Text Char"/>
    <w:aliases w:val="Footnote Char,Text Char"/>
    <w:basedOn w:val="DefaultParagraphFont"/>
    <w:link w:val="FootnoteText"/>
    <w:uiPriority w:val="99"/>
    <w:rsid w:val="00F94549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945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5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4549"/>
  </w:style>
  <w:style w:type="paragraph" w:styleId="ListParagraph">
    <w:name w:val="List Paragraph"/>
    <w:basedOn w:val="Normal"/>
    <w:uiPriority w:val="34"/>
    <w:qFormat/>
    <w:rsid w:val="00F945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4549"/>
  </w:style>
  <w:style w:type="paragraph" w:styleId="BalloonText">
    <w:name w:val="Balloon Text"/>
    <w:basedOn w:val="Normal"/>
    <w:link w:val="BalloonTextChar"/>
    <w:uiPriority w:val="99"/>
    <w:semiHidden/>
    <w:unhideWhenUsed/>
    <w:rsid w:val="00F945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49"/>
    <w:rPr>
      <w:rFonts w:ascii="Lucida Grande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58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A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F58AF"/>
  </w:style>
  <w:style w:type="paragraph" w:customStyle="1" w:styleId="headingparagraph">
    <w:name w:val="headingparagraph"/>
    <w:basedOn w:val="Normal"/>
    <w:rsid w:val="009D629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paragraph" w:customStyle="1" w:styleId="NormalNumberedTextTLRI">
    <w:name w:val="Normal Numbered Text TLRI"/>
    <w:basedOn w:val="Normal"/>
    <w:link w:val="NormalNumberedTextTLRIChar"/>
    <w:qFormat/>
    <w:locked/>
    <w:rsid w:val="00643039"/>
    <w:pPr>
      <w:numPr>
        <w:ilvl w:val="2"/>
        <w:numId w:val="11"/>
      </w:numPr>
      <w:tabs>
        <w:tab w:val="clear" w:pos="862"/>
        <w:tab w:val="left" w:pos="851"/>
      </w:tabs>
      <w:spacing w:before="220" w:after="220" w:line="271" w:lineRule="auto"/>
      <w:ind w:left="0"/>
      <w:jc w:val="both"/>
    </w:pPr>
    <w:rPr>
      <w:rFonts w:ascii="Times New Roman" w:eastAsia="Times" w:hAnsi="Times New Roman" w:cs="Times New Roman"/>
      <w:sz w:val="22"/>
      <w:szCs w:val="20"/>
      <w:lang w:val="en-AU"/>
    </w:rPr>
  </w:style>
  <w:style w:type="character" w:customStyle="1" w:styleId="NormalNumberedTextTLRIChar">
    <w:name w:val="Normal Numbered Text TLRI Char"/>
    <w:basedOn w:val="DefaultParagraphFont"/>
    <w:link w:val="NormalNumberedTextTLRI"/>
    <w:rsid w:val="00643039"/>
    <w:rPr>
      <w:rFonts w:ascii="Times New Roman" w:eastAsia="Times" w:hAnsi="Times New Roman" w:cs="Times New Roman"/>
      <w:sz w:val="22"/>
      <w:szCs w:val="20"/>
    </w:rPr>
  </w:style>
  <w:style w:type="paragraph" w:customStyle="1" w:styleId="NumberedHeadingTLRI">
    <w:name w:val="Numbered Heading TLRI"/>
    <w:basedOn w:val="Normal"/>
    <w:next w:val="NormalNumberedTextTLRI"/>
    <w:qFormat/>
    <w:locked/>
    <w:rsid w:val="00643039"/>
    <w:pPr>
      <w:numPr>
        <w:ilvl w:val="1"/>
        <w:numId w:val="11"/>
      </w:numPr>
      <w:tabs>
        <w:tab w:val="clear" w:pos="1571"/>
        <w:tab w:val="num" w:pos="851"/>
      </w:tabs>
      <w:spacing w:before="480" w:after="220"/>
      <w:ind w:left="0"/>
      <w:jc w:val="both"/>
    </w:pPr>
    <w:rPr>
      <w:rFonts w:ascii="Arial" w:eastAsia="Times" w:hAnsi="Arial" w:cs="Times New Roman"/>
      <w:b/>
      <w:sz w:val="32"/>
      <w:szCs w:val="20"/>
      <w:lang w:val="en-AU"/>
    </w:rPr>
  </w:style>
  <w:style w:type="paragraph" w:customStyle="1" w:styleId="PartNoTLRI">
    <w:name w:val="Part No TLRI"/>
    <w:basedOn w:val="Normal"/>
    <w:qFormat/>
    <w:locked/>
    <w:rsid w:val="00643039"/>
    <w:pPr>
      <w:numPr>
        <w:numId w:val="11"/>
      </w:numPr>
      <w:spacing w:after="120"/>
      <w:ind w:left="432"/>
      <w:jc w:val="center"/>
    </w:pPr>
    <w:rPr>
      <w:rFonts w:ascii="Times New Roman" w:eastAsia="Times" w:hAnsi="Times New Roman" w:cs="Times New Roman"/>
      <w:b/>
      <w:sz w:val="3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847">
          <w:blockQuote w:val="1"/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581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9534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4175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144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87255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8916">
          <w:blockQuote w:val="1"/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28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1806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aw.reform@utas.edu.a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qld.gov.au/__data/assets/pdf_file/0021/640335/FAQ_Court_Liaison_Serv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1155</Words>
  <Characters>6586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Tenants Union of Tasmania</Company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#2</dc:creator>
  <cp:keywords/>
  <dc:description/>
  <cp:lastModifiedBy>Microsoft Office User</cp:lastModifiedBy>
  <cp:revision>10</cp:revision>
  <cp:lastPrinted>2019-06-12T04:26:00Z</cp:lastPrinted>
  <dcterms:created xsi:type="dcterms:W3CDTF">2019-06-11T01:26:00Z</dcterms:created>
  <dcterms:modified xsi:type="dcterms:W3CDTF">2019-06-12T04:34:00Z</dcterms:modified>
</cp:coreProperties>
</file>