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D44E4" w14:textId="77777777" w:rsidR="00332531" w:rsidRDefault="00332531" w:rsidP="00332531">
      <w:pPr>
        <w:ind w:left="-284" w:right="-347"/>
        <w:jc w:val="center"/>
      </w:pPr>
      <w:r>
        <w:rPr>
          <w:noProof/>
          <w:sz w:val="20"/>
          <w:szCs w:val="20"/>
        </w:rPr>
        <w:drawing>
          <wp:inline distT="0" distB="0" distL="0" distR="0" wp14:anchorId="51ED04A7" wp14:editId="0CD8666B">
            <wp:extent cx="3235960" cy="1099476"/>
            <wp:effectExtent l="0" t="0" r="0" b="0"/>
            <wp:docPr id="5" name="Picture 1" descr="Shared Docs:Public:Sister Organisations:CLC Tas:CLCLogos:CLCTas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d Docs:Public:Sister Organisations:CLC Tas:CLCLogos:CLCTascolou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972" cy="11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8ADF4" w14:textId="77777777" w:rsidR="00332531" w:rsidRPr="00A7231F" w:rsidRDefault="00332531" w:rsidP="00332531">
      <w:pPr>
        <w:ind w:left="-284" w:right="-347"/>
      </w:pPr>
    </w:p>
    <w:p w14:paraId="75963C49" w14:textId="77777777" w:rsidR="00332531" w:rsidRDefault="00332531" w:rsidP="00332531">
      <w:pPr>
        <w:ind w:left="-284" w:right="-347"/>
      </w:pPr>
    </w:p>
    <w:p w14:paraId="1F93A3C6" w14:textId="77777777" w:rsidR="00332531" w:rsidRDefault="00332531" w:rsidP="00332531">
      <w:pPr>
        <w:ind w:left="-284" w:right="-347"/>
      </w:pPr>
    </w:p>
    <w:p w14:paraId="7DFEA217" w14:textId="687C03D1" w:rsidR="00332531" w:rsidRPr="00A7231F" w:rsidRDefault="00034708" w:rsidP="00332531">
      <w:pPr>
        <w:ind w:left="-284" w:right="-347"/>
      </w:pPr>
      <w:r>
        <w:t>2 September</w:t>
      </w:r>
      <w:r w:rsidR="00332531">
        <w:t xml:space="preserve"> 2016</w:t>
      </w:r>
    </w:p>
    <w:p w14:paraId="2C9D5148" w14:textId="77777777" w:rsidR="00332531" w:rsidRPr="00A7231F" w:rsidRDefault="00332531" w:rsidP="00332531">
      <w:pPr>
        <w:ind w:left="-284" w:right="-347"/>
      </w:pPr>
    </w:p>
    <w:p w14:paraId="2A43F3A0" w14:textId="77777777" w:rsidR="00332531" w:rsidRDefault="00332531" w:rsidP="00332531">
      <w:pPr>
        <w:ind w:left="-284" w:right="-347"/>
      </w:pPr>
      <w:r>
        <w:t>Department of Justice</w:t>
      </w:r>
    </w:p>
    <w:p w14:paraId="0BE60B02" w14:textId="77777777" w:rsidR="00332531" w:rsidRDefault="00332531" w:rsidP="00332531">
      <w:pPr>
        <w:ind w:left="-284" w:right="-347"/>
      </w:pPr>
      <w:r>
        <w:t>Office of Strategic Legislation and Policy</w:t>
      </w:r>
    </w:p>
    <w:p w14:paraId="134102F4" w14:textId="77777777" w:rsidR="00332531" w:rsidRDefault="00332531" w:rsidP="00332531">
      <w:pPr>
        <w:ind w:left="-284" w:right="-347"/>
      </w:pPr>
      <w:r>
        <w:t>GPO Box 825</w:t>
      </w:r>
    </w:p>
    <w:p w14:paraId="401AF919" w14:textId="77777777" w:rsidR="00332531" w:rsidRDefault="00332531" w:rsidP="00332531">
      <w:pPr>
        <w:ind w:left="-284" w:right="-347"/>
      </w:pPr>
      <w:r>
        <w:t>Hobart TAS 7001</w:t>
      </w:r>
    </w:p>
    <w:p w14:paraId="65D2FF3C" w14:textId="77777777" w:rsidR="00332531" w:rsidRDefault="00332531" w:rsidP="00332531">
      <w:pPr>
        <w:ind w:left="-284" w:right="-347"/>
      </w:pPr>
      <w:r>
        <w:t>Attn: Bradley Wagg</w:t>
      </w:r>
    </w:p>
    <w:p w14:paraId="6A9681C0" w14:textId="77777777" w:rsidR="00332531" w:rsidRDefault="00332531" w:rsidP="00332531">
      <w:pPr>
        <w:ind w:left="-284" w:right="-347"/>
      </w:pPr>
    </w:p>
    <w:p w14:paraId="2AFCA49A" w14:textId="77777777" w:rsidR="00332531" w:rsidRDefault="00332531" w:rsidP="00332531">
      <w:pPr>
        <w:ind w:left="-284" w:right="-347"/>
      </w:pPr>
      <w:proofErr w:type="gramStart"/>
      <w:r>
        <w:t>via</w:t>
      </w:r>
      <w:proofErr w:type="gramEnd"/>
      <w:r>
        <w:t xml:space="preserve"> email: </w:t>
      </w:r>
      <w:hyperlink r:id="rId8" w:history="1">
        <w:r>
          <w:rPr>
            <w:rStyle w:val="Hyperlink"/>
          </w:rPr>
          <w:t>bradley.wagg@justice.tas.gov.au</w:t>
        </w:r>
      </w:hyperlink>
      <w:r>
        <w:t xml:space="preserve"> </w:t>
      </w:r>
    </w:p>
    <w:p w14:paraId="39437978" w14:textId="77777777" w:rsidR="00332531" w:rsidRDefault="00332531" w:rsidP="00332531">
      <w:pPr>
        <w:ind w:left="-284" w:right="-347"/>
      </w:pPr>
    </w:p>
    <w:p w14:paraId="6C97BC0B" w14:textId="77777777" w:rsidR="00332531" w:rsidRDefault="00332531" w:rsidP="00332531">
      <w:pPr>
        <w:ind w:left="-284" w:right="-347"/>
      </w:pPr>
      <w:r>
        <w:t>To the Office of Strategic Legislation and Policy,</w:t>
      </w:r>
    </w:p>
    <w:p w14:paraId="1415EED4" w14:textId="77777777" w:rsidR="00332531" w:rsidRDefault="00332531" w:rsidP="00332531">
      <w:pPr>
        <w:pBdr>
          <w:bottom w:val="single" w:sz="6" w:space="1" w:color="auto"/>
        </w:pBdr>
        <w:ind w:left="-284" w:right="-347"/>
        <w:rPr>
          <w:b/>
        </w:rPr>
      </w:pPr>
      <w:r w:rsidRPr="00C95395">
        <w:rPr>
          <w:b/>
        </w:rPr>
        <w:t xml:space="preserve">Re: </w:t>
      </w:r>
      <w:r>
        <w:rPr>
          <w:b/>
          <w:i/>
        </w:rPr>
        <w:t>Sentencing Legislation Amendment Bill 2016</w:t>
      </w:r>
    </w:p>
    <w:p w14:paraId="2878062C" w14:textId="77777777" w:rsidR="00332531" w:rsidRDefault="00332531" w:rsidP="00332531">
      <w:pPr>
        <w:ind w:left="-284" w:right="-347"/>
        <w:rPr>
          <w:rFonts w:cs="Arial"/>
        </w:rPr>
      </w:pPr>
    </w:p>
    <w:p w14:paraId="1F918095" w14:textId="77777777" w:rsidR="00332531" w:rsidRDefault="00332531" w:rsidP="00332531">
      <w:pPr>
        <w:ind w:left="-284" w:right="-347"/>
        <w:jc w:val="both"/>
      </w:pPr>
      <w:r w:rsidRPr="008A004F">
        <w:rPr>
          <w:rFonts w:cs="Calibri"/>
        </w:rPr>
        <w:t xml:space="preserve">Community Legal </w:t>
      </w:r>
      <w:proofErr w:type="spellStart"/>
      <w:r w:rsidRPr="008A004F">
        <w:rPr>
          <w:rFonts w:cs="Calibri"/>
        </w:rPr>
        <w:t>Centres</w:t>
      </w:r>
      <w:proofErr w:type="spellEnd"/>
      <w:r w:rsidRPr="008A004F">
        <w:rPr>
          <w:rFonts w:cs="Calibri"/>
        </w:rPr>
        <w:t xml:space="preserve"> Tasmania (CLC </w:t>
      </w:r>
      <w:proofErr w:type="spellStart"/>
      <w:r w:rsidRPr="008A004F">
        <w:rPr>
          <w:rFonts w:cs="Calibri"/>
        </w:rPr>
        <w:t>Tas</w:t>
      </w:r>
      <w:proofErr w:type="spellEnd"/>
      <w:r w:rsidRPr="008A004F">
        <w:rPr>
          <w:rFonts w:cs="Calibri"/>
        </w:rPr>
        <w:t>)</w:t>
      </w:r>
      <w:r w:rsidRPr="008A004F">
        <w:t xml:space="preserve"> </w:t>
      </w:r>
      <w:r>
        <w:t>welcomes</w:t>
      </w:r>
      <w:r w:rsidRPr="008A004F">
        <w:t xml:space="preserve"> the opportunity to </w:t>
      </w:r>
      <w:r>
        <w:t xml:space="preserve">provide comment on the </w:t>
      </w:r>
      <w:r w:rsidR="00397157">
        <w:rPr>
          <w:i/>
        </w:rPr>
        <w:t>Sentencing Legislation Amendment Bill 2016</w:t>
      </w:r>
      <w:r w:rsidRPr="008A004F">
        <w:t>.</w:t>
      </w:r>
    </w:p>
    <w:p w14:paraId="2BFE8941" w14:textId="77777777" w:rsidR="00332531" w:rsidRDefault="00332531" w:rsidP="00332531">
      <w:pPr>
        <w:ind w:left="-284" w:right="-347"/>
        <w:jc w:val="both"/>
      </w:pPr>
    </w:p>
    <w:p w14:paraId="5EE45422" w14:textId="77777777" w:rsidR="00332531" w:rsidRPr="00DB6390" w:rsidRDefault="00332531" w:rsidP="00332531">
      <w:pPr>
        <w:ind w:left="-284" w:right="-347"/>
        <w:jc w:val="both"/>
        <w:rPr>
          <w:rFonts w:cs="Arial"/>
          <w:color w:val="000000"/>
        </w:rPr>
      </w:pPr>
      <w:r w:rsidRPr="008A004F">
        <w:rPr>
          <w:rFonts w:eastAsia="Times New Roman" w:cs="Arial"/>
          <w:lang w:eastAsia="en-AU"/>
        </w:rPr>
        <w:t xml:space="preserve">CLC </w:t>
      </w:r>
      <w:proofErr w:type="spellStart"/>
      <w:proofErr w:type="gramStart"/>
      <w:r w:rsidRPr="008A004F">
        <w:rPr>
          <w:rFonts w:eastAsia="Times New Roman" w:cs="Arial"/>
          <w:lang w:eastAsia="en-AU"/>
        </w:rPr>
        <w:t>Tas</w:t>
      </w:r>
      <w:proofErr w:type="spellEnd"/>
      <w:proofErr w:type="gramEnd"/>
      <w:r w:rsidRPr="008A004F">
        <w:rPr>
          <w:rFonts w:eastAsia="Times New Roman" w:cs="Arial"/>
          <w:lang w:eastAsia="en-AU"/>
        </w:rPr>
        <w:t xml:space="preserve"> </w:t>
      </w:r>
      <w:r w:rsidRPr="008A004F">
        <w:rPr>
          <w:rFonts w:cs="Arial"/>
        </w:rPr>
        <w:t xml:space="preserve">is the peak body representing the interests of eight community legal </w:t>
      </w:r>
      <w:proofErr w:type="spellStart"/>
      <w:r w:rsidRPr="008A004F">
        <w:rPr>
          <w:rFonts w:cs="Arial"/>
        </w:rPr>
        <w:t>centres</w:t>
      </w:r>
      <w:proofErr w:type="spellEnd"/>
      <w:r w:rsidRPr="008A004F">
        <w:rPr>
          <w:rFonts w:cs="Arial"/>
        </w:rPr>
        <w:t xml:space="preserve"> (CLCs) located throu</w:t>
      </w:r>
      <w:r>
        <w:rPr>
          <w:rFonts w:cs="Arial"/>
        </w:rPr>
        <w:t>ghout Tasmania. We are a member-</w:t>
      </w:r>
      <w:r w:rsidRPr="008A004F">
        <w:rPr>
          <w:rFonts w:cs="Arial"/>
        </w:rPr>
        <w:t>based, independent, no</w:t>
      </w:r>
      <w:r>
        <w:rPr>
          <w:rFonts w:cs="Arial"/>
        </w:rPr>
        <w:t>t</w:t>
      </w:r>
      <w:r w:rsidRPr="008A004F">
        <w:rPr>
          <w:rFonts w:cs="Arial"/>
        </w:rPr>
        <w:t xml:space="preserve">-for-profit and incorporated </w:t>
      </w:r>
      <w:proofErr w:type="spellStart"/>
      <w:r w:rsidRPr="008A004F">
        <w:rPr>
          <w:rFonts w:cs="Arial"/>
        </w:rPr>
        <w:t>organisation</w:t>
      </w:r>
      <w:proofErr w:type="spellEnd"/>
      <w:r w:rsidRPr="008A004F">
        <w:rPr>
          <w:rFonts w:cs="Arial"/>
        </w:rPr>
        <w:t xml:space="preserve"> that</w:t>
      </w:r>
      <w:r w:rsidRPr="008A004F">
        <w:rPr>
          <w:rFonts w:cs="Arial"/>
          <w:color w:val="000000"/>
        </w:rPr>
        <w:t xml:space="preserve"> advocates for law reform on a range of public interest matters aimed at improving access to justice, reducing discrimination and protecting and promoting human rights. </w:t>
      </w:r>
    </w:p>
    <w:p w14:paraId="787C8E2A" w14:textId="77777777" w:rsidR="00332531" w:rsidRDefault="00332531" w:rsidP="00332531">
      <w:pPr>
        <w:ind w:left="-284" w:right="-347"/>
        <w:jc w:val="both"/>
        <w:rPr>
          <w:rFonts w:cs="Arial"/>
        </w:rPr>
      </w:pPr>
    </w:p>
    <w:p w14:paraId="38727D6C" w14:textId="77777777" w:rsidR="00AD48AD" w:rsidRDefault="00397157" w:rsidP="00AD48AD">
      <w:pPr>
        <w:ind w:left="-284" w:right="-347"/>
        <w:jc w:val="both"/>
        <w:rPr>
          <w:rFonts w:cs="Arial"/>
        </w:rPr>
      </w:pPr>
      <w:r>
        <w:rPr>
          <w:rFonts w:cs="Arial"/>
        </w:rPr>
        <w:t xml:space="preserve">We commend the State Government’s decision to allow </w:t>
      </w:r>
      <w:r w:rsidR="00F90E10">
        <w:rPr>
          <w:rFonts w:cs="Arial"/>
        </w:rPr>
        <w:t>the Supreme Court</w:t>
      </w:r>
      <w:r>
        <w:rPr>
          <w:rFonts w:cs="Arial"/>
        </w:rPr>
        <w:t xml:space="preserve"> to make drug treatment orders and to allow all </w:t>
      </w:r>
      <w:r w:rsidR="00367716">
        <w:rPr>
          <w:rFonts w:cs="Arial"/>
        </w:rPr>
        <w:t>judicial officers</w:t>
      </w:r>
      <w:r>
        <w:rPr>
          <w:rFonts w:cs="Arial"/>
        </w:rPr>
        <w:t xml:space="preserve"> to defer sentences through the </w:t>
      </w:r>
      <w:r w:rsidR="00367716">
        <w:rPr>
          <w:rFonts w:cs="Arial"/>
        </w:rPr>
        <w:t>proposed amendments to</w:t>
      </w:r>
      <w:r>
        <w:rPr>
          <w:rFonts w:cs="Arial"/>
        </w:rPr>
        <w:t xml:space="preserve"> the</w:t>
      </w:r>
      <w:r>
        <w:t xml:space="preserve"> </w:t>
      </w:r>
      <w:r>
        <w:rPr>
          <w:i/>
        </w:rPr>
        <w:t>Sentencing Legislation Amendment Bill 2016</w:t>
      </w:r>
      <w:r w:rsidRPr="008A004F">
        <w:t>.</w:t>
      </w:r>
      <w:r w:rsidR="00F90E10">
        <w:rPr>
          <w:rFonts w:cs="Arial"/>
        </w:rPr>
        <w:t xml:space="preserve"> The proposed reforms </w:t>
      </w:r>
      <w:r w:rsidR="008516D7">
        <w:rPr>
          <w:rFonts w:cs="Arial"/>
        </w:rPr>
        <w:t>are crucial in seeking to</w:t>
      </w:r>
      <w:r w:rsidR="00F90E10">
        <w:rPr>
          <w:rFonts w:cs="Arial"/>
        </w:rPr>
        <w:t xml:space="preserve"> address offender behavior, providing the courts and professional staff in the government and non-government sectors with an opportunity to be </w:t>
      </w:r>
      <w:r w:rsidR="00F90E10">
        <w:rPr>
          <w:rFonts w:eastAsia="Times New Roman" w:cs="Times New Roman"/>
          <w:lang w:val="en-AU"/>
        </w:rPr>
        <w:t xml:space="preserve">actively involved in </w:t>
      </w:r>
      <w:r w:rsidR="00F90E10" w:rsidRPr="00624912">
        <w:rPr>
          <w:rFonts w:eastAsia="Times New Roman" w:cs="Times New Roman"/>
          <w:lang w:val="en-AU"/>
        </w:rPr>
        <w:t>address</w:t>
      </w:r>
      <w:r w:rsidR="00F90E10">
        <w:rPr>
          <w:rFonts w:eastAsia="Times New Roman" w:cs="Times New Roman"/>
          <w:lang w:val="en-AU"/>
        </w:rPr>
        <w:t>ing</w:t>
      </w:r>
      <w:r w:rsidR="00F90E10" w:rsidRPr="00624912">
        <w:rPr>
          <w:rFonts w:eastAsia="Times New Roman" w:cs="Times New Roman"/>
          <w:lang w:val="en-AU"/>
        </w:rPr>
        <w:t xml:space="preserve"> the factors underpinning the offending behavio</w:t>
      </w:r>
      <w:r w:rsidR="00F90E10">
        <w:rPr>
          <w:rFonts w:eastAsia="Times New Roman" w:cs="Times New Roman"/>
          <w:lang w:val="en-AU"/>
        </w:rPr>
        <w:t>ur, thereby increasing the likelihood of rehabilitation.</w:t>
      </w:r>
    </w:p>
    <w:p w14:paraId="5E899B4C" w14:textId="77777777" w:rsidR="00AD48AD" w:rsidRDefault="00AD48AD" w:rsidP="00AD48AD">
      <w:pPr>
        <w:ind w:left="-284" w:right="-347"/>
        <w:jc w:val="both"/>
        <w:rPr>
          <w:rFonts w:cs="Arial"/>
        </w:rPr>
      </w:pPr>
    </w:p>
    <w:p w14:paraId="3B0FA574" w14:textId="4403D980" w:rsidR="004150AE" w:rsidRDefault="00332531" w:rsidP="00AD48AD">
      <w:pPr>
        <w:ind w:left="-284" w:right="-347"/>
        <w:jc w:val="both"/>
        <w:rPr>
          <w:rFonts w:cs="Arial"/>
        </w:rPr>
      </w:pPr>
      <w:r>
        <w:rPr>
          <w:rFonts w:cs="Arial"/>
        </w:rPr>
        <w:t xml:space="preserve">However, </w:t>
      </w:r>
      <w:r w:rsidR="00397157">
        <w:rPr>
          <w:rFonts w:cs="Arial"/>
        </w:rPr>
        <w:t xml:space="preserve">the proposed reforms will only </w:t>
      </w:r>
      <w:r w:rsidR="004150AE">
        <w:rPr>
          <w:rFonts w:cs="Arial"/>
        </w:rPr>
        <w:t>be an effective replacement for suspended sentences</w:t>
      </w:r>
      <w:r w:rsidR="005A3D7F">
        <w:rPr>
          <w:rFonts w:cs="Arial"/>
        </w:rPr>
        <w:t xml:space="preserve"> </w:t>
      </w:r>
      <w:r w:rsidR="00397157">
        <w:rPr>
          <w:rFonts w:cs="Arial"/>
        </w:rPr>
        <w:t xml:space="preserve">if </w:t>
      </w:r>
      <w:r w:rsidR="00AD48AD">
        <w:rPr>
          <w:rFonts w:cs="Arial"/>
        </w:rPr>
        <w:t>properly funded</w:t>
      </w:r>
      <w:r w:rsidR="003F25E6">
        <w:rPr>
          <w:rFonts w:cs="Arial"/>
        </w:rPr>
        <w:t xml:space="preserve">, a point that </w:t>
      </w:r>
      <w:r w:rsidR="003A71DD">
        <w:rPr>
          <w:rFonts w:cs="Arial"/>
        </w:rPr>
        <w:t>we have</w:t>
      </w:r>
      <w:r w:rsidR="003F25E6">
        <w:rPr>
          <w:rFonts w:cs="Arial"/>
        </w:rPr>
        <w:t xml:space="preserve"> </w:t>
      </w:r>
      <w:r w:rsidR="003A71DD">
        <w:rPr>
          <w:rFonts w:cs="Arial"/>
        </w:rPr>
        <w:t xml:space="preserve">repeatedly made </w:t>
      </w:r>
      <w:r w:rsidR="008516D7">
        <w:rPr>
          <w:rFonts w:cs="Arial"/>
        </w:rPr>
        <w:t xml:space="preserve">and which has also been made </w:t>
      </w:r>
      <w:r w:rsidR="003A71DD">
        <w:rPr>
          <w:rFonts w:cs="Arial"/>
        </w:rPr>
        <w:t xml:space="preserve">by </w:t>
      </w:r>
      <w:r w:rsidR="0049054B">
        <w:rPr>
          <w:rFonts w:cs="Arial"/>
        </w:rPr>
        <w:t xml:space="preserve">a number of </w:t>
      </w:r>
      <w:r w:rsidR="00D77275">
        <w:rPr>
          <w:rFonts w:cs="Arial"/>
        </w:rPr>
        <w:t xml:space="preserve">government departments and non-government </w:t>
      </w:r>
      <w:proofErr w:type="spellStart"/>
      <w:r w:rsidR="00FD1655">
        <w:rPr>
          <w:rFonts w:cs="Arial"/>
        </w:rPr>
        <w:t>organisations</w:t>
      </w:r>
      <w:proofErr w:type="spellEnd"/>
      <w:r w:rsidR="00FD1655">
        <w:rPr>
          <w:rFonts w:cs="Arial"/>
        </w:rPr>
        <w:t>.</w:t>
      </w:r>
      <w:r w:rsidR="0049054B">
        <w:rPr>
          <w:rStyle w:val="FootnoteReference"/>
          <w:rFonts w:cs="Arial"/>
        </w:rPr>
        <w:footnoteReference w:id="1"/>
      </w:r>
      <w:r w:rsidR="008A1C34">
        <w:rPr>
          <w:rFonts w:cs="Arial"/>
        </w:rPr>
        <w:t xml:space="preserve"> </w:t>
      </w:r>
      <w:r w:rsidR="00C24C84">
        <w:rPr>
          <w:rFonts w:cs="Arial"/>
        </w:rPr>
        <w:t xml:space="preserve">With the Court Mandated Diversion program currently operating in the Magistrates Court already running at capacity </w:t>
      </w:r>
      <w:r w:rsidR="00FE0F32">
        <w:rPr>
          <w:rFonts w:cs="Arial"/>
        </w:rPr>
        <w:t xml:space="preserve">or very close to capacity </w:t>
      </w:r>
      <w:r w:rsidR="00C24C84">
        <w:rPr>
          <w:rFonts w:cs="Arial"/>
        </w:rPr>
        <w:t xml:space="preserve">it is </w:t>
      </w:r>
      <w:r w:rsidR="00A73DFB">
        <w:rPr>
          <w:rFonts w:cs="Arial"/>
        </w:rPr>
        <w:t xml:space="preserve">imperative </w:t>
      </w:r>
      <w:r w:rsidR="00A73DFB">
        <w:rPr>
          <w:rFonts w:cs="Arial"/>
        </w:rPr>
        <w:lastRenderedPageBreak/>
        <w:t xml:space="preserve">that an appropriate level of </w:t>
      </w:r>
      <w:r w:rsidR="00AD48AD">
        <w:rPr>
          <w:rFonts w:cs="Arial"/>
        </w:rPr>
        <w:t xml:space="preserve">additional </w:t>
      </w:r>
      <w:r w:rsidR="00A73DFB">
        <w:rPr>
          <w:rFonts w:cs="Arial"/>
        </w:rPr>
        <w:t xml:space="preserve">funding is provided to allow </w:t>
      </w:r>
      <w:r w:rsidR="00BE15CC">
        <w:rPr>
          <w:rFonts w:cs="Arial"/>
        </w:rPr>
        <w:t xml:space="preserve">those </w:t>
      </w:r>
      <w:r w:rsidR="00A73DFB">
        <w:rPr>
          <w:rFonts w:cs="Arial"/>
        </w:rPr>
        <w:t xml:space="preserve">offenders assessed as </w:t>
      </w:r>
      <w:r w:rsidR="00BE15CC">
        <w:rPr>
          <w:rFonts w:cs="Arial"/>
        </w:rPr>
        <w:t xml:space="preserve">both </w:t>
      </w:r>
      <w:r w:rsidR="00A73DFB">
        <w:rPr>
          <w:rFonts w:cs="Arial"/>
        </w:rPr>
        <w:t xml:space="preserve">eligible and suitable to be sentenced to a drug treatment order in the Supreme Court. </w:t>
      </w:r>
      <w:r w:rsidR="00C24C84">
        <w:rPr>
          <w:rFonts w:cs="Arial"/>
        </w:rPr>
        <w:t xml:space="preserve"> </w:t>
      </w:r>
    </w:p>
    <w:p w14:paraId="185DF3C0" w14:textId="77777777" w:rsidR="008516D7" w:rsidRDefault="008516D7" w:rsidP="0092269D">
      <w:pPr>
        <w:ind w:left="-284" w:right="-347"/>
        <w:jc w:val="both"/>
        <w:rPr>
          <w:rFonts w:cs="Arial"/>
        </w:rPr>
      </w:pPr>
    </w:p>
    <w:p w14:paraId="7EBB2949" w14:textId="07665672" w:rsidR="00E1049B" w:rsidRDefault="005A3D7F" w:rsidP="003E747C">
      <w:pPr>
        <w:ind w:left="-284" w:right="-347"/>
        <w:jc w:val="both"/>
        <w:rPr>
          <w:rFonts w:cs="Arial"/>
        </w:rPr>
      </w:pPr>
      <w:r>
        <w:rPr>
          <w:rFonts w:cs="Arial"/>
        </w:rPr>
        <w:t>It is also important to note that the introd</w:t>
      </w:r>
      <w:r w:rsidR="0092269D">
        <w:rPr>
          <w:rFonts w:cs="Arial"/>
        </w:rPr>
        <w:t xml:space="preserve">uction of drug treatment orders </w:t>
      </w:r>
      <w:r w:rsidR="003E747C">
        <w:rPr>
          <w:rFonts w:cs="Arial"/>
        </w:rPr>
        <w:t xml:space="preserve">and deferred sentencing </w:t>
      </w:r>
      <w:r w:rsidR="00653696">
        <w:rPr>
          <w:rFonts w:cs="Arial"/>
        </w:rPr>
        <w:t>will not solely be a substitute for suspended sentences, with many offenders currently sentenced to imprisonment als</w:t>
      </w:r>
      <w:r w:rsidR="0092269D">
        <w:rPr>
          <w:rFonts w:cs="Arial"/>
        </w:rPr>
        <w:t>o likely to be eligible for the reform</w:t>
      </w:r>
      <w:r w:rsidR="00653696">
        <w:rPr>
          <w:rFonts w:cs="Arial"/>
        </w:rPr>
        <w:t>.</w:t>
      </w:r>
      <w:r w:rsidR="003E747C">
        <w:rPr>
          <w:rFonts w:cs="Arial"/>
        </w:rPr>
        <w:t xml:space="preserve"> With specific reference to drug treatment orders, the following research demonstrates that </w:t>
      </w:r>
      <w:r w:rsidR="00B42B47">
        <w:rPr>
          <w:rFonts w:cs="Arial"/>
        </w:rPr>
        <w:t>there is</w:t>
      </w:r>
      <w:r w:rsidR="00E1049B">
        <w:rPr>
          <w:rFonts w:cs="Arial"/>
        </w:rPr>
        <w:t xml:space="preserve"> a </w:t>
      </w:r>
      <w:r w:rsidR="0092269D">
        <w:rPr>
          <w:rFonts w:cs="Arial"/>
        </w:rPr>
        <w:t>large</w:t>
      </w:r>
      <w:r w:rsidR="003A71DD">
        <w:rPr>
          <w:rFonts w:cs="Arial"/>
        </w:rPr>
        <w:t xml:space="preserve"> number of offenders</w:t>
      </w:r>
      <w:r w:rsidR="00E1049B">
        <w:rPr>
          <w:rFonts w:cs="Arial"/>
        </w:rPr>
        <w:t xml:space="preserve"> sentenced in the Tasmanian Supreme Court who may be both eligible and suitable </w:t>
      </w:r>
      <w:r w:rsidR="00BE5FA1">
        <w:rPr>
          <w:rFonts w:cs="Arial"/>
        </w:rPr>
        <w:t>for the drug treatment orders</w:t>
      </w:r>
      <w:r w:rsidR="005C6E7F">
        <w:rPr>
          <w:rFonts w:cs="Arial"/>
        </w:rPr>
        <w:t>.</w:t>
      </w:r>
      <w:r w:rsidR="00E1049B">
        <w:rPr>
          <w:rFonts w:cs="Arial"/>
        </w:rPr>
        <w:t xml:space="preserve"> </w:t>
      </w:r>
    </w:p>
    <w:p w14:paraId="3629B72B" w14:textId="77777777" w:rsidR="00BE5FA1" w:rsidRDefault="00BE5FA1" w:rsidP="0092269D">
      <w:pPr>
        <w:ind w:right="-347"/>
        <w:jc w:val="both"/>
        <w:rPr>
          <w:rFonts w:cs="Arial"/>
        </w:rPr>
      </w:pPr>
    </w:p>
    <w:p w14:paraId="22A46DF2" w14:textId="33B04AF0" w:rsidR="00AC4304" w:rsidRPr="00BE15CC" w:rsidRDefault="00AC4304" w:rsidP="00BE5FA1">
      <w:pPr>
        <w:ind w:left="-284" w:right="-347"/>
        <w:jc w:val="both"/>
        <w:rPr>
          <w:rFonts w:cs="Arial"/>
          <w:b/>
          <w:i/>
        </w:rPr>
      </w:pPr>
      <w:r w:rsidRPr="00BE15CC">
        <w:rPr>
          <w:rFonts w:cs="Arial"/>
          <w:b/>
          <w:i/>
        </w:rPr>
        <w:t>How many offenders sen</w:t>
      </w:r>
      <w:r w:rsidR="007E3D19" w:rsidRPr="00BE15CC">
        <w:rPr>
          <w:rFonts w:cs="Arial"/>
          <w:b/>
          <w:i/>
        </w:rPr>
        <w:t>tenced in the Supreme Court may be</w:t>
      </w:r>
      <w:r w:rsidR="001148E3" w:rsidRPr="00BE15CC">
        <w:rPr>
          <w:rFonts w:cs="Arial"/>
          <w:b/>
          <w:i/>
        </w:rPr>
        <w:t xml:space="preserve"> eligible </w:t>
      </w:r>
      <w:r w:rsidRPr="00BE15CC">
        <w:rPr>
          <w:rFonts w:cs="Arial"/>
          <w:b/>
          <w:i/>
        </w:rPr>
        <w:t>for a drug treatment order?</w:t>
      </w:r>
    </w:p>
    <w:p w14:paraId="0194C6CB" w14:textId="2D3AC0F3" w:rsidR="00AC4304" w:rsidRDefault="00AC4304" w:rsidP="00AC4304">
      <w:pPr>
        <w:ind w:left="-284" w:right="-347"/>
        <w:jc w:val="both"/>
        <w:rPr>
          <w:rFonts w:cs="Arial"/>
        </w:rPr>
      </w:pPr>
      <w:r>
        <w:rPr>
          <w:rFonts w:cs="Arial"/>
        </w:rPr>
        <w:t xml:space="preserve">According to Tasmania’s </w:t>
      </w:r>
      <w:r w:rsidRPr="00EA671F">
        <w:rPr>
          <w:rFonts w:cs="Arial"/>
          <w:i/>
        </w:rPr>
        <w:t>Sentencing Database</w:t>
      </w:r>
      <w:r w:rsidR="00E1435C">
        <w:rPr>
          <w:rFonts w:cs="Arial"/>
        </w:rPr>
        <w:t xml:space="preserve"> </w:t>
      </w:r>
      <w:r>
        <w:rPr>
          <w:rFonts w:cs="Arial"/>
        </w:rPr>
        <w:t>there are approximately 68 Tasmanians sentenced each year in the Supreme Court for drug-related offences</w:t>
      </w:r>
      <w:r w:rsidR="00E1435C">
        <w:rPr>
          <w:rFonts w:cs="Arial"/>
        </w:rPr>
        <w:t xml:space="preserve"> </w:t>
      </w:r>
      <w:r w:rsidR="007E3D19">
        <w:rPr>
          <w:rFonts w:cs="Arial"/>
        </w:rPr>
        <w:t xml:space="preserve">with a peak of 89 in 2009 and 2011 and a gradual decline thereafter </w:t>
      </w:r>
      <w:r w:rsidR="00E1435C">
        <w:rPr>
          <w:rFonts w:cs="Arial"/>
        </w:rPr>
        <w:t>(see Table 1)</w:t>
      </w:r>
      <w:r>
        <w:rPr>
          <w:rFonts w:cs="Arial"/>
        </w:rPr>
        <w:t xml:space="preserve">. However, this figure is of limited use given that some of these offenders </w:t>
      </w:r>
      <w:r w:rsidR="009E28D9">
        <w:rPr>
          <w:rFonts w:cs="Arial"/>
        </w:rPr>
        <w:t xml:space="preserve">will not </w:t>
      </w:r>
      <w:r w:rsidR="003E3690">
        <w:rPr>
          <w:rFonts w:cs="Arial"/>
        </w:rPr>
        <w:t>satisfy the eligibility criteria</w:t>
      </w:r>
      <w:r w:rsidR="007E3D19">
        <w:rPr>
          <w:rFonts w:cs="Arial"/>
        </w:rPr>
        <w:t xml:space="preserve"> for a drug treatment order</w:t>
      </w:r>
      <w:r w:rsidR="003E3690">
        <w:rPr>
          <w:rFonts w:cs="Arial"/>
        </w:rPr>
        <w:t>.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 xml:space="preserve"> </w:t>
      </w:r>
    </w:p>
    <w:p w14:paraId="451AF60F" w14:textId="77777777" w:rsidR="00E1435C" w:rsidRDefault="00E1435C" w:rsidP="00AC4304">
      <w:pPr>
        <w:ind w:left="-284" w:right="-347"/>
        <w:jc w:val="both"/>
        <w:rPr>
          <w:rFonts w:cs="Arial"/>
        </w:rPr>
      </w:pPr>
    </w:p>
    <w:p w14:paraId="051B3F83" w14:textId="01603286" w:rsidR="00E1435C" w:rsidRPr="007E3D19" w:rsidRDefault="00E1435C" w:rsidP="00E1435C">
      <w:pPr>
        <w:ind w:left="-284" w:right="-347"/>
        <w:jc w:val="center"/>
        <w:rPr>
          <w:rFonts w:cs="Arial"/>
          <w:b/>
        </w:rPr>
      </w:pPr>
      <w:r w:rsidRPr="007E3D19">
        <w:rPr>
          <w:rFonts w:cs="Arial"/>
          <w:b/>
        </w:rPr>
        <w:t>Table 1</w:t>
      </w: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709"/>
        <w:gridCol w:w="5528"/>
      </w:tblGrid>
      <w:tr w:rsidR="00E1435C" w:rsidRPr="00FE0F32" w14:paraId="4546A183" w14:textId="77777777" w:rsidTr="00E1435C">
        <w:trPr>
          <w:jc w:val="center"/>
        </w:trPr>
        <w:tc>
          <w:tcPr>
            <w:tcW w:w="6237" w:type="dxa"/>
            <w:gridSpan w:val="2"/>
            <w:vAlign w:val="center"/>
          </w:tcPr>
          <w:p w14:paraId="7A66653C" w14:textId="77777777" w:rsidR="00E1435C" w:rsidRPr="00FE0F32" w:rsidRDefault="00E1435C" w:rsidP="00E1435C">
            <w:pPr>
              <w:pStyle w:val="NoSpacing"/>
              <w:spacing w:before="120" w:after="120"/>
              <w:jc w:val="center"/>
              <w:rPr>
                <w:lang w:val="en-AU"/>
              </w:rPr>
            </w:pPr>
            <w:r w:rsidRPr="00FE0F32">
              <w:rPr>
                <w:rFonts w:cs="Times"/>
                <w:b/>
                <w:lang w:val="en-AU"/>
              </w:rPr>
              <w:t>Supreme Court of Tasmania</w:t>
            </w:r>
          </w:p>
        </w:tc>
      </w:tr>
      <w:tr w:rsidR="00E1435C" w:rsidRPr="00FE0F32" w14:paraId="42E4ABFE" w14:textId="77777777" w:rsidTr="00E1435C">
        <w:trPr>
          <w:jc w:val="center"/>
        </w:trPr>
        <w:tc>
          <w:tcPr>
            <w:tcW w:w="709" w:type="dxa"/>
            <w:vAlign w:val="center"/>
          </w:tcPr>
          <w:p w14:paraId="41AEFC07" w14:textId="77777777" w:rsidR="00E1435C" w:rsidRPr="00FE0F32" w:rsidRDefault="00E1435C" w:rsidP="00E1435C">
            <w:pPr>
              <w:pStyle w:val="NoSpacing"/>
              <w:spacing w:before="60" w:after="60"/>
              <w:jc w:val="center"/>
              <w:rPr>
                <w:b/>
                <w:lang w:val="en-AU"/>
              </w:rPr>
            </w:pPr>
            <w:r w:rsidRPr="00FE0F32">
              <w:rPr>
                <w:b/>
                <w:lang w:val="en-AU"/>
              </w:rPr>
              <w:t>Year</w:t>
            </w:r>
          </w:p>
        </w:tc>
        <w:tc>
          <w:tcPr>
            <w:tcW w:w="5528" w:type="dxa"/>
            <w:vAlign w:val="center"/>
          </w:tcPr>
          <w:p w14:paraId="71075F6C" w14:textId="77777777" w:rsidR="00E1435C" w:rsidRPr="00FE0F32" w:rsidRDefault="00E1435C" w:rsidP="00E1435C">
            <w:pPr>
              <w:pStyle w:val="NoSpacing"/>
              <w:spacing w:before="60" w:after="60"/>
              <w:jc w:val="center"/>
              <w:rPr>
                <w:b/>
                <w:lang w:val="en-AU"/>
              </w:rPr>
            </w:pPr>
            <w:r w:rsidRPr="00FE0F32">
              <w:rPr>
                <w:b/>
                <w:lang w:val="en-AU"/>
              </w:rPr>
              <w:t xml:space="preserve">No. </w:t>
            </w:r>
            <w:proofErr w:type="gramStart"/>
            <w:r w:rsidRPr="00FE0F32">
              <w:rPr>
                <w:b/>
                <w:lang w:val="en-AU"/>
              </w:rPr>
              <w:t>of</w:t>
            </w:r>
            <w:proofErr w:type="gramEnd"/>
            <w:r w:rsidRPr="00FE0F32">
              <w:rPr>
                <w:b/>
                <w:lang w:val="en-AU"/>
              </w:rPr>
              <w:t xml:space="preserve"> offenders sentenced for drug-related offences</w:t>
            </w:r>
          </w:p>
        </w:tc>
      </w:tr>
      <w:tr w:rsidR="00E1435C" w:rsidRPr="00FE0F32" w14:paraId="74FFB03D" w14:textId="77777777" w:rsidTr="00E1435C">
        <w:trPr>
          <w:jc w:val="center"/>
        </w:trPr>
        <w:tc>
          <w:tcPr>
            <w:tcW w:w="709" w:type="dxa"/>
            <w:vAlign w:val="center"/>
          </w:tcPr>
          <w:p w14:paraId="59A70F8E" w14:textId="77777777" w:rsidR="00E1435C" w:rsidRPr="00FE0F32" w:rsidRDefault="00E1435C" w:rsidP="00E1435C">
            <w:pPr>
              <w:pStyle w:val="NoSpacing"/>
              <w:jc w:val="center"/>
              <w:rPr>
                <w:lang w:val="en-AU"/>
              </w:rPr>
            </w:pPr>
            <w:r w:rsidRPr="00FE0F32">
              <w:rPr>
                <w:lang w:val="en-AU"/>
              </w:rPr>
              <w:t>2008</w:t>
            </w:r>
          </w:p>
        </w:tc>
        <w:tc>
          <w:tcPr>
            <w:tcW w:w="5528" w:type="dxa"/>
            <w:vAlign w:val="center"/>
          </w:tcPr>
          <w:p w14:paraId="790CA415" w14:textId="77777777" w:rsidR="00E1435C" w:rsidRPr="00FE0F32" w:rsidRDefault="00E1435C" w:rsidP="00E1435C">
            <w:pPr>
              <w:pStyle w:val="NoSpacing"/>
              <w:jc w:val="center"/>
              <w:rPr>
                <w:lang w:val="en-AU"/>
              </w:rPr>
            </w:pPr>
            <w:r w:rsidRPr="00FE0F32">
              <w:rPr>
                <w:rFonts w:cs="Times"/>
                <w:lang w:val="en-AU"/>
              </w:rPr>
              <w:t>84</w:t>
            </w:r>
          </w:p>
        </w:tc>
      </w:tr>
      <w:tr w:rsidR="00E1435C" w:rsidRPr="00FE0F32" w14:paraId="570A7491" w14:textId="77777777" w:rsidTr="00E1435C">
        <w:trPr>
          <w:jc w:val="center"/>
        </w:trPr>
        <w:tc>
          <w:tcPr>
            <w:tcW w:w="709" w:type="dxa"/>
            <w:vAlign w:val="center"/>
          </w:tcPr>
          <w:p w14:paraId="101902AF" w14:textId="77777777" w:rsidR="00E1435C" w:rsidRPr="00FE0F32" w:rsidRDefault="00E1435C" w:rsidP="00E1435C">
            <w:pPr>
              <w:pStyle w:val="NoSpacing"/>
              <w:jc w:val="center"/>
              <w:rPr>
                <w:lang w:val="en-AU"/>
              </w:rPr>
            </w:pPr>
            <w:r w:rsidRPr="00FE0F32">
              <w:rPr>
                <w:lang w:val="en-AU"/>
              </w:rPr>
              <w:t>2009</w:t>
            </w:r>
          </w:p>
        </w:tc>
        <w:tc>
          <w:tcPr>
            <w:tcW w:w="5528" w:type="dxa"/>
            <w:vAlign w:val="center"/>
          </w:tcPr>
          <w:p w14:paraId="2A88A40E" w14:textId="77777777" w:rsidR="00E1435C" w:rsidRPr="00FE0F32" w:rsidRDefault="00E1435C" w:rsidP="00E1435C">
            <w:pPr>
              <w:pStyle w:val="NoSpacing"/>
              <w:jc w:val="center"/>
              <w:rPr>
                <w:lang w:val="en-AU"/>
              </w:rPr>
            </w:pPr>
            <w:r w:rsidRPr="00FE0F32">
              <w:rPr>
                <w:rFonts w:cs="Times"/>
                <w:lang w:val="en-AU"/>
              </w:rPr>
              <w:t>89</w:t>
            </w:r>
          </w:p>
        </w:tc>
      </w:tr>
      <w:tr w:rsidR="00E1435C" w:rsidRPr="00FE0F32" w14:paraId="6C19448D" w14:textId="77777777" w:rsidTr="00E1435C">
        <w:trPr>
          <w:jc w:val="center"/>
        </w:trPr>
        <w:tc>
          <w:tcPr>
            <w:tcW w:w="709" w:type="dxa"/>
            <w:vAlign w:val="center"/>
          </w:tcPr>
          <w:p w14:paraId="4726C374" w14:textId="77777777" w:rsidR="00E1435C" w:rsidRPr="00FE0F32" w:rsidRDefault="00E1435C" w:rsidP="00E1435C">
            <w:pPr>
              <w:pStyle w:val="NoSpacing"/>
              <w:jc w:val="center"/>
              <w:rPr>
                <w:lang w:val="en-AU"/>
              </w:rPr>
            </w:pPr>
            <w:r w:rsidRPr="00FE0F32">
              <w:rPr>
                <w:lang w:val="en-AU"/>
              </w:rPr>
              <w:t>2010</w:t>
            </w:r>
          </w:p>
        </w:tc>
        <w:tc>
          <w:tcPr>
            <w:tcW w:w="5528" w:type="dxa"/>
            <w:vAlign w:val="center"/>
          </w:tcPr>
          <w:p w14:paraId="35251EBF" w14:textId="77777777" w:rsidR="00E1435C" w:rsidRPr="00FE0F32" w:rsidRDefault="00E1435C" w:rsidP="00E1435C">
            <w:pPr>
              <w:pStyle w:val="NoSpacing"/>
              <w:jc w:val="center"/>
              <w:rPr>
                <w:lang w:val="en-AU"/>
              </w:rPr>
            </w:pPr>
            <w:r w:rsidRPr="00FE0F32">
              <w:rPr>
                <w:rFonts w:cs="Times"/>
                <w:lang w:val="en-AU"/>
              </w:rPr>
              <w:t>72</w:t>
            </w:r>
          </w:p>
        </w:tc>
      </w:tr>
      <w:tr w:rsidR="00E1435C" w:rsidRPr="00FE0F32" w14:paraId="63C59F4A" w14:textId="77777777" w:rsidTr="00E1435C">
        <w:trPr>
          <w:jc w:val="center"/>
        </w:trPr>
        <w:tc>
          <w:tcPr>
            <w:tcW w:w="709" w:type="dxa"/>
            <w:vAlign w:val="center"/>
          </w:tcPr>
          <w:p w14:paraId="2067B3C9" w14:textId="77777777" w:rsidR="00E1435C" w:rsidRPr="00FE0F32" w:rsidRDefault="00E1435C" w:rsidP="00E1435C">
            <w:pPr>
              <w:pStyle w:val="NoSpacing"/>
              <w:jc w:val="center"/>
              <w:rPr>
                <w:lang w:val="en-AU"/>
              </w:rPr>
            </w:pPr>
            <w:r w:rsidRPr="00FE0F32">
              <w:rPr>
                <w:lang w:val="en-AU"/>
              </w:rPr>
              <w:t>2011</w:t>
            </w:r>
          </w:p>
        </w:tc>
        <w:tc>
          <w:tcPr>
            <w:tcW w:w="5528" w:type="dxa"/>
            <w:vAlign w:val="center"/>
          </w:tcPr>
          <w:p w14:paraId="4568E27D" w14:textId="77777777" w:rsidR="00E1435C" w:rsidRPr="00FE0F32" w:rsidRDefault="00E1435C" w:rsidP="00E1435C">
            <w:pPr>
              <w:pStyle w:val="NoSpacing"/>
              <w:jc w:val="center"/>
              <w:rPr>
                <w:lang w:val="en-AU"/>
              </w:rPr>
            </w:pPr>
            <w:r w:rsidRPr="00FE0F32">
              <w:rPr>
                <w:rFonts w:cs="Times"/>
                <w:lang w:val="en-AU"/>
              </w:rPr>
              <w:t>89</w:t>
            </w:r>
          </w:p>
        </w:tc>
      </w:tr>
      <w:tr w:rsidR="00E1435C" w:rsidRPr="00FE0F32" w14:paraId="6D34ECA9" w14:textId="77777777" w:rsidTr="00E1435C">
        <w:trPr>
          <w:jc w:val="center"/>
        </w:trPr>
        <w:tc>
          <w:tcPr>
            <w:tcW w:w="709" w:type="dxa"/>
            <w:vAlign w:val="center"/>
          </w:tcPr>
          <w:p w14:paraId="2F7CB778" w14:textId="77777777" w:rsidR="00E1435C" w:rsidRPr="00FE0F32" w:rsidRDefault="00E1435C" w:rsidP="00E1435C">
            <w:pPr>
              <w:pStyle w:val="NoSpacing"/>
              <w:jc w:val="center"/>
              <w:rPr>
                <w:lang w:val="en-AU"/>
              </w:rPr>
            </w:pPr>
            <w:r w:rsidRPr="00FE0F32">
              <w:rPr>
                <w:lang w:val="en-AU"/>
              </w:rPr>
              <w:t>2012</w:t>
            </w:r>
          </w:p>
        </w:tc>
        <w:tc>
          <w:tcPr>
            <w:tcW w:w="5528" w:type="dxa"/>
            <w:vAlign w:val="center"/>
          </w:tcPr>
          <w:p w14:paraId="5E974B69" w14:textId="77777777" w:rsidR="00E1435C" w:rsidRPr="00FE0F32" w:rsidRDefault="00E1435C" w:rsidP="00E1435C">
            <w:pPr>
              <w:pStyle w:val="NoSpacing"/>
              <w:jc w:val="center"/>
              <w:rPr>
                <w:lang w:val="en-AU"/>
              </w:rPr>
            </w:pPr>
            <w:r w:rsidRPr="00FE0F32">
              <w:rPr>
                <w:rFonts w:cs="Times"/>
                <w:lang w:val="en-AU"/>
              </w:rPr>
              <w:t>58</w:t>
            </w:r>
          </w:p>
        </w:tc>
      </w:tr>
      <w:tr w:rsidR="00E1435C" w:rsidRPr="00FE0F32" w14:paraId="2C870457" w14:textId="77777777" w:rsidTr="00E1435C">
        <w:trPr>
          <w:jc w:val="center"/>
        </w:trPr>
        <w:tc>
          <w:tcPr>
            <w:tcW w:w="709" w:type="dxa"/>
            <w:vAlign w:val="center"/>
          </w:tcPr>
          <w:p w14:paraId="2267F05B" w14:textId="77777777" w:rsidR="00E1435C" w:rsidRPr="00FE0F32" w:rsidRDefault="00E1435C" w:rsidP="00E1435C">
            <w:pPr>
              <w:pStyle w:val="NoSpacing"/>
              <w:jc w:val="center"/>
              <w:rPr>
                <w:lang w:val="en-AU"/>
              </w:rPr>
            </w:pPr>
            <w:r w:rsidRPr="00FE0F32">
              <w:rPr>
                <w:lang w:val="en-AU"/>
              </w:rPr>
              <w:t>2013</w:t>
            </w:r>
          </w:p>
        </w:tc>
        <w:tc>
          <w:tcPr>
            <w:tcW w:w="5528" w:type="dxa"/>
            <w:vAlign w:val="center"/>
          </w:tcPr>
          <w:p w14:paraId="087C8856" w14:textId="77777777" w:rsidR="00E1435C" w:rsidRPr="00FE0F32" w:rsidRDefault="00E1435C" w:rsidP="00E1435C">
            <w:pPr>
              <w:pStyle w:val="NoSpacing"/>
              <w:jc w:val="center"/>
              <w:rPr>
                <w:lang w:val="en-AU"/>
              </w:rPr>
            </w:pPr>
            <w:r w:rsidRPr="00FE0F32">
              <w:rPr>
                <w:rFonts w:cs="Times"/>
                <w:lang w:val="en-AU"/>
              </w:rPr>
              <w:t>52</w:t>
            </w:r>
          </w:p>
        </w:tc>
      </w:tr>
      <w:tr w:rsidR="00E1435C" w:rsidRPr="00FE0F32" w14:paraId="34D37467" w14:textId="77777777" w:rsidTr="00E1435C">
        <w:trPr>
          <w:jc w:val="center"/>
        </w:trPr>
        <w:tc>
          <w:tcPr>
            <w:tcW w:w="709" w:type="dxa"/>
            <w:vAlign w:val="center"/>
          </w:tcPr>
          <w:p w14:paraId="52BE40D1" w14:textId="77777777" w:rsidR="00E1435C" w:rsidRPr="00FE0F32" w:rsidRDefault="00E1435C" w:rsidP="00E1435C">
            <w:pPr>
              <w:pStyle w:val="NoSpacing"/>
              <w:jc w:val="center"/>
              <w:rPr>
                <w:lang w:val="en-AU"/>
              </w:rPr>
            </w:pPr>
            <w:r w:rsidRPr="00FE0F32">
              <w:rPr>
                <w:lang w:val="en-AU"/>
              </w:rPr>
              <w:t>2014</w:t>
            </w:r>
          </w:p>
        </w:tc>
        <w:tc>
          <w:tcPr>
            <w:tcW w:w="5528" w:type="dxa"/>
            <w:vAlign w:val="center"/>
          </w:tcPr>
          <w:p w14:paraId="67C96924" w14:textId="77777777" w:rsidR="00E1435C" w:rsidRPr="00FE0F32" w:rsidRDefault="00E1435C" w:rsidP="00E1435C">
            <w:pPr>
              <w:pStyle w:val="NoSpacing"/>
              <w:jc w:val="center"/>
              <w:rPr>
                <w:lang w:val="en-AU"/>
              </w:rPr>
            </w:pPr>
            <w:r w:rsidRPr="00FE0F32">
              <w:rPr>
                <w:rFonts w:cs="Times"/>
                <w:lang w:val="en-AU"/>
              </w:rPr>
              <w:t>52</w:t>
            </w:r>
          </w:p>
        </w:tc>
      </w:tr>
      <w:tr w:rsidR="00E1435C" w:rsidRPr="00FE0F32" w14:paraId="38A3B3CD" w14:textId="77777777" w:rsidTr="00E1435C">
        <w:trPr>
          <w:jc w:val="center"/>
        </w:trPr>
        <w:tc>
          <w:tcPr>
            <w:tcW w:w="709" w:type="dxa"/>
            <w:vAlign w:val="center"/>
          </w:tcPr>
          <w:p w14:paraId="2F256398" w14:textId="77777777" w:rsidR="00E1435C" w:rsidRPr="00FE0F32" w:rsidRDefault="00E1435C" w:rsidP="00E1435C">
            <w:pPr>
              <w:pStyle w:val="NoSpacing"/>
              <w:jc w:val="center"/>
              <w:rPr>
                <w:lang w:val="en-AU"/>
              </w:rPr>
            </w:pPr>
            <w:r w:rsidRPr="00FE0F32">
              <w:rPr>
                <w:lang w:val="en-AU"/>
              </w:rPr>
              <w:t>2015</w:t>
            </w:r>
          </w:p>
        </w:tc>
        <w:tc>
          <w:tcPr>
            <w:tcW w:w="5528" w:type="dxa"/>
            <w:vAlign w:val="center"/>
          </w:tcPr>
          <w:p w14:paraId="486A7F55" w14:textId="77777777" w:rsidR="00E1435C" w:rsidRPr="00FE0F32" w:rsidRDefault="00E1435C" w:rsidP="00E1435C">
            <w:pPr>
              <w:pStyle w:val="NoSpacing"/>
              <w:jc w:val="center"/>
              <w:rPr>
                <w:lang w:val="en-AU"/>
              </w:rPr>
            </w:pPr>
            <w:r w:rsidRPr="00FE0F32">
              <w:rPr>
                <w:rFonts w:cs="Times"/>
                <w:lang w:val="en-AU"/>
              </w:rPr>
              <w:t>49</w:t>
            </w:r>
          </w:p>
        </w:tc>
      </w:tr>
      <w:tr w:rsidR="00E1435C" w:rsidRPr="00FE0F32" w14:paraId="0892DC54" w14:textId="77777777" w:rsidTr="00E1435C">
        <w:trPr>
          <w:jc w:val="center"/>
        </w:trPr>
        <w:tc>
          <w:tcPr>
            <w:tcW w:w="709" w:type="dxa"/>
            <w:vAlign w:val="center"/>
          </w:tcPr>
          <w:p w14:paraId="7B3583BB" w14:textId="77777777" w:rsidR="00E1435C" w:rsidRPr="00FE0F32" w:rsidRDefault="00E1435C" w:rsidP="00E1435C">
            <w:pPr>
              <w:pStyle w:val="NoSpacing"/>
              <w:jc w:val="center"/>
              <w:rPr>
                <w:b/>
                <w:lang w:val="en-AU"/>
              </w:rPr>
            </w:pPr>
            <w:r w:rsidRPr="00FE0F32">
              <w:rPr>
                <w:b/>
                <w:lang w:val="en-AU"/>
              </w:rPr>
              <w:t>Total</w:t>
            </w:r>
          </w:p>
        </w:tc>
        <w:tc>
          <w:tcPr>
            <w:tcW w:w="5528" w:type="dxa"/>
            <w:vAlign w:val="center"/>
          </w:tcPr>
          <w:p w14:paraId="4F0B88FB" w14:textId="77777777" w:rsidR="00E1435C" w:rsidRPr="00FE0F32" w:rsidRDefault="00E1435C" w:rsidP="00E1435C">
            <w:pPr>
              <w:pStyle w:val="NoSpacing"/>
              <w:jc w:val="center"/>
              <w:rPr>
                <w:rFonts w:cs="Times"/>
                <w:lang w:val="en-AU"/>
              </w:rPr>
            </w:pPr>
            <w:r w:rsidRPr="00FE0F32">
              <w:rPr>
                <w:rFonts w:cs="Times"/>
                <w:lang w:val="en-AU"/>
              </w:rPr>
              <w:t>545</w:t>
            </w:r>
          </w:p>
        </w:tc>
      </w:tr>
    </w:tbl>
    <w:p w14:paraId="16CF7865" w14:textId="77777777" w:rsidR="007E3D19" w:rsidRDefault="007E3D19" w:rsidP="007E3D19">
      <w:pPr>
        <w:ind w:right="-347"/>
        <w:jc w:val="both"/>
        <w:rPr>
          <w:rFonts w:cs="Arial"/>
        </w:rPr>
      </w:pPr>
    </w:p>
    <w:p w14:paraId="17E25F29" w14:textId="77777777" w:rsidR="004B12F8" w:rsidRDefault="007E3D19" w:rsidP="004B12F8">
      <w:pPr>
        <w:ind w:left="-284" w:right="-347"/>
        <w:jc w:val="both"/>
        <w:rPr>
          <w:rFonts w:cs="Arial"/>
        </w:rPr>
      </w:pPr>
      <w:r>
        <w:rPr>
          <w:rFonts w:cs="Arial"/>
        </w:rPr>
        <w:t>A more complete</w:t>
      </w:r>
      <w:r w:rsidR="00AC4304">
        <w:rPr>
          <w:rFonts w:cs="Arial"/>
        </w:rPr>
        <w:t xml:space="preserve"> analysis </w:t>
      </w:r>
      <w:r w:rsidR="009E28D9">
        <w:rPr>
          <w:rFonts w:cs="Arial"/>
        </w:rPr>
        <w:t xml:space="preserve">of problematic drug use in the Supreme Court </w:t>
      </w:r>
      <w:r w:rsidR="00AC4304">
        <w:rPr>
          <w:rFonts w:cs="Arial"/>
        </w:rPr>
        <w:t>is provided by reviewing the underlying causes of the offender’s behavior</w:t>
      </w:r>
      <w:r>
        <w:rPr>
          <w:rFonts w:cs="Arial"/>
        </w:rPr>
        <w:t xml:space="preserve"> rather than focusing narrowly on the type of offence</w:t>
      </w:r>
      <w:r w:rsidR="00AC4304">
        <w:rPr>
          <w:rFonts w:cs="Arial"/>
        </w:rPr>
        <w:t>,</w:t>
      </w:r>
      <w:r>
        <w:rPr>
          <w:rFonts w:cs="Arial"/>
        </w:rPr>
        <w:t xml:space="preserve"> a review that we were able to undertake as part of a much larger project on the social and economic impacts of laws relating to drug use and possession in Tasmania.</w:t>
      </w:r>
      <w:r>
        <w:rPr>
          <w:rStyle w:val="FootnoteReference"/>
          <w:rFonts w:cs="Arial"/>
        </w:rPr>
        <w:footnoteReference w:id="3"/>
      </w:r>
      <w:r>
        <w:rPr>
          <w:rFonts w:cs="Arial"/>
        </w:rPr>
        <w:t xml:space="preserve"> </w:t>
      </w:r>
    </w:p>
    <w:p w14:paraId="0338AB45" w14:textId="77777777" w:rsidR="004B12F8" w:rsidRDefault="004B12F8" w:rsidP="004B12F8">
      <w:pPr>
        <w:ind w:left="-284" w:right="-347"/>
        <w:jc w:val="both"/>
        <w:rPr>
          <w:rFonts w:cs="Arial"/>
        </w:rPr>
      </w:pPr>
    </w:p>
    <w:p w14:paraId="71A98320" w14:textId="270AB5F6" w:rsidR="00252C48" w:rsidRDefault="00AC4304" w:rsidP="004B12F8">
      <w:pPr>
        <w:ind w:left="-284" w:right="-347"/>
        <w:jc w:val="both"/>
        <w:rPr>
          <w:rFonts w:cs="Arial"/>
        </w:rPr>
      </w:pPr>
      <w:r>
        <w:rPr>
          <w:rFonts w:cs="Arial"/>
        </w:rPr>
        <w:t xml:space="preserve">Our review </w:t>
      </w:r>
      <w:r w:rsidR="00E27E3A">
        <w:rPr>
          <w:rFonts w:cs="Arial"/>
        </w:rPr>
        <w:t xml:space="preserve">of all sentences handed down in the Supreme Court </w:t>
      </w:r>
      <w:r>
        <w:rPr>
          <w:rFonts w:cs="Arial"/>
        </w:rPr>
        <w:t>between 2008-15 found that approximately 120 offenders are sentenced in the Supreme Court each year for offences directly attributable to their problematic drug use</w:t>
      </w:r>
      <w:r w:rsidR="00252C48">
        <w:rPr>
          <w:rFonts w:cs="Arial"/>
        </w:rPr>
        <w:t xml:space="preserve"> (see Table 2)</w:t>
      </w:r>
      <w:r>
        <w:rPr>
          <w:rFonts w:cs="Arial"/>
        </w:rPr>
        <w:t>.</w:t>
      </w:r>
      <w:r w:rsidR="00E27E3A">
        <w:rPr>
          <w:rStyle w:val="FootnoteReference"/>
          <w:rFonts w:cs="Arial"/>
        </w:rPr>
        <w:footnoteReference w:id="4"/>
      </w:r>
      <w:r w:rsidR="000F376A">
        <w:rPr>
          <w:rFonts w:cs="Arial"/>
        </w:rPr>
        <w:t xml:space="preserve"> </w:t>
      </w:r>
      <w:r w:rsidR="00252C48">
        <w:rPr>
          <w:rFonts w:cs="Arial"/>
        </w:rPr>
        <w:t xml:space="preserve">Taking into account the eligibility criteria </w:t>
      </w:r>
      <w:r w:rsidR="006C2B60">
        <w:rPr>
          <w:rFonts w:cs="Arial"/>
        </w:rPr>
        <w:t xml:space="preserve">for drug treatment orders </w:t>
      </w:r>
      <w:r w:rsidR="00252C48">
        <w:rPr>
          <w:rFonts w:cs="Arial"/>
        </w:rPr>
        <w:t xml:space="preserve">set out in </w:t>
      </w:r>
      <w:r w:rsidR="004B12F8">
        <w:rPr>
          <w:rFonts w:cs="Arial"/>
        </w:rPr>
        <w:t xml:space="preserve">Part 3A of </w:t>
      </w:r>
      <w:r w:rsidR="00252C48">
        <w:rPr>
          <w:rFonts w:cs="Arial"/>
        </w:rPr>
        <w:t xml:space="preserve">the </w:t>
      </w:r>
      <w:r w:rsidR="00252C48" w:rsidRPr="000F376A">
        <w:rPr>
          <w:rFonts w:cs="Arial"/>
          <w:i/>
        </w:rPr>
        <w:t>Sentencing Act 1997</w:t>
      </w:r>
      <w:r w:rsidR="00252C48">
        <w:rPr>
          <w:rFonts w:cs="Arial"/>
        </w:rPr>
        <w:t xml:space="preserve"> (</w:t>
      </w:r>
      <w:proofErr w:type="spellStart"/>
      <w:r w:rsidR="00252C48">
        <w:rPr>
          <w:rFonts w:cs="Arial"/>
        </w:rPr>
        <w:t>Tas</w:t>
      </w:r>
      <w:proofErr w:type="spellEnd"/>
      <w:r w:rsidR="00252C48">
        <w:rPr>
          <w:rFonts w:cs="Arial"/>
        </w:rPr>
        <w:t xml:space="preserve">) we have further </w:t>
      </w:r>
      <w:r w:rsidR="00666560">
        <w:rPr>
          <w:rFonts w:cs="Arial"/>
        </w:rPr>
        <w:t>narrowed</w:t>
      </w:r>
      <w:r w:rsidR="00252C48">
        <w:rPr>
          <w:rFonts w:cs="Arial"/>
        </w:rPr>
        <w:t xml:space="preserve"> this sub-set of offenders</w:t>
      </w:r>
      <w:r w:rsidR="00BE15CC">
        <w:rPr>
          <w:rFonts w:cs="Arial"/>
        </w:rPr>
        <w:t>,</w:t>
      </w:r>
      <w:r w:rsidR="00252C48">
        <w:rPr>
          <w:rFonts w:cs="Arial"/>
        </w:rPr>
        <w:t xml:space="preserve"> excluding </w:t>
      </w:r>
      <w:r w:rsidR="003C2A1C">
        <w:rPr>
          <w:rFonts w:cs="Arial"/>
        </w:rPr>
        <w:t>those</w:t>
      </w:r>
      <w:r w:rsidR="00252C48">
        <w:rPr>
          <w:rFonts w:cs="Arial"/>
        </w:rPr>
        <w:t xml:space="preserve"> offenders conv</w:t>
      </w:r>
      <w:r w:rsidR="00FE0F32">
        <w:rPr>
          <w:rFonts w:cs="Arial"/>
        </w:rPr>
        <w:t>icted of sexual offences and</w:t>
      </w:r>
      <w:r w:rsidR="00252C48">
        <w:rPr>
          <w:rFonts w:cs="Arial"/>
        </w:rPr>
        <w:t xml:space="preserve"> </w:t>
      </w:r>
      <w:r w:rsidR="003C2A1C">
        <w:rPr>
          <w:rFonts w:cs="Arial"/>
        </w:rPr>
        <w:t xml:space="preserve">all </w:t>
      </w:r>
      <w:r w:rsidR="00252C48">
        <w:rPr>
          <w:rFonts w:cs="Arial"/>
        </w:rPr>
        <w:t>offenders convicted on charges involving the infliction of actual bodily harm.</w:t>
      </w:r>
      <w:r w:rsidR="00252C48">
        <w:rPr>
          <w:rStyle w:val="FootnoteReference"/>
          <w:rFonts w:cs="Arial"/>
        </w:rPr>
        <w:footnoteReference w:id="5"/>
      </w:r>
      <w:r w:rsidR="00252C48">
        <w:rPr>
          <w:rFonts w:cs="Arial"/>
        </w:rPr>
        <w:t xml:space="preserve"> </w:t>
      </w:r>
      <w:r w:rsidR="00666560">
        <w:rPr>
          <w:rFonts w:cs="Arial"/>
        </w:rPr>
        <w:t>Finally, we have exclud</w:t>
      </w:r>
      <w:r w:rsidR="00EE0BDB">
        <w:rPr>
          <w:rFonts w:cs="Arial"/>
        </w:rPr>
        <w:t xml:space="preserve">ed </w:t>
      </w:r>
      <w:r w:rsidR="003C2A1C">
        <w:rPr>
          <w:rFonts w:cs="Arial"/>
        </w:rPr>
        <w:t>youth offenders,</w:t>
      </w:r>
      <w:r w:rsidR="00B46966">
        <w:rPr>
          <w:rFonts w:cs="Arial"/>
        </w:rPr>
        <w:t xml:space="preserve"> off</w:t>
      </w:r>
      <w:r w:rsidR="003C2A1C">
        <w:rPr>
          <w:rFonts w:cs="Arial"/>
        </w:rPr>
        <w:t xml:space="preserve">enders with an alcohol problem </w:t>
      </w:r>
      <w:r w:rsidR="00B60535">
        <w:rPr>
          <w:rFonts w:cs="Arial"/>
        </w:rPr>
        <w:t xml:space="preserve">and </w:t>
      </w:r>
      <w:r w:rsidR="00121099">
        <w:rPr>
          <w:rFonts w:cs="Arial"/>
        </w:rPr>
        <w:t>offenders who received a sentence ot</w:t>
      </w:r>
      <w:r w:rsidR="006C2B60">
        <w:rPr>
          <w:rFonts w:cs="Arial"/>
        </w:rPr>
        <w:t>her than a term of impri</w:t>
      </w:r>
      <w:r w:rsidR="00183649">
        <w:rPr>
          <w:rFonts w:cs="Arial"/>
        </w:rPr>
        <w:t>sonment or a suspended sentence</w:t>
      </w:r>
      <w:r w:rsidR="00EE0BDB">
        <w:rPr>
          <w:rFonts w:cs="Arial"/>
        </w:rPr>
        <w:t>.</w:t>
      </w:r>
      <w:r w:rsidR="00EE0BDB">
        <w:rPr>
          <w:rStyle w:val="FootnoteReference"/>
          <w:rFonts w:cs="Arial"/>
        </w:rPr>
        <w:footnoteReference w:id="6"/>
      </w:r>
      <w:r w:rsidR="00EE0BDB">
        <w:rPr>
          <w:rFonts w:cs="Arial"/>
        </w:rPr>
        <w:t xml:space="preserve"> </w:t>
      </w:r>
      <w:r w:rsidR="00715221">
        <w:rPr>
          <w:rFonts w:cs="Arial"/>
        </w:rPr>
        <w:t xml:space="preserve">As </w:t>
      </w:r>
      <w:r w:rsidR="006C2B60">
        <w:rPr>
          <w:rFonts w:cs="Arial"/>
        </w:rPr>
        <w:t xml:space="preserve">Table </w:t>
      </w:r>
      <w:r w:rsidR="00715221">
        <w:rPr>
          <w:rFonts w:cs="Arial"/>
        </w:rPr>
        <w:t xml:space="preserve">2 highlights, </w:t>
      </w:r>
      <w:r w:rsidR="006C2B60">
        <w:rPr>
          <w:rFonts w:cs="Arial"/>
        </w:rPr>
        <w:t xml:space="preserve">even </w:t>
      </w:r>
      <w:r w:rsidR="00F72CC0">
        <w:rPr>
          <w:rFonts w:cs="Arial"/>
        </w:rPr>
        <w:t xml:space="preserve">after </w:t>
      </w:r>
      <w:r w:rsidR="006C2B60">
        <w:rPr>
          <w:rFonts w:cs="Arial"/>
        </w:rPr>
        <w:t xml:space="preserve">applying a narrow reading of </w:t>
      </w:r>
      <w:r w:rsidR="00715221">
        <w:rPr>
          <w:rFonts w:cs="Arial"/>
        </w:rPr>
        <w:t>eligibility criteria there remain</w:t>
      </w:r>
      <w:r w:rsidR="006C2B60">
        <w:rPr>
          <w:rFonts w:cs="Arial"/>
        </w:rPr>
        <w:t xml:space="preserve"> </w:t>
      </w:r>
      <w:r w:rsidR="00121099">
        <w:rPr>
          <w:rFonts w:cs="Arial"/>
        </w:rPr>
        <w:t xml:space="preserve">approximately </w:t>
      </w:r>
      <w:r w:rsidR="00B46966">
        <w:rPr>
          <w:rFonts w:cs="Arial"/>
        </w:rPr>
        <w:t>72</w:t>
      </w:r>
      <w:r w:rsidR="00121099">
        <w:rPr>
          <w:rFonts w:cs="Arial"/>
        </w:rPr>
        <w:t xml:space="preserve"> offenders each year </w:t>
      </w:r>
      <w:r w:rsidR="00F72CC0">
        <w:rPr>
          <w:rFonts w:cs="Arial"/>
        </w:rPr>
        <w:t xml:space="preserve">sentenced in the Supreme Court </w:t>
      </w:r>
      <w:r w:rsidR="00252C48">
        <w:rPr>
          <w:rFonts w:cs="Arial"/>
        </w:rPr>
        <w:t>who may be elig</w:t>
      </w:r>
      <w:r w:rsidR="00F72CC0">
        <w:rPr>
          <w:rFonts w:cs="Arial"/>
        </w:rPr>
        <w:t xml:space="preserve">ible for a drug treatment order </w:t>
      </w:r>
      <w:r w:rsidR="00252C48">
        <w:rPr>
          <w:rFonts w:cs="Arial"/>
        </w:rPr>
        <w:t xml:space="preserve">if </w:t>
      </w:r>
      <w:r w:rsidR="00715221">
        <w:rPr>
          <w:rFonts w:cs="Arial"/>
        </w:rPr>
        <w:t xml:space="preserve">the reforms set out in the </w:t>
      </w:r>
      <w:r w:rsidR="00715221" w:rsidRPr="00715221">
        <w:rPr>
          <w:rFonts w:cs="Arial"/>
          <w:i/>
        </w:rPr>
        <w:t xml:space="preserve">Sentencing </w:t>
      </w:r>
      <w:r w:rsidR="00F72CC0">
        <w:rPr>
          <w:rFonts w:cs="Arial"/>
          <w:i/>
        </w:rPr>
        <w:t xml:space="preserve">Legislation Amendment </w:t>
      </w:r>
      <w:r w:rsidR="00715221" w:rsidRPr="00715221">
        <w:rPr>
          <w:rFonts w:cs="Arial"/>
          <w:i/>
        </w:rPr>
        <w:t>Bill 2016</w:t>
      </w:r>
      <w:r w:rsidR="00715221">
        <w:rPr>
          <w:rFonts w:cs="Arial"/>
        </w:rPr>
        <w:t xml:space="preserve"> are </w:t>
      </w:r>
      <w:r w:rsidR="00FE0F32">
        <w:rPr>
          <w:rFonts w:cs="Arial"/>
        </w:rPr>
        <w:t>to be introduced</w:t>
      </w:r>
      <w:r w:rsidR="00715221">
        <w:rPr>
          <w:rFonts w:cs="Arial"/>
        </w:rPr>
        <w:t xml:space="preserve">. </w:t>
      </w:r>
    </w:p>
    <w:p w14:paraId="07ADBA3A" w14:textId="77777777" w:rsidR="006C2B60" w:rsidRDefault="006C2B60" w:rsidP="00252C48">
      <w:pPr>
        <w:ind w:left="-284" w:right="-347"/>
        <w:jc w:val="center"/>
        <w:rPr>
          <w:rFonts w:cs="Arial"/>
          <w:b/>
        </w:rPr>
      </w:pPr>
    </w:p>
    <w:p w14:paraId="14437612" w14:textId="7B15594B" w:rsidR="00252C48" w:rsidRDefault="00252C48" w:rsidP="00252C48">
      <w:pPr>
        <w:ind w:left="-284" w:right="-347"/>
        <w:jc w:val="center"/>
        <w:rPr>
          <w:rFonts w:cs="Arial"/>
          <w:b/>
        </w:rPr>
      </w:pPr>
      <w:r w:rsidRPr="00252C48">
        <w:rPr>
          <w:rFonts w:cs="Arial"/>
          <w:b/>
        </w:rPr>
        <w:t>Table 2</w:t>
      </w:r>
    </w:p>
    <w:tbl>
      <w:tblPr>
        <w:tblStyle w:val="TableGrid"/>
        <w:tblW w:w="9036" w:type="dxa"/>
        <w:jc w:val="center"/>
        <w:tblInd w:w="108" w:type="dxa"/>
        <w:tblLook w:val="04A0" w:firstRow="1" w:lastRow="0" w:firstColumn="1" w:lastColumn="0" w:noHBand="0" w:noVBand="1"/>
      </w:tblPr>
      <w:tblGrid>
        <w:gridCol w:w="945"/>
        <w:gridCol w:w="2761"/>
        <w:gridCol w:w="2202"/>
        <w:gridCol w:w="3128"/>
      </w:tblGrid>
      <w:tr w:rsidR="00666560" w:rsidRPr="00E1435C" w14:paraId="25014268" w14:textId="77777777" w:rsidTr="00666560">
        <w:trPr>
          <w:jc w:val="center"/>
        </w:trPr>
        <w:tc>
          <w:tcPr>
            <w:tcW w:w="9036" w:type="dxa"/>
            <w:gridSpan w:val="4"/>
            <w:vAlign w:val="center"/>
          </w:tcPr>
          <w:p w14:paraId="3B8CD62D" w14:textId="77777777" w:rsidR="00666560" w:rsidRPr="004150AE" w:rsidRDefault="00666560" w:rsidP="00666560">
            <w:pPr>
              <w:pStyle w:val="NoSpacing"/>
              <w:spacing w:before="120" w:after="120"/>
              <w:ind w:right="-108"/>
              <w:jc w:val="center"/>
              <w:rPr>
                <w:color w:val="000000" w:themeColor="text1"/>
                <w:lang w:val="en-AU"/>
              </w:rPr>
            </w:pPr>
            <w:r w:rsidRPr="004150AE">
              <w:rPr>
                <w:rFonts w:cs="Times"/>
                <w:b/>
                <w:color w:val="000000" w:themeColor="text1"/>
                <w:lang w:val="en-AU"/>
              </w:rPr>
              <w:t>Supreme Court of Tasmania</w:t>
            </w:r>
          </w:p>
        </w:tc>
      </w:tr>
      <w:tr w:rsidR="00252C48" w:rsidRPr="00252C48" w14:paraId="44070FE7" w14:textId="7466DB5C" w:rsidTr="00666560">
        <w:trPr>
          <w:jc w:val="center"/>
        </w:trPr>
        <w:tc>
          <w:tcPr>
            <w:tcW w:w="945" w:type="dxa"/>
            <w:vAlign w:val="center"/>
          </w:tcPr>
          <w:p w14:paraId="42B5D2AE" w14:textId="77777777" w:rsidR="00252C48" w:rsidRPr="004150AE" w:rsidRDefault="00252C48" w:rsidP="00252C48">
            <w:pPr>
              <w:pStyle w:val="Bpara"/>
              <w:jc w:val="left"/>
              <w:rPr>
                <w:sz w:val="20"/>
                <w:szCs w:val="20"/>
              </w:rPr>
            </w:pPr>
            <w:r w:rsidRPr="004150AE">
              <w:rPr>
                <w:sz w:val="20"/>
                <w:szCs w:val="20"/>
              </w:rPr>
              <w:t>Year</w:t>
            </w:r>
          </w:p>
        </w:tc>
        <w:tc>
          <w:tcPr>
            <w:tcW w:w="2761" w:type="dxa"/>
            <w:vAlign w:val="center"/>
          </w:tcPr>
          <w:p w14:paraId="546046EF" w14:textId="77777777" w:rsidR="00252C48" w:rsidRPr="004150AE" w:rsidRDefault="00252C48" w:rsidP="00252C48">
            <w:pPr>
              <w:pStyle w:val="Bpara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 w:rsidRPr="004150AE">
              <w:rPr>
                <w:b/>
                <w:sz w:val="20"/>
                <w:szCs w:val="20"/>
              </w:rPr>
              <w:t xml:space="preserve">No. </w:t>
            </w:r>
            <w:proofErr w:type="gramStart"/>
            <w:r w:rsidRPr="004150AE">
              <w:rPr>
                <w:b/>
                <w:sz w:val="20"/>
                <w:szCs w:val="20"/>
              </w:rPr>
              <w:t>of</w:t>
            </w:r>
            <w:proofErr w:type="gramEnd"/>
            <w:r w:rsidRPr="004150AE">
              <w:rPr>
                <w:b/>
                <w:sz w:val="20"/>
                <w:szCs w:val="20"/>
              </w:rPr>
              <w:t xml:space="preserve"> offenders sentenced with an acknowledged drug-problem</w:t>
            </w:r>
          </w:p>
        </w:tc>
        <w:tc>
          <w:tcPr>
            <w:tcW w:w="2202" w:type="dxa"/>
            <w:vAlign w:val="center"/>
          </w:tcPr>
          <w:p w14:paraId="0C8E23FB" w14:textId="42B8D032" w:rsidR="00252C48" w:rsidRPr="004150AE" w:rsidRDefault="00666560" w:rsidP="005223A0">
            <w:pPr>
              <w:pStyle w:val="Bpara"/>
              <w:spacing w:before="60" w:after="6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4150AE">
              <w:rPr>
                <w:b/>
                <w:color w:val="auto"/>
                <w:sz w:val="20"/>
                <w:szCs w:val="20"/>
              </w:rPr>
              <w:t xml:space="preserve">No. </w:t>
            </w:r>
            <w:proofErr w:type="gramStart"/>
            <w:r w:rsidRPr="004150AE">
              <w:rPr>
                <w:b/>
                <w:color w:val="auto"/>
                <w:sz w:val="20"/>
                <w:szCs w:val="20"/>
              </w:rPr>
              <w:t>of</w:t>
            </w:r>
            <w:proofErr w:type="gramEnd"/>
            <w:r w:rsidRPr="004150AE">
              <w:rPr>
                <w:b/>
                <w:color w:val="auto"/>
                <w:sz w:val="20"/>
                <w:szCs w:val="20"/>
              </w:rPr>
              <w:t xml:space="preserve"> offenders excluding </w:t>
            </w:r>
            <w:r w:rsidR="005223A0" w:rsidRPr="004150AE">
              <w:rPr>
                <w:b/>
                <w:color w:val="auto"/>
                <w:sz w:val="20"/>
                <w:szCs w:val="20"/>
              </w:rPr>
              <w:t>ineligible</w:t>
            </w:r>
            <w:r w:rsidRPr="004150AE">
              <w:rPr>
                <w:b/>
                <w:color w:val="auto"/>
                <w:sz w:val="20"/>
                <w:szCs w:val="20"/>
              </w:rPr>
              <w:t xml:space="preserve"> offences </w:t>
            </w:r>
          </w:p>
        </w:tc>
        <w:tc>
          <w:tcPr>
            <w:tcW w:w="3128" w:type="dxa"/>
          </w:tcPr>
          <w:p w14:paraId="28FA52C8" w14:textId="21EF4946" w:rsidR="00252C48" w:rsidRPr="004150AE" w:rsidRDefault="00252C48" w:rsidP="00121099">
            <w:pPr>
              <w:pStyle w:val="Bpara"/>
              <w:spacing w:before="60" w:after="6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4150AE">
              <w:rPr>
                <w:b/>
                <w:color w:val="auto"/>
                <w:sz w:val="20"/>
                <w:szCs w:val="20"/>
              </w:rPr>
              <w:t xml:space="preserve">No. </w:t>
            </w:r>
            <w:proofErr w:type="gramStart"/>
            <w:r w:rsidRPr="004150AE">
              <w:rPr>
                <w:b/>
                <w:color w:val="auto"/>
                <w:sz w:val="20"/>
                <w:szCs w:val="20"/>
              </w:rPr>
              <w:t>of</w:t>
            </w:r>
            <w:proofErr w:type="gramEnd"/>
            <w:r w:rsidRPr="004150AE">
              <w:rPr>
                <w:b/>
                <w:color w:val="auto"/>
                <w:sz w:val="20"/>
                <w:szCs w:val="20"/>
              </w:rPr>
              <w:t xml:space="preserve"> offenders </w:t>
            </w:r>
            <w:r w:rsidR="00666560" w:rsidRPr="004150AE">
              <w:rPr>
                <w:b/>
                <w:color w:val="auto"/>
                <w:sz w:val="20"/>
                <w:szCs w:val="20"/>
              </w:rPr>
              <w:t xml:space="preserve">excluding </w:t>
            </w:r>
            <w:r w:rsidR="00183649" w:rsidRPr="004150AE">
              <w:rPr>
                <w:b/>
                <w:color w:val="auto"/>
                <w:sz w:val="20"/>
                <w:szCs w:val="20"/>
              </w:rPr>
              <w:t xml:space="preserve">ineligible offences + </w:t>
            </w:r>
            <w:r w:rsidR="00B46966">
              <w:rPr>
                <w:b/>
                <w:color w:val="auto"/>
                <w:sz w:val="20"/>
                <w:szCs w:val="20"/>
              </w:rPr>
              <w:t xml:space="preserve">alcohol, </w:t>
            </w:r>
            <w:r w:rsidR="00121099" w:rsidRPr="004150AE">
              <w:rPr>
                <w:b/>
                <w:color w:val="auto"/>
                <w:sz w:val="20"/>
                <w:szCs w:val="20"/>
              </w:rPr>
              <w:t>youth and other</w:t>
            </w:r>
            <w:r w:rsidR="00666560" w:rsidRPr="004150AE">
              <w:rPr>
                <w:b/>
                <w:color w:val="auto"/>
                <w:sz w:val="20"/>
                <w:szCs w:val="20"/>
              </w:rPr>
              <w:t xml:space="preserve"> </w:t>
            </w:r>
            <w:r w:rsidR="00121099" w:rsidRPr="004150AE">
              <w:rPr>
                <w:b/>
                <w:color w:val="auto"/>
                <w:sz w:val="20"/>
                <w:szCs w:val="20"/>
              </w:rPr>
              <w:t>sentences</w:t>
            </w:r>
            <w:r w:rsidR="00A136DE" w:rsidRPr="004150AE">
              <w:rPr>
                <w:b/>
                <w:color w:val="auto"/>
                <w:sz w:val="20"/>
                <w:szCs w:val="20"/>
              </w:rPr>
              <w:t>*</w:t>
            </w:r>
          </w:p>
        </w:tc>
      </w:tr>
      <w:tr w:rsidR="00252C48" w:rsidRPr="00252C48" w14:paraId="78E31942" w14:textId="26468DF6" w:rsidTr="00666560">
        <w:trPr>
          <w:jc w:val="center"/>
        </w:trPr>
        <w:tc>
          <w:tcPr>
            <w:tcW w:w="945" w:type="dxa"/>
          </w:tcPr>
          <w:p w14:paraId="5DF9E1D7" w14:textId="77777777" w:rsidR="00252C48" w:rsidRPr="004150AE" w:rsidRDefault="00252C48" w:rsidP="00252C48">
            <w:pPr>
              <w:pStyle w:val="Bpara"/>
              <w:rPr>
                <w:sz w:val="20"/>
                <w:szCs w:val="20"/>
              </w:rPr>
            </w:pPr>
            <w:r w:rsidRPr="004150AE">
              <w:rPr>
                <w:sz w:val="20"/>
                <w:szCs w:val="20"/>
              </w:rPr>
              <w:t>2008</w:t>
            </w:r>
          </w:p>
        </w:tc>
        <w:tc>
          <w:tcPr>
            <w:tcW w:w="2761" w:type="dxa"/>
            <w:vAlign w:val="center"/>
          </w:tcPr>
          <w:p w14:paraId="5659D58A" w14:textId="16FF8054" w:rsidR="00252C48" w:rsidRPr="004150AE" w:rsidRDefault="00252C48" w:rsidP="00252C48">
            <w:pPr>
              <w:pStyle w:val="Bpara"/>
              <w:jc w:val="center"/>
              <w:rPr>
                <w:sz w:val="20"/>
                <w:szCs w:val="20"/>
              </w:rPr>
            </w:pPr>
            <w:r w:rsidRPr="004150AE">
              <w:rPr>
                <w:sz w:val="20"/>
                <w:szCs w:val="20"/>
              </w:rPr>
              <w:t>10</w:t>
            </w:r>
            <w:r w:rsidR="00626411" w:rsidRPr="004150AE">
              <w:rPr>
                <w:sz w:val="20"/>
                <w:szCs w:val="20"/>
              </w:rPr>
              <w:t>5</w:t>
            </w:r>
          </w:p>
        </w:tc>
        <w:tc>
          <w:tcPr>
            <w:tcW w:w="2202" w:type="dxa"/>
            <w:vAlign w:val="center"/>
          </w:tcPr>
          <w:p w14:paraId="4F61E034" w14:textId="433BC1EF" w:rsidR="00252C48" w:rsidRPr="004150AE" w:rsidRDefault="00183649" w:rsidP="009C6228">
            <w:pPr>
              <w:pStyle w:val="Bpara"/>
              <w:jc w:val="center"/>
              <w:rPr>
                <w:sz w:val="20"/>
                <w:szCs w:val="20"/>
              </w:rPr>
            </w:pPr>
            <w:r w:rsidRPr="004150AE">
              <w:rPr>
                <w:sz w:val="20"/>
                <w:szCs w:val="20"/>
              </w:rPr>
              <w:t>7</w:t>
            </w:r>
            <w:r w:rsidR="009C6228">
              <w:rPr>
                <w:sz w:val="20"/>
                <w:szCs w:val="20"/>
              </w:rPr>
              <w:t>4</w:t>
            </w:r>
          </w:p>
        </w:tc>
        <w:tc>
          <w:tcPr>
            <w:tcW w:w="3128" w:type="dxa"/>
          </w:tcPr>
          <w:p w14:paraId="7BC0DEE5" w14:textId="1B329989" w:rsidR="00252C48" w:rsidRPr="004150AE" w:rsidRDefault="00B60535" w:rsidP="009C6228">
            <w:pPr>
              <w:pStyle w:val="Bpara"/>
              <w:jc w:val="center"/>
              <w:rPr>
                <w:rFonts w:cs="Times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5</w:t>
            </w:r>
            <w:r w:rsidR="009C6228">
              <w:rPr>
                <w:rFonts w:cs="Times"/>
                <w:sz w:val="20"/>
                <w:szCs w:val="20"/>
              </w:rPr>
              <w:t>7</w:t>
            </w:r>
          </w:p>
        </w:tc>
      </w:tr>
      <w:tr w:rsidR="00252C48" w:rsidRPr="00252C48" w14:paraId="3D98EB79" w14:textId="3133F0CD" w:rsidTr="00666560">
        <w:trPr>
          <w:jc w:val="center"/>
        </w:trPr>
        <w:tc>
          <w:tcPr>
            <w:tcW w:w="945" w:type="dxa"/>
          </w:tcPr>
          <w:p w14:paraId="3B4CE82C" w14:textId="77777777" w:rsidR="00252C48" w:rsidRPr="004150AE" w:rsidRDefault="00252C48" w:rsidP="00252C48">
            <w:pPr>
              <w:pStyle w:val="Bpara"/>
              <w:rPr>
                <w:sz w:val="20"/>
                <w:szCs w:val="20"/>
              </w:rPr>
            </w:pPr>
            <w:r w:rsidRPr="004150AE">
              <w:rPr>
                <w:sz w:val="20"/>
                <w:szCs w:val="20"/>
              </w:rPr>
              <w:t>2009</w:t>
            </w:r>
          </w:p>
        </w:tc>
        <w:tc>
          <w:tcPr>
            <w:tcW w:w="2761" w:type="dxa"/>
            <w:vAlign w:val="center"/>
          </w:tcPr>
          <w:p w14:paraId="1073A8BE" w14:textId="689555EE" w:rsidR="00252C48" w:rsidRPr="004150AE" w:rsidRDefault="00252C48" w:rsidP="00252C48">
            <w:pPr>
              <w:pStyle w:val="Bpara"/>
              <w:jc w:val="center"/>
              <w:rPr>
                <w:sz w:val="20"/>
                <w:szCs w:val="20"/>
              </w:rPr>
            </w:pPr>
            <w:r w:rsidRPr="004150AE">
              <w:rPr>
                <w:sz w:val="20"/>
                <w:szCs w:val="20"/>
              </w:rPr>
              <w:t>12</w:t>
            </w:r>
            <w:r w:rsidR="00626411" w:rsidRPr="004150AE">
              <w:rPr>
                <w:sz w:val="20"/>
                <w:szCs w:val="20"/>
              </w:rPr>
              <w:t>7</w:t>
            </w:r>
          </w:p>
        </w:tc>
        <w:tc>
          <w:tcPr>
            <w:tcW w:w="2202" w:type="dxa"/>
            <w:vAlign w:val="center"/>
          </w:tcPr>
          <w:p w14:paraId="401D42D0" w14:textId="3BA9E1F7" w:rsidR="00252C48" w:rsidRPr="004150AE" w:rsidRDefault="00183649" w:rsidP="00252C48">
            <w:pPr>
              <w:pStyle w:val="Bpara"/>
              <w:jc w:val="center"/>
              <w:rPr>
                <w:sz w:val="20"/>
                <w:szCs w:val="20"/>
              </w:rPr>
            </w:pPr>
            <w:r w:rsidRPr="004150AE">
              <w:rPr>
                <w:sz w:val="20"/>
                <w:szCs w:val="20"/>
              </w:rPr>
              <w:t>87</w:t>
            </w:r>
          </w:p>
        </w:tc>
        <w:tc>
          <w:tcPr>
            <w:tcW w:w="3128" w:type="dxa"/>
          </w:tcPr>
          <w:p w14:paraId="30A9BAD2" w14:textId="26D0CB1D" w:rsidR="00252C48" w:rsidRPr="004150AE" w:rsidRDefault="00B60535" w:rsidP="00252C48">
            <w:pPr>
              <w:pStyle w:val="Bpara"/>
              <w:jc w:val="center"/>
              <w:rPr>
                <w:rFonts w:cs="Times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68</w:t>
            </w:r>
          </w:p>
        </w:tc>
      </w:tr>
      <w:tr w:rsidR="00252C48" w:rsidRPr="00252C48" w14:paraId="5E3F7AA2" w14:textId="7A70D5AA" w:rsidTr="00666560">
        <w:trPr>
          <w:jc w:val="center"/>
        </w:trPr>
        <w:tc>
          <w:tcPr>
            <w:tcW w:w="945" w:type="dxa"/>
          </w:tcPr>
          <w:p w14:paraId="2E8E467E" w14:textId="77777777" w:rsidR="00252C48" w:rsidRPr="004150AE" w:rsidRDefault="00252C48" w:rsidP="00252C48">
            <w:pPr>
              <w:pStyle w:val="Bpara"/>
              <w:rPr>
                <w:sz w:val="20"/>
                <w:szCs w:val="20"/>
              </w:rPr>
            </w:pPr>
            <w:r w:rsidRPr="004150AE">
              <w:rPr>
                <w:sz w:val="20"/>
                <w:szCs w:val="20"/>
              </w:rPr>
              <w:t>2010</w:t>
            </w:r>
          </w:p>
        </w:tc>
        <w:tc>
          <w:tcPr>
            <w:tcW w:w="2761" w:type="dxa"/>
            <w:vAlign w:val="center"/>
          </w:tcPr>
          <w:p w14:paraId="233318D5" w14:textId="77777777" w:rsidR="00252C48" w:rsidRPr="004150AE" w:rsidRDefault="00252C48" w:rsidP="00252C48">
            <w:pPr>
              <w:pStyle w:val="Bpara"/>
              <w:jc w:val="center"/>
              <w:rPr>
                <w:sz w:val="20"/>
                <w:szCs w:val="20"/>
              </w:rPr>
            </w:pPr>
            <w:r w:rsidRPr="004150AE">
              <w:rPr>
                <w:sz w:val="20"/>
                <w:szCs w:val="20"/>
              </w:rPr>
              <w:t>120</w:t>
            </w:r>
          </w:p>
        </w:tc>
        <w:tc>
          <w:tcPr>
            <w:tcW w:w="2202" w:type="dxa"/>
            <w:vAlign w:val="center"/>
          </w:tcPr>
          <w:p w14:paraId="7A4C5AAC" w14:textId="5A195DFB" w:rsidR="00252C48" w:rsidRPr="004150AE" w:rsidRDefault="00183649" w:rsidP="00252C48">
            <w:pPr>
              <w:pStyle w:val="Bpara"/>
              <w:jc w:val="center"/>
              <w:rPr>
                <w:sz w:val="20"/>
                <w:szCs w:val="20"/>
              </w:rPr>
            </w:pPr>
            <w:r w:rsidRPr="004150AE">
              <w:rPr>
                <w:sz w:val="20"/>
                <w:szCs w:val="20"/>
              </w:rPr>
              <w:t>80</w:t>
            </w:r>
          </w:p>
        </w:tc>
        <w:tc>
          <w:tcPr>
            <w:tcW w:w="3128" w:type="dxa"/>
          </w:tcPr>
          <w:p w14:paraId="55C1D09E" w14:textId="19B4784E" w:rsidR="00252C48" w:rsidRPr="004150AE" w:rsidRDefault="00B60535" w:rsidP="00252C48">
            <w:pPr>
              <w:pStyle w:val="Bpara"/>
              <w:jc w:val="center"/>
              <w:rPr>
                <w:rFonts w:cs="Times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69</w:t>
            </w:r>
          </w:p>
        </w:tc>
      </w:tr>
      <w:tr w:rsidR="00CF101E" w:rsidRPr="00252C48" w14:paraId="3B9694F9" w14:textId="77777777" w:rsidTr="00666560">
        <w:trPr>
          <w:jc w:val="center"/>
        </w:trPr>
        <w:tc>
          <w:tcPr>
            <w:tcW w:w="945" w:type="dxa"/>
          </w:tcPr>
          <w:p w14:paraId="10922E62" w14:textId="4ED7ED9C" w:rsidR="00CF101E" w:rsidRPr="004150AE" w:rsidRDefault="00CF101E" w:rsidP="00252C48">
            <w:pPr>
              <w:pStyle w:val="Bpa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2761" w:type="dxa"/>
            <w:vAlign w:val="center"/>
          </w:tcPr>
          <w:p w14:paraId="530A236B" w14:textId="53266AD5" w:rsidR="00CF101E" w:rsidRPr="004150AE" w:rsidRDefault="00CF101E" w:rsidP="00252C48">
            <w:pPr>
              <w:pStyle w:val="Bpa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202" w:type="dxa"/>
            <w:vAlign w:val="center"/>
          </w:tcPr>
          <w:p w14:paraId="46FD9417" w14:textId="03DD4ECA" w:rsidR="00CF101E" w:rsidRPr="004150AE" w:rsidRDefault="00CF101E" w:rsidP="00252C48">
            <w:pPr>
              <w:pStyle w:val="Bpa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128" w:type="dxa"/>
          </w:tcPr>
          <w:p w14:paraId="0927167E" w14:textId="5C2453F4" w:rsidR="00CF101E" w:rsidRDefault="00CF101E" w:rsidP="00252C48">
            <w:pPr>
              <w:pStyle w:val="Bpara"/>
              <w:jc w:val="center"/>
              <w:rPr>
                <w:rFonts w:cs="Times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86</w:t>
            </w:r>
          </w:p>
        </w:tc>
      </w:tr>
      <w:tr w:rsidR="00252C48" w:rsidRPr="00252C48" w14:paraId="4B792EC7" w14:textId="1DEBE051" w:rsidTr="00666560">
        <w:trPr>
          <w:jc w:val="center"/>
        </w:trPr>
        <w:tc>
          <w:tcPr>
            <w:tcW w:w="945" w:type="dxa"/>
          </w:tcPr>
          <w:p w14:paraId="536392E1" w14:textId="77777777" w:rsidR="00252C48" w:rsidRPr="004150AE" w:rsidRDefault="00252C48" w:rsidP="00252C48">
            <w:pPr>
              <w:pStyle w:val="Bpara"/>
              <w:rPr>
                <w:sz w:val="20"/>
                <w:szCs w:val="20"/>
              </w:rPr>
            </w:pPr>
            <w:r w:rsidRPr="004150AE">
              <w:rPr>
                <w:sz w:val="20"/>
                <w:szCs w:val="20"/>
              </w:rPr>
              <w:t>2012</w:t>
            </w:r>
          </w:p>
        </w:tc>
        <w:tc>
          <w:tcPr>
            <w:tcW w:w="2761" w:type="dxa"/>
            <w:vAlign w:val="center"/>
          </w:tcPr>
          <w:p w14:paraId="2E06985B" w14:textId="55188AD8" w:rsidR="00252C48" w:rsidRPr="004150AE" w:rsidRDefault="00252C48" w:rsidP="00252C48">
            <w:pPr>
              <w:pStyle w:val="Bpara"/>
              <w:jc w:val="center"/>
              <w:rPr>
                <w:sz w:val="20"/>
                <w:szCs w:val="20"/>
              </w:rPr>
            </w:pPr>
            <w:r w:rsidRPr="004150AE">
              <w:rPr>
                <w:sz w:val="20"/>
                <w:szCs w:val="20"/>
              </w:rPr>
              <w:t>12</w:t>
            </w:r>
            <w:r w:rsidR="00626411" w:rsidRPr="004150AE">
              <w:rPr>
                <w:sz w:val="20"/>
                <w:szCs w:val="20"/>
              </w:rPr>
              <w:t>2</w:t>
            </w:r>
          </w:p>
        </w:tc>
        <w:tc>
          <w:tcPr>
            <w:tcW w:w="2202" w:type="dxa"/>
            <w:vAlign w:val="center"/>
          </w:tcPr>
          <w:p w14:paraId="4E0FB3FF" w14:textId="338E2824" w:rsidR="00252C48" w:rsidRPr="004150AE" w:rsidRDefault="00183649" w:rsidP="00252C48">
            <w:pPr>
              <w:pStyle w:val="Bpara"/>
              <w:jc w:val="center"/>
              <w:rPr>
                <w:sz w:val="20"/>
                <w:szCs w:val="20"/>
              </w:rPr>
            </w:pPr>
            <w:r w:rsidRPr="004150AE">
              <w:rPr>
                <w:sz w:val="20"/>
                <w:szCs w:val="20"/>
              </w:rPr>
              <w:t>88</w:t>
            </w:r>
          </w:p>
        </w:tc>
        <w:tc>
          <w:tcPr>
            <w:tcW w:w="3128" w:type="dxa"/>
          </w:tcPr>
          <w:p w14:paraId="7D0942D0" w14:textId="4A0A5989" w:rsidR="00252C48" w:rsidRPr="004150AE" w:rsidRDefault="00B60535" w:rsidP="00252C48">
            <w:pPr>
              <w:pStyle w:val="Bpara"/>
              <w:jc w:val="center"/>
              <w:rPr>
                <w:rFonts w:cs="Times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72</w:t>
            </w:r>
          </w:p>
        </w:tc>
      </w:tr>
      <w:tr w:rsidR="00252C48" w:rsidRPr="00252C48" w14:paraId="20484A10" w14:textId="67553007" w:rsidTr="00666560">
        <w:trPr>
          <w:jc w:val="center"/>
        </w:trPr>
        <w:tc>
          <w:tcPr>
            <w:tcW w:w="945" w:type="dxa"/>
          </w:tcPr>
          <w:p w14:paraId="03046CC7" w14:textId="77777777" w:rsidR="00252C48" w:rsidRPr="004150AE" w:rsidRDefault="00252C48" w:rsidP="00252C48">
            <w:pPr>
              <w:pStyle w:val="Bpara"/>
              <w:rPr>
                <w:sz w:val="20"/>
                <w:szCs w:val="20"/>
              </w:rPr>
            </w:pPr>
            <w:r w:rsidRPr="004150AE">
              <w:rPr>
                <w:sz w:val="20"/>
                <w:szCs w:val="20"/>
              </w:rPr>
              <w:t>2013</w:t>
            </w:r>
          </w:p>
        </w:tc>
        <w:tc>
          <w:tcPr>
            <w:tcW w:w="2761" w:type="dxa"/>
            <w:vAlign w:val="center"/>
          </w:tcPr>
          <w:p w14:paraId="5BCDB1A8" w14:textId="5190F2F3" w:rsidR="00252C48" w:rsidRPr="004150AE" w:rsidRDefault="00252C48" w:rsidP="00252C48">
            <w:pPr>
              <w:pStyle w:val="Bpara"/>
              <w:jc w:val="center"/>
              <w:rPr>
                <w:sz w:val="20"/>
                <w:szCs w:val="20"/>
              </w:rPr>
            </w:pPr>
            <w:r w:rsidRPr="004150AE">
              <w:rPr>
                <w:sz w:val="20"/>
                <w:szCs w:val="20"/>
              </w:rPr>
              <w:t>1</w:t>
            </w:r>
            <w:r w:rsidR="00626411" w:rsidRPr="004150AE">
              <w:rPr>
                <w:sz w:val="20"/>
                <w:szCs w:val="20"/>
              </w:rPr>
              <w:t>27</w:t>
            </w:r>
          </w:p>
        </w:tc>
        <w:tc>
          <w:tcPr>
            <w:tcW w:w="2202" w:type="dxa"/>
            <w:vAlign w:val="center"/>
          </w:tcPr>
          <w:p w14:paraId="7D25700B" w14:textId="576A25EC" w:rsidR="00252C48" w:rsidRPr="004150AE" w:rsidRDefault="00183649" w:rsidP="001B5048">
            <w:pPr>
              <w:pStyle w:val="Bpara"/>
              <w:jc w:val="center"/>
              <w:rPr>
                <w:sz w:val="20"/>
                <w:szCs w:val="20"/>
              </w:rPr>
            </w:pPr>
            <w:r w:rsidRPr="004150AE">
              <w:rPr>
                <w:sz w:val="20"/>
                <w:szCs w:val="20"/>
              </w:rPr>
              <w:t>9</w:t>
            </w:r>
            <w:r w:rsidR="001B5048">
              <w:rPr>
                <w:sz w:val="20"/>
                <w:szCs w:val="20"/>
              </w:rPr>
              <w:t>2</w:t>
            </w:r>
          </w:p>
        </w:tc>
        <w:tc>
          <w:tcPr>
            <w:tcW w:w="3128" w:type="dxa"/>
          </w:tcPr>
          <w:p w14:paraId="4A207028" w14:textId="40A687FC" w:rsidR="00252C48" w:rsidRPr="004150AE" w:rsidRDefault="00B60535" w:rsidP="001B5048">
            <w:pPr>
              <w:pStyle w:val="Bpara"/>
              <w:jc w:val="center"/>
              <w:rPr>
                <w:rFonts w:cs="Times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6</w:t>
            </w:r>
            <w:r w:rsidR="001B5048">
              <w:rPr>
                <w:rFonts w:cs="Times"/>
                <w:sz w:val="20"/>
                <w:szCs w:val="20"/>
              </w:rPr>
              <w:t>5</w:t>
            </w:r>
          </w:p>
        </w:tc>
      </w:tr>
      <w:tr w:rsidR="00252C48" w:rsidRPr="00252C48" w14:paraId="0F7539C3" w14:textId="597B92C9" w:rsidTr="00666560">
        <w:trPr>
          <w:jc w:val="center"/>
        </w:trPr>
        <w:tc>
          <w:tcPr>
            <w:tcW w:w="945" w:type="dxa"/>
          </w:tcPr>
          <w:p w14:paraId="104E093A" w14:textId="77777777" w:rsidR="00252C48" w:rsidRPr="004150AE" w:rsidRDefault="00252C48" w:rsidP="00252C48">
            <w:pPr>
              <w:pStyle w:val="Bpara"/>
              <w:rPr>
                <w:sz w:val="20"/>
                <w:szCs w:val="20"/>
              </w:rPr>
            </w:pPr>
            <w:r w:rsidRPr="004150AE">
              <w:rPr>
                <w:sz w:val="20"/>
                <w:szCs w:val="20"/>
              </w:rPr>
              <w:t>2014</w:t>
            </w:r>
          </w:p>
        </w:tc>
        <w:tc>
          <w:tcPr>
            <w:tcW w:w="2761" w:type="dxa"/>
            <w:vAlign w:val="center"/>
          </w:tcPr>
          <w:p w14:paraId="1CC4BF81" w14:textId="674D8928" w:rsidR="00252C48" w:rsidRPr="004150AE" w:rsidRDefault="00252C48" w:rsidP="00252C48">
            <w:pPr>
              <w:pStyle w:val="Bpara"/>
              <w:jc w:val="center"/>
              <w:rPr>
                <w:sz w:val="20"/>
                <w:szCs w:val="20"/>
              </w:rPr>
            </w:pPr>
            <w:r w:rsidRPr="004150AE">
              <w:rPr>
                <w:sz w:val="20"/>
                <w:szCs w:val="20"/>
              </w:rPr>
              <w:t>13</w:t>
            </w:r>
            <w:r w:rsidR="00626411" w:rsidRPr="004150AE">
              <w:rPr>
                <w:sz w:val="20"/>
                <w:szCs w:val="20"/>
              </w:rPr>
              <w:t>3</w:t>
            </w:r>
          </w:p>
        </w:tc>
        <w:tc>
          <w:tcPr>
            <w:tcW w:w="2202" w:type="dxa"/>
            <w:vAlign w:val="center"/>
          </w:tcPr>
          <w:p w14:paraId="42F36BA4" w14:textId="68B1ADD9" w:rsidR="00252C48" w:rsidRPr="004150AE" w:rsidRDefault="00183649" w:rsidP="001B5048">
            <w:pPr>
              <w:pStyle w:val="Bpara"/>
              <w:jc w:val="center"/>
              <w:rPr>
                <w:sz w:val="20"/>
                <w:szCs w:val="20"/>
              </w:rPr>
            </w:pPr>
            <w:r w:rsidRPr="004150AE">
              <w:rPr>
                <w:sz w:val="20"/>
                <w:szCs w:val="20"/>
              </w:rPr>
              <w:t>9</w:t>
            </w:r>
            <w:r w:rsidR="001B5048">
              <w:rPr>
                <w:sz w:val="20"/>
                <w:szCs w:val="20"/>
              </w:rPr>
              <w:t>8</w:t>
            </w:r>
          </w:p>
        </w:tc>
        <w:tc>
          <w:tcPr>
            <w:tcW w:w="3128" w:type="dxa"/>
          </w:tcPr>
          <w:p w14:paraId="74BB0434" w14:textId="2F58B366" w:rsidR="00252C48" w:rsidRPr="004150AE" w:rsidRDefault="005C0A06" w:rsidP="001B5048">
            <w:pPr>
              <w:pStyle w:val="Bpa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B5048">
              <w:rPr>
                <w:sz w:val="20"/>
                <w:szCs w:val="20"/>
              </w:rPr>
              <w:t>2</w:t>
            </w:r>
          </w:p>
        </w:tc>
      </w:tr>
      <w:tr w:rsidR="00252C48" w:rsidRPr="00252C48" w14:paraId="4945442C" w14:textId="459D4144" w:rsidTr="00666560">
        <w:trPr>
          <w:jc w:val="center"/>
        </w:trPr>
        <w:tc>
          <w:tcPr>
            <w:tcW w:w="945" w:type="dxa"/>
          </w:tcPr>
          <w:p w14:paraId="1F35B6BF" w14:textId="77777777" w:rsidR="00252C48" w:rsidRPr="00252C48" w:rsidRDefault="00252C48" w:rsidP="00252C48">
            <w:pPr>
              <w:pStyle w:val="Bpara"/>
              <w:rPr>
                <w:sz w:val="20"/>
                <w:szCs w:val="20"/>
              </w:rPr>
            </w:pPr>
            <w:r w:rsidRPr="00252C48">
              <w:rPr>
                <w:sz w:val="20"/>
                <w:szCs w:val="20"/>
              </w:rPr>
              <w:t>2015</w:t>
            </w:r>
          </w:p>
        </w:tc>
        <w:tc>
          <w:tcPr>
            <w:tcW w:w="2761" w:type="dxa"/>
            <w:vAlign w:val="center"/>
          </w:tcPr>
          <w:p w14:paraId="6AB08D1C" w14:textId="750C33CF" w:rsidR="00252C48" w:rsidRPr="00252C48" w:rsidRDefault="00626411" w:rsidP="00252C48">
            <w:pPr>
              <w:pStyle w:val="Bpa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202" w:type="dxa"/>
            <w:vAlign w:val="center"/>
          </w:tcPr>
          <w:p w14:paraId="12224F34" w14:textId="69B43A99" w:rsidR="00252C48" w:rsidRPr="00252C48" w:rsidRDefault="00183649" w:rsidP="00252C48">
            <w:pPr>
              <w:pStyle w:val="Bpar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3128" w:type="dxa"/>
          </w:tcPr>
          <w:p w14:paraId="3CDDA9A4" w14:textId="6ACA7082" w:rsidR="00252C48" w:rsidRPr="00252C48" w:rsidRDefault="005C0A06" w:rsidP="00252C48">
            <w:pPr>
              <w:pStyle w:val="Bpara"/>
              <w:jc w:val="center"/>
              <w:rPr>
                <w:rFonts w:cs="Times"/>
                <w:sz w:val="20"/>
                <w:szCs w:val="20"/>
              </w:rPr>
            </w:pPr>
            <w:r>
              <w:rPr>
                <w:rFonts w:cs="Times"/>
                <w:sz w:val="20"/>
                <w:szCs w:val="20"/>
              </w:rPr>
              <w:t>79</w:t>
            </w:r>
          </w:p>
        </w:tc>
      </w:tr>
      <w:tr w:rsidR="00252C48" w:rsidRPr="00252C48" w14:paraId="7321A385" w14:textId="1EC1CD8D" w:rsidTr="00666560">
        <w:trPr>
          <w:jc w:val="center"/>
        </w:trPr>
        <w:tc>
          <w:tcPr>
            <w:tcW w:w="945" w:type="dxa"/>
          </w:tcPr>
          <w:p w14:paraId="0155345D" w14:textId="77777777" w:rsidR="00252C48" w:rsidRPr="00B46966" w:rsidRDefault="00252C48" w:rsidP="00252C48">
            <w:pPr>
              <w:pStyle w:val="Bpara"/>
              <w:rPr>
                <w:b/>
                <w:sz w:val="20"/>
                <w:szCs w:val="20"/>
              </w:rPr>
            </w:pPr>
            <w:r w:rsidRPr="00B4696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761" w:type="dxa"/>
            <w:vAlign w:val="center"/>
          </w:tcPr>
          <w:p w14:paraId="3CC6883C" w14:textId="0324753A" w:rsidR="00252C48" w:rsidRPr="00B46966" w:rsidRDefault="00626411" w:rsidP="00252C48">
            <w:pPr>
              <w:pStyle w:val="Bpara"/>
              <w:jc w:val="center"/>
              <w:rPr>
                <w:b/>
                <w:sz w:val="20"/>
                <w:szCs w:val="20"/>
              </w:rPr>
            </w:pPr>
            <w:r w:rsidRPr="00B46966">
              <w:rPr>
                <w:b/>
                <w:sz w:val="20"/>
                <w:szCs w:val="20"/>
              </w:rPr>
              <w:t>1007</w:t>
            </w:r>
          </w:p>
        </w:tc>
        <w:tc>
          <w:tcPr>
            <w:tcW w:w="2202" w:type="dxa"/>
            <w:vAlign w:val="center"/>
          </w:tcPr>
          <w:p w14:paraId="27654555" w14:textId="693234F9" w:rsidR="00252C48" w:rsidRPr="00B46966" w:rsidRDefault="00183649" w:rsidP="00252C48">
            <w:pPr>
              <w:pStyle w:val="Bpara"/>
              <w:jc w:val="center"/>
              <w:rPr>
                <w:b/>
                <w:sz w:val="20"/>
                <w:szCs w:val="20"/>
              </w:rPr>
            </w:pPr>
            <w:r w:rsidRPr="00B46966">
              <w:rPr>
                <w:b/>
                <w:sz w:val="20"/>
                <w:szCs w:val="20"/>
              </w:rPr>
              <w:t>71</w:t>
            </w:r>
            <w:r w:rsidR="001B5048" w:rsidRPr="00B4696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128" w:type="dxa"/>
          </w:tcPr>
          <w:p w14:paraId="0BF74CF4" w14:textId="095A5FA3" w:rsidR="00252C48" w:rsidRPr="00B46966" w:rsidRDefault="003744DA" w:rsidP="00252C48">
            <w:pPr>
              <w:pStyle w:val="Bpara"/>
              <w:jc w:val="center"/>
              <w:rPr>
                <w:rFonts w:cs="Times"/>
                <w:b/>
                <w:sz w:val="20"/>
                <w:szCs w:val="20"/>
              </w:rPr>
            </w:pPr>
            <w:r w:rsidRPr="00B46966">
              <w:rPr>
                <w:rFonts w:cs="Times"/>
                <w:b/>
                <w:sz w:val="20"/>
                <w:szCs w:val="20"/>
              </w:rPr>
              <w:t>578</w:t>
            </w:r>
          </w:p>
        </w:tc>
      </w:tr>
    </w:tbl>
    <w:p w14:paraId="71162A62" w14:textId="29B3EACC" w:rsidR="00A136DE" w:rsidRPr="00BE15CC" w:rsidRDefault="00A136DE" w:rsidP="00A136DE">
      <w:pPr>
        <w:ind w:left="-284" w:right="-347"/>
        <w:jc w:val="both"/>
        <w:rPr>
          <w:rFonts w:cs="Arial"/>
          <w:sz w:val="20"/>
          <w:szCs w:val="20"/>
        </w:rPr>
      </w:pPr>
      <w:r w:rsidRPr="00BE15CC">
        <w:rPr>
          <w:rFonts w:cs="Arial"/>
          <w:sz w:val="20"/>
          <w:szCs w:val="20"/>
        </w:rPr>
        <w:t xml:space="preserve">*Other sentences include fines, community service orders and probation  </w:t>
      </w:r>
    </w:p>
    <w:p w14:paraId="3584CFE5" w14:textId="79FCC4C8" w:rsidR="00414EF2" w:rsidRDefault="00414EF2" w:rsidP="00252C48">
      <w:pPr>
        <w:ind w:right="-347"/>
        <w:jc w:val="both"/>
        <w:rPr>
          <w:rFonts w:cs="Arial"/>
        </w:rPr>
      </w:pPr>
    </w:p>
    <w:p w14:paraId="535F20A3" w14:textId="7DDFFFE1" w:rsidR="004150AE" w:rsidRDefault="00BE15CC" w:rsidP="004150AE">
      <w:pPr>
        <w:ind w:left="-284" w:right="-347"/>
        <w:jc w:val="both"/>
        <w:rPr>
          <w:rFonts w:cs="Arial"/>
        </w:rPr>
      </w:pPr>
      <w:r>
        <w:rPr>
          <w:rFonts w:cs="Arial"/>
        </w:rPr>
        <w:t>If the reform is</w:t>
      </w:r>
      <w:r w:rsidR="00F72CC0">
        <w:rPr>
          <w:rFonts w:cs="Arial"/>
        </w:rPr>
        <w:t xml:space="preserve"> to be </w:t>
      </w:r>
      <w:r w:rsidR="004150AE">
        <w:rPr>
          <w:rFonts w:cs="Arial"/>
        </w:rPr>
        <w:t>an effective replacement for suspended sentences</w:t>
      </w:r>
      <w:r>
        <w:rPr>
          <w:rFonts w:cs="Arial"/>
        </w:rPr>
        <w:t xml:space="preserve"> it is essential that it</w:t>
      </w:r>
      <w:r w:rsidR="00AD48AD">
        <w:rPr>
          <w:rFonts w:cs="Arial"/>
        </w:rPr>
        <w:t xml:space="preserve"> be</w:t>
      </w:r>
      <w:r w:rsidR="00F72CC0">
        <w:rPr>
          <w:rFonts w:cs="Arial"/>
        </w:rPr>
        <w:t xml:space="preserve"> </w:t>
      </w:r>
      <w:r>
        <w:rPr>
          <w:rFonts w:cs="Arial"/>
        </w:rPr>
        <w:t>properly funded</w:t>
      </w:r>
      <w:r w:rsidR="00F72CC0">
        <w:rPr>
          <w:rFonts w:cs="Arial"/>
        </w:rPr>
        <w:t>.</w:t>
      </w:r>
      <w:r w:rsidR="004150AE">
        <w:rPr>
          <w:rFonts w:cs="Arial"/>
        </w:rPr>
        <w:t xml:space="preserve"> The required funding will be necessary for </w:t>
      </w:r>
      <w:r w:rsidR="00917887">
        <w:rPr>
          <w:rFonts w:cs="Arial"/>
        </w:rPr>
        <w:t xml:space="preserve">a number of services and programs including assessment, drug </w:t>
      </w:r>
      <w:r w:rsidR="004150AE">
        <w:rPr>
          <w:rFonts w:cs="Arial"/>
        </w:rPr>
        <w:t xml:space="preserve">treatment programs, other programs and services that address the </w:t>
      </w:r>
      <w:proofErr w:type="spellStart"/>
      <w:r w:rsidR="004150AE">
        <w:rPr>
          <w:rFonts w:cs="Arial"/>
        </w:rPr>
        <w:t>criminogenic</w:t>
      </w:r>
      <w:proofErr w:type="spellEnd"/>
      <w:r w:rsidR="004150AE">
        <w:rPr>
          <w:rFonts w:cs="Arial"/>
        </w:rPr>
        <w:t xml:space="preserve"> needs of the offender as well as the monitoring of compliance with conditions imposed, such as drug testing.</w:t>
      </w:r>
      <w:r w:rsidR="00917887">
        <w:rPr>
          <w:rFonts w:cs="Arial"/>
        </w:rPr>
        <w:t xml:space="preserve"> </w:t>
      </w:r>
    </w:p>
    <w:p w14:paraId="12903D73" w14:textId="77777777" w:rsidR="004150AE" w:rsidRDefault="004150AE" w:rsidP="004150AE">
      <w:pPr>
        <w:ind w:left="-284" w:right="-347"/>
        <w:jc w:val="both"/>
        <w:rPr>
          <w:rFonts w:cs="Arial"/>
        </w:rPr>
      </w:pPr>
    </w:p>
    <w:p w14:paraId="37EAA927" w14:textId="1752A086" w:rsidR="00514884" w:rsidRDefault="00A136DE" w:rsidP="004150AE">
      <w:pPr>
        <w:ind w:left="-284" w:right="-347"/>
        <w:jc w:val="both"/>
        <w:rPr>
          <w:rFonts w:cs="Arial"/>
        </w:rPr>
      </w:pPr>
      <w:r>
        <w:rPr>
          <w:rFonts w:cs="Arial"/>
        </w:rPr>
        <w:t xml:space="preserve">According to data provided in the report </w:t>
      </w:r>
      <w:r w:rsidRPr="006E0E6F">
        <w:rPr>
          <w:rFonts w:cs="Arial"/>
          <w:i/>
        </w:rPr>
        <w:t>Exploring the Costs of Alternatives to Suspended Sentences</w:t>
      </w:r>
      <w:r>
        <w:rPr>
          <w:rFonts w:cs="Arial"/>
        </w:rPr>
        <w:t xml:space="preserve"> drug treatment orders cost $26,000</w:t>
      </w:r>
      <w:r w:rsidR="00566A46">
        <w:rPr>
          <w:rFonts w:cs="Arial"/>
        </w:rPr>
        <w:t>.00</w:t>
      </w:r>
      <w:r>
        <w:rPr>
          <w:rFonts w:cs="Arial"/>
        </w:rPr>
        <w:t xml:space="preserve"> per participant per annum meaning that an additional </w:t>
      </w:r>
      <w:r w:rsidR="00566A46">
        <w:rPr>
          <w:rFonts w:cs="Arial"/>
        </w:rPr>
        <w:t>$1</w:t>
      </w:r>
      <w:r w:rsidR="00EF5208" w:rsidRPr="00EF5208">
        <w:rPr>
          <w:rFonts w:cs="Arial"/>
        </w:rPr>
        <w:t>,</w:t>
      </w:r>
      <w:r w:rsidR="00566A46">
        <w:rPr>
          <w:rFonts w:cs="Arial"/>
        </w:rPr>
        <w:t>872</w:t>
      </w:r>
      <w:r w:rsidRPr="00EF5208">
        <w:rPr>
          <w:rFonts w:cs="Arial"/>
        </w:rPr>
        <w:t>,000</w:t>
      </w:r>
      <w:r w:rsidR="00EF5208">
        <w:rPr>
          <w:rFonts w:cs="Arial"/>
        </w:rPr>
        <w:t>.00</w:t>
      </w:r>
      <w:r>
        <w:rPr>
          <w:rFonts w:cs="Arial"/>
        </w:rPr>
        <w:t xml:space="preserve"> will need to be </w:t>
      </w:r>
      <w:r w:rsidR="00230DDF">
        <w:rPr>
          <w:rFonts w:cs="Arial"/>
        </w:rPr>
        <w:t>made available</w:t>
      </w:r>
      <w:r>
        <w:rPr>
          <w:rFonts w:cs="Arial"/>
        </w:rPr>
        <w:t xml:space="preserve"> annually.</w:t>
      </w:r>
      <w:r>
        <w:rPr>
          <w:rStyle w:val="FootnoteReference"/>
          <w:rFonts w:cs="Arial"/>
        </w:rPr>
        <w:footnoteReference w:id="7"/>
      </w:r>
      <w:r>
        <w:rPr>
          <w:rFonts w:cs="Arial"/>
        </w:rPr>
        <w:t xml:space="preserve"> It </w:t>
      </w:r>
      <w:r w:rsidR="00FE0F32">
        <w:rPr>
          <w:rFonts w:cs="Arial"/>
        </w:rPr>
        <w:t xml:space="preserve">should also be noted that if </w:t>
      </w:r>
      <w:r>
        <w:rPr>
          <w:rFonts w:cs="Arial"/>
        </w:rPr>
        <w:t>drug treatment orders were extended to all persons wanting to access the p</w:t>
      </w:r>
      <w:r w:rsidR="004B12F8">
        <w:rPr>
          <w:rFonts w:cs="Arial"/>
        </w:rPr>
        <w:t xml:space="preserve">rogram in the Magistrates Court, </w:t>
      </w:r>
      <w:r>
        <w:rPr>
          <w:rFonts w:cs="Arial"/>
        </w:rPr>
        <w:t xml:space="preserve">the numbers would be much higher, particularly given the program’s current restriction to 80 participants and its inaccessibility to persons </w:t>
      </w:r>
      <w:r w:rsidR="00566A46">
        <w:rPr>
          <w:rFonts w:cs="Arial"/>
        </w:rPr>
        <w:t xml:space="preserve">who </w:t>
      </w:r>
      <w:r w:rsidR="009004C9">
        <w:rPr>
          <w:rFonts w:cs="Arial"/>
        </w:rPr>
        <w:t xml:space="preserve">solely </w:t>
      </w:r>
      <w:r w:rsidR="00566A46">
        <w:rPr>
          <w:rFonts w:cs="Arial"/>
        </w:rPr>
        <w:t>misuse pharmaceuticals or alcohol</w:t>
      </w:r>
      <w:r>
        <w:rPr>
          <w:rFonts w:cs="Arial"/>
        </w:rPr>
        <w:t>.</w:t>
      </w:r>
      <w:r>
        <w:rPr>
          <w:rStyle w:val="FootnoteReference"/>
          <w:rFonts w:cs="Arial"/>
        </w:rPr>
        <w:footnoteReference w:id="8"/>
      </w:r>
      <w:r>
        <w:rPr>
          <w:rFonts w:cs="Arial"/>
        </w:rPr>
        <w:t xml:space="preserve"> </w:t>
      </w:r>
    </w:p>
    <w:p w14:paraId="7538EE88" w14:textId="77777777" w:rsidR="00514884" w:rsidRDefault="00514884" w:rsidP="00514884">
      <w:pPr>
        <w:ind w:left="-284" w:right="-347"/>
        <w:jc w:val="both"/>
        <w:rPr>
          <w:rFonts w:cs="Arial"/>
        </w:rPr>
      </w:pPr>
    </w:p>
    <w:p w14:paraId="06FC9B69" w14:textId="60F35E21" w:rsidR="00917887" w:rsidRDefault="005C6E7F" w:rsidP="00917887">
      <w:pPr>
        <w:ind w:left="-284" w:right="-347"/>
        <w:jc w:val="both"/>
        <w:rPr>
          <w:rFonts w:cs="Arial"/>
        </w:rPr>
      </w:pPr>
      <w:r>
        <w:rPr>
          <w:rFonts w:cs="Arial"/>
        </w:rPr>
        <w:t>In light of these figures it is vitally important that the State Government at the very least match</w:t>
      </w:r>
      <w:r w:rsidR="003C2A1C">
        <w:rPr>
          <w:rFonts w:cs="Arial"/>
        </w:rPr>
        <w:t>es</w:t>
      </w:r>
      <w:r>
        <w:rPr>
          <w:rFonts w:cs="Arial"/>
        </w:rPr>
        <w:t xml:space="preserve"> the funding made available through the Federal Government’s Illicit Drug Diversion Initiative to ensure that all offenders sentenced in the Supreme Court assessed as </w:t>
      </w:r>
      <w:r w:rsidR="00BE15CC">
        <w:rPr>
          <w:rFonts w:cs="Arial"/>
        </w:rPr>
        <w:t xml:space="preserve">both </w:t>
      </w:r>
      <w:r>
        <w:rPr>
          <w:rFonts w:cs="Arial"/>
        </w:rPr>
        <w:t>eligible and suitable are able to access the treatment they require to address their underly</w:t>
      </w:r>
      <w:r w:rsidR="00917887">
        <w:rPr>
          <w:rFonts w:cs="Arial"/>
        </w:rPr>
        <w:t>ing drug problem.</w:t>
      </w:r>
      <w:r w:rsidR="00917887">
        <w:rPr>
          <w:rStyle w:val="FootnoteReference"/>
          <w:rFonts w:cs="Arial"/>
        </w:rPr>
        <w:footnoteReference w:id="9"/>
      </w:r>
      <w:r w:rsidR="00917887">
        <w:rPr>
          <w:rFonts w:cs="Arial"/>
        </w:rPr>
        <w:t xml:space="preserve">  </w:t>
      </w:r>
    </w:p>
    <w:p w14:paraId="67871876" w14:textId="77777777" w:rsidR="004B31C7" w:rsidRDefault="004B31C7" w:rsidP="00917887">
      <w:pPr>
        <w:ind w:left="-284" w:right="-347"/>
        <w:jc w:val="both"/>
        <w:rPr>
          <w:rFonts w:cs="Arial"/>
        </w:rPr>
      </w:pPr>
    </w:p>
    <w:p w14:paraId="24E5464E" w14:textId="0AC6F209" w:rsidR="00BE15CC" w:rsidRPr="00BE15CC" w:rsidRDefault="00BE15CC" w:rsidP="00917887">
      <w:pPr>
        <w:ind w:left="-284" w:right="-347"/>
        <w:jc w:val="both"/>
        <w:rPr>
          <w:rFonts w:cs="Arial"/>
          <w:b/>
          <w:i/>
        </w:rPr>
      </w:pPr>
      <w:r w:rsidRPr="00BE15CC">
        <w:rPr>
          <w:rFonts w:cs="Arial"/>
          <w:b/>
          <w:i/>
        </w:rPr>
        <w:t>- Deferred Sentences</w:t>
      </w:r>
    </w:p>
    <w:p w14:paraId="355EAE05" w14:textId="24BCC801" w:rsidR="00505FB6" w:rsidRDefault="0025005D" w:rsidP="00917887">
      <w:pPr>
        <w:ind w:left="-284" w:right="-347"/>
        <w:jc w:val="both"/>
        <w:rPr>
          <w:rFonts w:cs="Arial"/>
        </w:rPr>
      </w:pPr>
      <w:r>
        <w:rPr>
          <w:rFonts w:cs="Arial"/>
        </w:rPr>
        <w:t>With regard to deferred sentences it is essential that offenders have both the opportunity to be assessed and if eligible be able to access an appropriate reint</w:t>
      </w:r>
      <w:r w:rsidR="00BD7A77">
        <w:rPr>
          <w:rFonts w:cs="Arial"/>
        </w:rPr>
        <w:t>egration program. As the Bill currently stands</w:t>
      </w:r>
      <w:r>
        <w:rPr>
          <w:rFonts w:cs="Arial"/>
        </w:rPr>
        <w:t xml:space="preserve">, the court is able to defer a sentence so that an offender’s capacity and prospects for rehabilitation can be assessed </w:t>
      </w:r>
      <w:r w:rsidRPr="00BE15CC">
        <w:rPr>
          <w:rFonts w:cs="Arial"/>
          <w:u w:val="single"/>
        </w:rPr>
        <w:t>or</w:t>
      </w:r>
      <w:r>
        <w:rPr>
          <w:rFonts w:cs="Arial"/>
        </w:rPr>
        <w:t xml:space="preserve"> to allow an offender to participate in a reintegration program. However, there </w:t>
      </w:r>
      <w:r w:rsidR="00505FB6">
        <w:rPr>
          <w:rFonts w:cs="Arial"/>
        </w:rPr>
        <w:t>appears to be no scope for the court to hav</w:t>
      </w:r>
      <w:r w:rsidR="00BD7A77">
        <w:rPr>
          <w:rFonts w:cs="Arial"/>
        </w:rPr>
        <w:t>e the offender assessed and if considered capable</w:t>
      </w:r>
      <w:r w:rsidR="00505FB6">
        <w:rPr>
          <w:rFonts w:cs="Arial"/>
        </w:rPr>
        <w:t xml:space="preserve"> </w:t>
      </w:r>
      <w:r w:rsidR="00BD7A77">
        <w:rPr>
          <w:rFonts w:cs="Arial"/>
        </w:rPr>
        <w:t xml:space="preserve">to be </w:t>
      </w:r>
      <w:r w:rsidR="00505FB6">
        <w:rPr>
          <w:rFonts w:cs="Arial"/>
        </w:rPr>
        <w:t>referred to a reintegration program. A simple reform that would address this difficulty would be to add the following:</w:t>
      </w:r>
    </w:p>
    <w:p w14:paraId="115A4B92" w14:textId="77777777" w:rsidR="00505FB6" w:rsidRDefault="00505FB6" w:rsidP="00917887">
      <w:pPr>
        <w:ind w:left="-284" w:right="-347"/>
        <w:jc w:val="both"/>
        <w:rPr>
          <w:rFonts w:cs="Arial"/>
        </w:rPr>
      </w:pPr>
    </w:p>
    <w:p w14:paraId="5011E5A6" w14:textId="77777777" w:rsidR="00505FB6" w:rsidRPr="00BD7A77" w:rsidRDefault="00505FB6" w:rsidP="00BD7A77">
      <w:pPr>
        <w:ind w:left="284" w:right="-347"/>
        <w:jc w:val="both"/>
        <w:rPr>
          <w:rFonts w:cs="Arial"/>
          <w:b/>
          <w:sz w:val="22"/>
          <w:szCs w:val="22"/>
        </w:rPr>
      </w:pPr>
      <w:r w:rsidRPr="00BD7A77">
        <w:rPr>
          <w:rFonts w:cs="Arial"/>
          <w:b/>
          <w:sz w:val="22"/>
          <w:szCs w:val="22"/>
        </w:rPr>
        <w:t>When sentence may be deferred under section 7(</w:t>
      </w:r>
      <w:proofErr w:type="spellStart"/>
      <w:r w:rsidRPr="00BD7A77">
        <w:rPr>
          <w:rFonts w:cs="Arial"/>
          <w:b/>
          <w:sz w:val="22"/>
          <w:szCs w:val="22"/>
        </w:rPr>
        <w:t>eb</w:t>
      </w:r>
      <w:proofErr w:type="spellEnd"/>
      <w:r w:rsidRPr="00BD7A77">
        <w:rPr>
          <w:rFonts w:cs="Arial"/>
          <w:b/>
          <w:sz w:val="22"/>
          <w:szCs w:val="22"/>
        </w:rPr>
        <w:t>)</w:t>
      </w:r>
    </w:p>
    <w:p w14:paraId="7F082D0D" w14:textId="77777777" w:rsidR="00505FB6" w:rsidRDefault="00505FB6" w:rsidP="00917887">
      <w:pPr>
        <w:ind w:left="-284" w:right="-347"/>
        <w:jc w:val="both"/>
        <w:rPr>
          <w:rFonts w:cs="Arial"/>
        </w:rPr>
      </w:pPr>
    </w:p>
    <w:p w14:paraId="432D492B" w14:textId="77777777" w:rsidR="00505FB6" w:rsidRPr="00BD7A77" w:rsidRDefault="00505FB6" w:rsidP="00BD7A77">
      <w:pPr>
        <w:ind w:left="284" w:right="609"/>
        <w:jc w:val="both"/>
        <w:rPr>
          <w:rFonts w:cs="Arial"/>
          <w:sz w:val="22"/>
          <w:szCs w:val="22"/>
        </w:rPr>
      </w:pPr>
      <w:r w:rsidRPr="00BD7A77">
        <w:rPr>
          <w:rFonts w:cs="Arial"/>
          <w:sz w:val="22"/>
          <w:szCs w:val="22"/>
        </w:rPr>
        <w:t>(1) The Court may adjourn proceedings in relation to an offender under section 7(</w:t>
      </w:r>
      <w:proofErr w:type="spellStart"/>
      <w:r w:rsidRPr="00BD7A77">
        <w:rPr>
          <w:rFonts w:cs="Arial"/>
          <w:sz w:val="22"/>
          <w:szCs w:val="22"/>
        </w:rPr>
        <w:t>eb</w:t>
      </w:r>
      <w:proofErr w:type="spellEnd"/>
      <w:r w:rsidRPr="00BD7A77">
        <w:rPr>
          <w:rFonts w:cs="Arial"/>
          <w:sz w:val="22"/>
          <w:szCs w:val="22"/>
        </w:rPr>
        <w:t xml:space="preserve">) so as to defer, in accordance with this division, sentencing the offender. </w:t>
      </w:r>
    </w:p>
    <w:p w14:paraId="50FBD102" w14:textId="77777777" w:rsidR="00505FB6" w:rsidRPr="00BD7A77" w:rsidRDefault="00505FB6" w:rsidP="00BD7A77">
      <w:pPr>
        <w:ind w:left="284" w:right="609"/>
        <w:jc w:val="both"/>
        <w:rPr>
          <w:rFonts w:cs="Arial"/>
          <w:sz w:val="22"/>
          <w:szCs w:val="22"/>
        </w:rPr>
      </w:pPr>
    </w:p>
    <w:p w14:paraId="678E1E47" w14:textId="1F60B26E" w:rsidR="00505FB6" w:rsidRPr="00BD7A77" w:rsidRDefault="00505FB6" w:rsidP="00BD7A77">
      <w:pPr>
        <w:ind w:left="284" w:right="609"/>
        <w:jc w:val="both"/>
        <w:rPr>
          <w:rFonts w:cs="Arial"/>
          <w:sz w:val="22"/>
          <w:szCs w:val="22"/>
        </w:rPr>
      </w:pPr>
      <w:r w:rsidRPr="00BD7A77">
        <w:rPr>
          <w:rFonts w:cs="Arial"/>
          <w:sz w:val="22"/>
          <w:szCs w:val="22"/>
        </w:rPr>
        <w:t xml:space="preserve">(2) The Court may defer, in accordance with this Division, sentencing an offender – </w:t>
      </w:r>
    </w:p>
    <w:p w14:paraId="5BA9ECD7" w14:textId="77777777" w:rsidR="00505FB6" w:rsidRPr="00BD7A77" w:rsidRDefault="00505FB6" w:rsidP="00BD7A77">
      <w:pPr>
        <w:ind w:left="284" w:right="609"/>
        <w:jc w:val="both"/>
        <w:rPr>
          <w:rFonts w:cs="Arial"/>
          <w:sz w:val="22"/>
          <w:szCs w:val="22"/>
        </w:rPr>
      </w:pPr>
    </w:p>
    <w:p w14:paraId="61D486AD" w14:textId="79518415" w:rsidR="00505FB6" w:rsidRPr="00BD7A77" w:rsidRDefault="00505FB6" w:rsidP="00BD7A77">
      <w:pPr>
        <w:ind w:left="720" w:right="609"/>
        <w:jc w:val="both"/>
        <w:rPr>
          <w:rFonts w:cs="Arial"/>
          <w:sz w:val="22"/>
          <w:szCs w:val="22"/>
        </w:rPr>
      </w:pPr>
      <w:r w:rsidRPr="00BD7A77">
        <w:rPr>
          <w:rFonts w:cs="Arial"/>
          <w:sz w:val="22"/>
          <w:szCs w:val="22"/>
        </w:rPr>
        <w:t xml:space="preserve">(a) </w:t>
      </w:r>
      <w:proofErr w:type="gramStart"/>
      <w:r w:rsidRPr="00BD7A77">
        <w:rPr>
          <w:rFonts w:cs="Arial"/>
          <w:sz w:val="22"/>
          <w:szCs w:val="22"/>
        </w:rPr>
        <w:t>so</w:t>
      </w:r>
      <w:proofErr w:type="gramEnd"/>
      <w:r w:rsidRPr="00BD7A77">
        <w:rPr>
          <w:rFonts w:cs="Arial"/>
          <w:sz w:val="22"/>
          <w:szCs w:val="22"/>
        </w:rPr>
        <w:t xml:space="preserve"> as to allow for the assessment of the offender’s capacity, and prospects for rehabilitation; </w:t>
      </w:r>
      <w:r w:rsidR="00BD7A77" w:rsidRPr="00BD7A77">
        <w:rPr>
          <w:rFonts w:cs="Arial"/>
          <w:color w:val="FF0000"/>
          <w:sz w:val="22"/>
          <w:szCs w:val="22"/>
        </w:rPr>
        <w:t>and/</w:t>
      </w:r>
      <w:r w:rsidRPr="00BD7A77">
        <w:rPr>
          <w:rFonts w:cs="Arial"/>
          <w:sz w:val="22"/>
          <w:szCs w:val="22"/>
        </w:rPr>
        <w:t>or</w:t>
      </w:r>
    </w:p>
    <w:p w14:paraId="1E317131" w14:textId="77777777" w:rsidR="00505FB6" w:rsidRPr="00BD7A77" w:rsidRDefault="00505FB6" w:rsidP="00BD7A77">
      <w:pPr>
        <w:ind w:left="284" w:right="609"/>
        <w:jc w:val="both"/>
        <w:rPr>
          <w:rFonts w:cs="Arial"/>
          <w:sz w:val="22"/>
          <w:szCs w:val="22"/>
        </w:rPr>
      </w:pPr>
    </w:p>
    <w:p w14:paraId="69D01CD8" w14:textId="474522E6" w:rsidR="00505FB6" w:rsidRPr="00BD7A77" w:rsidRDefault="00505FB6" w:rsidP="00BD7A77">
      <w:pPr>
        <w:ind w:left="720" w:right="609"/>
        <w:jc w:val="both"/>
        <w:rPr>
          <w:rFonts w:cs="Arial"/>
          <w:sz w:val="22"/>
          <w:szCs w:val="22"/>
        </w:rPr>
      </w:pPr>
      <w:r w:rsidRPr="00BD7A77">
        <w:rPr>
          <w:rFonts w:cs="Arial"/>
          <w:sz w:val="22"/>
          <w:szCs w:val="22"/>
        </w:rPr>
        <w:t xml:space="preserve">(b) </w:t>
      </w:r>
      <w:proofErr w:type="gramStart"/>
      <w:r w:rsidRPr="00BD7A77">
        <w:rPr>
          <w:rFonts w:cs="Arial"/>
          <w:sz w:val="22"/>
          <w:szCs w:val="22"/>
        </w:rPr>
        <w:t>to</w:t>
      </w:r>
      <w:proofErr w:type="gramEnd"/>
      <w:r w:rsidRPr="00BD7A77">
        <w:rPr>
          <w:rFonts w:cs="Arial"/>
          <w:sz w:val="22"/>
          <w:szCs w:val="22"/>
        </w:rPr>
        <w:t xml:space="preserve"> allow the offender to demonstrate that the offender is being, or has been, rehabilitated; </w:t>
      </w:r>
      <w:r w:rsidR="00BD7A77" w:rsidRPr="00BD7A77">
        <w:rPr>
          <w:rFonts w:cs="Arial"/>
          <w:color w:val="FF0000"/>
          <w:sz w:val="22"/>
          <w:szCs w:val="22"/>
        </w:rPr>
        <w:t>and/</w:t>
      </w:r>
      <w:r w:rsidRPr="00BD7A77">
        <w:rPr>
          <w:rFonts w:cs="Arial"/>
          <w:sz w:val="22"/>
          <w:szCs w:val="22"/>
        </w:rPr>
        <w:t>or</w:t>
      </w:r>
    </w:p>
    <w:p w14:paraId="52E442F3" w14:textId="77777777" w:rsidR="00505FB6" w:rsidRPr="00BD7A77" w:rsidRDefault="00505FB6" w:rsidP="00BD7A77">
      <w:pPr>
        <w:ind w:left="284" w:right="609"/>
        <w:jc w:val="both"/>
        <w:rPr>
          <w:rFonts w:cs="Arial"/>
          <w:sz w:val="22"/>
          <w:szCs w:val="22"/>
        </w:rPr>
      </w:pPr>
    </w:p>
    <w:p w14:paraId="4A16B110" w14:textId="628C3440" w:rsidR="00505FB6" w:rsidRPr="00BD7A77" w:rsidRDefault="00505FB6" w:rsidP="00BD7A77">
      <w:pPr>
        <w:ind w:left="284" w:right="609" w:firstLine="436"/>
        <w:jc w:val="both"/>
        <w:rPr>
          <w:rFonts w:cs="Arial"/>
          <w:sz w:val="22"/>
          <w:szCs w:val="22"/>
        </w:rPr>
      </w:pPr>
      <w:r w:rsidRPr="00BD7A77">
        <w:rPr>
          <w:rFonts w:cs="Arial"/>
          <w:sz w:val="22"/>
          <w:szCs w:val="22"/>
        </w:rPr>
        <w:t xml:space="preserve">(c) </w:t>
      </w:r>
      <w:proofErr w:type="gramStart"/>
      <w:r w:rsidRPr="00BD7A77">
        <w:rPr>
          <w:rFonts w:cs="Arial"/>
          <w:sz w:val="22"/>
          <w:szCs w:val="22"/>
        </w:rPr>
        <w:t>to</w:t>
      </w:r>
      <w:proofErr w:type="gramEnd"/>
      <w:r w:rsidRPr="00BD7A77">
        <w:rPr>
          <w:rFonts w:cs="Arial"/>
          <w:sz w:val="22"/>
          <w:szCs w:val="22"/>
        </w:rPr>
        <w:t xml:space="preserve"> allow the offender to participate in a reintegration program.    </w:t>
      </w:r>
    </w:p>
    <w:p w14:paraId="4258A267" w14:textId="77777777" w:rsidR="00BD7A77" w:rsidRDefault="00BD7A77" w:rsidP="00BD7A77">
      <w:pPr>
        <w:ind w:right="-347"/>
        <w:jc w:val="both"/>
        <w:rPr>
          <w:rFonts w:cs="Arial"/>
        </w:rPr>
      </w:pPr>
    </w:p>
    <w:p w14:paraId="6BFCA816" w14:textId="2F3A0A2E" w:rsidR="00681B07" w:rsidRDefault="004B31C7" w:rsidP="00917887">
      <w:pPr>
        <w:ind w:left="-284" w:right="-347"/>
        <w:jc w:val="both"/>
        <w:rPr>
          <w:rFonts w:cs="Arial"/>
        </w:rPr>
      </w:pPr>
      <w:r>
        <w:rPr>
          <w:rFonts w:cs="Arial"/>
        </w:rPr>
        <w:t xml:space="preserve">It </w:t>
      </w:r>
      <w:r w:rsidR="00BD7A77">
        <w:rPr>
          <w:rFonts w:cs="Arial"/>
        </w:rPr>
        <w:t>must</w:t>
      </w:r>
      <w:r>
        <w:rPr>
          <w:rFonts w:cs="Arial"/>
        </w:rPr>
        <w:t xml:space="preserve"> al</w:t>
      </w:r>
      <w:r w:rsidR="00197247">
        <w:rPr>
          <w:rFonts w:cs="Arial"/>
        </w:rPr>
        <w:t xml:space="preserve">so be noted that </w:t>
      </w:r>
      <w:r w:rsidR="0025005D">
        <w:rPr>
          <w:rFonts w:cs="Arial"/>
        </w:rPr>
        <w:t>if the principle of equality before the law is to be upheld there must be appropriate funding provided for deferred sentences</w:t>
      </w:r>
      <w:r w:rsidR="00BD7A77">
        <w:rPr>
          <w:rFonts w:cs="Arial"/>
        </w:rPr>
        <w:t xml:space="preserve"> and in particu</w:t>
      </w:r>
      <w:r w:rsidR="00681B07">
        <w:rPr>
          <w:rFonts w:cs="Arial"/>
        </w:rPr>
        <w:t xml:space="preserve">lar the provision of assessment </w:t>
      </w:r>
      <w:r w:rsidR="00BD7A77">
        <w:rPr>
          <w:rFonts w:cs="Arial"/>
        </w:rPr>
        <w:t xml:space="preserve">and </w:t>
      </w:r>
      <w:r w:rsidR="00900036">
        <w:rPr>
          <w:rFonts w:cs="Arial"/>
        </w:rPr>
        <w:t>participation in a</w:t>
      </w:r>
      <w:r w:rsidR="00BD7A77">
        <w:rPr>
          <w:rFonts w:cs="Arial"/>
        </w:rPr>
        <w:t xml:space="preserve"> reintegration program</w:t>
      </w:r>
      <w:r w:rsidR="00900036">
        <w:rPr>
          <w:rFonts w:cs="Arial"/>
        </w:rPr>
        <w:t>.</w:t>
      </w:r>
      <w:r w:rsidR="00681B07">
        <w:rPr>
          <w:rFonts w:cs="Arial"/>
        </w:rPr>
        <w:t xml:space="preserve"> It is essential that these services are available to all offen</w:t>
      </w:r>
      <w:r w:rsidR="00900036">
        <w:rPr>
          <w:rFonts w:cs="Arial"/>
        </w:rPr>
        <w:t>ders and not just those with</w:t>
      </w:r>
      <w:r w:rsidR="00681B07">
        <w:rPr>
          <w:rFonts w:cs="Arial"/>
        </w:rPr>
        <w:t xml:space="preserve"> financial means. It would be extremely concerning if </w:t>
      </w:r>
      <w:r w:rsidR="00900036">
        <w:rPr>
          <w:rFonts w:cs="Arial"/>
        </w:rPr>
        <w:t>a paucity of funding resulted in the wealthy having the means to</w:t>
      </w:r>
      <w:r w:rsidR="00681B07">
        <w:rPr>
          <w:rFonts w:cs="Arial"/>
        </w:rPr>
        <w:t xml:space="preserve"> access assessment or </w:t>
      </w:r>
      <w:r w:rsidR="00900036">
        <w:rPr>
          <w:rFonts w:cs="Arial"/>
        </w:rPr>
        <w:t xml:space="preserve">participation in </w:t>
      </w:r>
      <w:r w:rsidR="00681B07">
        <w:rPr>
          <w:rFonts w:cs="Arial"/>
        </w:rPr>
        <w:t>a reintegr</w:t>
      </w:r>
      <w:r w:rsidR="00BE15CC">
        <w:rPr>
          <w:rFonts w:cs="Arial"/>
        </w:rPr>
        <w:t xml:space="preserve">ation program and thereby avoid </w:t>
      </w:r>
      <w:r w:rsidR="00681B07">
        <w:rPr>
          <w:rFonts w:cs="Arial"/>
        </w:rPr>
        <w:t>imprisonment while the financially disadvantaged were sentenced to imprisonment due to the</w:t>
      </w:r>
      <w:r w:rsidR="00900036">
        <w:rPr>
          <w:rFonts w:cs="Arial"/>
        </w:rPr>
        <w:t>ir</w:t>
      </w:r>
      <w:r w:rsidR="00681B07">
        <w:rPr>
          <w:rFonts w:cs="Arial"/>
        </w:rPr>
        <w:t xml:space="preserve"> impecuniosity.</w:t>
      </w:r>
    </w:p>
    <w:p w14:paraId="4E7DD700" w14:textId="68C40C4D" w:rsidR="00917887" w:rsidRDefault="00681B07" w:rsidP="00900036">
      <w:pPr>
        <w:ind w:right="-347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5DE023CC" w14:textId="7E36FE17" w:rsidR="00883017" w:rsidRDefault="0037263B" w:rsidP="00917887">
      <w:pPr>
        <w:ind w:left="-284" w:right="-347"/>
        <w:jc w:val="both"/>
        <w:rPr>
          <w:rFonts w:cs="Arial"/>
        </w:rPr>
      </w:pPr>
      <w:r>
        <w:rPr>
          <w:rFonts w:cs="Arial"/>
        </w:rPr>
        <w:t>We are very concerned</w:t>
      </w:r>
      <w:r w:rsidR="000271CE">
        <w:rPr>
          <w:rFonts w:cs="Arial"/>
        </w:rPr>
        <w:t xml:space="preserve"> </w:t>
      </w:r>
      <w:r>
        <w:rPr>
          <w:rFonts w:cs="Arial"/>
        </w:rPr>
        <w:t xml:space="preserve">that a </w:t>
      </w:r>
      <w:r w:rsidR="000271CE">
        <w:rPr>
          <w:rFonts w:cs="Arial"/>
        </w:rPr>
        <w:t xml:space="preserve">failure to provide the necessary resourcing </w:t>
      </w:r>
      <w:r w:rsidR="006C60A0">
        <w:rPr>
          <w:rFonts w:cs="Arial"/>
        </w:rPr>
        <w:t xml:space="preserve">for both drug treatment orders and deferred sentences </w:t>
      </w:r>
      <w:r w:rsidR="000271CE">
        <w:rPr>
          <w:rFonts w:cs="Arial"/>
        </w:rPr>
        <w:t>will almost certainly result in increased prison numbers. This is because t</w:t>
      </w:r>
      <w:r w:rsidR="00883017">
        <w:rPr>
          <w:rFonts w:cs="Arial"/>
        </w:rPr>
        <w:t xml:space="preserve">he inability of </w:t>
      </w:r>
      <w:r w:rsidR="000271CE">
        <w:rPr>
          <w:rFonts w:cs="Arial"/>
        </w:rPr>
        <w:t>the courts</w:t>
      </w:r>
      <w:r w:rsidR="00883017">
        <w:rPr>
          <w:rFonts w:cs="Arial"/>
        </w:rPr>
        <w:t xml:space="preserve"> to impose a suspended sentence at the same t</w:t>
      </w:r>
      <w:r w:rsidR="000271CE">
        <w:rPr>
          <w:rFonts w:cs="Arial"/>
        </w:rPr>
        <w:t>ime as the drug treatment order program</w:t>
      </w:r>
      <w:r w:rsidR="00883017">
        <w:rPr>
          <w:rFonts w:cs="Arial"/>
        </w:rPr>
        <w:t xml:space="preserve"> </w:t>
      </w:r>
      <w:r w:rsidR="000271CE">
        <w:rPr>
          <w:rFonts w:cs="Arial"/>
        </w:rPr>
        <w:t xml:space="preserve">is </w:t>
      </w:r>
      <w:r w:rsidR="00883017">
        <w:rPr>
          <w:rFonts w:cs="Arial"/>
        </w:rPr>
        <w:t xml:space="preserve">operating at capacity </w:t>
      </w:r>
      <w:r w:rsidR="00EF1630">
        <w:rPr>
          <w:rFonts w:cs="Arial"/>
        </w:rPr>
        <w:t xml:space="preserve">or because a lack of funding to assess offenders and/or allow the offender to participate in a reintegration program as part of a deferred sentence </w:t>
      </w:r>
      <w:r w:rsidR="000271CE">
        <w:rPr>
          <w:rFonts w:cs="Arial"/>
        </w:rPr>
        <w:t xml:space="preserve">will mean </w:t>
      </w:r>
      <w:r w:rsidR="00883017">
        <w:rPr>
          <w:rFonts w:cs="Arial"/>
        </w:rPr>
        <w:t>tha</w:t>
      </w:r>
      <w:r w:rsidR="000271CE">
        <w:rPr>
          <w:rFonts w:cs="Arial"/>
        </w:rPr>
        <w:t>t judicial officers will have little</w:t>
      </w:r>
      <w:r w:rsidR="00883017">
        <w:rPr>
          <w:rFonts w:cs="Arial"/>
        </w:rPr>
        <w:t xml:space="preserve"> choice but to sentence offenders to terms of imprisonment. </w:t>
      </w:r>
    </w:p>
    <w:p w14:paraId="7ACA4257" w14:textId="77777777" w:rsidR="00883017" w:rsidRDefault="00883017" w:rsidP="00883017">
      <w:pPr>
        <w:ind w:left="-284" w:right="-347"/>
        <w:jc w:val="both"/>
        <w:rPr>
          <w:rFonts w:cs="Arial"/>
        </w:rPr>
      </w:pPr>
      <w:r>
        <w:rPr>
          <w:rFonts w:cs="Arial"/>
        </w:rPr>
        <w:t xml:space="preserve">    </w:t>
      </w:r>
    </w:p>
    <w:p w14:paraId="6C010625" w14:textId="5096137D" w:rsidR="00D13514" w:rsidRDefault="00230DDF" w:rsidP="00332531">
      <w:pPr>
        <w:ind w:left="-284" w:right="-347"/>
        <w:jc w:val="both"/>
        <w:rPr>
          <w:rFonts w:cs="Arial"/>
        </w:rPr>
      </w:pPr>
      <w:r>
        <w:rPr>
          <w:rFonts w:cs="Arial"/>
        </w:rPr>
        <w:t>In summary, w</w:t>
      </w:r>
      <w:r w:rsidR="00C41180">
        <w:rPr>
          <w:rFonts w:cs="Arial"/>
        </w:rPr>
        <w:t xml:space="preserve">hilst we strongly support the intention of the Bill and commend the Government for introducing such an important reform, the passing of the Bill has the potential to be counter-productive if </w:t>
      </w:r>
      <w:r w:rsidR="00AD48AD">
        <w:rPr>
          <w:rFonts w:cs="Arial"/>
        </w:rPr>
        <w:t>not properly funded</w:t>
      </w:r>
      <w:r w:rsidR="00D13514">
        <w:rPr>
          <w:rFonts w:cs="Arial"/>
        </w:rPr>
        <w:t>.</w:t>
      </w:r>
      <w:r>
        <w:rPr>
          <w:rFonts w:cs="Arial"/>
        </w:rPr>
        <w:t xml:space="preserve"> In the strongest possible terms we call on the Government to </w:t>
      </w:r>
      <w:r w:rsidR="00291024">
        <w:rPr>
          <w:rFonts w:cs="Arial"/>
        </w:rPr>
        <w:t xml:space="preserve">pass this Bill but only have it proclaimed and thereby operational when the relevant </w:t>
      </w:r>
      <w:r w:rsidR="00AD48AD">
        <w:rPr>
          <w:rFonts w:cs="Arial"/>
        </w:rPr>
        <w:t xml:space="preserve">legal, </w:t>
      </w:r>
      <w:r w:rsidR="00291024">
        <w:rPr>
          <w:rFonts w:cs="Arial"/>
        </w:rPr>
        <w:t xml:space="preserve">judicial, government and non-government </w:t>
      </w:r>
      <w:r w:rsidR="00AD48AD">
        <w:rPr>
          <w:rFonts w:cs="Arial"/>
        </w:rPr>
        <w:t>sectors</w:t>
      </w:r>
      <w:r w:rsidR="00291024">
        <w:rPr>
          <w:rFonts w:cs="Arial"/>
        </w:rPr>
        <w:t xml:space="preserve"> are appropriately resourced. </w:t>
      </w:r>
      <w:r>
        <w:rPr>
          <w:rFonts w:cs="Arial"/>
        </w:rPr>
        <w:t xml:space="preserve"> </w:t>
      </w:r>
      <w:r w:rsidR="00D13514">
        <w:rPr>
          <w:rFonts w:cs="Arial"/>
        </w:rPr>
        <w:t xml:space="preserve"> </w:t>
      </w:r>
    </w:p>
    <w:p w14:paraId="1D14CCED" w14:textId="77777777" w:rsidR="00332531" w:rsidRDefault="00332531" w:rsidP="00BE15CC">
      <w:pPr>
        <w:shd w:val="clear" w:color="auto" w:fill="FFFFFF"/>
        <w:ind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42065453" w14:textId="77777777" w:rsidR="00332531" w:rsidRDefault="00332531" w:rsidP="00332531">
      <w:pPr>
        <w:shd w:val="clear" w:color="auto" w:fill="FFFFFF"/>
        <w:ind w:left="-284"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r>
        <w:rPr>
          <w:rFonts w:eastAsia="Times New Roman" w:cs="Times New Roman"/>
          <w:bCs/>
          <w:color w:val="000000" w:themeColor="text1"/>
          <w:lang w:eastAsia="en-AU"/>
        </w:rPr>
        <w:t>If we can be of any further assistance, please do not hesitate to contact us.</w:t>
      </w:r>
    </w:p>
    <w:p w14:paraId="07DDBEC9" w14:textId="77777777" w:rsidR="00332531" w:rsidRDefault="00332531" w:rsidP="00332531">
      <w:pPr>
        <w:shd w:val="clear" w:color="auto" w:fill="FFFFFF"/>
        <w:ind w:left="-284"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bookmarkStart w:id="0" w:name="_GoBack"/>
      <w:bookmarkEnd w:id="0"/>
    </w:p>
    <w:p w14:paraId="60ECD532" w14:textId="77777777" w:rsidR="00332531" w:rsidRDefault="00332531" w:rsidP="00332531">
      <w:pPr>
        <w:shd w:val="clear" w:color="auto" w:fill="FFFFFF"/>
        <w:ind w:left="-284"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r>
        <w:rPr>
          <w:rFonts w:eastAsia="Times New Roman" w:cs="Times New Roman"/>
          <w:bCs/>
          <w:color w:val="000000" w:themeColor="text1"/>
          <w:lang w:eastAsia="en-AU"/>
        </w:rPr>
        <w:t>Yours faithfully,</w:t>
      </w:r>
    </w:p>
    <w:p w14:paraId="78BBD77F" w14:textId="77777777" w:rsidR="00332531" w:rsidRDefault="00332531" w:rsidP="00332531">
      <w:pPr>
        <w:shd w:val="clear" w:color="auto" w:fill="FFFFFF"/>
        <w:ind w:left="-284"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59471866" w14:textId="77777777" w:rsidR="00332531" w:rsidRDefault="00332531" w:rsidP="00332531">
      <w:pPr>
        <w:shd w:val="clear" w:color="auto" w:fill="FFFFFF"/>
        <w:ind w:left="-284"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177FE53D" w14:textId="77777777" w:rsidR="00332531" w:rsidRDefault="00332531" w:rsidP="00332531">
      <w:pPr>
        <w:shd w:val="clear" w:color="auto" w:fill="FFFFFF"/>
        <w:ind w:left="-284"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</w:p>
    <w:p w14:paraId="208A0305" w14:textId="77777777" w:rsidR="00332531" w:rsidRDefault="00332531" w:rsidP="00332531">
      <w:pPr>
        <w:shd w:val="clear" w:color="auto" w:fill="FFFFFF"/>
        <w:ind w:left="-284"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r>
        <w:rPr>
          <w:rFonts w:eastAsia="Times New Roman" w:cs="Times New Roman"/>
          <w:bCs/>
          <w:color w:val="000000" w:themeColor="text1"/>
          <w:lang w:eastAsia="en-AU"/>
        </w:rPr>
        <w:t>Benedict Bartl</w:t>
      </w:r>
    </w:p>
    <w:p w14:paraId="69A29095" w14:textId="77777777" w:rsidR="00332531" w:rsidRDefault="00332531" w:rsidP="00332531">
      <w:pPr>
        <w:shd w:val="clear" w:color="auto" w:fill="FFFFFF"/>
        <w:ind w:left="-284"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r>
        <w:rPr>
          <w:rFonts w:eastAsia="Times New Roman" w:cs="Times New Roman"/>
          <w:bCs/>
          <w:color w:val="000000" w:themeColor="text1"/>
          <w:lang w:eastAsia="en-AU"/>
        </w:rPr>
        <w:t>Policy Officer</w:t>
      </w:r>
    </w:p>
    <w:p w14:paraId="1C91A60F" w14:textId="77777777" w:rsidR="00332531" w:rsidRPr="0031455F" w:rsidRDefault="00332531" w:rsidP="00332531">
      <w:pPr>
        <w:pBdr>
          <w:bottom w:val="single" w:sz="6" w:space="1" w:color="auto"/>
        </w:pBdr>
        <w:shd w:val="clear" w:color="auto" w:fill="FFFFFF"/>
        <w:ind w:left="-284" w:right="-347"/>
        <w:jc w:val="both"/>
        <w:rPr>
          <w:rFonts w:eastAsia="Times New Roman" w:cs="Times New Roman"/>
          <w:bCs/>
          <w:color w:val="000000" w:themeColor="text1"/>
          <w:lang w:eastAsia="en-AU"/>
        </w:rPr>
      </w:pPr>
      <w:r>
        <w:rPr>
          <w:rFonts w:eastAsia="Times New Roman" w:cs="Times New Roman"/>
          <w:bCs/>
          <w:color w:val="000000" w:themeColor="text1"/>
          <w:lang w:eastAsia="en-AU"/>
        </w:rPr>
        <w:t xml:space="preserve">Community Legal </w:t>
      </w:r>
      <w:proofErr w:type="spellStart"/>
      <w:r>
        <w:rPr>
          <w:rFonts w:eastAsia="Times New Roman" w:cs="Times New Roman"/>
          <w:bCs/>
          <w:color w:val="000000" w:themeColor="text1"/>
          <w:lang w:eastAsia="en-AU"/>
        </w:rPr>
        <w:t>Centres</w:t>
      </w:r>
      <w:proofErr w:type="spellEnd"/>
      <w:r>
        <w:rPr>
          <w:rFonts w:eastAsia="Times New Roman" w:cs="Times New Roman"/>
          <w:bCs/>
          <w:color w:val="000000" w:themeColor="text1"/>
          <w:lang w:eastAsia="en-AU"/>
        </w:rPr>
        <w:t xml:space="preserve"> Tasmania</w:t>
      </w:r>
    </w:p>
    <w:p w14:paraId="3CE0352C" w14:textId="77777777" w:rsidR="0037263B" w:rsidRDefault="0037263B" w:rsidP="0037263B">
      <w:pPr>
        <w:rPr>
          <w:rFonts w:ascii="Times" w:eastAsia="Times New Roman" w:hAnsi="Times" w:cs="Times New Roman"/>
          <w:sz w:val="28"/>
          <w:szCs w:val="28"/>
          <w:lang w:val="en-AU"/>
        </w:rPr>
      </w:pPr>
    </w:p>
    <w:sectPr w:rsidR="0037263B" w:rsidSect="00FD1655"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27E79" w14:textId="77777777" w:rsidR="003C2A1C" w:rsidRDefault="003C2A1C" w:rsidP="00332531">
      <w:r>
        <w:separator/>
      </w:r>
    </w:p>
  </w:endnote>
  <w:endnote w:type="continuationSeparator" w:id="0">
    <w:p w14:paraId="62785C83" w14:textId="77777777" w:rsidR="003C2A1C" w:rsidRDefault="003C2A1C" w:rsidP="0033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15299" w14:textId="77777777" w:rsidR="003C2A1C" w:rsidRDefault="003C2A1C" w:rsidP="00332531">
      <w:r>
        <w:separator/>
      </w:r>
    </w:p>
  </w:footnote>
  <w:footnote w:type="continuationSeparator" w:id="0">
    <w:p w14:paraId="29862026" w14:textId="77777777" w:rsidR="003C2A1C" w:rsidRDefault="003C2A1C" w:rsidP="00332531">
      <w:r>
        <w:continuationSeparator/>
      </w:r>
    </w:p>
  </w:footnote>
  <w:footnote w:id="1">
    <w:p w14:paraId="2F198016" w14:textId="1ED09E69" w:rsidR="003C2A1C" w:rsidRDefault="003C2A1C" w:rsidP="009F2580">
      <w:pPr>
        <w:pStyle w:val="FootnoteText"/>
        <w:ind w:left="-284" w:right="-383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622A2">
        <w:rPr>
          <w:sz w:val="20"/>
          <w:szCs w:val="20"/>
        </w:rPr>
        <w:t>Organisations</w:t>
      </w:r>
      <w:proofErr w:type="spellEnd"/>
      <w:r w:rsidRPr="004622A2">
        <w:rPr>
          <w:sz w:val="20"/>
          <w:szCs w:val="20"/>
        </w:rPr>
        <w:t xml:space="preserve"> that have called for appropriate resourcing include the Director of Public Prosecutions, the Department of Police and Emergency Management, the Alcohol, Tobacco and other Drugs Council of Tasmania </w:t>
      </w:r>
      <w:proofErr w:type="spellStart"/>
      <w:r w:rsidRPr="004622A2">
        <w:rPr>
          <w:sz w:val="20"/>
          <w:szCs w:val="20"/>
        </w:rPr>
        <w:t>Inc</w:t>
      </w:r>
      <w:proofErr w:type="spellEnd"/>
      <w:r w:rsidRPr="004622A2">
        <w:rPr>
          <w:sz w:val="20"/>
          <w:szCs w:val="20"/>
        </w:rPr>
        <w:t>, the Probation and Community Co</w:t>
      </w:r>
      <w:r>
        <w:rPr>
          <w:sz w:val="20"/>
          <w:szCs w:val="20"/>
        </w:rPr>
        <w:t xml:space="preserve">rrections Officers Association and </w:t>
      </w:r>
      <w:r w:rsidRPr="004622A2">
        <w:rPr>
          <w:sz w:val="20"/>
          <w:szCs w:val="20"/>
        </w:rPr>
        <w:t xml:space="preserve">the Law Society of Tasmania. As found in Sentencing Advisory Council, </w:t>
      </w:r>
      <w:r w:rsidRPr="00D77275">
        <w:rPr>
          <w:i/>
          <w:sz w:val="20"/>
          <w:szCs w:val="20"/>
        </w:rPr>
        <w:t>Phasing out of Suspended Sentences</w:t>
      </w:r>
      <w:r w:rsidRPr="004622A2">
        <w:rPr>
          <w:sz w:val="20"/>
          <w:szCs w:val="20"/>
        </w:rPr>
        <w:t xml:space="preserve"> (Final Report No. 6) March 2016) at 3-4.</w:t>
      </w:r>
      <w:r>
        <w:t xml:space="preserve">  </w:t>
      </w:r>
    </w:p>
  </w:footnote>
  <w:footnote w:id="2">
    <w:p w14:paraId="0E78CB5A" w14:textId="62BBE0DC" w:rsidR="003C2A1C" w:rsidRDefault="003C2A1C" w:rsidP="00F72CC0">
      <w:pPr>
        <w:pStyle w:val="FootnoteText"/>
        <w:ind w:left="-284" w:right="-383"/>
        <w:jc w:val="both"/>
      </w:pPr>
      <w:r>
        <w:rPr>
          <w:rStyle w:val="FootnoteReference"/>
        </w:rPr>
        <w:footnoteRef/>
      </w:r>
      <w:r>
        <w:t xml:space="preserve"> </w:t>
      </w:r>
      <w:r w:rsidRPr="009E28D9">
        <w:rPr>
          <w:sz w:val="20"/>
          <w:szCs w:val="20"/>
        </w:rPr>
        <w:t xml:space="preserve">Section 27B of the </w:t>
      </w:r>
      <w:r w:rsidRPr="009E28D9">
        <w:rPr>
          <w:i/>
          <w:sz w:val="20"/>
          <w:szCs w:val="20"/>
        </w:rPr>
        <w:t>Sentencing Act 1997</w:t>
      </w:r>
      <w:r w:rsidRPr="009E28D9">
        <w:rPr>
          <w:sz w:val="20"/>
          <w:szCs w:val="20"/>
        </w:rPr>
        <w:t xml:space="preserve"> (</w:t>
      </w:r>
      <w:proofErr w:type="spellStart"/>
      <w:r w:rsidRPr="009E28D9">
        <w:rPr>
          <w:sz w:val="20"/>
          <w:szCs w:val="20"/>
        </w:rPr>
        <w:t>Tas</w:t>
      </w:r>
      <w:proofErr w:type="spellEnd"/>
      <w:r w:rsidRPr="009E28D9">
        <w:rPr>
          <w:sz w:val="20"/>
          <w:szCs w:val="20"/>
        </w:rPr>
        <w:t>) sets out the eligibility criteria including that offenders must have a demonstra</w:t>
      </w:r>
      <w:r>
        <w:rPr>
          <w:sz w:val="20"/>
          <w:szCs w:val="20"/>
        </w:rPr>
        <w:t>ble history of illicit drug use. This criterion would</w:t>
      </w:r>
      <w:r w:rsidRPr="009E28D9">
        <w:rPr>
          <w:sz w:val="20"/>
          <w:szCs w:val="20"/>
        </w:rPr>
        <w:t xml:space="preserve"> exclude drug traffickers motivated by greed. </w:t>
      </w:r>
    </w:p>
  </w:footnote>
  <w:footnote w:id="3">
    <w:p w14:paraId="5BF75B10" w14:textId="77777777" w:rsidR="003C2A1C" w:rsidRDefault="003C2A1C" w:rsidP="00F72CC0">
      <w:pPr>
        <w:pStyle w:val="FootnoteText"/>
        <w:ind w:left="-284" w:right="-383"/>
        <w:jc w:val="both"/>
      </w:pPr>
      <w:r>
        <w:rPr>
          <w:rStyle w:val="FootnoteReference"/>
        </w:rPr>
        <w:footnoteRef/>
      </w:r>
      <w:r>
        <w:t xml:space="preserve"> </w:t>
      </w:r>
      <w:r w:rsidRPr="00967629">
        <w:rPr>
          <w:sz w:val="20"/>
          <w:szCs w:val="20"/>
        </w:rPr>
        <w:t xml:space="preserve">In 2014 CLC </w:t>
      </w:r>
      <w:proofErr w:type="spellStart"/>
      <w:r w:rsidRPr="00967629">
        <w:rPr>
          <w:sz w:val="20"/>
          <w:szCs w:val="20"/>
        </w:rPr>
        <w:t>Tas</w:t>
      </w:r>
      <w:proofErr w:type="spellEnd"/>
      <w:r w:rsidRPr="00967629">
        <w:rPr>
          <w:sz w:val="20"/>
          <w:szCs w:val="20"/>
        </w:rPr>
        <w:t xml:space="preserve"> were successfully awarded a grant from the Solicitors’ Guarantee Fund to review the social and economic impacts of drug use on the Tasmanian community. The paper is likely to be published later this year.</w:t>
      </w:r>
      <w:r>
        <w:t xml:space="preserve">   </w:t>
      </w:r>
    </w:p>
  </w:footnote>
  <w:footnote w:id="4">
    <w:p w14:paraId="1E5FE0FD" w14:textId="7CF9F2D1" w:rsidR="003C2A1C" w:rsidRDefault="003C2A1C" w:rsidP="00F72CC0">
      <w:pPr>
        <w:pStyle w:val="FootnoteText"/>
        <w:ind w:left="-284" w:right="-383"/>
        <w:jc w:val="both"/>
      </w:pPr>
      <w:r>
        <w:rPr>
          <w:rStyle w:val="FootnoteReference"/>
        </w:rPr>
        <w:footnoteRef/>
      </w:r>
      <w:r>
        <w:t xml:space="preserve"> </w:t>
      </w:r>
      <w:r w:rsidRPr="00E27E3A">
        <w:rPr>
          <w:sz w:val="20"/>
          <w:szCs w:val="20"/>
        </w:rPr>
        <w:t>‘Drug use’ is defined to include both alcohol and illicit drugs.</w:t>
      </w:r>
      <w:r>
        <w:t xml:space="preserve">  </w:t>
      </w:r>
    </w:p>
  </w:footnote>
  <w:footnote w:id="5">
    <w:p w14:paraId="2175C710" w14:textId="494799FC" w:rsidR="003C2A1C" w:rsidRDefault="003C2A1C" w:rsidP="00F72CC0">
      <w:pPr>
        <w:pStyle w:val="FootnoteText"/>
        <w:ind w:left="-284" w:right="-383"/>
        <w:jc w:val="both"/>
      </w:pPr>
      <w:r>
        <w:rPr>
          <w:rStyle w:val="FootnoteReference"/>
        </w:rPr>
        <w:footnoteRef/>
      </w:r>
      <w:r>
        <w:t xml:space="preserve"> </w:t>
      </w:r>
      <w:r w:rsidRPr="005F7E23">
        <w:rPr>
          <w:sz w:val="20"/>
          <w:szCs w:val="20"/>
        </w:rPr>
        <w:t>It is likely that some o</w:t>
      </w:r>
      <w:r>
        <w:rPr>
          <w:sz w:val="20"/>
          <w:szCs w:val="20"/>
        </w:rPr>
        <w:t>f these excluded offenders</w:t>
      </w:r>
      <w:r w:rsidRPr="005F7E23">
        <w:rPr>
          <w:sz w:val="20"/>
          <w:szCs w:val="20"/>
        </w:rPr>
        <w:t xml:space="preserve"> remain eligible given that section 27B(1)(a)(ii) of the </w:t>
      </w:r>
      <w:r w:rsidRPr="005F7E23">
        <w:rPr>
          <w:i/>
          <w:sz w:val="20"/>
          <w:szCs w:val="20"/>
        </w:rPr>
        <w:t>Sentencing Act 1997</w:t>
      </w:r>
      <w:r w:rsidRPr="005F7E23">
        <w:rPr>
          <w:sz w:val="20"/>
          <w:szCs w:val="20"/>
        </w:rPr>
        <w:t xml:space="preserve"> (</w:t>
      </w:r>
      <w:proofErr w:type="spellStart"/>
      <w:r w:rsidRPr="005F7E23">
        <w:rPr>
          <w:sz w:val="20"/>
          <w:szCs w:val="20"/>
        </w:rPr>
        <w:t>Tas</w:t>
      </w:r>
      <w:proofErr w:type="spellEnd"/>
      <w:r w:rsidRPr="005F7E23">
        <w:rPr>
          <w:sz w:val="20"/>
          <w:szCs w:val="20"/>
        </w:rPr>
        <w:t xml:space="preserve">) provides that offenders are excluded for offences involving the infliction of actual bodily harm </w:t>
      </w:r>
      <w:r w:rsidRPr="005F7E23">
        <w:rPr>
          <w:i/>
          <w:sz w:val="20"/>
          <w:szCs w:val="20"/>
        </w:rPr>
        <w:t>that, in the court’s opinion, was not minor harm</w:t>
      </w:r>
      <w:r w:rsidRPr="005F7E23">
        <w:rPr>
          <w:sz w:val="20"/>
          <w:szCs w:val="20"/>
        </w:rPr>
        <w:t>’ [emphasis added]. To avoid putting ourselves in the role of a judicial officer we have excluded all offenders convicted of offences involving the infliction of bodily harm.</w:t>
      </w:r>
      <w:r>
        <w:t xml:space="preserve">   </w:t>
      </w:r>
    </w:p>
  </w:footnote>
  <w:footnote w:id="6">
    <w:p w14:paraId="41E698B2" w14:textId="737EB28A" w:rsidR="003C2A1C" w:rsidRPr="00A136DE" w:rsidRDefault="003C2A1C" w:rsidP="00A136DE">
      <w:pPr>
        <w:ind w:left="-284" w:right="-347"/>
        <w:jc w:val="both"/>
        <w:rPr>
          <w:rFonts w:cs="Arial"/>
        </w:rPr>
      </w:pPr>
      <w:r>
        <w:rPr>
          <w:rStyle w:val="FootnoteReference"/>
        </w:rPr>
        <w:footnoteRef/>
      </w:r>
      <w:r>
        <w:t xml:space="preserve"> </w:t>
      </w:r>
      <w:r w:rsidRPr="000F5ACB">
        <w:rPr>
          <w:sz w:val="20"/>
          <w:szCs w:val="20"/>
        </w:rPr>
        <w:t xml:space="preserve">Drug treatment orders are not listed in the sentencing options available to judicial officers when sentencing youth: section 47(1) of the </w:t>
      </w:r>
      <w:r w:rsidRPr="000F5ACB">
        <w:rPr>
          <w:i/>
          <w:sz w:val="20"/>
          <w:szCs w:val="20"/>
        </w:rPr>
        <w:t>Youth Justice Act 1997</w:t>
      </w:r>
      <w:r w:rsidRPr="000F5ACB">
        <w:rPr>
          <w:sz w:val="20"/>
          <w:szCs w:val="20"/>
        </w:rPr>
        <w:t xml:space="preserve"> (</w:t>
      </w:r>
      <w:proofErr w:type="spellStart"/>
      <w:r w:rsidRPr="000F5ACB">
        <w:rPr>
          <w:sz w:val="20"/>
          <w:szCs w:val="20"/>
        </w:rPr>
        <w:t>Tas</w:t>
      </w:r>
      <w:proofErr w:type="spellEnd"/>
      <w:r w:rsidRPr="000F5ACB">
        <w:rPr>
          <w:sz w:val="20"/>
          <w:szCs w:val="20"/>
        </w:rPr>
        <w:t>).</w:t>
      </w:r>
      <w:r>
        <w:t xml:space="preserve"> </w:t>
      </w:r>
      <w:r w:rsidRPr="000F5ACB">
        <w:rPr>
          <w:sz w:val="20"/>
          <w:szCs w:val="20"/>
        </w:rPr>
        <w:t>Further, drug treatment order</w:t>
      </w:r>
      <w:r>
        <w:rPr>
          <w:sz w:val="20"/>
          <w:szCs w:val="20"/>
        </w:rPr>
        <w:t>s</w:t>
      </w:r>
      <w:r w:rsidRPr="000F5A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are only available </w:t>
      </w:r>
      <w:r w:rsidRPr="000F5ACB">
        <w:rPr>
          <w:sz w:val="20"/>
          <w:szCs w:val="20"/>
        </w:rPr>
        <w:t>where the offender would otherwise have been sentenced to a term of imprisonment</w:t>
      </w:r>
      <w:r>
        <w:rPr>
          <w:sz w:val="20"/>
          <w:szCs w:val="20"/>
        </w:rPr>
        <w:t>: s</w:t>
      </w:r>
      <w:r w:rsidRPr="00EE0BDB">
        <w:rPr>
          <w:sz w:val="20"/>
          <w:szCs w:val="20"/>
        </w:rPr>
        <w:t>ection 27B(1)(c)(</w:t>
      </w:r>
      <w:proofErr w:type="spellStart"/>
      <w:r w:rsidRPr="00EE0BDB">
        <w:rPr>
          <w:sz w:val="20"/>
          <w:szCs w:val="20"/>
        </w:rPr>
        <w:t>i</w:t>
      </w:r>
      <w:proofErr w:type="spellEnd"/>
      <w:r w:rsidRPr="00EE0BDB">
        <w:rPr>
          <w:sz w:val="20"/>
          <w:szCs w:val="20"/>
        </w:rPr>
        <w:t xml:space="preserve">) of the </w:t>
      </w:r>
      <w:r w:rsidRPr="00EE0BDB">
        <w:rPr>
          <w:i/>
          <w:sz w:val="20"/>
          <w:szCs w:val="20"/>
        </w:rPr>
        <w:t>Sentencing Act 1997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Tas</w:t>
      </w:r>
      <w:proofErr w:type="spellEnd"/>
      <w:r>
        <w:rPr>
          <w:sz w:val="20"/>
          <w:szCs w:val="20"/>
        </w:rPr>
        <w:t xml:space="preserve">). Nevertheless, we have included offenders sentenced to a suspended sentence given the Government’s intention to “phase out suspended sentences and replace them with a wider range of alternative sentencing options”: </w:t>
      </w:r>
      <w:r w:rsidRPr="00E1049B">
        <w:rPr>
          <w:sz w:val="20"/>
          <w:szCs w:val="20"/>
        </w:rPr>
        <w:t>Attorney-General Vanessa Goodwin, Legislation to imple</w:t>
      </w:r>
      <w:r>
        <w:rPr>
          <w:sz w:val="20"/>
          <w:szCs w:val="20"/>
        </w:rPr>
        <w:t xml:space="preserve">ment new sentencing options, Media Release </w:t>
      </w:r>
      <w:r w:rsidRPr="00E1049B">
        <w:rPr>
          <w:sz w:val="20"/>
          <w:szCs w:val="20"/>
        </w:rPr>
        <w:t xml:space="preserve">23 August 2016. As found at </w:t>
      </w:r>
      <w:hyperlink r:id="rId1" w:history="1">
        <w:r w:rsidRPr="00E1049B">
          <w:rPr>
            <w:rStyle w:val="Hyperlink"/>
            <w:rFonts w:cs="Helvetica Neue"/>
            <w:sz w:val="20"/>
            <w:szCs w:val="20"/>
          </w:rPr>
          <w:t>http://www.premier.tas.gov.au/releases/legislation_to_implement_new_sentencing_options</w:t>
        </w:r>
      </w:hyperlink>
      <w:r w:rsidRPr="00E1049B">
        <w:rPr>
          <w:rFonts w:cs="Helvetica Neue"/>
          <w:color w:val="262626"/>
          <w:sz w:val="20"/>
          <w:szCs w:val="20"/>
        </w:rPr>
        <w:t xml:space="preserve"> </w:t>
      </w:r>
      <w:r w:rsidRPr="00E1049B">
        <w:rPr>
          <w:sz w:val="20"/>
          <w:szCs w:val="20"/>
        </w:rPr>
        <w:t>(Accessed 29 August 2016).</w:t>
      </w:r>
      <w:r>
        <w:rPr>
          <w:sz w:val="20"/>
          <w:szCs w:val="20"/>
        </w:rPr>
        <w:t xml:space="preserve"> </w:t>
      </w:r>
    </w:p>
  </w:footnote>
  <w:footnote w:id="7">
    <w:p w14:paraId="39D9380E" w14:textId="77777777" w:rsidR="003C2A1C" w:rsidRDefault="003C2A1C" w:rsidP="00F72CC0">
      <w:pPr>
        <w:pStyle w:val="FootnoteText"/>
        <w:ind w:left="-284" w:right="-383"/>
        <w:jc w:val="both"/>
      </w:pPr>
      <w:r>
        <w:rPr>
          <w:rStyle w:val="FootnoteReference"/>
        </w:rPr>
        <w:footnoteRef/>
      </w:r>
      <w:r>
        <w:t xml:space="preserve"> </w:t>
      </w:r>
      <w:r w:rsidRPr="00211172">
        <w:rPr>
          <w:sz w:val="20"/>
          <w:szCs w:val="20"/>
        </w:rPr>
        <w:t xml:space="preserve">The figure of $26,000 </w:t>
      </w:r>
      <w:r>
        <w:rPr>
          <w:sz w:val="20"/>
          <w:szCs w:val="20"/>
        </w:rPr>
        <w:t xml:space="preserve">per participant per annum </w:t>
      </w:r>
      <w:r w:rsidRPr="00211172">
        <w:rPr>
          <w:sz w:val="20"/>
          <w:szCs w:val="20"/>
        </w:rPr>
        <w:t xml:space="preserve">is outlined in a report prepared for the Sentencing Advisory Council as part of their paper on phasing out suspended sentences: John Walker and </w:t>
      </w:r>
      <w:proofErr w:type="spellStart"/>
      <w:r w:rsidRPr="00211172">
        <w:rPr>
          <w:sz w:val="20"/>
          <w:szCs w:val="20"/>
        </w:rPr>
        <w:t>Lorana</w:t>
      </w:r>
      <w:proofErr w:type="spellEnd"/>
      <w:r w:rsidRPr="00211172">
        <w:rPr>
          <w:sz w:val="20"/>
          <w:szCs w:val="20"/>
        </w:rPr>
        <w:t xml:space="preserve"> Bartels, </w:t>
      </w:r>
      <w:r w:rsidRPr="00211172">
        <w:rPr>
          <w:rFonts w:cs="Arial"/>
          <w:i/>
          <w:sz w:val="20"/>
          <w:szCs w:val="20"/>
        </w:rPr>
        <w:t>Exploring the Costs of Alternatives to Suspended Sentences</w:t>
      </w:r>
      <w:r w:rsidRPr="00211172">
        <w:rPr>
          <w:rFonts w:cs="Arial"/>
          <w:sz w:val="20"/>
          <w:szCs w:val="20"/>
        </w:rPr>
        <w:t xml:space="preserve"> (November 2015). The report is available at </w:t>
      </w:r>
      <w:hyperlink r:id="rId2" w:history="1">
        <w:r w:rsidRPr="00211172">
          <w:rPr>
            <w:rStyle w:val="Hyperlink"/>
            <w:rFonts w:cs="Arial"/>
            <w:sz w:val="20"/>
            <w:szCs w:val="20"/>
          </w:rPr>
          <w:t>http://www.sentencingcouncil.tas.gov.au</w:t>
        </w:r>
      </w:hyperlink>
      <w:r w:rsidRPr="00211172">
        <w:rPr>
          <w:rFonts w:cs="Arial"/>
          <w:sz w:val="20"/>
          <w:szCs w:val="20"/>
        </w:rPr>
        <w:t xml:space="preserve"> (Accessed 29 August 2016).</w:t>
      </w:r>
    </w:p>
  </w:footnote>
  <w:footnote w:id="8">
    <w:p w14:paraId="0A8E395B" w14:textId="4F8F13DD" w:rsidR="003C2A1C" w:rsidRDefault="003C2A1C" w:rsidP="00F72CC0">
      <w:pPr>
        <w:pStyle w:val="FootnoteText"/>
        <w:ind w:left="-284" w:right="-383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>Section 27B(1)(b</w:t>
      </w:r>
      <w:r w:rsidRPr="00EE0BDB">
        <w:rPr>
          <w:sz w:val="20"/>
          <w:szCs w:val="20"/>
        </w:rPr>
        <w:t>)(</w:t>
      </w:r>
      <w:proofErr w:type="spellStart"/>
      <w:r w:rsidRPr="00EE0BDB">
        <w:rPr>
          <w:sz w:val="20"/>
          <w:szCs w:val="20"/>
        </w:rPr>
        <w:t>i</w:t>
      </w:r>
      <w:proofErr w:type="spellEnd"/>
      <w:r w:rsidRPr="00EE0BDB">
        <w:rPr>
          <w:sz w:val="20"/>
          <w:szCs w:val="20"/>
        </w:rPr>
        <w:t xml:space="preserve">) of the </w:t>
      </w:r>
      <w:r w:rsidRPr="00EE0BDB">
        <w:rPr>
          <w:i/>
          <w:sz w:val="20"/>
          <w:szCs w:val="20"/>
        </w:rPr>
        <w:t>Sentencing Act 1997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Tas</w:t>
      </w:r>
      <w:proofErr w:type="spellEnd"/>
      <w:r>
        <w:rPr>
          <w:sz w:val="20"/>
          <w:szCs w:val="20"/>
        </w:rPr>
        <w:t xml:space="preserve">) provides that the court may only make a drug treatment order if “satisfied on the balance of probabilities that the offender has a demonstrable history of </w:t>
      </w:r>
      <w:r w:rsidRPr="00A71125">
        <w:rPr>
          <w:i/>
          <w:sz w:val="20"/>
          <w:szCs w:val="20"/>
        </w:rPr>
        <w:t xml:space="preserve">illicit </w:t>
      </w:r>
      <w:r>
        <w:rPr>
          <w:sz w:val="20"/>
          <w:szCs w:val="20"/>
        </w:rPr>
        <w:t>drug use” [emphasis added].</w:t>
      </w:r>
    </w:p>
  </w:footnote>
  <w:footnote w:id="9">
    <w:p w14:paraId="05C60B1A" w14:textId="3E712C4F" w:rsidR="003C2A1C" w:rsidRDefault="003C2A1C" w:rsidP="00917887">
      <w:pPr>
        <w:pStyle w:val="FootnoteText"/>
        <w:ind w:left="-284" w:right="-383"/>
        <w:jc w:val="both"/>
      </w:pPr>
      <w:r>
        <w:rPr>
          <w:rStyle w:val="FootnoteReference"/>
        </w:rPr>
        <w:footnoteRef/>
      </w:r>
      <w:r>
        <w:t xml:space="preserve"> </w:t>
      </w:r>
      <w:r w:rsidRPr="00917887">
        <w:rPr>
          <w:rFonts w:cs="Arial"/>
          <w:sz w:val="20"/>
          <w:szCs w:val="20"/>
        </w:rPr>
        <w:t xml:space="preserve">According to the most recent data, in 2014-15 the Court Mandated Diversion received approximately $1,540,000 for 80 participants including both offenders on a CMD order and those being assessed for suitability for the order. As found in </w:t>
      </w:r>
      <w:r w:rsidRPr="00917887">
        <w:rPr>
          <w:sz w:val="20"/>
          <w:szCs w:val="20"/>
        </w:rPr>
        <w:t>Sentencing Advisory Council, Phasing out of Suspended Sentences (Final Report) at paragraph 6.1.5.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31"/>
    <w:rsid w:val="00010114"/>
    <w:rsid w:val="000271CE"/>
    <w:rsid w:val="00034708"/>
    <w:rsid w:val="000F376A"/>
    <w:rsid w:val="000F5ACB"/>
    <w:rsid w:val="00104940"/>
    <w:rsid w:val="00113B16"/>
    <w:rsid w:val="001148E3"/>
    <w:rsid w:val="00121099"/>
    <w:rsid w:val="0013078F"/>
    <w:rsid w:val="0013251C"/>
    <w:rsid w:val="001479FB"/>
    <w:rsid w:val="00183649"/>
    <w:rsid w:val="00197247"/>
    <w:rsid w:val="001B1CB4"/>
    <w:rsid w:val="001B5048"/>
    <w:rsid w:val="001D46D0"/>
    <w:rsid w:val="00211172"/>
    <w:rsid w:val="00230DDF"/>
    <w:rsid w:val="0025005D"/>
    <w:rsid w:val="00252C48"/>
    <w:rsid w:val="002540E8"/>
    <w:rsid w:val="00291024"/>
    <w:rsid w:val="00332531"/>
    <w:rsid w:val="003416E0"/>
    <w:rsid w:val="00367716"/>
    <w:rsid w:val="0037263B"/>
    <w:rsid w:val="003744DA"/>
    <w:rsid w:val="00397157"/>
    <w:rsid w:val="003A71DD"/>
    <w:rsid w:val="003C2A1C"/>
    <w:rsid w:val="003E3690"/>
    <w:rsid w:val="003E747C"/>
    <w:rsid w:val="003F25E6"/>
    <w:rsid w:val="004068A4"/>
    <w:rsid w:val="00414EF2"/>
    <w:rsid w:val="004150AE"/>
    <w:rsid w:val="004622A2"/>
    <w:rsid w:val="0049054B"/>
    <w:rsid w:val="004A1045"/>
    <w:rsid w:val="004B12F8"/>
    <w:rsid w:val="004B31C7"/>
    <w:rsid w:val="004C0469"/>
    <w:rsid w:val="00505FB6"/>
    <w:rsid w:val="00514884"/>
    <w:rsid w:val="005223A0"/>
    <w:rsid w:val="00561537"/>
    <w:rsid w:val="00566A46"/>
    <w:rsid w:val="00570DE5"/>
    <w:rsid w:val="005A3D7F"/>
    <w:rsid w:val="005C0A06"/>
    <w:rsid w:val="005C6E7F"/>
    <w:rsid w:val="005F7E23"/>
    <w:rsid w:val="00626411"/>
    <w:rsid w:val="00653696"/>
    <w:rsid w:val="00666560"/>
    <w:rsid w:val="00672FCE"/>
    <w:rsid w:val="006737AB"/>
    <w:rsid w:val="00681B07"/>
    <w:rsid w:val="0068675C"/>
    <w:rsid w:val="006878E6"/>
    <w:rsid w:val="006C2B60"/>
    <w:rsid w:val="006C60A0"/>
    <w:rsid w:val="006E0E6F"/>
    <w:rsid w:val="00715221"/>
    <w:rsid w:val="007E3D19"/>
    <w:rsid w:val="008516D7"/>
    <w:rsid w:val="00883017"/>
    <w:rsid w:val="008A1C34"/>
    <w:rsid w:val="00900036"/>
    <w:rsid w:val="009004C9"/>
    <w:rsid w:val="00917887"/>
    <w:rsid w:val="0092269D"/>
    <w:rsid w:val="00967629"/>
    <w:rsid w:val="009B2927"/>
    <w:rsid w:val="009C6228"/>
    <w:rsid w:val="009E28D9"/>
    <w:rsid w:val="009F2580"/>
    <w:rsid w:val="00A136DE"/>
    <w:rsid w:val="00A66738"/>
    <w:rsid w:val="00A71125"/>
    <w:rsid w:val="00A73DFB"/>
    <w:rsid w:val="00AC4304"/>
    <w:rsid w:val="00AD48AD"/>
    <w:rsid w:val="00B42B47"/>
    <w:rsid w:val="00B46966"/>
    <w:rsid w:val="00B60535"/>
    <w:rsid w:val="00B874C0"/>
    <w:rsid w:val="00BC1E56"/>
    <w:rsid w:val="00BD319C"/>
    <w:rsid w:val="00BD7A77"/>
    <w:rsid w:val="00BE15CC"/>
    <w:rsid w:val="00BE5FA1"/>
    <w:rsid w:val="00C24C84"/>
    <w:rsid w:val="00C41180"/>
    <w:rsid w:val="00C53AF6"/>
    <w:rsid w:val="00C662E8"/>
    <w:rsid w:val="00C90C7A"/>
    <w:rsid w:val="00CA657B"/>
    <w:rsid w:val="00CB404E"/>
    <w:rsid w:val="00CD2111"/>
    <w:rsid w:val="00CF101E"/>
    <w:rsid w:val="00CF1770"/>
    <w:rsid w:val="00D13514"/>
    <w:rsid w:val="00D77275"/>
    <w:rsid w:val="00E1049B"/>
    <w:rsid w:val="00E1435C"/>
    <w:rsid w:val="00E27E3A"/>
    <w:rsid w:val="00E35A98"/>
    <w:rsid w:val="00E44243"/>
    <w:rsid w:val="00E84370"/>
    <w:rsid w:val="00EA671F"/>
    <w:rsid w:val="00EB4E09"/>
    <w:rsid w:val="00EC3EDB"/>
    <w:rsid w:val="00EE0BDB"/>
    <w:rsid w:val="00EF1630"/>
    <w:rsid w:val="00EF5208"/>
    <w:rsid w:val="00F11250"/>
    <w:rsid w:val="00F72CC0"/>
    <w:rsid w:val="00F7324D"/>
    <w:rsid w:val="00F868A5"/>
    <w:rsid w:val="00F90E10"/>
    <w:rsid w:val="00FD1655"/>
    <w:rsid w:val="00F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4941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Text"/>
    <w:basedOn w:val="Normal"/>
    <w:link w:val="FootnoteTextChar"/>
    <w:unhideWhenUsed/>
    <w:rsid w:val="00332531"/>
  </w:style>
  <w:style w:type="character" w:customStyle="1" w:styleId="FootnoteTextChar">
    <w:name w:val="Footnote Text Char"/>
    <w:aliases w:val="Footnote Char,Text Char"/>
    <w:basedOn w:val="DefaultParagraphFont"/>
    <w:link w:val="FootnoteText"/>
    <w:rsid w:val="00332531"/>
  </w:style>
  <w:style w:type="character" w:styleId="FootnoteReference">
    <w:name w:val="footnote reference"/>
    <w:basedOn w:val="DefaultParagraphFont"/>
    <w:unhideWhenUsed/>
    <w:rsid w:val="003325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253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32531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332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5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531"/>
    <w:rPr>
      <w:rFonts w:ascii="Lucida Grande" w:hAnsi="Lucida Grande" w:cs="Lucida Grande"/>
      <w:sz w:val="18"/>
      <w:szCs w:val="18"/>
    </w:rPr>
  </w:style>
  <w:style w:type="character" w:customStyle="1" w:styleId="Bfnref">
    <w:name w:val="B_fn_ref"/>
    <w:basedOn w:val="FootnoteReference"/>
    <w:uiPriority w:val="1"/>
    <w:qFormat/>
    <w:rsid w:val="007E3D19"/>
    <w:rPr>
      <w:rFonts w:eastAsia="Times New Roman"/>
      <w:sz w:val="18"/>
      <w:vertAlign w:val="superscript"/>
    </w:rPr>
  </w:style>
  <w:style w:type="paragraph" w:customStyle="1" w:styleId="Bpara">
    <w:name w:val="B_para"/>
    <w:basedOn w:val="Normal"/>
    <w:qFormat/>
    <w:rsid w:val="007E3D19"/>
    <w:pPr>
      <w:spacing w:after="120" w:line="300" w:lineRule="atLeast"/>
      <w:jc w:val="both"/>
    </w:pPr>
    <w:rPr>
      <w:color w:val="000000" w:themeColor="text1"/>
      <w:sz w:val="22"/>
      <w:lang w:val="en-AU"/>
    </w:rPr>
  </w:style>
  <w:style w:type="paragraph" w:customStyle="1" w:styleId="Bfntext">
    <w:name w:val="B_fn_text"/>
    <w:basedOn w:val="Normal"/>
    <w:qFormat/>
    <w:rsid w:val="007E3D19"/>
    <w:pPr>
      <w:spacing w:after="40"/>
      <w:ind w:left="284" w:right="11" w:hanging="284"/>
      <w:jc w:val="both"/>
    </w:pPr>
    <w:rPr>
      <w:rFonts w:eastAsia="Times New Roman" w:cs="Times New Roman"/>
      <w:sz w:val="18"/>
      <w:szCs w:val="18"/>
      <w:lang w:val="en-AU"/>
    </w:rPr>
  </w:style>
  <w:style w:type="character" w:customStyle="1" w:styleId="highlight">
    <w:name w:val="highlight"/>
    <w:basedOn w:val="DefaultParagraphFont"/>
    <w:rsid w:val="0037263B"/>
  </w:style>
  <w:style w:type="paragraph" w:styleId="ListParagraph">
    <w:name w:val="List Paragraph"/>
    <w:basedOn w:val="Normal"/>
    <w:uiPriority w:val="34"/>
    <w:qFormat/>
    <w:rsid w:val="00505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Text"/>
    <w:basedOn w:val="Normal"/>
    <w:link w:val="FootnoteTextChar"/>
    <w:unhideWhenUsed/>
    <w:rsid w:val="00332531"/>
  </w:style>
  <w:style w:type="character" w:customStyle="1" w:styleId="FootnoteTextChar">
    <w:name w:val="Footnote Text Char"/>
    <w:aliases w:val="Footnote Char,Text Char"/>
    <w:basedOn w:val="DefaultParagraphFont"/>
    <w:link w:val="FootnoteText"/>
    <w:rsid w:val="00332531"/>
  </w:style>
  <w:style w:type="character" w:styleId="FootnoteReference">
    <w:name w:val="footnote reference"/>
    <w:basedOn w:val="DefaultParagraphFont"/>
    <w:unhideWhenUsed/>
    <w:rsid w:val="003325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3253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32531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332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5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531"/>
    <w:rPr>
      <w:rFonts w:ascii="Lucida Grande" w:hAnsi="Lucida Grande" w:cs="Lucida Grande"/>
      <w:sz w:val="18"/>
      <w:szCs w:val="18"/>
    </w:rPr>
  </w:style>
  <w:style w:type="character" w:customStyle="1" w:styleId="Bfnref">
    <w:name w:val="B_fn_ref"/>
    <w:basedOn w:val="FootnoteReference"/>
    <w:uiPriority w:val="1"/>
    <w:qFormat/>
    <w:rsid w:val="007E3D19"/>
    <w:rPr>
      <w:rFonts w:eastAsia="Times New Roman"/>
      <w:sz w:val="18"/>
      <w:vertAlign w:val="superscript"/>
    </w:rPr>
  </w:style>
  <w:style w:type="paragraph" w:customStyle="1" w:styleId="Bpara">
    <w:name w:val="B_para"/>
    <w:basedOn w:val="Normal"/>
    <w:qFormat/>
    <w:rsid w:val="007E3D19"/>
    <w:pPr>
      <w:spacing w:after="120" w:line="300" w:lineRule="atLeast"/>
      <w:jc w:val="both"/>
    </w:pPr>
    <w:rPr>
      <w:color w:val="000000" w:themeColor="text1"/>
      <w:sz w:val="22"/>
      <w:lang w:val="en-AU"/>
    </w:rPr>
  </w:style>
  <w:style w:type="paragraph" w:customStyle="1" w:styleId="Bfntext">
    <w:name w:val="B_fn_text"/>
    <w:basedOn w:val="Normal"/>
    <w:qFormat/>
    <w:rsid w:val="007E3D19"/>
    <w:pPr>
      <w:spacing w:after="40"/>
      <w:ind w:left="284" w:right="11" w:hanging="284"/>
      <w:jc w:val="both"/>
    </w:pPr>
    <w:rPr>
      <w:rFonts w:eastAsia="Times New Roman" w:cs="Times New Roman"/>
      <w:sz w:val="18"/>
      <w:szCs w:val="18"/>
      <w:lang w:val="en-AU"/>
    </w:rPr>
  </w:style>
  <w:style w:type="character" w:customStyle="1" w:styleId="highlight">
    <w:name w:val="highlight"/>
    <w:basedOn w:val="DefaultParagraphFont"/>
    <w:rsid w:val="0037263B"/>
  </w:style>
  <w:style w:type="paragraph" w:styleId="ListParagraph">
    <w:name w:val="List Paragraph"/>
    <w:basedOn w:val="Normal"/>
    <w:uiPriority w:val="34"/>
    <w:qFormat/>
    <w:rsid w:val="00505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sac@justice.tas.gov.a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mier.tas.gov.au/releases/legislation_to_implement_new_sentencing_options" TargetMode="External"/><Relationship Id="rId2" Type="http://schemas.openxmlformats.org/officeDocument/2006/relationships/hyperlink" Target="http://www.sentencingcouncil.ta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1416</Words>
  <Characters>8077</Characters>
  <Application>Microsoft Macintosh Word</Application>
  <DocSecurity>0</DocSecurity>
  <Lines>67</Lines>
  <Paragraphs>18</Paragraphs>
  <ScaleCrop>false</ScaleCrop>
  <Company>TACLC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Worker</dc:creator>
  <cp:keywords/>
  <dc:description/>
  <cp:lastModifiedBy>Ben Bartl</cp:lastModifiedBy>
  <cp:revision>17</cp:revision>
  <cp:lastPrinted>2016-09-02T05:27:00Z</cp:lastPrinted>
  <dcterms:created xsi:type="dcterms:W3CDTF">2016-08-30T22:10:00Z</dcterms:created>
  <dcterms:modified xsi:type="dcterms:W3CDTF">2016-09-02T05:30:00Z</dcterms:modified>
</cp:coreProperties>
</file>