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636E4" w14:textId="77777777" w:rsidR="00DB6390" w:rsidRDefault="00DB6390" w:rsidP="001F3967">
      <w:pPr>
        <w:ind w:left="-284" w:right="-347"/>
        <w:jc w:val="center"/>
      </w:pPr>
      <w:r>
        <w:rPr>
          <w:noProof/>
          <w:sz w:val="20"/>
          <w:szCs w:val="20"/>
        </w:rPr>
        <w:drawing>
          <wp:inline distT="0" distB="0" distL="0" distR="0" wp14:anchorId="08F35DEF" wp14:editId="7B67613A">
            <wp:extent cx="3235960" cy="1099476"/>
            <wp:effectExtent l="0" t="0" r="0" b="0"/>
            <wp:docPr id="5" name="Picture 1" descr="Shared Docs:Public:Sister Organisations:CLC Tas:CLCLogos:CLCTas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red Docs:Public:Sister Organisations:CLC Tas:CLCLogos:CLCTascolou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972" cy="110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4C942" w14:textId="77777777" w:rsidR="00DB6390" w:rsidRPr="00A7231F" w:rsidRDefault="00DB6390" w:rsidP="001F3967">
      <w:pPr>
        <w:ind w:left="-284" w:right="-347"/>
      </w:pPr>
    </w:p>
    <w:p w14:paraId="1C79A958" w14:textId="77777777" w:rsidR="00DB6390" w:rsidRDefault="00DB6390" w:rsidP="001F3967">
      <w:pPr>
        <w:ind w:left="-284" w:right="-347"/>
      </w:pPr>
    </w:p>
    <w:p w14:paraId="02624993" w14:textId="77777777" w:rsidR="00DB6390" w:rsidRDefault="00DB6390" w:rsidP="001F3967">
      <w:pPr>
        <w:ind w:left="-284" w:right="-347"/>
      </w:pPr>
    </w:p>
    <w:p w14:paraId="0FAD2D26" w14:textId="77777777" w:rsidR="00DB6390" w:rsidRPr="00A7231F" w:rsidRDefault="00DB6390" w:rsidP="001F3967">
      <w:pPr>
        <w:ind w:left="-284" w:right="-347"/>
      </w:pPr>
      <w:r>
        <w:t>16 October 2015</w:t>
      </w:r>
    </w:p>
    <w:p w14:paraId="01A9CCC0" w14:textId="77777777" w:rsidR="00DB6390" w:rsidRPr="00A7231F" w:rsidRDefault="00DB6390" w:rsidP="001F3967">
      <w:pPr>
        <w:ind w:left="-284" w:right="-347"/>
      </w:pPr>
    </w:p>
    <w:p w14:paraId="6A207FDE" w14:textId="77777777" w:rsidR="00DB6390" w:rsidRDefault="00DB6390" w:rsidP="001F3967">
      <w:pPr>
        <w:ind w:left="-284" w:right="-347"/>
      </w:pPr>
      <w:r>
        <w:t>Sentencing Advisory Council</w:t>
      </w:r>
    </w:p>
    <w:p w14:paraId="7BD66899" w14:textId="77777777" w:rsidR="00DB6390" w:rsidRDefault="00DB6390" w:rsidP="001F3967">
      <w:pPr>
        <w:ind w:left="-284" w:right="-347"/>
      </w:pPr>
      <w:r>
        <w:t>GPO Box 825</w:t>
      </w:r>
    </w:p>
    <w:p w14:paraId="6B77B209" w14:textId="77777777" w:rsidR="00DB6390" w:rsidRDefault="00DB6390" w:rsidP="001F3967">
      <w:pPr>
        <w:ind w:left="-284" w:right="-347"/>
      </w:pPr>
      <w:r>
        <w:t>Hobart TAS 7001</w:t>
      </w:r>
    </w:p>
    <w:p w14:paraId="69F5F83B" w14:textId="77777777" w:rsidR="00DB6390" w:rsidRDefault="00DB6390" w:rsidP="001F3967">
      <w:pPr>
        <w:ind w:left="-284" w:right="-347"/>
      </w:pPr>
    </w:p>
    <w:p w14:paraId="1C40DE1B" w14:textId="77777777" w:rsidR="00DB6390" w:rsidRDefault="00DB6390" w:rsidP="001F3967">
      <w:pPr>
        <w:ind w:left="-284" w:right="-347"/>
      </w:pPr>
      <w:proofErr w:type="gramStart"/>
      <w:r>
        <w:t>via</w:t>
      </w:r>
      <w:proofErr w:type="gramEnd"/>
      <w:r>
        <w:t xml:space="preserve"> email: </w:t>
      </w:r>
      <w:hyperlink r:id="rId10" w:history="1">
        <w:r w:rsidRPr="006A4660">
          <w:rPr>
            <w:rStyle w:val="Hyperlink"/>
          </w:rPr>
          <w:t>sac@justice.tas.gov.au</w:t>
        </w:r>
      </w:hyperlink>
      <w:r>
        <w:t xml:space="preserve"> </w:t>
      </w:r>
    </w:p>
    <w:p w14:paraId="7F957025" w14:textId="77777777" w:rsidR="00DB6390" w:rsidRDefault="00DB6390" w:rsidP="001F3967">
      <w:pPr>
        <w:ind w:left="-284" w:right="-347"/>
      </w:pPr>
    </w:p>
    <w:p w14:paraId="22FC4071" w14:textId="77777777" w:rsidR="00DB6390" w:rsidRDefault="00DB6390" w:rsidP="001F3967">
      <w:pPr>
        <w:ind w:left="-284" w:right="-347"/>
      </w:pPr>
      <w:r>
        <w:t>To the Sentencing Advisory Council,</w:t>
      </w:r>
    </w:p>
    <w:p w14:paraId="4240F269" w14:textId="36CC2E68" w:rsidR="00DB6390" w:rsidRDefault="00DB6390" w:rsidP="001F3967">
      <w:pPr>
        <w:pBdr>
          <w:bottom w:val="single" w:sz="6" w:space="1" w:color="auto"/>
        </w:pBdr>
        <w:ind w:left="-284" w:right="-347"/>
        <w:rPr>
          <w:b/>
        </w:rPr>
      </w:pPr>
      <w:r w:rsidRPr="00C95395">
        <w:rPr>
          <w:b/>
        </w:rPr>
        <w:t xml:space="preserve">Re: </w:t>
      </w:r>
      <w:r>
        <w:rPr>
          <w:b/>
          <w:i/>
        </w:rPr>
        <w:t>Phasing out of Suspended Sentences</w:t>
      </w:r>
      <w:r w:rsidR="00A833CF">
        <w:rPr>
          <w:b/>
          <w:i/>
        </w:rPr>
        <w:t xml:space="preserve"> Consultation Paper</w:t>
      </w:r>
    </w:p>
    <w:p w14:paraId="50A08B4C" w14:textId="77777777" w:rsidR="00DB6390" w:rsidRDefault="00DB6390" w:rsidP="001F3967">
      <w:pPr>
        <w:ind w:left="-284" w:right="-347"/>
        <w:rPr>
          <w:rFonts w:cs="Arial"/>
        </w:rPr>
      </w:pPr>
    </w:p>
    <w:p w14:paraId="3A0CC4B1" w14:textId="77777777" w:rsidR="00DB6390" w:rsidRDefault="00DB6390" w:rsidP="001F3967">
      <w:pPr>
        <w:ind w:left="-284" w:right="-347"/>
        <w:jc w:val="both"/>
      </w:pPr>
      <w:r w:rsidRPr="008A004F">
        <w:rPr>
          <w:rFonts w:cs="Calibri"/>
        </w:rPr>
        <w:t xml:space="preserve">Community Legal </w:t>
      </w:r>
      <w:proofErr w:type="spellStart"/>
      <w:r w:rsidRPr="008A004F">
        <w:rPr>
          <w:rFonts w:cs="Calibri"/>
        </w:rPr>
        <w:t>Centres</w:t>
      </w:r>
      <w:proofErr w:type="spellEnd"/>
      <w:r w:rsidRPr="008A004F">
        <w:rPr>
          <w:rFonts w:cs="Calibri"/>
        </w:rPr>
        <w:t xml:space="preserve"> Tasmania (CLC </w:t>
      </w:r>
      <w:proofErr w:type="spellStart"/>
      <w:r w:rsidRPr="008A004F">
        <w:rPr>
          <w:rFonts w:cs="Calibri"/>
        </w:rPr>
        <w:t>Tas</w:t>
      </w:r>
      <w:proofErr w:type="spellEnd"/>
      <w:r w:rsidRPr="008A004F">
        <w:rPr>
          <w:rFonts w:cs="Calibri"/>
        </w:rPr>
        <w:t>)</w:t>
      </w:r>
      <w:r w:rsidRPr="008A004F">
        <w:t xml:space="preserve"> </w:t>
      </w:r>
      <w:r>
        <w:t>welcomes</w:t>
      </w:r>
      <w:r w:rsidRPr="008A004F">
        <w:t xml:space="preserve"> the opportunity to </w:t>
      </w:r>
      <w:r>
        <w:t xml:space="preserve">provide comment on the </w:t>
      </w:r>
      <w:r>
        <w:rPr>
          <w:i/>
        </w:rPr>
        <w:t>Phasing out of Suspended Sentences Consultation Paper</w:t>
      </w:r>
      <w:r w:rsidRPr="008A004F">
        <w:t>.</w:t>
      </w:r>
      <w:r>
        <w:rPr>
          <w:rStyle w:val="FootnoteReference"/>
        </w:rPr>
        <w:footnoteReference w:id="1"/>
      </w:r>
      <w:r>
        <w:t xml:space="preserve"> </w:t>
      </w:r>
    </w:p>
    <w:p w14:paraId="16E28B3A" w14:textId="77777777" w:rsidR="00DB6390" w:rsidRDefault="00DB6390" w:rsidP="001F3967">
      <w:pPr>
        <w:ind w:left="-284" w:right="-347"/>
        <w:jc w:val="both"/>
      </w:pPr>
    </w:p>
    <w:p w14:paraId="0C03EA25" w14:textId="1B20BFA0" w:rsidR="00DB6390" w:rsidRPr="00DB6390" w:rsidRDefault="00DB6390" w:rsidP="001F3967">
      <w:pPr>
        <w:ind w:left="-284" w:right="-347"/>
        <w:jc w:val="both"/>
        <w:rPr>
          <w:rFonts w:cs="Arial"/>
          <w:color w:val="000000"/>
        </w:rPr>
      </w:pPr>
      <w:r w:rsidRPr="008A004F">
        <w:rPr>
          <w:rFonts w:eastAsia="Times New Roman" w:cs="Arial"/>
          <w:lang w:eastAsia="en-AU"/>
        </w:rPr>
        <w:t xml:space="preserve">CLC </w:t>
      </w:r>
      <w:proofErr w:type="spellStart"/>
      <w:proofErr w:type="gramStart"/>
      <w:r w:rsidRPr="008A004F">
        <w:rPr>
          <w:rFonts w:eastAsia="Times New Roman" w:cs="Arial"/>
          <w:lang w:eastAsia="en-AU"/>
        </w:rPr>
        <w:t>Tas</w:t>
      </w:r>
      <w:proofErr w:type="spellEnd"/>
      <w:proofErr w:type="gramEnd"/>
      <w:r w:rsidRPr="008A004F">
        <w:rPr>
          <w:rFonts w:eastAsia="Times New Roman" w:cs="Arial"/>
          <w:lang w:eastAsia="en-AU"/>
        </w:rPr>
        <w:t xml:space="preserve"> </w:t>
      </w:r>
      <w:r w:rsidRPr="008A004F">
        <w:rPr>
          <w:rFonts w:cs="Arial"/>
        </w:rPr>
        <w:t xml:space="preserve">is the peak body representing the interests of eight community legal </w:t>
      </w:r>
      <w:proofErr w:type="spellStart"/>
      <w:r w:rsidRPr="008A004F">
        <w:rPr>
          <w:rFonts w:cs="Arial"/>
        </w:rPr>
        <w:t>centres</w:t>
      </w:r>
      <w:proofErr w:type="spellEnd"/>
      <w:r w:rsidRPr="008A004F">
        <w:rPr>
          <w:rFonts w:cs="Arial"/>
        </w:rPr>
        <w:t xml:space="preserve"> (CLCs) located throu</w:t>
      </w:r>
      <w:r w:rsidR="00201182">
        <w:rPr>
          <w:rFonts w:cs="Arial"/>
        </w:rPr>
        <w:t>ghout Tasmania. We are a member-</w:t>
      </w:r>
      <w:r w:rsidRPr="008A004F">
        <w:rPr>
          <w:rFonts w:cs="Arial"/>
        </w:rPr>
        <w:t>based, independent, no</w:t>
      </w:r>
      <w:r>
        <w:rPr>
          <w:rFonts w:cs="Arial"/>
        </w:rPr>
        <w:t>t</w:t>
      </w:r>
      <w:r w:rsidRPr="008A004F">
        <w:rPr>
          <w:rFonts w:cs="Arial"/>
        </w:rPr>
        <w:t xml:space="preserve">-for-profit and incorporated </w:t>
      </w:r>
      <w:proofErr w:type="spellStart"/>
      <w:r w:rsidRPr="008A004F">
        <w:rPr>
          <w:rFonts w:cs="Arial"/>
        </w:rPr>
        <w:t>organisation</w:t>
      </w:r>
      <w:proofErr w:type="spellEnd"/>
      <w:r w:rsidRPr="008A004F">
        <w:rPr>
          <w:rFonts w:cs="Arial"/>
        </w:rPr>
        <w:t xml:space="preserve"> that</w:t>
      </w:r>
      <w:r w:rsidRPr="008A004F">
        <w:rPr>
          <w:rFonts w:cs="Arial"/>
          <w:color w:val="000000"/>
        </w:rPr>
        <w:t xml:space="preserve"> advocates for law reform on a range of public interest matters aimed at improving access to justice, reducing discrimination and protecting and promoting human rights. </w:t>
      </w:r>
    </w:p>
    <w:p w14:paraId="0D3A3827" w14:textId="77777777" w:rsidR="00DB6390" w:rsidRDefault="00DB6390" w:rsidP="001F3967">
      <w:pPr>
        <w:ind w:left="-284" w:right="-347"/>
        <w:jc w:val="both"/>
        <w:rPr>
          <w:rFonts w:cs="Arial"/>
        </w:rPr>
      </w:pPr>
    </w:p>
    <w:p w14:paraId="206B72FA" w14:textId="3FD3B07E" w:rsidR="00041785" w:rsidRDefault="00DB6390" w:rsidP="001F3967">
      <w:pPr>
        <w:ind w:left="-284" w:right="-347"/>
        <w:jc w:val="both"/>
        <w:rPr>
          <w:rFonts w:cs="Arial"/>
        </w:rPr>
      </w:pPr>
      <w:r>
        <w:rPr>
          <w:rFonts w:cs="Arial"/>
        </w:rPr>
        <w:t>We do not believe that suspended sentences should be phased out. They remain a viable sentence particularly</w:t>
      </w:r>
      <w:r w:rsidR="004144B1">
        <w:rPr>
          <w:rFonts w:cs="Arial"/>
        </w:rPr>
        <w:t xml:space="preserve"> for offenders who are</w:t>
      </w:r>
      <w:r>
        <w:rPr>
          <w:rFonts w:cs="Arial"/>
        </w:rPr>
        <w:t xml:space="preserve"> unlikely to re-offend</w:t>
      </w:r>
      <w:r w:rsidR="00041785">
        <w:rPr>
          <w:rFonts w:cs="Arial"/>
        </w:rPr>
        <w:t xml:space="preserve"> but where the seriousness of the offence or the offender’s conduct must be acknowledged.</w:t>
      </w:r>
    </w:p>
    <w:p w14:paraId="46D43999" w14:textId="77777777" w:rsidR="00041785" w:rsidRDefault="00041785" w:rsidP="001F3967">
      <w:pPr>
        <w:ind w:left="-284" w:right="-347"/>
        <w:jc w:val="both"/>
        <w:rPr>
          <w:rFonts w:cs="Arial"/>
        </w:rPr>
      </w:pPr>
    </w:p>
    <w:p w14:paraId="681405BF" w14:textId="21D2BDF0" w:rsidR="00041785" w:rsidRDefault="00041785" w:rsidP="001F3967">
      <w:pPr>
        <w:ind w:left="-284" w:right="-347"/>
        <w:jc w:val="both"/>
        <w:rPr>
          <w:rFonts w:cs="Arial"/>
        </w:rPr>
      </w:pPr>
      <w:r>
        <w:rPr>
          <w:rFonts w:cs="Arial"/>
        </w:rPr>
        <w:t xml:space="preserve">However, it is acknowledged that </w:t>
      </w:r>
      <w:r w:rsidR="00DB4595">
        <w:rPr>
          <w:rFonts w:cs="Arial"/>
        </w:rPr>
        <w:t>there are offenders, particularly offenders with a history of alcohol and/or illicit drug abuse who are being sentenced to suspended sentences with no action being taken to resolve the underlying offending behavior.</w:t>
      </w:r>
      <w:r w:rsidR="00970AC6">
        <w:rPr>
          <w:rFonts w:cs="Arial"/>
        </w:rPr>
        <w:t xml:space="preserve"> </w:t>
      </w:r>
      <w:r w:rsidR="004144B1">
        <w:rPr>
          <w:rFonts w:cs="Arial"/>
        </w:rPr>
        <w:t xml:space="preserve">We strongly believe that the courts do have an important role in addressing offender </w:t>
      </w:r>
      <w:proofErr w:type="spellStart"/>
      <w:r w:rsidR="004144B1">
        <w:rPr>
          <w:rFonts w:cs="Arial"/>
        </w:rPr>
        <w:t>behavio</w:t>
      </w:r>
      <w:r w:rsidR="00201182">
        <w:rPr>
          <w:rFonts w:cs="Arial"/>
        </w:rPr>
        <w:t>u</w:t>
      </w:r>
      <w:r w:rsidR="004144B1">
        <w:rPr>
          <w:rFonts w:cs="Arial"/>
        </w:rPr>
        <w:t>r</w:t>
      </w:r>
      <w:proofErr w:type="spellEnd"/>
      <w:r w:rsidR="004144B1">
        <w:rPr>
          <w:rFonts w:cs="Arial"/>
        </w:rPr>
        <w:t xml:space="preserve">, particularly in circumstances where the offender is motivated to reform. </w:t>
      </w:r>
      <w:r w:rsidR="00970AC6">
        <w:rPr>
          <w:rFonts w:cs="Arial"/>
        </w:rPr>
        <w:t>We therefore welcome the proposed introduction of a</w:t>
      </w:r>
      <w:r w:rsidR="00201182">
        <w:rPr>
          <w:rFonts w:cs="Arial"/>
        </w:rPr>
        <w:t>n</w:t>
      </w:r>
      <w:r w:rsidR="00970AC6">
        <w:rPr>
          <w:rFonts w:cs="Arial"/>
        </w:rPr>
        <w:t xml:space="preserve"> alcohol and other drug treatment order.   </w:t>
      </w:r>
      <w:r w:rsidR="009C5223">
        <w:rPr>
          <w:rFonts w:cs="Arial"/>
        </w:rPr>
        <w:t xml:space="preserve"> </w:t>
      </w:r>
      <w:r w:rsidR="00DB4595">
        <w:rPr>
          <w:rFonts w:cs="Arial"/>
        </w:rPr>
        <w:t xml:space="preserve"> </w:t>
      </w:r>
    </w:p>
    <w:p w14:paraId="5AA59F2D" w14:textId="77777777" w:rsidR="00DB6390" w:rsidRDefault="00DB6390" w:rsidP="001F3967">
      <w:pPr>
        <w:ind w:left="-284" w:right="-347"/>
        <w:jc w:val="both"/>
        <w:rPr>
          <w:rFonts w:cs="Arial"/>
        </w:rPr>
      </w:pPr>
    </w:p>
    <w:p w14:paraId="1ED87078" w14:textId="77777777" w:rsidR="00DB6390" w:rsidRPr="00420BA9" w:rsidRDefault="00420BA9" w:rsidP="001F3967">
      <w:pPr>
        <w:ind w:left="-284" w:right="-347"/>
        <w:jc w:val="both"/>
        <w:rPr>
          <w:rFonts w:cs="Arial"/>
          <w:b/>
        </w:rPr>
      </w:pPr>
      <w:r w:rsidRPr="00420BA9">
        <w:rPr>
          <w:rFonts w:cs="Arial"/>
          <w:b/>
        </w:rPr>
        <w:t>Alcohol and Other Drug Treatment Order</w:t>
      </w:r>
    </w:p>
    <w:p w14:paraId="2A80AFF8" w14:textId="15F2757F" w:rsidR="00096112" w:rsidRDefault="00A87D51" w:rsidP="001F3967">
      <w:pPr>
        <w:ind w:left="-284" w:right="-347"/>
        <w:jc w:val="both"/>
        <w:rPr>
          <w:rFonts w:eastAsia="Times New Roman" w:cs="Times New Roman"/>
          <w:lang w:val="en-AU"/>
        </w:rPr>
      </w:pPr>
      <w:r w:rsidRPr="0073495B">
        <w:rPr>
          <w:rFonts w:eastAsia="Times New Roman" w:cs="Times New Roman"/>
          <w:lang w:val="en-AU"/>
        </w:rPr>
        <w:t xml:space="preserve">We strongly support the </w:t>
      </w:r>
      <w:r w:rsidR="004144B1">
        <w:rPr>
          <w:rFonts w:eastAsia="Times New Roman" w:cs="Times New Roman"/>
          <w:lang w:val="en-AU"/>
        </w:rPr>
        <w:t>Sentencing Advisory Council’s recommendation of expanding</w:t>
      </w:r>
      <w:r w:rsidRPr="0073495B">
        <w:rPr>
          <w:rFonts w:eastAsia="Times New Roman" w:cs="Times New Roman"/>
          <w:lang w:val="en-AU"/>
        </w:rPr>
        <w:t xml:space="preserve"> Tasmania’s Court Mandated Diversion program to </w:t>
      </w:r>
      <w:r w:rsidR="00201182">
        <w:rPr>
          <w:rFonts w:eastAsia="Times New Roman" w:cs="Times New Roman"/>
          <w:lang w:val="en-AU"/>
        </w:rPr>
        <w:t>both include alcohol and</w:t>
      </w:r>
      <w:r w:rsidRPr="0073495B">
        <w:rPr>
          <w:rFonts w:eastAsia="Times New Roman" w:cs="Times New Roman"/>
          <w:lang w:val="en-AU"/>
        </w:rPr>
        <w:t xml:space="preserve"> be a sentencing option </w:t>
      </w:r>
      <w:r w:rsidR="0073495B" w:rsidRPr="0073495B">
        <w:rPr>
          <w:rFonts w:eastAsia="Times New Roman" w:cs="Times New Roman"/>
          <w:lang w:val="en-AU"/>
        </w:rPr>
        <w:t>available in all courts</w:t>
      </w:r>
      <w:r w:rsidR="00D53F72">
        <w:rPr>
          <w:rFonts w:eastAsia="Times New Roman" w:cs="Times New Roman"/>
          <w:lang w:val="en-AU"/>
        </w:rPr>
        <w:t xml:space="preserve">. </w:t>
      </w:r>
      <w:r w:rsidR="004144B1">
        <w:rPr>
          <w:rFonts w:eastAsia="Times New Roman" w:cs="Times New Roman"/>
          <w:lang w:val="en-AU"/>
        </w:rPr>
        <w:t>Court Mandated Diversion</w:t>
      </w:r>
      <w:r w:rsidR="00D53F72" w:rsidRPr="00624912">
        <w:rPr>
          <w:rFonts w:eastAsia="Times New Roman" w:cs="Times New Roman"/>
          <w:lang w:val="en-AU"/>
        </w:rPr>
        <w:t xml:space="preserve"> is </w:t>
      </w:r>
      <w:r w:rsidR="00D53F72">
        <w:rPr>
          <w:rFonts w:eastAsia="Times New Roman" w:cs="Times New Roman"/>
          <w:lang w:val="en-AU"/>
        </w:rPr>
        <w:t xml:space="preserve">currently </w:t>
      </w:r>
      <w:r w:rsidR="007E7AA4">
        <w:rPr>
          <w:rFonts w:eastAsia="Times New Roman" w:cs="Times New Roman"/>
          <w:lang w:val="en-AU"/>
        </w:rPr>
        <w:lastRenderedPageBreak/>
        <w:t>available to</w:t>
      </w:r>
      <w:r w:rsidR="00D53F72" w:rsidRPr="00624912">
        <w:rPr>
          <w:rFonts w:eastAsia="Times New Roman" w:cs="Times New Roman"/>
          <w:lang w:val="en-AU"/>
        </w:rPr>
        <w:t xml:space="preserve"> adult offenders with a demonstrable history of drug use who plead guilty to committing non-violent offences.</w:t>
      </w:r>
      <w:r w:rsidR="00D53F72">
        <w:rPr>
          <w:rFonts w:eastAsia="Times New Roman" w:cs="Times New Roman"/>
          <w:lang w:val="en-AU"/>
        </w:rPr>
        <w:t xml:space="preserve"> T</w:t>
      </w:r>
      <w:r w:rsidR="004144B1">
        <w:rPr>
          <w:rFonts w:eastAsia="Times New Roman" w:cs="Times New Roman"/>
          <w:lang w:val="en-AU"/>
        </w:rPr>
        <w:t>he Court Mandated Diversion</w:t>
      </w:r>
      <w:r w:rsidR="00AB0FCE">
        <w:rPr>
          <w:rFonts w:eastAsia="Times New Roman" w:cs="Times New Roman"/>
          <w:lang w:val="en-AU"/>
        </w:rPr>
        <w:t xml:space="preserve"> program allows </w:t>
      </w:r>
      <w:r w:rsidR="00D53F72">
        <w:rPr>
          <w:rFonts w:eastAsia="Times New Roman" w:cs="Times New Roman"/>
          <w:lang w:val="en-AU"/>
        </w:rPr>
        <w:t>judicial officers to sentence offenders</w:t>
      </w:r>
      <w:r w:rsidR="00D53F72" w:rsidRPr="00624912">
        <w:rPr>
          <w:rFonts w:eastAsia="Times New Roman" w:cs="Times New Roman"/>
          <w:lang w:val="en-AU"/>
        </w:rPr>
        <w:t xml:space="preserve"> to a drug treatment order that includes treatment for illicit drug use and may require attendance at a ‘vocational, educational, employment, rehabilitation or other programs specified in the order’.</w:t>
      </w:r>
      <w:r w:rsidR="00D53F72" w:rsidRPr="00624912">
        <w:rPr>
          <w:rStyle w:val="FootnoteReference"/>
          <w:rFonts w:eastAsia="Times New Roman" w:cs="Times New Roman"/>
          <w:lang w:val="en-AU"/>
        </w:rPr>
        <w:footnoteReference w:id="2"/>
      </w:r>
      <w:r w:rsidR="00D53F72">
        <w:rPr>
          <w:rFonts w:eastAsia="Times New Roman" w:cs="Times New Roman"/>
          <w:lang w:val="en-AU"/>
        </w:rPr>
        <w:t xml:space="preserve"> </w:t>
      </w:r>
    </w:p>
    <w:p w14:paraId="57669EE3" w14:textId="77777777" w:rsidR="00096112" w:rsidRDefault="00096112" w:rsidP="001F3967">
      <w:pPr>
        <w:ind w:left="-284" w:right="-347"/>
        <w:jc w:val="both"/>
        <w:rPr>
          <w:rFonts w:eastAsia="Times New Roman" w:cs="Times New Roman"/>
          <w:lang w:val="en-AU"/>
        </w:rPr>
      </w:pPr>
    </w:p>
    <w:p w14:paraId="6F1C2913" w14:textId="3CFD4238" w:rsidR="00A85886" w:rsidRDefault="00096112" w:rsidP="001F3967">
      <w:pPr>
        <w:ind w:left="-284" w:right="-347"/>
        <w:jc w:val="both"/>
        <w:rPr>
          <w:rFonts w:eastAsia="Times New Roman" w:cs="Times New Roman"/>
          <w:lang w:val="en-AU"/>
        </w:rPr>
      </w:pPr>
      <w:r>
        <w:rPr>
          <w:rFonts w:eastAsia="Times New Roman" w:cs="Times New Roman"/>
          <w:lang w:val="en-AU"/>
        </w:rPr>
        <w:t>I</w:t>
      </w:r>
      <w:r w:rsidR="004144B1">
        <w:rPr>
          <w:rFonts w:eastAsia="Times New Roman" w:cs="Times New Roman"/>
          <w:lang w:val="en-AU"/>
        </w:rPr>
        <w:t>mportantly, participation in Court Mandated Diversion</w:t>
      </w:r>
      <w:r>
        <w:rPr>
          <w:rFonts w:eastAsia="Times New Roman" w:cs="Times New Roman"/>
          <w:lang w:val="en-AU"/>
        </w:rPr>
        <w:t xml:space="preserve"> allows </w:t>
      </w:r>
      <w:r w:rsidRPr="00624912">
        <w:rPr>
          <w:rFonts w:eastAsia="Times New Roman" w:cs="Times New Roman"/>
          <w:lang w:val="en-AU"/>
        </w:rPr>
        <w:t xml:space="preserve">judicial officers </w:t>
      </w:r>
      <w:r>
        <w:rPr>
          <w:rFonts w:eastAsia="Times New Roman" w:cs="Times New Roman"/>
          <w:lang w:val="en-AU"/>
        </w:rPr>
        <w:t xml:space="preserve">to be </w:t>
      </w:r>
      <w:r w:rsidRPr="00624912">
        <w:rPr>
          <w:rFonts w:eastAsia="Times New Roman" w:cs="Times New Roman"/>
          <w:lang w:val="en-AU"/>
        </w:rPr>
        <w:t>actively involved in the treatment and monitoring of the offender in an attempt to address the factors underpinning the offending behavio</w:t>
      </w:r>
      <w:r>
        <w:rPr>
          <w:rFonts w:eastAsia="Times New Roman" w:cs="Times New Roman"/>
          <w:lang w:val="en-AU"/>
        </w:rPr>
        <w:t>ur</w:t>
      </w:r>
      <w:r w:rsidR="00201182">
        <w:rPr>
          <w:rFonts w:eastAsia="Times New Roman" w:cs="Times New Roman"/>
          <w:lang w:val="en-AU"/>
        </w:rPr>
        <w:t>,</w:t>
      </w:r>
      <w:r>
        <w:rPr>
          <w:rFonts w:eastAsia="Times New Roman" w:cs="Times New Roman"/>
          <w:lang w:val="en-AU"/>
        </w:rPr>
        <w:t xml:space="preserve"> thereby increasing the </w:t>
      </w:r>
      <w:r w:rsidR="00AB0FCE">
        <w:rPr>
          <w:rFonts w:eastAsia="Times New Roman" w:cs="Times New Roman"/>
          <w:lang w:val="en-AU"/>
        </w:rPr>
        <w:t xml:space="preserve">likelihood of rehabilitation. </w:t>
      </w:r>
      <w:r w:rsidR="00D74FA6">
        <w:rPr>
          <w:rFonts w:eastAsia="Times New Roman" w:cs="Times New Roman"/>
          <w:lang w:val="en-AU"/>
        </w:rPr>
        <w:t>Despite the initial costs, p</w:t>
      </w:r>
      <w:r>
        <w:rPr>
          <w:rFonts w:eastAsia="Times New Roman" w:cs="Times New Roman"/>
          <w:lang w:val="en-AU"/>
        </w:rPr>
        <w:t xml:space="preserve">articipation in the </w:t>
      </w:r>
      <w:r w:rsidR="004144B1">
        <w:rPr>
          <w:rFonts w:eastAsia="Times New Roman" w:cs="Times New Roman"/>
          <w:lang w:val="en-AU"/>
        </w:rPr>
        <w:t>Court Mandated Diversion</w:t>
      </w:r>
      <w:r w:rsidR="00201182">
        <w:rPr>
          <w:rFonts w:eastAsia="Times New Roman" w:cs="Times New Roman"/>
          <w:lang w:val="en-AU"/>
        </w:rPr>
        <w:t xml:space="preserve"> p</w:t>
      </w:r>
      <w:r>
        <w:rPr>
          <w:rFonts w:eastAsia="Times New Roman" w:cs="Times New Roman"/>
          <w:lang w:val="en-AU"/>
        </w:rPr>
        <w:t>rogram is likely to result in</w:t>
      </w:r>
      <w:r w:rsidR="00AB0FCE">
        <w:rPr>
          <w:rFonts w:eastAsia="Times New Roman" w:cs="Times New Roman"/>
          <w:lang w:val="en-AU"/>
        </w:rPr>
        <w:t xml:space="preserve"> a saving </w:t>
      </w:r>
      <w:r w:rsidR="00970AC6">
        <w:rPr>
          <w:rFonts w:eastAsia="Times New Roman" w:cs="Times New Roman"/>
          <w:lang w:val="en-AU"/>
        </w:rPr>
        <w:t>to the community through decreased recidivism,</w:t>
      </w:r>
      <w:r w:rsidR="00D91821">
        <w:rPr>
          <w:rStyle w:val="FootnoteReference"/>
          <w:rFonts w:eastAsia="Times New Roman" w:cs="Times New Roman"/>
          <w:lang w:val="en-AU"/>
        </w:rPr>
        <w:footnoteReference w:id="3"/>
      </w:r>
      <w:r w:rsidR="00970AC6">
        <w:rPr>
          <w:rFonts w:eastAsia="Times New Roman" w:cs="Times New Roman"/>
          <w:lang w:val="en-AU"/>
        </w:rPr>
        <w:t xml:space="preserve"> with flow on effects for both the </w:t>
      </w:r>
      <w:r w:rsidR="00AB0FCE">
        <w:rPr>
          <w:rFonts w:eastAsia="Times New Roman" w:cs="Times New Roman"/>
          <w:lang w:val="en-AU"/>
        </w:rPr>
        <w:t>court and</w:t>
      </w:r>
      <w:r w:rsidR="00970AC6">
        <w:rPr>
          <w:rFonts w:eastAsia="Times New Roman" w:cs="Times New Roman"/>
          <w:lang w:val="en-AU"/>
        </w:rPr>
        <w:t xml:space="preserve"> prison systems</w:t>
      </w:r>
      <w:r w:rsidR="00A85886">
        <w:rPr>
          <w:rFonts w:eastAsia="Times New Roman" w:cs="Times New Roman"/>
          <w:lang w:val="en-AU"/>
        </w:rPr>
        <w:t>.</w:t>
      </w:r>
    </w:p>
    <w:p w14:paraId="63BE195A" w14:textId="77777777" w:rsidR="00A85886" w:rsidRDefault="00A85886" w:rsidP="001F3967">
      <w:pPr>
        <w:ind w:left="-284" w:right="-347"/>
        <w:jc w:val="both"/>
        <w:rPr>
          <w:rFonts w:eastAsia="Times New Roman" w:cs="Times New Roman"/>
          <w:lang w:val="en-AU"/>
        </w:rPr>
      </w:pPr>
    </w:p>
    <w:p w14:paraId="75A66696" w14:textId="11924682" w:rsidR="004A6A78" w:rsidRPr="00A85886" w:rsidRDefault="004A6A78" w:rsidP="001F3967">
      <w:pPr>
        <w:ind w:left="-284" w:right="-347"/>
        <w:jc w:val="both"/>
        <w:rPr>
          <w:rFonts w:eastAsia="Times New Roman" w:cs="Times New Roman"/>
          <w:lang w:val="en-AU"/>
        </w:rPr>
      </w:pPr>
      <w:r>
        <w:rPr>
          <w:rFonts w:eastAsia="Times New Roman" w:cs="Times New Roman"/>
          <w:lang w:val="en-AU"/>
        </w:rPr>
        <w:t>Many of these</w:t>
      </w:r>
      <w:r w:rsidR="0070789C">
        <w:rPr>
          <w:rFonts w:eastAsia="Times New Roman" w:cs="Times New Roman"/>
          <w:lang w:val="en-AU"/>
        </w:rPr>
        <w:t xml:space="preserve"> conclusions were found</w:t>
      </w:r>
      <w:r w:rsidR="00404B69">
        <w:rPr>
          <w:rFonts w:eastAsia="Times New Roman" w:cs="Times New Roman"/>
          <w:lang w:val="en-AU"/>
        </w:rPr>
        <w:t xml:space="preserve"> in </w:t>
      </w:r>
      <w:r>
        <w:rPr>
          <w:rFonts w:eastAsia="Times New Roman" w:cs="Times New Roman"/>
          <w:lang w:val="en-AU"/>
        </w:rPr>
        <w:t xml:space="preserve">a </w:t>
      </w:r>
      <w:r w:rsidR="00404B69">
        <w:rPr>
          <w:rFonts w:eastAsia="Times New Roman" w:cs="Times New Roman"/>
          <w:lang w:val="en-AU"/>
        </w:rPr>
        <w:t>review</w:t>
      </w:r>
      <w:r>
        <w:rPr>
          <w:rFonts w:eastAsia="Times New Roman" w:cs="Times New Roman"/>
          <w:lang w:val="en-AU"/>
        </w:rPr>
        <w:t xml:space="preserve"> </w:t>
      </w:r>
      <w:r w:rsidRPr="00624912">
        <w:rPr>
          <w:rFonts w:eastAsia="Times New Roman"/>
          <w:lang w:val="en-AU"/>
        </w:rPr>
        <w:t>for the Departm</w:t>
      </w:r>
      <w:r>
        <w:rPr>
          <w:rFonts w:eastAsia="Times New Roman"/>
          <w:lang w:val="en-AU"/>
        </w:rPr>
        <w:t xml:space="preserve">ent of Justice in November 2008. </w:t>
      </w:r>
      <w:r w:rsidRPr="004A6A78">
        <w:rPr>
          <w:rFonts w:eastAsia="Times New Roman"/>
          <w:lang w:val="en-AU"/>
        </w:rPr>
        <w:t xml:space="preserve">The review entitled </w:t>
      </w:r>
      <w:r w:rsidRPr="004A6A78">
        <w:rPr>
          <w:rFonts w:eastAsia="Times New Roman" w:cs="Times New Roman"/>
          <w:i/>
          <w:lang w:val="en-AU"/>
        </w:rPr>
        <w:t>Tasmania’s Court Mandated Drug Diversion Program, Evaluation Report</w:t>
      </w:r>
      <w:r>
        <w:rPr>
          <w:rFonts w:eastAsia="Times New Roman"/>
          <w:lang w:val="en-AU"/>
        </w:rPr>
        <w:t xml:space="preserve"> found </w:t>
      </w:r>
      <w:r w:rsidRPr="00624912">
        <w:rPr>
          <w:rFonts w:eastAsia="Times New Roman"/>
          <w:lang w:val="en-AU"/>
        </w:rPr>
        <w:t>less than half of the 157 offenders who had commenced the program had undertaken any previous drug treatment</w:t>
      </w:r>
      <w:r w:rsidR="00201182">
        <w:rPr>
          <w:rFonts w:eastAsia="Times New Roman"/>
          <w:lang w:val="en-AU"/>
        </w:rPr>
        <w:t>,</w:t>
      </w:r>
      <w:r w:rsidRPr="00624912">
        <w:rPr>
          <w:rFonts w:eastAsia="Times New Roman"/>
          <w:lang w:val="en-AU"/>
        </w:rPr>
        <w:t xml:space="preserve"> leading the</w:t>
      </w:r>
      <w:r w:rsidR="004144B1">
        <w:rPr>
          <w:rFonts w:eastAsia="Times New Roman"/>
          <w:lang w:val="en-AU"/>
        </w:rPr>
        <w:t xml:space="preserve"> authors to conclude that “…</w:t>
      </w:r>
      <w:r w:rsidR="004144B1">
        <w:rPr>
          <w:rFonts w:eastAsia="Times New Roman" w:cs="Times New Roman"/>
          <w:lang w:val="en-AU"/>
        </w:rPr>
        <w:t>Court Mandated Diversion</w:t>
      </w:r>
      <w:r w:rsidRPr="00624912">
        <w:rPr>
          <w:rFonts w:eastAsia="Times New Roman"/>
          <w:lang w:val="en-AU"/>
        </w:rPr>
        <w:t xml:space="preserve"> has been their first ever opportunity to confront their need for treatment and to gain support to deal with their addiction related issues… and </w:t>
      </w:r>
      <w:r w:rsidR="007E7AA4">
        <w:rPr>
          <w:rFonts w:eastAsia="Times New Roman"/>
          <w:lang w:val="en-AU"/>
        </w:rPr>
        <w:t>th</w:t>
      </w:r>
      <w:r w:rsidRPr="00624912">
        <w:rPr>
          <w:rFonts w:eastAsia="Times New Roman"/>
          <w:lang w:val="en-AU"/>
        </w:rPr>
        <w:t>is, in itself, is a significant achievement”.</w:t>
      </w:r>
      <w:r w:rsidRPr="00624912">
        <w:rPr>
          <w:rStyle w:val="FootnoteReference"/>
          <w:rFonts w:eastAsia="Times New Roman"/>
          <w:lang w:val="en-AU"/>
        </w:rPr>
        <w:footnoteReference w:id="4"/>
      </w:r>
      <w:r w:rsidRPr="00624912">
        <w:rPr>
          <w:rFonts w:eastAsia="Times New Roman"/>
          <w:lang w:val="en-AU"/>
        </w:rPr>
        <w:t xml:space="preserve"> The review also found that 56.7 per cent of participants had not reappeared in court after their involvement in the program, a figur</w:t>
      </w:r>
      <w:r w:rsidR="00201182">
        <w:rPr>
          <w:rFonts w:eastAsia="Times New Roman"/>
          <w:lang w:val="en-AU"/>
        </w:rPr>
        <w:t>e commensurate with other court-</w:t>
      </w:r>
      <w:r w:rsidRPr="00624912">
        <w:rPr>
          <w:rFonts w:eastAsia="Times New Roman"/>
          <w:lang w:val="en-AU"/>
        </w:rPr>
        <w:t>based drug diversion programs.</w:t>
      </w:r>
    </w:p>
    <w:p w14:paraId="02BCA9A3" w14:textId="77777777" w:rsidR="00324893" w:rsidRDefault="00324893" w:rsidP="001F3967">
      <w:pPr>
        <w:ind w:left="-284" w:right="-347"/>
        <w:jc w:val="both"/>
        <w:rPr>
          <w:rFonts w:eastAsia="Times New Roman"/>
          <w:lang w:val="en-AU"/>
        </w:rPr>
      </w:pPr>
    </w:p>
    <w:p w14:paraId="1F72F725" w14:textId="6C1972A3" w:rsidR="00CC292B" w:rsidRDefault="00970AC6" w:rsidP="001F3967">
      <w:pPr>
        <w:ind w:left="-284" w:right="-347"/>
        <w:jc w:val="both"/>
        <w:rPr>
          <w:rFonts w:eastAsia="Times New Roman"/>
          <w:lang w:val="en-AU"/>
        </w:rPr>
      </w:pPr>
      <w:r>
        <w:rPr>
          <w:rFonts w:eastAsia="Times New Roman"/>
          <w:lang w:val="en-AU"/>
        </w:rPr>
        <w:t>We strongly</w:t>
      </w:r>
      <w:r w:rsidR="004144B1">
        <w:rPr>
          <w:rFonts w:eastAsia="Times New Roman"/>
          <w:lang w:val="en-AU"/>
        </w:rPr>
        <w:t xml:space="preserve"> support the availability of </w:t>
      </w:r>
      <w:r w:rsidR="004144B1">
        <w:rPr>
          <w:rFonts w:eastAsia="Times New Roman" w:cs="Times New Roman"/>
          <w:lang w:val="en-AU"/>
        </w:rPr>
        <w:t>Court Mandated Diversion</w:t>
      </w:r>
      <w:r>
        <w:rPr>
          <w:rFonts w:eastAsia="Times New Roman"/>
          <w:lang w:val="en-AU"/>
        </w:rPr>
        <w:t xml:space="preserve"> </w:t>
      </w:r>
      <w:r w:rsidR="00A85886">
        <w:rPr>
          <w:rFonts w:eastAsia="Times New Roman"/>
          <w:lang w:val="en-AU"/>
        </w:rPr>
        <w:t>to all offenders with a history o</w:t>
      </w:r>
      <w:r w:rsidR="00CC292B">
        <w:rPr>
          <w:rFonts w:eastAsia="Times New Roman"/>
          <w:lang w:val="en-AU"/>
        </w:rPr>
        <w:t xml:space="preserve">f alcohol or other </w:t>
      </w:r>
      <w:r w:rsidR="009A01FC">
        <w:rPr>
          <w:rFonts w:eastAsia="Times New Roman"/>
          <w:lang w:val="en-AU"/>
        </w:rPr>
        <w:t xml:space="preserve">illicit </w:t>
      </w:r>
      <w:r w:rsidR="004144B1">
        <w:rPr>
          <w:rFonts w:eastAsia="Times New Roman"/>
          <w:lang w:val="en-AU"/>
        </w:rPr>
        <w:t xml:space="preserve">drug abuse. </w:t>
      </w:r>
      <w:r w:rsidR="004144B1">
        <w:rPr>
          <w:rFonts w:eastAsia="Times New Roman" w:cs="Times New Roman"/>
          <w:lang w:val="en-AU"/>
        </w:rPr>
        <w:t>Court Mandated Diversion</w:t>
      </w:r>
      <w:r w:rsidR="00CC292B">
        <w:rPr>
          <w:rFonts w:eastAsia="Times New Roman"/>
          <w:lang w:val="en-AU"/>
        </w:rPr>
        <w:t xml:space="preserve"> should also be available in the Supreme Court as well as the Magistrates Court. </w:t>
      </w:r>
      <w:r>
        <w:rPr>
          <w:rFonts w:eastAsia="Times New Roman"/>
          <w:lang w:val="en-AU"/>
        </w:rPr>
        <w:t>Currently, there is considerable frustration in both the legal and community sectors a</w:t>
      </w:r>
      <w:r w:rsidR="00201182">
        <w:rPr>
          <w:rFonts w:eastAsia="Times New Roman"/>
          <w:lang w:val="en-AU"/>
        </w:rPr>
        <w:t>bou</w:t>
      </w:r>
      <w:r>
        <w:rPr>
          <w:rFonts w:eastAsia="Times New Roman"/>
          <w:lang w:val="en-AU"/>
        </w:rPr>
        <w:t xml:space="preserve">t </w:t>
      </w:r>
      <w:r w:rsidR="00CC292B">
        <w:rPr>
          <w:rFonts w:eastAsia="Times New Roman"/>
          <w:lang w:val="en-AU"/>
        </w:rPr>
        <w:t>the inability of offe</w:t>
      </w:r>
      <w:r w:rsidR="004144B1">
        <w:rPr>
          <w:rFonts w:eastAsia="Times New Roman"/>
          <w:lang w:val="en-AU"/>
        </w:rPr>
        <w:t xml:space="preserve">nders to be sentenced to the </w:t>
      </w:r>
      <w:r w:rsidR="004144B1">
        <w:rPr>
          <w:rFonts w:eastAsia="Times New Roman" w:cs="Times New Roman"/>
          <w:lang w:val="en-AU"/>
        </w:rPr>
        <w:t>Court Mandated Diversion</w:t>
      </w:r>
      <w:r w:rsidR="00201182">
        <w:rPr>
          <w:rFonts w:eastAsia="Times New Roman"/>
          <w:lang w:val="en-AU"/>
        </w:rPr>
        <w:t xml:space="preserve"> p</w:t>
      </w:r>
      <w:r w:rsidR="00CC292B">
        <w:rPr>
          <w:rFonts w:eastAsia="Times New Roman"/>
          <w:lang w:val="en-AU"/>
        </w:rPr>
        <w:t xml:space="preserve">rogram in cases heard solely in the Supreme Court or where an offender has matters </w:t>
      </w:r>
      <w:r w:rsidR="0062587C">
        <w:rPr>
          <w:rFonts w:eastAsia="Times New Roman"/>
          <w:lang w:val="en-AU"/>
        </w:rPr>
        <w:t>that will be heard in both the Magistrate</w:t>
      </w:r>
      <w:r w:rsidR="00BA55F2">
        <w:rPr>
          <w:rFonts w:eastAsia="Times New Roman"/>
          <w:lang w:val="en-AU"/>
        </w:rPr>
        <w:t>s</w:t>
      </w:r>
      <w:r w:rsidR="00CC292B">
        <w:rPr>
          <w:rFonts w:eastAsia="Times New Roman"/>
          <w:lang w:val="en-AU"/>
        </w:rPr>
        <w:t xml:space="preserve"> and Supreme Courts.    </w:t>
      </w:r>
    </w:p>
    <w:p w14:paraId="47DC1F9C" w14:textId="77777777" w:rsidR="009C5223" w:rsidRDefault="009C5223" w:rsidP="001F3967">
      <w:pPr>
        <w:ind w:left="-284" w:right="-347"/>
        <w:jc w:val="both"/>
        <w:rPr>
          <w:rFonts w:eastAsia="Times New Roman"/>
          <w:lang w:val="en-AU"/>
        </w:rPr>
      </w:pPr>
    </w:p>
    <w:p w14:paraId="53557724" w14:textId="77A7EA44" w:rsidR="003604BD" w:rsidRDefault="009C5223" w:rsidP="003604BD">
      <w:pPr>
        <w:ind w:left="-284" w:right="-347"/>
        <w:jc w:val="both"/>
        <w:rPr>
          <w:rFonts w:eastAsia="Times New Roman" w:cs="Times New Roman"/>
          <w:lang w:val="en-AU"/>
        </w:rPr>
      </w:pPr>
      <w:r>
        <w:rPr>
          <w:rFonts w:eastAsia="Times New Roman" w:cs="Times New Roman"/>
          <w:lang w:val="en-AU"/>
        </w:rPr>
        <w:t>However, the expansion</w:t>
      </w:r>
      <w:r w:rsidR="00BA55F2">
        <w:rPr>
          <w:rFonts w:eastAsia="Times New Roman" w:cs="Times New Roman"/>
          <w:lang w:val="en-AU"/>
        </w:rPr>
        <w:t xml:space="preserve"> of Court Mandated Diversion to </w:t>
      </w:r>
      <w:r>
        <w:rPr>
          <w:rFonts w:eastAsia="Times New Roman" w:cs="Times New Roman"/>
          <w:lang w:val="en-AU"/>
        </w:rPr>
        <w:t xml:space="preserve">Supreme Court matters will require a significant injection of funds and resources. We concur wholeheartedly with </w:t>
      </w:r>
      <w:r>
        <w:rPr>
          <w:rFonts w:eastAsia="Times New Roman" w:cs="Times New Roman"/>
          <w:lang w:val="en-AU"/>
        </w:rPr>
        <w:lastRenderedPageBreak/>
        <w:t>the Sentencing Advisory Council that “considerable resources will need to be allocated to support the order”</w:t>
      </w:r>
      <w:r w:rsidR="00CF7BF3">
        <w:rPr>
          <w:rFonts w:eastAsia="Times New Roman" w:cs="Times New Roman"/>
          <w:lang w:val="en-AU"/>
        </w:rPr>
        <w:t>.</w:t>
      </w:r>
      <w:r>
        <w:rPr>
          <w:rStyle w:val="FootnoteReference"/>
          <w:rFonts w:eastAsia="Times New Roman" w:cs="Times New Roman"/>
          <w:lang w:val="en-AU"/>
        </w:rPr>
        <w:footnoteReference w:id="5"/>
      </w:r>
    </w:p>
    <w:p w14:paraId="23547A43" w14:textId="77777777" w:rsidR="00CE25FF" w:rsidRDefault="00CE25FF" w:rsidP="003604BD">
      <w:pPr>
        <w:ind w:left="-284" w:right="-347"/>
        <w:jc w:val="both"/>
        <w:rPr>
          <w:rFonts w:cs="Cambria"/>
          <w:color w:val="000000"/>
        </w:rPr>
      </w:pPr>
    </w:p>
    <w:p w14:paraId="1C4C3F10" w14:textId="663A0B03" w:rsidR="00537080" w:rsidRPr="007D39AE" w:rsidRDefault="009C5223" w:rsidP="003604BD">
      <w:pPr>
        <w:ind w:left="-284" w:right="-347"/>
        <w:jc w:val="both"/>
        <w:rPr>
          <w:rFonts w:cs="Cambria"/>
        </w:rPr>
      </w:pPr>
      <w:r w:rsidRPr="007D39AE">
        <w:rPr>
          <w:rFonts w:cs="Cambria"/>
        </w:rPr>
        <w:t xml:space="preserve">Whilst there are a number of </w:t>
      </w:r>
      <w:r w:rsidR="00B20CA2" w:rsidRPr="007D39AE">
        <w:rPr>
          <w:rFonts w:cs="Cambria"/>
        </w:rPr>
        <w:t>studies demonstrating</w:t>
      </w:r>
      <w:r w:rsidRPr="007D39AE">
        <w:rPr>
          <w:rFonts w:cs="Cambria"/>
        </w:rPr>
        <w:t xml:space="preserve"> that many offenders are intoxicated at the time of their offending,</w:t>
      </w:r>
      <w:r w:rsidRPr="007D39AE">
        <w:rPr>
          <w:rStyle w:val="FootnoteReference"/>
          <w:rFonts w:cs="Cambria"/>
        </w:rPr>
        <w:footnoteReference w:id="6"/>
      </w:r>
      <w:r w:rsidRPr="007D39AE">
        <w:rPr>
          <w:rFonts w:cs="Cambria"/>
        </w:rPr>
        <w:t xml:space="preserve"> this does not necessarily po</w:t>
      </w:r>
      <w:r w:rsidR="00970AC6" w:rsidRPr="007D39AE">
        <w:rPr>
          <w:rFonts w:cs="Cambria"/>
        </w:rPr>
        <w:t>int to a history of drug abuse.</w:t>
      </w:r>
      <w:r w:rsidR="00DD39DE" w:rsidRPr="007D39AE">
        <w:rPr>
          <w:rFonts w:cs="Cambria"/>
        </w:rPr>
        <w:t xml:space="preserve"> These studies are also subject to a number of limitations</w:t>
      </w:r>
      <w:r w:rsidR="00B20CA2" w:rsidRPr="007D39AE">
        <w:rPr>
          <w:rFonts w:cs="Cambria"/>
        </w:rPr>
        <w:t>,</w:t>
      </w:r>
      <w:r w:rsidR="00DD39DE" w:rsidRPr="007D39AE">
        <w:rPr>
          <w:rFonts w:cs="Cambria"/>
        </w:rPr>
        <w:t xml:space="preserve"> including most importantly that many offenders intoxicated at the time of their offending do not have a history of drug abuse. Other limitations include that the findings </w:t>
      </w:r>
      <w:r w:rsidR="00A4101A" w:rsidRPr="007D39AE">
        <w:rPr>
          <w:rFonts w:cs="Cambria"/>
        </w:rPr>
        <w:t xml:space="preserve">may be an attempt by those self-reporting to attribute their offending </w:t>
      </w:r>
      <w:proofErr w:type="spellStart"/>
      <w:r w:rsidR="004753BF" w:rsidRPr="007D39AE">
        <w:rPr>
          <w:rFonts w:cs="Cambria"/>
        </w:rPr>
        <w:t>behavio</w:t>
      </w:r>
      <w:r w:rsidR="00B20CA2" w:rsidRPr="007D39AE">
        <w:rPr>
          <w:rFonts w:cs="Cambria"/>
        </w:rPr>
        <w:t>u</w:t>
      </w:r>
      <w:r w:rsidR="004753BF" w:rsidRPr="007D39AE">
        <w:rPr>
          <w:rFonts w:cs="Cambria"/>
        </w:rPr>
        <w:t>r</w:t>
      </w:r>
      <w:proofErr w:type="spellEnd"/>
      <w:r w:rsidR="004753BF" w:rsidRPr="007D39AE">
        <w:rPr>
          <w:rFonts w:cs="Cambria"/>
        </w:rPr>
        <w:t xml:space="preserve"> to their use of drugs. </w:t>
      </w:r>
      <w:r w:rsidR="00A4101A" w:rsidRPr="007D39AE">
        <w:rPr>
          <w:rFonts w:cs="Cambria"/>
        </w:rPr>
        <w:t>Alternatively, self-reporting may be underreported</w:t>
      </w:r>
      <w:r w:rsidR="00B20CA2" w:rsidRPr="007D39AE">
        <w:rPr>
          <w:rFonts w:cs="Cambria"/>
        </w:rPr>
        <w:t>,</w:t>
      </w:r>
      <w:r w:rsidR="00A4101A" w:rsidRPr="007D39AE">
        <w:rPr>
          <w:rFonts w:cs="Cambria"/>
        </w:rPr>
        <w:t xml:space="preserve"> with offenders concerned that their admission may see them charged with additional offences. Finally, it is important to note that many offenders do not attribute their offending </w:t>
      </w:r>
      <w:proofErr w:type="spellStart"/>
      <w:r w:rsidR="00A4101A" w:rsidRPr="007D39AE">
        <w:rPr>
          <w:rFonts w:cs="Cambria"/>
        </w:rPr>
        <w:t>behavio</w:t>
      </w:r>
      <w:r w:rsidR="00B20CA2" w:rsidRPr="007D39AE">
        <w:rPr>
          <w:rFonts w:cs="Cambria"/>
        </w:rPr>
        <w:t>u</w:t>
      </w:r>
      <w:r w:rsidR="00A4101A" w:rsidRPr="007D39AE">
        <w:rPr>
          <w:rFonts w:cs="Cambria"/>
        </w:rPr>
        <w:t>r</w:t>
      </w:r>
      <w:proofErr w:type="spellEnd"/>
      <w:r w:rsidR="00A4101A" w:rsidRPr="007D39AE">
        <w:rPr>
          <w:rFonts w:cs="Cambria"/>
        </w:rPr>
        <w:t xml:space="preserve"> to their intoxication.</w:t>
      </w:r>
    </w:p>
    <w:p w14:paraId="347BC896" w14:textId="77777777" w:rsidR="00537080" w:rsidRPr="007D39AE" w:rsidRDefault="00537080" w:rsidP="003604BD">
      <w:pPr>
        <w:ind w:left="-284" w:right="-347"/>
        <w:jc w:val="both"/>
        <w:rPr>
          <w:rFonts w:cs="Cambria"/>
        </w:rPr>
      </w:pPr>
    </w:p>
    <w:p w14:paraId="784225D3" w14:textId="2A543BE0" w:rsidR="00A4101A" w:rsidRPr="007D39AE" w:rsidRDefault="00537080" w:rsidP="003604BD">
      <w:pPr>
        <w:ind w:left="-284" w:right="-347"/>
        <w:jc w:val="both"/>
        <w:rPr>
          <w:rFonts w:eastAsia="Times New Roman" w:cs="Times New Roman"/>
          <w:lang w:val="en-AU"/>
        </w:rPr>
      </w:pPr>
      <w:r w:rsidRPr="007D39AE">
        <w:rPr>
          <w:rFonts w:cs="Cambria"/>
        </w:rPr>
        <w:t xml:space="preserve">As well, the data provided in the Sentencing Advisory Council’s </w:t>
      </w:r>
      <w:r w:rsidRPr="007D39AE">
        <w:rPr>
          <w:rFonts w:cs="Cambria"/>
          <w:i/>
        </w:rPr>
        <w:t xml:space="preserve">Phasing out of Suspended Sentences Background Paper </w:t>
      </w:r>
      <w:r w:rsidRPr="007D39AE">
        <w:rPr>
          <w:rFonts w:cs="Cambria"/>
        </w:rPr>
        <w:t xml:space="preserve">only </w:t>
      </w:r>
      <w:r w:rsidR="00B20CA2" w:rsidRPr="007D39AE">
        <w:rPr>
          <w:rFonts w:cs="Cambria"/>
        </w:rPr>
        <w:t xml:space="preserve">present information </w:t>
      </w:r>
      <w:r w:rsidRPr="007D39AE">
        <w:rPr>
          <w:rFonts w:cs="Cambria"/>
        </w:rPr>
        <w:t xml:space="preserve">on the numbers </w:t>
      </w:r>
      <w:r w:rsidR="00064753" w:rsidRPr="007D39AE">
        <w:rPr>
          <w:rFonts w:cs="Cambria"/>
        </w:rPr>
        <w:t xml:space="preserve">and percentages </w:t>
      </w:r>
      <w:r w:rsidRPr="007D39AE">
        <w:rPr>
          <w:rFonts w:cs="Cambria"/>
        </w:rPr>
        <w:t xml:space="preserve">of offenders being sentenced </w:t>
      </w:r>
      <w:r w:rsidR="00B20CA2" w:rsidRPr="007D39AE">
        <w:rPr>
          <w:rFonts w:cs="Cambria"/>
        </w:rPr>
        <w:t xml:space="preserve">for </w:t>
      </w:r>
      <w:r w:rsidR="00B20CA2" w:rsidRPr="007D39AE">
        <w:rPr>
          <w:rFonts w:cs="Cambria"/>
          <w:i/>
        </w:rPr>
        <w:t>drug</w:t>
      </w:r>
      <w:r w:rsidR="00B20CA2" w:rsidRPr="007D39AE">
        <w:rPr>
          <w:rFonts w:cs="Cambria"/>
        </w:rPr>
        <w:t xml:space="preserve"> offences </w:t>
      </w:r>
      <w:r w:rsidRPr="007D39AE">
        <w:rPr>
          <w:rFonts w:cs="Cambria"/>
        </w:rPr>
        <w:t xml:space="preserve">in the </w:t>
      </w:r>
      <w:r w:rsidR="00DB37F1" w:rsidRPr="007D39AE">
        <w:rPr>
          <w:rFonts w:cs="Cambria"/>
        </w:rPr>
        <w:t xml:space="preserve">Magistrates and </w:t>
      </w:r>
      <w:r w:rsidRPr="007D39AE">
        <w:rPr>
          <w:rFonts w:cs="Cambria"/>
        </w:rPr>
        <w:t>Supreme Court</w:t>
      </w:r>
      <w:r w:rsidR="00B20CA2" w:rsidRPr="007D39AE">
        <w:rPr>
          <w:rFonts w:cs="Cambria"/>
        </w:rPr>
        <w:t>s</w:t>
      </w:r>
      <w:r w:rsidRPr="007D39AE">
        <w:rPr>
          <w:rFonts w:cs="Cambria"/>
        </w:rPr>
        <w:t>.</w:t>
      </w:r>
      <w:r w:rsidR="00DB37F1" w:rsidRPr="007D39AE">
        <w:rPr>
          <w:rFonts w:cs="Cambria"/>
        </w:rPr>
        <w:t xml:space="preserve"> Whilst useful in demonstrating the likely sentence for offenders who receive a suspended sentence, the data </w:t>
      </w:r>
      <w:r w:rsidR="00B20CA2" w:rsidRPr="007D39AE">
        <w:rPr>
          <w:rFonts w:cs="Cambria"/>
        </w:rPr>
        <w:t>is</w:t>
      </w:r>
      <w:r w:rsidR="00E8362B" w:rsidRPr="007D39AE">
        <w:rPr>
          <w:rFonts w:cs="Cambria"/>
        </w:rPr>
        <w:t xml:space="preserve"> unable to quantify the numbers of offenders who may be </w:t>
      </w:r>
      <w:r w:rsidR="00B20CA2" w:rsidRPr="007D39AE">
        <w:rPr>
          <w:rFonts w:cs="Cambria"/>
        </w:rPr>
        <w:t>suitable for assessment</w:t>
      </w:r>
      <w:r w:rsidR="00E8362B" w:rsidRPr="007D39AE">
        <w:rPr>
          <w:rFonts w:cs="Cambria"/>
        </w:rPr>
        <w:t xml:space="preserve"> for the </w:t>
      </w:r>
      <w:r w:rsidR="008D4B5E" w:rsidRPr="007D39AE">
        <w:rPr>
          <w:rFonts w:cs="Cambria"/>
        </w:rPr>
        <w:t>Court M</w:t>
      </w:r>
      <w:r w:rsidR="00E8362B" w:rsidRPr="007D39AE">
        <w:rPr>
          <w:rFonts w:cs="Cambria"/>
        </w:rPr>
        <w:t>a</w:t>
      </w:r>
      <w:r w:rsidR="008D4B5E" w:rsidRPr="007D39AE">
        <w:rPr>
          <w:rFonts w:cs="Cambria"/>
        </w:rPr>
        <w:t>n</w:t>
      </w:r>
      <w:r w:rsidR="00E8362B" w:rsidRPr="007D39AE">
        <w:rPr>
          <w:rFonts w:cs="Cambria"/>
        </w:rPr>
        <w:t>dated Diversion program.</w:t>
      </w:r>
    </w:p>
    <w:p w14:paraId="6C1EE4F3" w14:textId="77777777" w:rsidR="00A4101A" w:rsidRPr="007D39AE" w:rsidRDefault="00A4101A" w:rsidP="001F3967">
      <w:pPr>
        <w:ind w:left="-284" w:right="-347"/>
        <w:jc w:val="both"/>
        <w:rPr>
          <w:lang w:val="en-AU"/>
        </w:rPr>
      </w:pPr>
    </w:p>
    <w:p w14:paraId="35126E01" w14:textId="0B06921F" w:rsidR="00C42C59" w:rsidRPr="007D39AE" w:rsidRDefault="00B20CA2" w:rsidP="003604BD">
      <w:pPr>
        <w:ind w:left="-284" w:right="-347"/>
        <w:jc w:val="both"/>
        <w:rPr>
          <w:lang w:val="en-AU"/>
        </w:rPr>
      </w:pPr>
      <w:r w:rsidRPr="007D39AE">
        <w:rPr>
          <w:lang w:val="en-AU"/>
        </w:rPr>
        <w:t xml:space="preserve">In our opinion, </w:t>
      </w:r>
      <w:r w:rsidR="00CF7BF3" w:rsidRPr="007D39AE">
        <w:rPr>
          <w:lang w:val="en-AU"/>
        </w:rPr>
        <w:t>the number of offenders sentenced with a history of alc</w:t>
      </w:r>
      <w:r w:rsidRPr="007D39AE">
        <w:rPr>
          <w:lang w:val="en-AU"/>
        </w:rPr>
        <w:t>ohol and/or illicit drug abuse provides</w:t>
      </w:r>
      <w:r w:rsidR="004753BF" w:rsidRPr="007D39AE">
        <w:rPr>
          <w:lang w:val="en-AU"/>
        </w:rPr>
        <w:t xml:space="preserve"> a more </w:t>
      </w:r>
      <w:r w:rsidR="00430348" w:rsidRPr="007D39AE">
        <w:rPr>
          <w:lang w:val="en-AU"/>
        </w:rPr>
        <w:t>reliable estimate</w:t>
      </w:r>
      <w:r w:rsidR="004753BF" w:rsidRPr="007D39AE">
        <w:rPr>
          <w:lang w:val="en-AU"/>
        </w:rPr>
        <w:t xml:space="preserve"> of o</w:t>
      </w:r>
      <w:r w:rsidR="004144B1" w:rsidRPr="007D39AE">
        <w:rPr>
          <w:lang w:val="en-AU"/>
        </w:rPr>
        <w:t>ffenders in Tasmania who require</w:t>
      </w:r>
      <w:r w:rsidR="004753BF" w:rsidRPr="007D39AE">
        <w:rPr>
          <w:lang w:val="en-AU"/>
        </w:rPr>
        <w:t xml:space="preserve"> access </w:t>
      </w:r>
      <w:r w:rsidR="004144B1" w:rsidRPr="007D39AE">
        <w:rPr>
          <w:lang w:val="en-AU"/>
        </w:rPr>
        <w:t xml:space="preserve">to </w:t>
      </w:r>
      <w:r w:rsidR="004753BF" w:rsidRPr="007D39AE">
        <w:rPr>
          <w:lang w:val="en-AU"/>
        </w:rPr>
        <w:t>treatment and other rehabilitation programs.</w:t>
      </w:r>
      <w:r w:rsidR="003604BD" w:rsidRPr="007D39AE">
        <w:rPr>
          <w:lang w:val="en-AU"/>
        </w:rPr>
        <w:t xml:space="preserve"> </w:t>
      </w:r>
      <w:r w:rsidR="006146D3" w:rsidRPr="007D39AE">
        <w:rPr>
          <w:lang w:val="en-AU"/>
        </w:rPr>
        <w:t xml:space="preserve">Whilst we have been unable to </w:t>
      </w:r>
      <w:r w:rsidR="004753BF" w:rsidRPr="007D39AE">
        <w:rPr>
          <w:lang w:val="en-AU"/>
        </w:rPr>
        <w:t>review cases</w:t>
      </w:r>
      <w:r w:rsidR="006146D3" w:rsidRPr="007D39AE">
        <w:rPr>
          <w:lang w:val="en-AU"/>
        </w:rPr>
        <w:t xml:space="preserve"> from the Magistrates Court, </w:t>
      </w:r>
      <w:r w:rsidR="006146D3" w:rsidRPr="007D39AE">
        <w:rPr>
          <w:rFonts w:eastAsia="Times New Roman" w:cs="Times New Roman"/>
          <w:lang w:val="en-AU"/>
        </w:rPr>
        <w:t xml:space="preserve">we have reviewed all sentencing decisions </w:t>
      </w:r>
      <w:r w:rsidR="00FF3866" w:rsidRPr="007D39AE">
        <w:rPr>
          <w:rFonts w:eastAsia="Times New Roman" w:cs="Times New Roman"/>
          <w:lang w:val="en-AU"/>
        </w:rPr>
        <w:t xml:space="preserve">made available through the </w:t>
      </w:r>
      <w:r w:rsidR="00FF3866" w:rsidRPr="007D39AE">
        <w:rPr>
          <w:rFonts w:eastAsia="Times New Roman" w:cs="Times New Roman"/>
          <w:i/>
          <w:lang w:val="en-AU"/>
        </w:rPr>
        <w:t>Sentencing Database</w:t>
      </w:r>
      <w:r w:rsidR="00FF3866" w:rsidRPr="007D39AE">
        <w:rPr>
          <w:rFonts w:eastAsia="Times New Roman" w:cs="Times New Roman"/>
          <w:lang w:val="en-AU"/>
        </w:rPr>
        <w:t xml:space="preserve"> and </w:t>
      </w:r>
      <w:r w:rsidR="006146D3" w:rsidRPr="007D39AE">
        <w:rPr>
          <w:rFonts w:eastAsia="Times New Roman" w:cs="Times New Roman"/>
          <w:lang w:val="en-AU"/>
        </w:rPr>
        <w:t>handed down in the Supreme Court of Tasmania</w:t>
      </w:r>
      <w:r w:rsidR="004753BF" w:rsidRPr="007D39AE">
        <w:rPr>
          <w:rFonts w:eastAsia="Times New Roman" w:cs="Times New Roman"/>
          <w:lang w:val="en-AU"/>
        </w:rPr>
        <w:t xml:space="preserve"> between 2008-14</w:t>
      </w:r>
      <w:r w:rsidR="006146D3" w:rsidRPr="007D39AE">
        <w:rPr>
          <w:rFonts w:eastAsia="Times New Roman" w:cs="Times New Roman"/>
          <w:lang w:val="en-AU"/>
        </w:rPr>
        <w:t>.</w:t>
      </w:r>
      <w:r w:rsidR="00CF7BF3" w:rsidRPr="007D39AE">
        <w:rPr>
          <w:rStyle w:val="FootnoteReference"/>
          <w:rFonts w:eastAsia="Times New Roman" w:cs="Times New Roman"/>
          <w:lang w:val="en-AU"/>
        </w:rPr>
        <w:footnoteReference w:id="7"/>
      </w:r>
      <w:r w:rsidR="004753BF" w:rsidRPr="007D39AE">
        <w:rPr>
          <w:rFonts w:eastAsia="Times New Roman" w:cs="Times New Roman"/>
          <w:lang w:val="en-AU"/>
        </w:rPr>
        <w:t xml:space="preserve"> </w:t>
      </w:r>
      <w:r w:rsidR="00CF7BF3" w:rsidRPr="007D39AE">
        <w:rPr>
          <w:rFonts w:cs="Cambria"/>
        </w:rPr>
        <w:t>The Remarks on Sentence</w:t>
      </w:r>
      <w:r w:rsidRPr="007D39AE">
        <w:rPr>
          <w:rFonts w:cs="Cambria"/>
        </w:rPr>
        <w:t>,</w:t>
      </w:r>
      <w:r w:rsidR="00CF7BF3" w:rsidRPr="007D39AE">
        <w:rPr>
          <w:rFonts w:cs="Cambria"/>
        </w:rPr>
        <w:t xml:space="preserve"> as they are sometimes called, are delivered by the sentencing judge in open court when passing sentence and generally state the offence/s for which the offender has been convicted, the objective circumstances of the offence and the subjective circumstances of the offender.</w:t>
      </w:r>
      <w:r w:rsidR="00CF7BF3" w:rsidRPr="007D39AE">
        <w:rPr>
          <w:rStyle w:val="FootnoteReference"/>
          <w:rFonts w:cs="Cambria"/>
        </w:rPr>
        <w:footnoteReference w:id="8"/>
      </w:r>
      <w:r w:rsidR="00430348" w:rsidRPr="007D39AE">
        <w:rPr>
          <w:rFonts w:cs="Cambria"/>
        </w:rPr>
        <w:t xml:space="preserve"> </w:t>
      </w:r>
      <w:r w:rsidR="00C42C59" w:rsidRPr="007D39AE">
        <w:rPr>
          <w:rFonts w:cs="Cambria"/>
        </w:rPr>
        <w:t xml:space="preserve">The documentary evidence made available to the Supreme Court by both prosecution and </w:t>
      </w:r>
      <w:proofErr w:type="spellStart"/>
      <w:r w:rsidR="00C42C59" w:rsidRPr="007D39AE">
        <w:rPr>
          <w:rFonts w:cs="Cambria"/>
        </w:rPr>
        <w:t>defence</w:t>
      </w:r>
      <w:proofErr w:type="spellEnd"/>
      <w:r w:rsidR="00C42C59" w:rsidRPr="007D39AE">
        <w:rPr>
          <w:rFonts w:cs="Cambria"/>
        </w:rPr>
        <w:t xml:space="preserve"> counsel, including pre-sentence reports, psychological assessments, criminal records and testimony </w:t>
      </w:r>
      <w:r w:rsidR="00E708B6" w:rsidRPr="007D39AE">
        <w:rPr>
          <w:rFonts w:cs="Cambria"/>
        </w:rPr>
        <w:t xml:space="preserve">is capable of being tested as well as </w:t>
      </w:r>
      <w:r w:rsidR="00E708B6" w:rsidRPr="007D39AE">
        <w:rPr>
          <w:rFonts w:cs="Cambria"/>
        </w:rPr>
        <w:lastRenderedPageBreak/>
        <w:t xml:space="preserve">corroborated and therefore </w:t>
      </w:r>
      <w:r w:rsidR="00C42C59" w:rsidRPr="007D39AE">
        <w:rPr>
          <w:rFonts w:cs="Cambria"/>
        </w:rPr>
        <w:t>provide</w:t>
      </w:r>
      <w:r w:rsidR="00E708B6" w:rsidRPr="007D39AE">
        <w:rPr>
          <w:rFonts w:cs="Cambria"/>
        </w:rPr>
        <w:t>s</w:t>
      </w:r>
      <w:r w:rsidR="00C42C59" w:rsidRPr="007D39AE">
        <w:rPr>
          <w:rFonts w:cs="Cambria"/>
        </w:rPr>
        <w:t xml:space="preserve"> Tasmania’s Supreme Court with a more complete picture of the offender’s drug use</w:t>
      </w:r>
      <w:r w:rsidR="00E708B6" w:rsidRPr="007D39AE">
        <w:rPr>
          <w:rFonts w:cs="Cambria"/>
        </w:rPr>
        <w:t xml:space="preserve"> or abuse</w:t>
      </w:r>
      <w:r w:rsidR="00C42C59" w:rsidRPr="007D39AE">
        <w:rPr>
          <w:rFonts w:cs="Cambria"/>
        </w:rPr>
        <w:t>.</w:t>
      </w:r>
      <w:r w:rsidR="00E708B6" w:rsidRPr="007D39AE">
        <w:rPr>
          <w:rFonts w:cs="Cambria"/>
        </w:rPr>
        <w:t xml:space="preserve"> </w:t>
      </w:r>
    </w:p>
    <w:p w14:paraId="2CDE17BB" w14:textId="77777777" w:rsidR="00A4101A" w:rsidRDefault="00A4101A" w:rsidP="001F3967">
      <w:pPr>
        <w:ind w:left="-284" w:right="-347"/>
        <w:jc w:val="both"/>
        <w:rPr>
          <w:lang w:val="en-AU"/>
        </w:rPr>
      </w:pPr>
    </w:p>
    <w:p w14:paraId="3FE5BF25" w14:textId="7F9D4B4E" w:rsidR="009C5223" w:rsidRDefault="00B20CA2" w:rsidP="003604BD">
      <w:pPr>
        <w:ind w:left="-284" w:right="-347"/>
        <w:jc w:val="both"/>
        <w:rPr>
          <w:lang w:val="en-AU"/>
        </w:rPr>
      </w:pPr>
      <w:r>
        <w:rPr>
          <w:lang w:val="en-AU"/>
        </w:rPr>
        <w:t>As set out in the table below, o</w:t>
      </w:r>
      <w:r w:rsidR="00EB2F3D">
        <w:rPr>
          <w:lang w:val="en-AU"/>
        </w:rPr>
        <w:t xml:space="preserve">ur </w:t>
      </w:r>
      <w:r w:rsidR="005F2595">
        <w:rPr>
          <w:lang w:val="en-AU"/>
        </w:rPr>
        <w:t>analysis</w:t>
      </w:r>
      <w:r w:rsidR="00EB2F3D">
        <w:rPr>
          <w:lang w:val="en-AU"/>
        </w:rPr>
        <w:t xml:space="preserve"> of the </w:t>
      </w:r>
      <w:r w:rsidR="00EB2F3D" w:rsidRPr="004753BF">
        <w:rPr>
          <w:i/>
          <w:lang w:val="en-AU"/>
        </w:rPr>
        <w:t>Sentencing Database</w:t>
      </w:r>
      <w:r w:rsidR="004753BF">
        <w:rPr>
          <w:lang w:val="en-AU"/>
        </w:rPr>
        <w:t xml:space="preserve"> </w:t>
      </w:r>
      <w:r w:rsidR="005F2595">
        <w:rPr>
          <w:lang w:val="en-AU"/>
        </w:rPr>
        <w:t xml:space="preserve">from 2008-2014 demonstrates that there </w:t>
      </w:r>
      <w:r w:rsidR="009C5223">
        <w:rPr>
          <w:lang w:val="en-AU"/>
        </w:rPr>
        <w:t xml:space="preserve">are around 85 offenders each year who have a </w:t>
      </w:r>
      <w:r w:rsidR="003604BD">
        <w:rPr>
          <w:lang w:val="en-AU"/>
        </w:rPr>
        <w:t>recognised</w:t>
      </w:r>
      <w:r w:rsidR="004144B1">
        <w:rPr>
          <w:lang w:val="en-AU"/>
        </w:rPr>
        <w:t xml:space="preserve"> history of alcohol and/or</w:t>
      </w:r>
      <w:r w:rsidR="009C5223">
        <w:rPr>
          <w:lang w:val="en-AU"/>
        </w:rPr>
        <w:t xml:space="preserve"> illicit drug abuse at the time of their </w:t>
      </w:r>
      <w:r>
        <w:rPr>
          <w:lang w:val="en-AU"/>
        </w:rPr>
        <w:t>offending</w:t>
      </w:r>
      <w:r w:rsidR="009C5223">
        <w:rPr>
          <w:lang w:val="en-AU"/>
        </w:rPr>
        <w:t xml:space="preserve"> in the Supreme Court of Tasmania.  </w:t>
      </w:r>
    </w:p>
    <w:p w14:paraId="79AC548C" w14:textId="77777777" w:rsidR="008D4B5E" w:rsidRDefault="008D4B5E" w:rsidP="0053518A">
      <w:pPr>
        <w:ind w:right="-347"/>
        <w:jc w:val="both"/>
        <w:rPr>
          <w:lang w:val="en-AU"/>
        </w:rPr>
      </w:pPr>
    </w:p>
    <w:tbl>
      <w:tblPr>
        <w:tblStyle w:val="TableGrid"/>
        <w:tblW w:w="9521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820"/>
        <w:gridCol w:w="830"/>
        <w:gridCol w:w="879"/>
        <w:gridCol w:w="855"/>
        <w:gridCol w:w="945"/>
        <w:gridCol w:w="897"/>
        <w:gridCol w:w="953"/>
        <w:gridCol w:w="1073"/>
      </w:tblGrid>
      <w:tr w:rsidR="00501D5D" w:rsidRPr="005F2595" w14:paraId="48F9C040" w14:textId="77777777" w:rsidTr="00501D5D">
        <w:trPr>
          <w:trHeight w:val="614"/>
          <w:jc w:val="center"/>
        </w:trPr>
        <w:tc>
          <w:tcPr>
            <w:tcW w:w="2269" w:type="dxa"/>
          </w:tcPr>
          <w:p w14:paraId="6BE2D7B7" w14:textId="77777777" w:rsidR="009C5223" w:rsidRPr="005F2595" w:rsidRDefault="009C5223" w:rsidP="00810F31">
            <w:pPr>
              <w:pStyle w:val="NoSpacing"/>
              <w:jc w:val="both"/>
              <w:rPr>
                <w:rFonts w:cs="Times"/>
                <w:b/>
                <w:sz w:val="22"/>
                <w:szCs w:val="22"/>
                <w:lang w:val="en-AU"/>
              </w:rPr>
            </w:pPr>
          </w:p>
          <w:p w14:paraId="787A692F" w14:textId="77777777" w:rsidR="009C5223" w:rsidRPr="005F2595" w:rsidRDefault="009C5223" w:rsidP="00810F31">
            <w:pPr>
              <w:pStyle w:val="NoSpacing"/>
              <w:jc w:val="both"/>
              <w:rPr>
                <w:rFonts w:cs="Times"/>
                <w:b/>
                <w:sz w:val="22"/>
                <w:szCs w:val="22"/>
                <w:lang w:val="en-AU"/>
              </w:rPr>
            </w:pPr>
            <w:r w:rsidRPr="005F2595">
              <w:rPr>
                <w:rFonts w:cs="Times"/>
                <w:b/>
                <w:sz w:val="22"/>
                <w:szCs w:val="22"/>
                <w:lang w:val="en-AU"/>
              </w:rPr>
              <w:t>Supreme Court</w:t>
            </w:r>
          </w:p>
        </w:tc>
        <w:tc>
          <w:tcPr>
            <w:tcW w:w="820" w:type="dxa"/>
          </w:tcPr>
          <w:p w14:paraId="0B222AE3" w14:textId="77777777" w:rsidR="009C5223" w:rsidRPr="005F2595" w:rsidRDefault="009C5223" w:rsidP="00810F31">
            <w:pPr>
              <w:ind w:left="-108"/>
              <w:jc w:val="center"/>
              <w:rPr>
                <w:b/>
                <w:sz w:val="22"/>
                <w:szCs w:val="22"/>
                <w:lang w:val="en-AU"/>
              </w:rPr>
            </w:pPr>
          </w:p>
          <w:p w14:paraId="38D3EEDA" w14:textId="77777777" w:rsidR="009C5223" w:rsidRPr="005F2595" w:rsidRDefault="009C5223" w:rsidP="00810F31">
            <w:pPr>
              <w:ind w:left="-108"/>
              <w:jc w:val="center"/>
              <w:rPr>
                <w:b/>
                <w:sz w:val="22"/>
                <w:szCs w:val="22"/>
                <w:lang w:val="en-AU"/>
              </w:rPr>
            </w:pPr>
            <w:r w:rsidRPr="005F2595">
              <w:rPr>
                <w:b/>
                <w:sz w:val="22"/>
                <w:szCs w:val="22"/>
                <w:lang w:val="en-AU"/>
              </w:rPr>
              <w:t>2008</w:t>
            </w:r>
          </w:p>
        </w:tc>
        <w:tc>
          <w:tcPr>
            <w:tcW w:w="830" w:type="dxa"/>
          </w:tcPr>
          <w:p w14:paraId="357EF75D" w14:textId="77777777" w:rsidR="009C5223" w:rsidRPr="005F2595" w:rsidRDefault="009C5223" w:rsidP="00810F31">
            <w:pPr>
              <w:pStyle w:val="NoSpacing"/>
              <w:ind w:left="-108" w:right="-47"/>
              <w:jc w:val="center"/>
              <w:rPr>
                <w:rFonts w:cs="Times"/>
                <w:b/>
                <w:sz w:val="22"/>
                <w:szCs w:val="22"/>
                <w:lang w:val="en-AU"/>
              </w:rPr>
            </w:pPr>
          </w:p>
          <w:p w14:paraId="62E48047" w14:textId="77777777" w:rsidR="009C5223" w:rsidRPr="005F2595" w:rsidRDefault="009C5223" w:rsidP="00810F31">
            <w:pPr>
              <w:pStyle w:val="NoSpacing"/>
              <w:ind w:left="-108" w:right="-47"/>
              <w:jc w:val="center"/>
              <w:rPr>
                <w:rFonts w:cs="Times"/>
                <w:b/>
                <w:sz w:val="22"/>
                <w:szCs w:val="22"/>
                <w:lang w:val="en-AU"/>
              </w:rPr>
            </w:pPr>
            <w:r w:rsidRPr="005F2595">
              <w:rPr>
                <w:rFonts w:cs="Times"/>
                <w:b/>
                <w:sz w:val="22"/>
                <w:szCs w:val="22"/>
                <w:lang w:val="en-AU"/>
              </w:rPr>
              <w:t>2009</w:t>
            </w:r>
          </w:p>
        </w:tc>
        <w:tc>
          <w:tcPr>
            <w:tcW w:w="879" w:type="dxa"/>
          </w:tcPr>
          <w:p w14:paraId="731A074C" w14:textId="77777777" w:rsidR="009C5223" w:rsidRPr="005F2595" w:rsidRDefault="009C5223" w:rsidP="00810F31">
            <w:pPr>
              <w:pStyle w:val="NoSpacing"/>
              <w:ind w:left="-108" w:right="-108"/>
              <w:jc w:val="center"/>
              <w:rPr>
                <w:rFonts w:cs="Times"/>
                <w:b/>
                <w:sz w:val="22"/>
                <w:szCs w:val="22"/>
                <w:lang w:val="en-AU"/>
              </w:rPr>
            </w:pPr>
          </w:p>
          <w:p w14:paraId="4896D0D7" w14:textId="77777777" w:rsidR="009C5223" w:rsidRPr="005F2595" w:rsidRDefault="009C5223" w:rsidP="00810F31">
            <w:pPr>
              <w:pStyle w:val="NoSpacing"/>
              <w:ind w:left="-108" w:right="-108"/>
              <w:jc w:val="center"/>
              <w:rPr>
                <w:rFonts w:cs="Times"/>
                <w:b/>
                <w:sz w:val="22"/>
                <w:szCs w:val="22"/>
                <w:lang w:val="en-AU"/>
              </w:rPr>
            </w:pPr>
            <w:r w:rsidRPr="005F2595">
              <w:rPr>
                <w:rFonts w:cs="Times"/>
                <w:b/>
                <w:sz w:val="22"/>
                <w:szCs w:val="22"/>
                <w:lang w:val="en-AU"/>
              </w:rPr>
              <w:t>2010</w:t>
            </w:r>
          </w:p>
        </w:tc>
        <w:tc>
          <w:tcPr>
            <w:tcW w:w="855" w:type="dxa"/>
          </w:tcPr>
          <w:p w14:paraId="5CD6A70A" w14:textId="77777777" w:rsidR="009C5223" w:rsidRPr="005F2595" w:rsidRDefault="009C5223" w:rsidP="00810F31">
            <w:pPr>
              <w:pStyle w:val="NoSpacing"/>
              <w:ind w:left="-108"/>
              <w:jc w:val="center"/>
              <w:rPr>
                <w:rFonts w:cs="Times"/>
                <w:b/>
                <w:sz w:val="22"/>
                <w:szCs w:val="22"/>
                <w:lang w:val="en-AU"/>
              </w:rPr>
            </w:pPr>
          </w:p>
          <w:p w14:paraId="31D309CB" w14:textId="77777777" w:rsidR="009C5223" w:rsidRPr="005F2595" w:rsidRDefault="009C5223" w:rsidP="00810F31">
            <w:pPr>
              <w:pStyle w:val="NoSpacing"/>
              <w:ind w:left="-108"/>
              <w:jc w:val="center"/>
              <w:rPr>
                <w:rFonts w:cs="Times"/>
                <w:b/>
                <w:sz w:val="22"/>
                <w:szCs w:val="22"/>
                <w:lang w:val="en-AU"/>
              </w:rPr>
            </w:pPr>
            <w:r w:rsidRPr="005F2595">
              <w:rPr>
                <w:rFonts w:cs="Times"/>
                <w:b/>
                <w:sz w:val="22"/>
                <w:szCs w:val="22"/>
                <w:lang w:val="en-AU"/>
              </w:rPr>
              <w:t>2011</w:t>
            </w:r>
          </w:p>
        </w:tc>
        <w:tc>
          <w:tcPr>
            <w:tcW w:w="945" w:type="dxa"/>
          </w:tcPr>
          <w:p w14:paraId="082B7E73" w14:textId="77777777" w:rsidR="009C5223" w:rsidRPr="005F2595" w:rsidRDefault="009C5223" w:rsidP="00810F31">
            <w:pPr>
              <w:pStyle w:val="NoSpacing"/>
              <w:ind w:left="-108"/>
              <w:jc w:val="center"/>
              <w:rPr>
                <w:rFonts w:cs="Times"/>
                <w:b/>
                <w:sz w:val="22"/>
                <w:szCs w:val="22"/>
                <w:lang w:val="en-AU"/>
              </w:rPr>
            </w:pPr>
          </w:p>
          <w:p w14:paraId="079EC31E" w14:textId="77777777" w:rsidR="009C5223" w:rsidRPr="005F2595" w:rsidRDefault="009C5223" w:rsidP="00810F31">
            <w:pPr>
              <w:pStyle w:val="NoSpacing"/>
              <w:ind w:left="-108"/>
              <w:jc w:val="center"/>
              <w:rPr>
                <w:rFonts w:cs="Times"/>
                <w:b/>
                <w:sz w:val="22"/>
                <w:szCs w:val="22"/>
                <w:lang w:val="en-AU"/>
              </w:rPr>
            </w:pPr>
            <w:r w:rsidRPr="005F2595">
              <w:rPr>
                <w:rFonts w:cs="Times"/>
                <w:b/>
                <w:sz w:val="22"/>
                <w:szCs w:val="22"/>
                <w:lang w:val="en-AU"/>
              </w:rPr>
              <w:t>2012</w:t>
            </w:r>
          </w:p>
        </w:tc>
        <w:tc>
          <w:tcPr>
            <w:tcW w:w="897" w:type="dxa"/>
          </w:tcPr>
          <w:p w14:paraId="70B0185B" w14:textId="77777777" w:rsidR="009C5223" w:rsidRPr="005F2595" w:rsidRDefault="009C5223" w:rsidP="00810F31">
            <w:pPr>
              <w:ind w:left="-108"/>
              <w:jc w:val="center"/>
              <w:rPr>
                <w:b/>
                <w:sz w:val="22"/>
                <w:szCs w:val="22"/>
                <w:lang w:val="en-AU"/>
              </w:rPr>
            </w:pPr>
          </w:p>
          <w:p w14:paraId="2EA35FAF" w14:textId="77777777" w:rsidR="009C5223" w:rsidRPr="005F2595" w:rsidRDefault="009C5223" w:rsidP="00810F31">
            <w:pPr>
              <w:ind w:left="-108"/>
              <w:jc w:val="center"/>
              <w:rPr>
                <w:b/>
                <w:sz w:val="22"/>
                <w:szCs w:val="22"/>
                <w:lang w:val="en-AU"/>
              </w:rPr>
            </w:pPr>
            <w:r w:rsidRPr="005F2595">
              <w:rPr>
                <w:b/>
                <w:sz w:val="22"/>
                <w:szCs w:val="22"/>
                <w:lang w:val="en-AU"/>
              </w:rPr>
              <w:t>2013</w:t>
            </w:r>
          </w:p>
        </w:tc>
        <w:tc>
          <w:tcPr>
            <w:tcW w:w="953" w:type="dxa"/>
          </w:tcPr>
          <w:p w14:paraId="4C9A8388" w14:textId="77777777" w:rsidR="009C5223" w:rsidRPr="005F2595" w:rsidRDefault="009C5223" w:rsidP="00810F31">
            <w:pPr>
              <w:ind w:left="-108"/>
              <w:jc w:val="center"/>
              <w:rPr>
                <w:b/>
                <w:sz w:val="22"/>
                <w:szCs w:val="22"/>
                <w:lang w:val="en-AU"/>
              </w:rPr>
            </w:pPr>
          </w:p>
          <w:p w14:paraId="5EB4D2C5" w14:textId="77777777" w:rsidR="009C5223" w:rsidRPr="005F2595" w:rsidRDefault="009C5223" w:rsidP="00810F31">
            <w:pPr>
              <w:ind w:left="-108"/>
              <w:jc w:val="center"/>
              <w:rPr>
                <w:b/>
                <w:sz w:val="22"/>
                <w:szCs w:val="22"/>
                <w:lang w:val="en-AU"/>
              </w:rPr>
            </w:pPr>
            <w:r w:rsidRPr="005F2595">
              <w:rPr>
                <w:b/>
                <w:sz w:val="22"/>
                <w:szCs w:val="22"/>
                <w:lang w:val="en-AU"/>
              </w:rPr>
              <w:t>2014</w:t>
            </w:r>
          </w:p>
        </w:tc>
        <w:tc>
          <w:tcPr>
            <w:tcW w:w="1073" w:type="dxa"/>
          </w:tcPr>
          <w:p w14:paraId="5A06ABA7" w14:textId="77777777" w:rsidR="009C5223" w:rsidRPr="005F2595" w:rsidRDefault="009C5223" w:rsidP="00810F31">
            <w:pPr>
              <w:ind w:left="-108"/>
              <w:jc w:val="center"/>
              <w:rPr>
                <w:b/>
                <w:sz w:val="22"/>
                <w:szCs w:val="22"/>
                <w:lang w:val="en-AU"/>
              </w:rPr>
            </w:pPr>
          </w:p>
          <w:p w14:paraId="4CF40893" w14:textId="77777777" w:rsidR="009C5223" w:rsidRPr="005F2595" w:rsidRDefault="009C5223" w:rsidP="00810F31">
            <w:pPr>
              <w:ind w:left="-108"/>
              <w:jc w:val="center"/>
              <w:rPr>
                <w:b/>
                <w:sz w:val="22"/>
                <w:szCs w:val="22"/>
                <w:lang w:val="en-AU"/>
              </w:rPr>
            </w:pPr>
            <w:r w:rsidRPr="005F2595">
              <w:rPr>
                <w:b/>
                <w:sz w:val="22"/>
                <w:szCs w:val="22"/>
                <w:lang w:val="en-AU"/>
              </w:rPr>
              <w:t>TOTAL</w:t>
            </w:r>
          </w:p>
        </w:tc>
      </w:tr>
      <w:tr w:rsidR="00501D5D" w:rsidRPr="005F2595" w14:paraId="5F628409" w14:textId="77777777" w:rsidTr="00501D5D">
        <w:trPr>
          <w:trHeight w:val="990"/>
          <w:jc w:val="center"/>
        </w:trPr>
        <w:tc>
          <w:tcPr>
            <w:tcW w:w="2269" w:type="dxa"/>
          </w:tcPr>
          <w:p w14:paraId="305130B7" w14:textId="77777777" w:rsidR="009C5223" w:rsidRPr="005F2595" w:rsidRDefault="009C5223" w:rsidP="00810F31">
            <w:pPr>
              <w:pStyle w:val="NoSpacing"/>
              <w:ind w:left="-108"/>
              <w:rPr>
                <w:rFonts w:cs="Times"/>
                <w:b/>
                <w:sz w:val="22"/>
                <w:szCs w:val="22"/>
                <w:lang w:val="en-AU"/>
              </w:rPr>
            </w:pPr>
            <w:r w:rsidRPr="005F2595">
              <w:rPr>
                <w:b/>
                <w:sz w:val="22"/>
                <w:szCs w:val="22"/>
                <w:lang w:val="en-AU"/>
              </w:rPr>
              <w:t xml:space="preserve">No. </w:t>
            </w:r>
            <w:proofErr w:type="gramStart"/>
            <w:r w:rsidRPr="005F2595">
              <w:rPr>
                <w:b/>
                <w:sz w:val="22"/>
                <w:szCs w:val="22"/>
                <w:lang w:val="en-AU"/>
              </w:rPr>
              <w:t>of</w:t>
            </w:r>
            <w:proofErr w:type="gramEnd"/>
            <w:r w:rsidRPr="005F2595">
              <w:rPr>
                <w:b/>
                <w:sz w:val="22"/>
                <w:szCs w:val="22"/>
                <w:lang w:val="en-AU"/>
              </w:rPr>
              <w:t xml:space="preserve"> offenders sentenced with history of alcohol and/or other drug abuse</w:t>
            </w:r>
          </w:p>
        </w:tc>
        <w:tc>
          <w:tcPr>
            <w:tcW w:w="820" w:type="dxa"/>
          </w:tcPr>
          <w:p w14:paraId="35C6B1AD" w14:textId="77777777" w:rsidR="009C5223" w:rsidRPr="005F2595" w:rsidRDefault="009C5223" w:rsidP="00810F31">
            <w:pPr>
              <w:pStyle w:val="NoSpacing"/>
              <w:ind w:left="-108"/>
              <w:jc w:val="center"/>
              <w:rPr>
                <w:rFonts w:cs="Times"/>
                <w:color w:val="000000" w:themeColor="text1"/>
                <w:sz w:val="22"/>
                <w:szCs w:val="22"/>
                <w:lang w:val="en-AU"/>
              </w:rPr>
            </w:pPr>
          </w:p>
          <w:p w14:paraId="229B017B" w14:textId="77777777" w:rsidR="009C5223" w:rsidRPr="005F2595" w:rsidRDefault="009C5223" w:rsidP="00810F31">
            <w:pPr>
              <w:pStyle w:val="NoSpacing"/>
              <w:ind w:left="-108"/>
              <w:jc w:val="center"/>
              <w:rPr>
                <w:rFonts w:cs="Times"/>
                <w:color w:val="000000" w:themeColor="text1"/>
                <w:sz w:val="22"/>
                <w:szCs w:val="22"/>
                <w:lang w:val="en-AU"/>
              </w:rPr>
            </w:pPr>
          </w:p>
          <w:p w14:paraId="2F949809" w14:textId="77777777" w:rsidR="009C5223" w:rsidRPr="005F2595" w:rsidRDefault="009C5223" w:rsidP="00810F31">
            <w:pPr>
              <w:pStyle w:val="NoSpacing"/>
              <w:ind w:left="-108"/>
              <w:jc w:val="center"/>
              <w:rPr>
                <w:rFonts w:cs="Times"/>
                <w:color w:val="000000" w:themeColor="text1"/>
                <w:sz w:val="22"/>
                <w:szCs w:val="22"/>
                <w:lang w:val="en-AU"/>
              </w:rPr>
            </w:pPr>
            <w:r w:rsidRPr="005F2595">
              <w:rPr>
                <w:rFonts w:cs="Times"/>
                <w:color w:val="000000" w:themeColor="text1"/>
                <w:sz w:val="22"/>
                <w:szCs w:val="22"/>
                <w:lang w:val="en-AU"/>
              </w:rPr>
              <w:t>72</w:t>
            </w:r>
          </w:p>
        </w:tc>
        <w:tc>
          <w:tcPr>
            <w:tcW w:w="830" w:type="dxa"/>
          </w:tcPr>
          <w:p w14:paraId="72996EA1" w14:textId="77777777" w:rsidR="009C5223" w:rsidRPr="005F2595" w:rsidRDefault="009C5223" w:rsidP="00810F31">
            <w:pPr>
              <w:pStyle w:val="NoSpacing"/>
              <w:ind w:left="-108"/>
              <w:jc w:val="center"/>
              <w:rPr>
                <w:rFonts w:cs="Times"/>
                <w:color w:val="000000" w:themeColor="text1"/>
                <w:sz w:val="22"/>
                <w:szCs w:val="22"/>
                <w:lang w:val="en-AU"/>
              </w:rPr>
            </w:pPr>
          </w:p>
          <w:p w14:paraId="0335FCC5" w14:textId="77777777" w:rsidR="009C5223" w:rsidRPr="005F2595" w:rsidRDefault="009C5223" w:rsidP="00810F31">
            <w:pPr>
              <w:pStyle w:val="NoSpacing"/>
              <w:ind w:left="-108"/>
              <w:jc w:val="center"/>
              <w:rPr>
                <w:rFonts w:cs="Times"/>
                <w:color w:val="000000" w:themeColor="text1"/>
                <w:sz w:val="22"/>
                <w:szCs w:val="22"/>
                <w:lang w:val="en-AU"/>
              </w:rPr>
            </w:pPr>
          </w:p>
          <w:p w14:paraId="492EC2CB" w14:textId="77777777" w:rsidR="009C5223" w:rsidRPr="005F2595" w:rsidRDefault="009C5223" w:rsidP="00810F31">
            <w:pPr>
              <w:pStyle w:val="NoSpacing"/>
              <w:ind w:left="-108"/>
              <w:jc w:val="center"/>
              <w:rPr>
                <w:rFonts w:cs="Times"/>
                <w:color w:val="000000" w:themeColor="text1"/>
                <w:sz w:val="22"/>
                <w:szCs w:val="22"/>
                <w:lang w:val="en-AU"/>
              </w:rPr>
            </w:pPr>
            <w:r w:rsidRPr="005F2595">
              <w:rPr>
                <w:rFonts w:cs="Times"/>
                <w:color w:val="000000" w:themeColor="text1"/>
                <w:sz w:val="22"/>
                <w:szCs w:val="22"/>
                <w:lang w:val="en-AU"/>
              </w:rPr>
              <w:t>99</w:t>
            </w:r>
          </w:p>
        </w:tc>
        <w:tc>
          <w:tcPr>
            <w:tcW w:w="879" w:type="dxa"/>
          </w:tcPr>
          <w:p w14:paraId="21F3CC8D" w14:textId="77777777" w:rsidR="009C5223" w:rsidRPr="005F2595" w:rsidRDefault="009C5223" w:rsidP="00810F31">
            <w:pPr>
              <w:pStyle w:val="NoSpacing"/>
              <w:ind w:left="-108"/>
              <w:jc w:val="center"/>
              <w:rPr>
                <w:rFonts w:cs="Times"/>
                <w:color w:val="000000" w:themeColor="text1"/>
                <w:sz w:val="22"/>
                <w:szCs w:val="22"/>
                <w:lang w:val="en-AU"/>
              </w:rPr>
            </w:pPr>
          </w:p>
          <w:p w14:paraId="20FB0FCC" w14:textId="77777777" w:rsidR="009C5223" w:rsidRPr="005F2595" w:rsidRDefault="009C5223" w:rsidP="00810F31">
            <w:pPr>
              <w:pStyle w:val="NoSpacing"/>
              <w:ind w:left="-108"/>
              <w:jc w:val="center"/>
              <w:rPr>
                <w:rFonts w:cs="Times"/>
                <w:color w:val="000000" w:themeColor="text1"/>
                <w:sz w:val="22"/>
                <w:szCs w:val="22"/>
                <w:lang w:val="en-AU"/>
              </w:rPr>
            </w:pPr>
          </w:p>
          <w:p w14:paraId="5A99BF07" w14:textId="77777777" w:rsidR="009C5223" w:rsidRPr="005F2595" w:rsidRDefault="009C5223" w:rsidP="00810F31">
            <w:pPr>
              <w:pStyle w:val="NoSpacing"/>
              <w:ind w:left="-108"/>
              <w:jc w:val="center"/>
              <w:rPr>
                <w:rFonts w:cs="Times"/>
                <w:color w:val="000000" w:themeColor="text1"/>
                <w:sz w:val="22"/>
                <w:szCs w:val="22"/>
                <w:lang w:val="en-AU"/>
              </w:rPr>
            </w:pPr>
            <w:r w:rsidRPr="005F2595">
              <w:rPr>
                <w:rFonts w:cs="Times"/>
                <w:color w:val="000000" w:themeColor="text1"/>
                <w:sz w:val="22"/>
                <w:szCs w:val="22"/>
                <w:lang w:val="en-AU"/>
              </w:rPr>
              <w:t>112</w:t>
            </w:r>
          </w:p>
        </w:tc>
        <w:tc>
          <w:tcPr>
            <w:tcW w:w="855" w:type="dxa"/>
          </w:tcPr>
          <w:p w14:paraId="5742590A" w14:textId="77777777" w:rsidR="009C5223" w:rsidRPr="005F2595" w:rsidRDefault="009C5223" w:rsidP="00810F31">
            <w:pPr>
              <w:pStyle w:val="NoSpacing"/>
              <w:ind w:left="-108"/>
              <w:jc w:val="center"/>
              <w:rPr>
                <w:rFonts w:cs="Times"/>
                <w:color w:val="000000" w:themeColor="text1"/>
                <w:sz w:val="22"/>
                <w:szCs w:val="22"/>
                <w:lang w:val="en-AU"/>
              </w:rPr>
            </w:pPr>
          </w:p>
          <w:p w14:paraId="275ECB3F" w14:textId="77777777" w:rsidR="009C5223" w:rsidRPr="005F2595" w:rsidRDefault="009C5223" w:rsidP="00810F31">
            <w:pPr>
              <w:pStyle w:val="NoSpacing"/>
              <w:ind w:left="-108"/>
              <w:jc w:val="center"/>
              <w:rPr>
                <w:rFonts w:cs="Times"/>
                <w:color w:val="000000" w:themeColor="text1"/>
                <w:sz w:val="22"/>
                <w:szCs w:val="22"/>
                <w:lang w:val="en-AU"/>
              </w:rPr>
            </w:pPr>
          </w:p>
          <w:p w14:paraId="7AA7F7F7" w14:textId="77777777" w:rsidR="009C5223" w:rsidRPr="005F2595" w:rsidRDefault="009C5223" w:rsidP="00810F31">
            <w:pPr>
              <w:pStyle w:val="NoSpacing"/>
              <w:ind w:left="-108"/>
              <w:jc w:val="center"/>
              <w:rPr>
                <w:rFonts w:cs="Times"/>
                <w:color w:val="000000" w:themeColor="text1"/>
                <w:sz w:val="22"/>
                <w:szCs w:val="22"/>
                <w:lang w:val="en-AU"/>
              </w:rPr>
            </w:pPr>
            <w:r w:rsidRPr="005F2595">
              <w:rPr>
                <w:rFonts w:cs="Times"/>
                <w:color w:val="000000" w:themeColor="text1"/>
                <w:sz w:val="22"/>
                <w:szCs w:val="22"/>
                <w:lang w:val="en-AU"/>
              </w:rPr>
              <w:t>144</w:t>
            </w:r>
          </w:p>
        </w:tc>
        <w:tc>
          <w:tcPr>
            <w:tcW w:w="945" w:type="dxa"/>
          </w:tcPr>
          <w:p w14:paraId="18E0B4E5" w14:textId="77777777" w:rsidR="009C5223" w:rsidRPr="005F2595" w:rsidRDefault="009C5223" w:rsidP="00810F31">
            <w:pPr>
              <w:pStyle w:val="NoSpacing"/>
              <w:ind w:left="-108"/>
              <w:jc w:val="center"/>
              <w:rPr>
                <w:rFonts w:cs="Times"/>
                <w:color w:val="000000" w:themeColor="text1"/>
                <w:sz w:val="22"/>
                <w:szCs w:val="22"/>
                <w:lang w:val="en-AU"/>
              </w:rPr>
            </w:pPr>
          </w:p>
          <w:p w14:paraId="7F8879E6" w14:textId="77777777" w:rsidR="009C5223" w:rsidRPr="005F2595" w:rsidRDefault="009C5223" w:rsidP="00810F31">
            <w:pPr>
              <w:pStyle w:val="NoSpacing"/>
              <w:ind w:left="-108"/>
              <w:jc w:val="center"/>
              <w:rPr>
                <w:rFonts w:cs="Times"/>
                <w:color w:val="000000" w:themeColor="text1"/>
                <w:sz w:val="22"/>
                <w:szCs w:val="22"/>
                <w:lang w:val="en-AU"/>
              </w:rPr>
            </w:pPr>
          </w:p>
          <w:p w14:paraId="31B95C0D" w14:textId="77777777" w:rsidR="009C5223" w:rsidRPr="005F2595" w:rsidRDefault="009C5223" w:rsidP="00810F31">
            <w:pPr>
              <w:pStyle w:val="NoSpacing"/>
              <w:ind w:left="-108"/>
              <w:jc w:val="center"/>
              <w:rPr>
                <w:rFonts w:cs="Times"/>
                <w:color w:val="000000" w:themeColor="text1"/>
                <w:sz w:val="22"/>
                <w:szCs w:val="22"/>
                <w:lang w:val="en-AU"/>
              </w:rPr>
            </w:pPr>
            <w:r w:rsidRPr="005F2595">
              <w:rPr>
                <w:rFonts w:cs="Times"/>
                <w:color w:val="000000" w:themeColor="text1"/>
                <w:sz w:val="22"/>
                <w:szCs w:val="22"/>
                <w:lang w:val="en-AU"/>
              </w:rPr>
              <w:t>42</w:t>
            </w:r>
          </w:p>
        </w:tc>
        <w:tc>
          <w:tcPr>
            <w:tcW w:w="897" w:type="dxa"/>
          </w:tcPr>
          <w:p w14:paraId="2F0D1CFD" w14:textId="77777777" w:rsidR="009C5223" w:rsidRPr="005F2595" w:rsidRDefault="009C5223" w:rsidP="00810F31">
            <w:pPr>
              <w:pStyle w:val="NoSpacing"/>
              <w:ind w:left="-108"/>
              <w:jc w:val="center"/>
              <w:rPr>
                <w:rFonts w:cs="Times"/>
                <w:color w:val="000000" w:themeColor="text1"/>
                <w:sz w:val="22"/>
                <w:szCs w:val="22"/>
                <w:lang w:val="en-AU"/>
              </w:rPr>
            </w:pPr>
          </w:p>
          <w:p w14:paraId="251DED94" w14:textId="77777777" w:rsidR="009C5223" w:rsidRPr="005F2595" w:rsidRDefault="009C5223" w:rsidP="00810F31">
            <w:pPr>
              <w:pStyle w:val="NoSpacing"/>
              <w:ind w:left="-108"/>
              <w:jc w:val="center"/>
              <w:rPr>
                <w:rFonts w:cs="Times"/>
                <w:color w:val="000000" w:themeColor="text1"/>
                <w:sz w:val="22"/>
                <w:szCs w:val="22"/>
                <w:lang w:val="en-AU"/>
              </w:rPr>
            </w:pPr>
          </w:p>
          <w:p w14:paraId="08300E2D" w14:textId="77777777" w:rsidR="009C5223" w:rsidRPr="005F2595" w:rsidRDefault="009C5223" w:rsidP="00810F31">
            <w:pPr>
              <w:pStyle w:val="NoSpacing"/>
              <w:ind w:left="-108"/>
              <w:jc w:val="center"/>
              <w:rPr>
                <w:rFonts w:cs="Times"/>
                <w:color w:val="000000" w:themeColor="text1"/>
                <w:sz w:val="22"/>
                <w:szCs w:val="22"/>
                <w:lang w:val="en-AU"/>
              </w:rPr>
            </w:pPr>
            <w:r w:rsidRPr="005F2595">
              <w:rPr>
                <w:rFonts w:cs="Times"/>
                <w:color w:val="000000" w:themeColor="text1"/>
                <w:sz w:val="22"/>
                <w:szCs w:val="22"/>
                <w:lang w:val="en-AU"/>
              </w:rPr>
              <w:t>64</w:t>
            </w:r>
          </w:p>
        </w:tc>
        <w:tc>
          <w:tcPr>
            <w:tcW w:w="953" w:type="dxa"/>
          </w:tcPr>
          <w:p w14:paraId="369C8BCC" w14:textId="77777777" w:rsidR="009C5223" w:rsidRPr="005F2595" w:rsidRDefault="009C5223" w:rsidP="00810F31">
            <w:pPr>
              <w:pStyle w:val="NoSpacing"/>
              <w:ind w:left="-108"/>
              <w:jc w:val="center"/>
              <w:rPr>
                <w:rFonts w:cs="Times"/>
                <w:color w:val="000000" w:themeColor="text1"/>
                <w:sz w:val="22"/>
                <w:szCs w:val="22"/>
                <w:lang w:val="en-AU"/>
              </w:rPr>
            </w:pPr>
          </w:p>
          <w:p w14:paraId="2EABD479" w14:textId="77777777" w:rsidR="009C5223" w:rsidRPr="005F2595" w:rsidRDefault="009C5223" w:rsidP="00810F31">
            <w:pPr>
              <w:pStyle w:val="NoSpacing"/>
              <w:ind w:left="-108"/>
              <w:jc w:val="center"/>
              <w:rPr>
                <w:rFonts w:cs="Times"/>
                <w:color w:val="000000" w:themeColor="text1"/>
                <w:sz w:val="22"/>
                <w:szCs w:val="22"/>
                <w:lang w:val="en-AU"/>
              </w:rPr>
            </w:pPr>
          </w:p>
          <w:p w14:paraId="1102E4C0" w14:textId="77777777" w:rsidR="009C5223" w:rsidRPr="005F2595" w:rsidRDefault="009C5223" w:rsidP="00810F31">
            <w:pPr>
              <w:pStyle w:val="NoSpacing"/>
              <w:ind w:left="-108"/>
              <w:jc w:val="center"/>
              <w:rPr>
                <w:rFonts w:cs="Times"/>
                <w:color w:val="000000" w:themeColor="text1"/>
                <w:sz w:val="22"/>
                <w:szCs w:val="22"/>
                <w:lang w:val="en-AU"/>
              </w:rPr>
            </w:pPr>
            <w:r w:rsidRPr="005F2595">
              <w:rPr>
                <w:rFonts w:cs="Times"/>
                <w:color w:val="000000" w:themeColor="text1"/>
                <w:sz w:val="22"/>
                <w:szCs w:val="22"/>
                <w:lang w:val="en-AU"/>
              </w:rPr>
              <w:t>77</w:t>
            </w:r>
          </w:p>
        </w:tc>
        <w:tc>
          <w:tcPr>
            <w:tcW w:w="1073" w:type="dxa"/>
          </w:tcPr>
          <w:p w14:paraId="370E5578" w14:textId="77777777" w:rsidR="009C5223" w:rsidRPr="005F2595" w:rsidRDefault="009C5223" w:rsidP="00810F31">
            <w:pPr>
              <w:pStyle w:val="NoSpacing"/>
              <w:ind w:left="-108"/>
              <w:jc w:val="center"/>
              <w:rPr>
                <w:rFonts w:cs="Times"/>
                <w:color w:val="000000" w:themeColor="text1"/>
                <w:sz w:val="22"/>
                <w:szCs w:val="22"/>
                <w:lang w:val="en-AU"/>
              </w:rPr>
            </w:pPr>
          </w:p>
          <w:p w14:paraId="3BF1AD84" w14:textId="77777777" w:rsidR="009C5223" w:rsidRPr="005F2595" w:rsidRDefault="009C5223" w:rsidP="00810F31">
            <w:pPr>
              <w:pStyle w:val="NoSpacing"/>
              <w:ind w:left="-108"/>
              <w:jc w:val="center"/>
              <w:rPr>
                <w:rFonts w:cs="Times"/>
                <w:color w:val="000000" w:themeColor="text1"/>
                <w:sz w:val="22"/>
                <w:szCs w:val="22"/>
                <w:lang w:val="en-AU"/>
              </w:rPr>
            </w:pPr>
          </w:p>
          <w:p w14:paraId="419A8163" w14:textId="77777777" w:rsidR="009C5223" w:rsidRPr="005F2595" w:rsidRDefault="009C5223" w:rsidP="00810F31">
            <w:pPr>
              <w:pStyle w:val="NoSpacing"/>
              <w:ind w:left="-108"/>
              <w:jc w:val="center"/>
              <w:rPr>
                <w:rFonts w:cs="Times"/>
                <w:color w:val="000000" w:themeColor="text1"/>
                <w:sz w:val="22"/>
                <w:szCs w:val="22"/>
                <w:lang w:val="en-AU"/>
              </w:rPr>
            </w:pPr>
            <w:r w:rsidRPr="005F2595">
              <w:rPr>
                <w:rFonts w:cs="Times"/>
                <w:color w:val="000000" w:themeColor="text1"/>
                <w:sz w:val="22"/>
                <w:szCs w:val="22"/>
                <w:lang w:val="en-AU"/>
              </w:rPr>
              <w:t>610</w:t>
            </w:r>
          </w:p>
        </w:tc>
      </w:tr>
      <w:tr w:rsidR="00501D5D" w:rsidRPr="005F2595" w14:paraId="6C9A30B2" w14:textId="77777777" w:rsidTr="00501D5D">
        <w:trPr>
          <w:trHeight w:val="990"/>
          <w:jc w:val="center"/>
        </w:trPr>
        <w:tc>
          <w:tcPr>
            <w:tcW w:w="2269" w:type="dxa"/>
          </w:tcPr>
          <w:p w14:paraId="3C577F9C" w14:textId="77777777" w:rsidR="00501D5D" w:rsidRDefault="00501D5D" w:rsidP="00810F31">
            <w:pPr>
              <w:pStyle w:val="NoSpacing"/>
              <w:ind w:left="-108"/>
              <w:rPr>
                <w:b/>
                <w:sz w:val="22"/>
                <w:szCs w:val="22"/>
                <w:lang w:val="en-AU"/>
              </w:rPr>
            </w:pPr>
          </w:p>
          <w:p w14:paraId="14D15F0D" w14:textId="71F227C5" w:rsidR="00E708B6" w:rsidRPr="005F2595" w:rsidRDefault="00E708B6" w:rsidP="00810F31">
            <w:pPr>
              <w:pStyle w:val="NoSpacing"/>
              <w:ind w:left="-108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 xml:space="preserve">% </w:t>
            </w:r>
            <w:proofErr w:type="gramStart"/>
            <w:r>
              <w:rPr>
                <w:b/>
                <w:sz w:val="22"/>
                <w:szCs w:val="22"/>
                <w:lang w:val="en-AU"/>
              </w:rPr>
              <w:t>sentenced</w:t>
            </w:r>
            <w:proofErr w:type="gramEnd"/>
            <w:r>
              <w:rPr>
                <w:b/>
                <w:sz w:val="22"/>
                <w:szCs w:val="22"/>
                <w:lang w:val="en-AU"/>
              </w:rPr>
              <w:t xml:space="preserve"> to suspended sentences </w:t>
            </w:r>
          </w:p>
        </w:tc>
        <w:tc>
          <w:tcPr>
            <w:tcW w:w="820" w:type="dxa"/>
          </w:tcPr>
          <w:p w14:paraId="7391D2F9" w14:textId="77777777" w:rsidR="00501D5D" w:rsidRDefault="00501D5D" w:rsidP="00810F31">
            <w:pPr>
              <w:pStyle w:val="NoSpacing"/>
              <w:ind w:left="-108"/>
              <w:jc w:val="center"/>
              <w:rPr>
                <w:rFonts w:cs="Times"/>
                <w:color w:val="000000" w:themeColor="text1"/>
                <w:sz w:val="22"/>
                <w:szCs w:val="22"/>
                <w:lang w:val="en-AU"/>
              </w:rPr>
            </w:pPr>
          </w:p>
          <w:p w14:paraId="3F38302B" w14:textId="3B7E3FB8" w:rsidR="00E708B6" w:rsidRPr="005F2595" w:rsidRDefault="00E708B6" w:rsidP="00810F31">
            <w:pPr>
              <w:pStyle w:val="NoSpacing"/>
              <w:ind w:left="-108"/>
              <w:jc w:val="center"/>
              <w:rPr>
                <w:rFonts w:cs="Times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cs="Times"/>
                <w:color w:val="000000" w:themeColor="text1"/>
                <w:sz w:val="22"/>
                <w:szCs w:val="22"/>
                <w:lang w:val="en-AU"/>
              </w:rPr>
              <w:t>46% (</w:t>
            </w:r>
            <w:r w:rsidR="00501D5D">
              <w:rPr>
                <w:rFonts w:cs="Times"/>
                <w:color w:val="000000" w:themeColor="text1"/>
                <w:sz w:val="22"/>
                <w:szCs w:val="22"/>
                <w:lang w:val="en-AU"/>
              </w:rPr>
              <w:t>n=</w:t>
            </w:r>
            <w:r>
              <w:rPr>
                <w:rFonts w:cs="Times"/>
                <w:color w:val="000000" w:themeColor="text1"/>
                <w:sz w:val="22"/>
                <w:szCs w:val="22"/>
                <w:lang w:val="en-AU"/>
              </w:rPr>
              <w:t>33)</w:t>
            </w:r>
          </w:p>
        </w:tc>
        <w:tc>
          <w:tcPr>
            <w:tcW w:w="830" w:type="dxa"/>
          </w:tcPr>
          <w:p w14:paraId="35CF7A41" w14:textId="77777777" w:rsidR="00501D5D" w:rsidRDefault="00501D5D" w:rsidP="00810F31">
            <w:pPr>
              <w:pStyle w:val="NoSpacing"/>
              <w:ind w:left="-108"/>
              <w:jc w:val="center"/>
              <w:rPr>
                <w:rFonts w:cs="Times"/>
                <w:color w:val="000000" w:themeColor="text1"/>
                <w:sz w:val="22"/>
                <w:szCs w:val="22"/>
                <w:lang w:val="en-AU"/>
              </w:rPr>
            </w:pPr>
          </w:p>
          <w:p w14:paraId="7EB16D55" w14:textId="77BC582D" w:rsidR="00E708B6" w:rsidRDefault="00E708B6" w:rsidP="00810F31">
            <w:pPr>
              <w:pStyle w:val="NoSpacing"/>
              <w:ind w:left="-108"/>
              <w:jc w:val="center"/>
              <w:rPr>
                <w:rFonts w:cs="Times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cs="Times"/>
                <w:color w:val="000000" w:themeColor="text1"/>
                <w:sz w:val="22"/>
                <w:szCs w:val="22"/>
                <w:lang w:val="en-AU"/>
              </w:rPr>
              <w:t>37%</w:t>
            </w:r>
          </w:p>
          <w:p w14:paraId="699CAF2B" w14:textId="755F4F88" w:rsidR="00E708B6" w:rsidRPr="005F2595" w:rsidRDefault="00E708B6" w:rsidP="00501D5D">
            <w:pPr>
              <w:pStyle w:val="NoSpacing"/>
              <w:ind w:left="-129" w:firstLine="21"/>
              <w:jc w:val="center"/>
              <w:rPr>
                <w:rFonts w:cs="Times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cs="Times"/>
                <w:color w:val="000000" w:themeColor="text1"/>
                <w:sz w:val="22"/>
                <w:szCs w:val="22"/>
                <w:lang w:val="en-AU"/>
              </w:rPr>
              <w:t>(</w:t>
            </w:r>
            <w:proofErr w:type="gramStart"/>
            <w:r w:rsidR="00501D5D">
              <w:rPr>
                <w:rFonts w:cs="Times"/>
                <w:color w:val="000000" w:themeColor="text1"/>
                <w:sz w:val="22"/>
                <w:szCs w:val="22"/>
                <w:lang w:val="en-AU"/>
              </w:rPr>
              <w:t>n</w:t>
            </w:r>
            <w:proofErr w:type="gramEnd"/>
            <w:r w:rsidR="00501D5D">
              <w:rPr>
                <w:rFonts w:cs="Times"/>
                <w:color w:val="000000" w:themeColor="text1"/>
                <w:sz w:val="22"/>
                <w:szCs w:val="22"/>
                <w:lang w:val="en-AU"/>
              </w:rPr>
              <w:t>=</w:t>
            </w:r>
            <w:r>
              <w:rPr>
                <w:rFonts w:cs="Times"/>
                <w:color w:val="000000" w:themeColor="text1"/>
                <w:sz w:val="22"/>
                <w:szCs w:val="22"/>
                <w:lang w:val="en-AU"/>
              </w:rPr>
              <w:t>37)</w:t>
            </w:r>
          </w:p>
        </w:tc>
        <w:tc>
          <w:tcPr>
            <w:tcW w:w="879" w:type="dxa"/>
          </w:tcPr>
          <w:p w14:paraId="3F9E4525" w14:textId="77777777" w:rsidR="00501D5D" w:rsidRDefault="00501D5D" w:rsidP="00810F31">
            <w:pPr>
              <w:pStyle w:val="NoSpacing"/>
              <w:ind w:left="-108"/>
              <w:jc w:val="center"/>
              <w:rPr>
                <w:rFonts w:cs="Times"/>
                <w:color w:val="000000" w:themeColor="text1"/>
                <w:sz w:val="22"/>
                <w:szCs w:val="22"/>
                <w:lang w:val="en-AU"/>
              </w:rPr>
            </w:pPr>
          </w:p>
          <w:p w14:paraId="0F8FB1C2" w14:textId="16A31940" w:rsidR="00E708B6" w:rsidRDefault="00E708B6" w:rsidP="00810F31">
            <w:pPr>
              <w:pStyle w:val="NoSpacing"/>
              <w:ind w:left="-108"/>
              <w:jc w:val="center"/>
              <w:rPr>
                <w:rFonts w:cs="Times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cs="Times"/>
                <w:color w:val="000000" w:themeColor="text1"/>
                <w:sz w:val="22"/>
                <w:szCs w:val="22"/>
                <w:lang w:val="en-AU"/>
              </w:rPr>
              <w:t>52%</w:t>
            </w:r>
          </w:p>
          <w:p w14:paraId="3AF904C0" w14:textId="647AFE81" w:rsidR="00E708B6" w:rsidRPr="005F2595" w:rsidRDefault="00E708B6" w:rsidP="00810F31">
            <w:pPr>
              <w:pStyle w:val="NoSpacing"/>
              <w:ind w:left="-108"/>
              <w:jc w:val="center"/>
              <w:rPr>
                <w:rFonts w:cs="Times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cs="Times"/>
                <w:color w:val="000000" w:themeColor="text1"/>
                <w:sz w:val="22"/>
                <w:szCs w:val="22"/>
                <w:lang w:val="en-AU"/>
              </w:rPr>
              <w:t>(</w:t>
            </w:r>
            <w:proofErr w:type="gramStart"/>
            <w:r w:rsidR="00501D5D">
              <w:rPr>
                <w:rFonts w:cs="Times"/>
                <w:color w:val="000000" w:themeColor="text1"/>
                <w:sz w:val="22"/>
                <w:szCs w:val="22"/>
                <w:lang w:val="en-AU"/>
              </w:rPr>
              <w:t>n</w:t>
            </w:r>
            <w:proofErr w:type="gramEnd"/>
            <w:r w:rsidR="00501D5D">
              <w:rPr>
                <w:rFonts w:cs="Times"/>
                <w:color w:val="000000" w:themeColor="text1"/>
                <w:sz w:val="22"/>
                <w:szCs w:val="22"/>
                <w:lang w:val="en-AU"/>
              </w:rPr>
              <w:t>=</w:t>
            </w:r>
            <w:r>
              <w:rPr>
                <w:rFonts w:cs="Times"/>
                <w:color w:val="000000" w:themeColor="text1"/>
                <w:sz w:val="22"/>
                <w:szCs w:val="22"/>
                <w:lang w:val="en-AU"/>
              </w:rPr>
              <w:t>58)</w:t>
            </w:r>
          </w:p>
        </w:tc>
        <w:tc>
          <w:tcPr>
            <w:tcW w:w="855" w:type="dxa"/>
          </w:tcPr>
          <w:p w14:paraId="62E67EE0" w14:textId="77777777" w:rsidR="00501D5D" w:rsidRDefault="00501D5D" w:rsidP="00810F31">
            <w:pPr>
              <w:pStyle w:val="NoSpacing"/>
              <w:ind w:left="-108"/>
              <w:jc w:val="center"/>
              <w:rPr>
                <w:rFonts w:cs="Times"/>
                <w:color w:val="000000" w:themeColor="text1"/>
                <w:sz w:val="22"/>
                <w:szCs w:val="22"/>
                <w:lang w:val="en-AU"/>
              </w:rPr>
            </w:pPr>
          </w:p>
          <w:p w14:paraId="0A0C6174" w14:textId="18035145" w:rsidR="00E708B6" w:rsidRDefault="00E708B6" w:rsidP="00810F31">
            <w:pPr>
              <w:pStyle w:val="NoSpacing"/>
              <w:ind w:left="-108"/>
              <w:jc w:val="center"/>
              <w:rPr>
                <w:rFonts w:cs="Times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cs="Times"/>
                <w:color w:val="000000" w:themeColor="text1"/>
                <w:sz w:val="22"/>
                <w:szCs w:val="22"/>
                <w:lang w:val="en-AU"/>
              </w:rPr>
              <w:t>55%</w:t>
            </w:r>
          </w:p>
          <w:p w14:paraId="7E380473" w14:textId="5D827C7E" w:rsidR="00E708B6" w:rsidRPr="005F2595" w:rsidRDefault="00E708B6" w:rsidP="00810F31">
            <w:pPr>
              <w:pStyle w:val="NoSpacing"/>
              <w:ind w:left="-108"/>
              <w:jc w:val="center"/>
              <w:rPr>
                <w:rFonts w:cs="Times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cs="Times"/>
                <w:color w:val="000000" w:themeColor="text1"/>
                <w:sz w:val="22"/>
                <w:szCs w:val="22"/>
                <w:lang w:val="en-AU"/>
              </w:rPr>
              <w:t>(</w:t>
            </w:r>
            <w:proofErr w:type="gramStart"/>
            <w:r w:rsidR="00501D5D">
              <w:rPr>
                <w:rFonts w:cs="Times"/>
                <w:color w:val="000000" w:themeColor="text1"/>
                <w:sz w:val="22"/>
                <w:szCs w:val="22"/>
                <w:lang w:val="en-AU"/>
              </w:rPr>
              <w:t>n</w:t>
            </w:r>
            <w:proofErr w:type="gramEnd"/>
            <w:r w:rsidR="00501D5D">
              <w:rPr>
                <w:rFonts w:cs="Times"/>
                <w:color w:val="000000" w:themeColor="text1"/>
                <w:sz w:val="22"/>
                <w:szCs w:val="22"/>
                <w:lang w:val="en-AU"/>
              </w:rPr>
              <w:t>=</w:t>
            </w:r>
            <w:r>
              <w:rPr>
                <w:rFonts w:cs="Times"/>
                <w:color w:val="000000" w:themeColor="text1"/>
                <w:sz w:val="22"/>
                <w:szCs w:val="22"/>
                <w:lang w:val="en-AU"/>
              </w:rPr>
              <w:t>79)</w:t>
            </w:r>
          </w:p>
        </w:tc>
        <w:tc>
          <w:tcPr>
            <w:tcW w:w="945" w:type="dxa"/>
          </w:tcPr>
          <w:p w14:paraId="7DF2B3BE" w14:textId="77777777" w:rsidR="00501D5D" w:rsidRDefault="00501D5D" w:rsidP="00810F31">
            <w:pPr>
              <w:pStyle w:val="NoSpacing"/>
              <w:ind w:left="-108"/>
              <w:jc w:val="center"/>
              <w:rPr>
                <w:rFonts w:cs="Times"/>
                <w:color w:val="000000" w:themeColor="text1"/>
                <w:sz w:val="22"/>
                <w:szCs w:val="22"/>
                <w:lang w:val="en-AU"/>
              </w:rPr>
            </w:pPr>
          </w:p>
          <w:p w14:paraId="2BA5A50A" w14:textId="0CB92F0D" w:rsidR="00501D5D" w:rsidRDefault="00501D5D" w:rsidP="00810F31">
            <w:pPr>
              <w:pStyle w:val="NoSpacing"/>
              <w:ind w:left="-108"/>
              <w:jc w:val="center"/>
              <w:rPr>
                <w:rFonts w:cs="Times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cs="Times"/>
                <w:color w:val="000000" w:themeColor="text1"/>
                <w:sz w:val="22"/>
                <w:szCs w:val="22"/>
                <w:lang w:val="en-AU"/>
              </w:rPr>
              <w:t>60%</w:t>
            </w:r>
          </w:p>
          <w:p w14:paraId="460FB3A7" w14:textId="71EEE19C" w:rsidR="00E708B6" w:rsidRPr="005F2595" w:rsidRDefault="00E708B6" w:rsidP="00810F31">
            <w:pPr>
              <w:pStyle w:val="NoSpacing"/>
              <w:ind w:left="-108"/>
              <w:jc w:val="center"/>
              <w:rPr>
                <w:rFonts w:cs="Times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cs="Times"/>
                <w:color w:val="000000" w:themeColor="text1"/>
                <w:sz w:val="22"/>
                <w:szCs w:val="22"/>
                <w:lang w:val="en-AU"/>
              </w:rPr>
              <w:t>(</w:t>
            </w:r>
            <w:proofErr w:type="gramStart"/>
            <w:r w:rsidR="00501D5D">
              <w:rPr>
                <w:rFonts w:cs="Times"/>
                <w:color w:val="000000" w:themeColor="text1"/>
                <w:sz w:val="22"/>
                <w:szCs w:val="22"/>
                <w:lang w:val="en-AU"/>
              </w:rPr>
              <w:t>n</w:t>
            </w:r>
            <w:proofErr w:type="gramEnd"/>
            <w:r w:rsidR="00501D5D">
              <w:rPr>
                <w:rFonts w:cs="Times"/>
                <w:color w:val="000000" w:themeColor="text1"/>
                <w:sz w:val="22"/>
                <w:szCs w:val="22"/>
                <w:lang w:val="en-AU"/>
              </w:rPr>
              <w:t>=</w:t>
            </w:r>
            <w:r>
              <w:rPr>
                <w:rFonts w:cs="Times"/>
                <w:color w:val="000000" w:themeColor="text1"/>
                <w:sz w:val="22"/>
                <w:szCs w:val="22"/>
                <w:lang w:val="en-AU"/>
              </w:rPr>
              <w:t>25)</w:t>
            </w:r>
          </w:p>
        </w:tc>
        <w:tc>
          <w:tcPr>
            <w:tcW w:w="897" w:type="dxa"/>
          </w:tcPr>
          <w:p w14:paraId="4FE777FB" w14:textId="77777777" w:rsidR="00501D5D" w:rsidRDefault="00501D5D" w:rsidP="00810F31">
            <w:pPr>
              <w:pStyle w:val="NoSpacing"/>
              <w:ind w:left="-108"/>
              <w:jc w:val="center"/>
              <w:rPr>
                <w:rFonts w:cs="Times"/>
                <w:color w:val="000000" w:themeColor="text1"/>
                <w:sz w:val="22"/>
                <w:szCs w:val="22"/>
                <w:lang w:val="en-AU"/>
              </w:rPr>
            </w:pPr>
          </w:p>
          <w:p w14:paraId="374EC4F7" w14:textId="63E6F6E5" w:rsidR="00501D5D" w:rsidRDefault="00501D5D" w:rsidP="00810F31">
            <w:pPr>
              <w:pStyle w:val="NoSpacing"/>
              <w:ind w:left="-108"/>
              <w:jc w:val="center"/>
              <w:rPr>
                <w:rFonts w:cs="Times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cs="Times"/>
                <w:color w:val="000000" w:themeColor="text1"/>
                <w:sz w:val="22"/>
                <w:szCs w:val="22"/>
                <w:lang w:val="en-AU"/>
              </w:rPr>
              <w:t>58%</w:t>
            </w:r>
          </w:p>
          <w:p w14:paraId="636BDB84" w14:textId="745216D4" w:rsidR="00E708B6" w:rsidRPr="005F2595" w:rsidRDefault="00E708B6" w:rsidP="00810F31">
            <w:pPr>
              <w:pStyle w:val="NoSpacing"/>
              <w:ind w:left="-108"/>
              <w:jc w:val="center"/>
              <w:rPr>
                <w:rFonts w:cs="Times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cs="Times"/>
                <w:color w:val="000000" w:themeColor="text1"/>
                <w:sz w:val="22"/>
                <w:szCs w:val="22"/>
                <w:lang w:val="en-AU"/>
              </w:rPr>
              <w:t>(</w:t>
            </w:r>
            <w:proofErr w:type="gramStart"/>
            <w:r w:rsidR="00501D5D">
              <w:rPr>
                <w:rFonts w:cs="Times"/>
                <w:color w:val="000000" w:themeColor="text1"/>
                <w:sz w:val="22"/>
                <w:szCs w:val="22"/>
                <w:lang w:val="en-AU"/>
              </w:rPr>
              <w:t>n</w:t>
            </w:r>
            <w:proofErr w:type="gramEnd"/>
            <w:r w:rsidR="00501D5D">
              <w:rPr>
                <w:rFonts w:cs="Times"/>
                <w:color w:val="000000" w:themeColor="text1"/>
                <w:sz w:val="22"/>
                <w:szCs w:val="22"/>
                <w:lang w:val="en-AU"/>
              </w:rPr>
              <w:t>=</w:t>
            </w:r>
            <w:r>
              <w:rPr>
                <w:rFonts w:cs="Times"/>
                <w:color w:val="000000" w:themeColor="text1"/>
                <w:sz w:val="22"/>
                <w:szCs w:val="22"/>
                <w:lang w:val="en-AU"/>
              </w:rPr>
              <w:t>37)</w:t>
            </w:r>
          </w:p>
        </w:tc>
        <w:tc>
          <w:tcPr>
            <w:tcW w:w="953" w:type="dxa"/>
          </w:tcPr>
          <w:p w14:paraId="1B02A7AE" w14:textId="77777777" w:rsidR="00501D5D" w:rsidRDefault="00501D5D" w:rsidP="00810F31">
            <w:pPr>
              <w:pStyle w:val="NoSpacing"/>
              <w:ind w:left="-108"/>
              <w:jc w:val="center"/>
              <w:rPr>
                <w:rFonts w:cs="Times"/>
                <w:color w:val="000000" w:themeColor="text1"/>
                <w:sz w:val="22"/>
                <w:szCs w:val="22"/>
                <w:lang w:val="en-AU"/>
              </w:rPr>
            </w:pPr>
          </w:p>
          <w:p w14:paraId="2E9A8DC1" w14:textId="7A3CE16D" w:rsidR="00501D5D" w:rsidRDefault="00501D5D" w:rsidP="00810F31">
            <w:pPr>
              <w:pStyle w:val="NoSpacing"/>
              <w:ind w:left="-108"/>
              <w:jc w:val="center"/>
              <w:rPr>
                <w:rFonts w:cs="Times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cs="Times"/>
                <w:color w:val="000000" w:themeColor="text1"/>
                <w:sz w:val="22"/>
                <w:szCs w:val="22"/>
                <w:lang w:val="en-AU"/>
              </w:rPr>
              <w:t>60%</w:t>
            </w:r>
          </w:p>
          <w:p w14:paraId="3BD14C97" w14:textId="0C42B848" w:rsidR="00E708B6" w:rsidRPr="005F2595" w:rsidRDefault="00E708B6" w:rsidP="00810F31">
            <w:pPr>
              <w:pStyle w:val="NoSpacing"/>
              <w:ind w:left="-108"/>
              <w:jc w:val="center"/>
              <w:rPr>
                <w:rFonts w:cs="Times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cs="Times"/>
                <w:color w:val="000000" w:themeColor="text1"/>
                <w:sz w:val="22"/>
                <w:szCs w:val="22"/>
                <w:lang w:val="en-AU"/>
              </w:rPr>
              <w:t>(</w:t>
            </w:r>
            <w:proofErr w:type="gramStart"/>
            <w:r w:rsidR="00501D5D">
              <w:rPr>
                <w:rFonts w:cs="Times"/>
                <w:color w:val="000000" w:themeColor="text1"/>
                <w:sz w:val="22"/>
                <w:szCs w:val="22"/>
                <w:lang w:val="en-AU"/>
              </w:rPr>
              <w:t>n</w:t>
            </w:r>
            <w:proofErr w:type="gramEnd"/>
            <w:r w:rsidR="00501D5D">
              <w:rPr>
                <w:rFonts w:cs="Times"/>
                <w:color w:val="000000" w:themeColor="text1"/>
                <w:sz w:val="22"/>
                <w:szCs w:val="22"/>
                <w:lang w:val="en-AU"/>
              </w:rPr>
              <w:t>=</w:t>
            </w:r>
            <w:r>
              <w:rPr>
                <w:rFonts w:cs="Times"/>
                <w:color w:val="000000" w:themeColor="text1"/>
                <w:sz w:val="22"/>
                <w:szCs w:val="22"/>
                <w:lang w:val="en-AU"/>
              </w:rPr>
              <w:t>46)</w:t>
            </w:r>
          </w:p>
        </w:tc>
        <w:tc>
          <w:tcPr>
            <w:tcW w:w="1073" w:type="dxa"/>
          </w:tcPr>
          <w:p w14:paraId="76A45FF8" w14:textId="77777777" w:rsidR="00501D5D" w:rsidRDefault="00501D5D" w:rsidP="00810F31">
            <w:pPr>
              <w:pStyle w:val="NoSpacing"/>
              <w:ind w:left="-108"/>
              <w:jc w:val="center"/>
              <w:rPr>
                <w:rFonts w:cs="Times"/>
                <w:color w:val="000000" w:themeColor="text1"/>
                <w:sz w:val="22"/>
                <w:szCs w:val="22"/>
                <w:lang w:val="en-AU"/>
              </w:rPr>
            </w:pPr>
          </w:p>
          <w:p w14:paraId="1B9FE589" w14:textId="60356679" w:rsidR="00501D5D" w:rsidRDefault="00501D5D" w:rsidP="00810F31">
            <w:pPr>
              <w:pStyle w:val="NoSpacing"/>
              <w:ind w:left="-108"/>
              <w:jc w:val="center"/>
              <w:rPr>
                <w:rFonts w:cs="Times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cs="Times"/>
                <w:color w:val="000000" w:themeColor="text1"/>
                <w:sz w:val="22"/>
                <w:szCs w:val="22"/>
                <w:lang w:val="en-AU"/>
              </w:rPr>
              <w:t>52.5%</w:t>
            </w:r>
          </w:p>
          <w:p w14:paraId="67741D70" w14:textId="0CA11B45" w:rsidR="00E708B6" w:rsidRPr="005F2595" w:rsidRDefault="00501D5D" w:rsidP="00810F31">
            <w:pPr>
              <w:pStyle w:val="NoSpacing"/>
              <w:ind w:left="-108"/>
              <w:jc w:val="center"/>
              <w:rPr>
                <w:rFonts w:cs="Times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cs="Times"/>
                <w:color w:val="000000" w:themeColor="text1"/>
                <w:sz w:val="22"/>
                <w:szCs w:val="22"/>
                <w:lang w:val="en-AU"/>
              </w:rPr>
              <w:t>(315)</w:t>
            </w:r>
          </w:p>
        </w:tc>
      </w:tr>
    </w:tbl>
    <w:p w14:paraId="140130C3" w14:textId="77777777" w:rsidR="004144B1" w:rsidRDefault="004144B1" w:rsidP="009C5223">
      <w:pPr>
        <w:pStyle w:val="NoSpacing"/>
        <w:jc w:val="both"/>
        <w:rPr>
          <w:sz w:val="24"/>
          <w:szCs w:val="24"/>
          <w:lang w:val="en-AU"/>
        </w:rPr>
      </w:pPr>
    </w:p>
    <w:p w14:paraId="1A39DB05" w14:textId="5C928E6C" w:rsidR="005F2595" w:rsidRDefault="004D19FC" w:rsidP="001F3967">
      <w:pPr>
        <w:pStyle w:val="NoSpacing"/>
        <w:ind w:left="-284" w:right="-347"/>
        <w:jc w:val="both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It is also worth noting that the data highlights the high proportion of offenders </w:t>
      </w:r>
      <w:r w:rsidRPr="000B5E65">
        <w:rPr>
          <w:sz w:val="24"/>
          <w:szCs w:val="24"/>
          <w:lang w:val="en-AU"/>
        </w:rPr>
        <w:t>with a</w:t>
      </w:r>
      <w:r>
        <w:rPr>
          <w:sz w:val="24"/>
          <w:szCs w:val="24"/>
          <w:lang w:val="en-AU"/>
        </w:rPr>
        <w:t xml:space="preserve"> history of alcohol and/or</w:t>
      </w:r>
      <w:r w:rsidRPr="000B5E65">
        <w:rPr>
          <w:sz w:val="24"/>
          <w:szCs w:val="24"/>
          <w:lang w:val="en-AU"/>
        </w:rPr>
        <w:t xml:space="preserve"> illicit drug abuse</w:t>
      </w:r>
      <w:r>
        <w:rPr>
          <w:sz w:val="24"/>
          <w:szCs w:val="24"/>
          <w:lang w:val="en-AU"/>
        </w:rPr>
        <w:t xml:space="preserve"> that have received suspended sentences and that this figure has increased to 55-60 per cent over the last four years. </w:t>
      </w:r>
      <w:r w:rsidR="004E2BD8">
        <w:rPr>
          <w:sz w:val="24"/>
          <w:szCs w:val="24"/>
          <w:lang w:val="en-AU"/>
        </w:rPr>
        <w:t>Furthermore, of</w:t>
      </w:r>
      <w:r w:rsidR="009C5223" w:rsidRPr="000B5E65">
        <w:rPr>
          <w:sz w:val="24"/>
          <w:szCs w:val="24"/>
          <w:lang w:val="en-AU"/>
        </w:rPr>
        <w:t xml:space="preserve"> those offenders with a</w:t>
      </w:r>
      <w:r w:rsidR="004144B1">
        <w:rPr>
          <w:sz w:val="24"/>
          <w:szCs w:val="24"/>
          <w:lang w:val="en-AU"/>
        </w:rPr>
        <w:t xml:space="preserve"> history of alcohol and/or</w:t>
      </w:r>
      <w:r w:rsidR="009C5223" w:rsidRPr="000B5E65">
        <w:rPr>
          <w:sz w:val="24"/>
          <w:szCs w:val="24"/>
          <w:lang w:val="en-AU"/>
        </w:rPr>
        <w:t xml:space="preserve"> illicit drug abuse</w:t>
      </w:r>
      <w:r w:rsidR="009C5223">
        <w:rPr>
          <w:sz w:val="24"/>
          <w:szCs w:val="24"/>
          <w:lang w:val="en-AU"/>
        </w:rPr>
        <w:t xml:space="preserve"> who were sentenced to suspended sentences, the overwhelming majority were sentenced to wholly suspended sentences</w:t>
      </w:r>
      <w:r w:rsidR="004E2BD8">
        <w:rPr>
          <w:sz w:val="24"/>
          <w:szCs w:val="24"/>
          <w:lang w:val="en-AU"/>
        </w:rPr>
        <w:t>, as set out in the figure below</w:t>
      </w:r>
      <w:r w:rsidR="009C5223">
        <w:rPr>
          <w:sz w:val="24"/>
          <w:szCs w:val="24"/>
          <w:lang w:val="en-AU"/>
        </w:rPr>
        <w:t xml:space="preserve">. </w:t>
      </w:r>
    </w:p>
    <w:p w14:paraId="03C765E8" w14:textId="77777777" w:rsidR="00501D5D" w:rsidRDefault="00501D5D" w:rsidP="009C5223">
      <w:pPr>
        <w:pStyle w:val="NoSpacing"/>
        <w:jc w:val="both"/>
        <w:rPr>
          <w:sz w:val="24"/>
          <w:szCs w:val="24"/>
          <w:lang w:val="en-AU"/>
        </w:rPr>
      </w:pPr>
    </w:p>
    <w:p w14:paraId="6FADB6B4" w14:textId="20E8437F" w:rsidR="009C5223" w:rsidRDefault="009C5223" w:rsidP="009C5223">
      <w:pPr>
        <w:pStyle w:val="NoSpacing"/>
        <w:jc w:val="center"/>
        <w:rPr>
          <w:sz w:val="24"/>
          <w:szCs w:val="24"/>
          <w:lang w:val="en-AU"/>
        </w:rPr>
      </w:pPr>
    </w:p>
    <w:p w14:paraId="0F285DE1" w14:textId="09721744" w:rsidR="00C42C59" w:rsidRDefault="0053518A" w:rsidP="009C5223">
      <w:pPr>
        <w:pStyle w:val="NoSpacing"/>
        <w:jc w:val="both"/>
        <w:rPr>
          <w:sz w:val="24"/>
          <w:szCs w:val="24"/>
          <w:lang w:val="en-AU"/>
        </w:rPr>
      </w:pPr>
      <w:r>
        <w:rPr>
          <w:noProof/>
        </w:rPr>
        <w:drawing>
          <wp:inline distT="0" distB="0" distL="0" distR="0" wp14:anchorId="78F331B0" wp14:editId="63501531">
            <wp:extent cx="5595620" cy="3746500"/>
            <wp:effectExtent l="0" t="0" r="17780" b="127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249EAD8" w14:textId="77777777" w:rsidR="0053518A" w:rsidRDefault="0053518A" w:rsidP="007E7AA4">
      <w:pPr>
        <w:ind w:left="-284" w:right="-347"/>
        <w:jc w:val="both"/>
        <w:rPr>
          <w:rFonts w:eastAsia="Times New Roman" w:cs="Times New Roman"/>
          <w:lang w:val="en-AU"/>
        </w:rPr>
      </w:pPr>
    </w:p>
    <w:p w14:paraId="4E3C5315" w14:textId="048538DD" w:rsidR="00176ED7" w:rsidRDefault="003604BD" w:rsidP="00055BB4">
      <w:pPr>
        <w:ind w:left="-284" w:right="-347"/>
        <w:jc w:val="both"/>
        <w:rPr>
          <w:rFonts w:eastAsia="Times New Roman" w:cs="Times New Roman"/>
          <w:lang w:val="en-AU"/>
        </w:rPr>
      </w:pPr>
      <w:bookmarkStart w:id="0" w:name="_GoBack"/>
      <w:bookmarkEnd w:id="0"/>
      <w:r>
        <w:rPr>
          <w:rFonts w:eastAsia="Times New Roman" w:cs="Times New Roman"/>
          <w:lang w:val="en-AU"/>
        </w:rPr>
        <w:lastRenderedPageBreak/>
        <w:t>O</w:t>
      </w:r>
      <w:r w:rsidR="00176ED7">
        <w:rPr>
          <w:rFonts w:eastAsia="Times New Roman" w:cs="Times New Roman"/>
          <w:lang w:val="en-AU"/>
        </w:rPr>
        <w:t xml:space="preserve">ur analysis of the </w:t>
      </w:r>
      <w:r w:rsidR="00176ED7" w:rsidRPr="00176ED7">
        <w:rPr>
          <w:rFonts w:eastAsia="Times New Roman" w:cs="Times New Roman"/>
          <w:i/>
          <w:lang w:val="en-AU"/>
        </w:rPr>
        <w:t>Sentencing Database</w:t>
      </w:r>
      <w:r w:rsidR="00176ED7">
        <w:rPr>
          <w:rFonts w:eastAsia="Times New Roman" w:cs="Times New Roman"/>
          <w:lang w:val="en-AU"/>
        </w:rPr>
        <w:t xml:space="preserve"> </w:t>
      </w:r>
      <w:r>
        <w:rPr>
          <w:rFonts w:eastAsia="Times New Roman" w:cs="Times New Roman"/>
          <w:lang w:val="en-AU"/>
        </w:rPr>
        <w:t>also found</w:t>
      </w:r>
      <w:r w:rsidR="00176ED7">
        <w:rPr>
          <w:rFonts w:eastAsia="Times New Roman" w:cs="Times New Roman"/>
          <w:lang w:val="en-AU"/>
        </w:rPr>
        <w:t xml:space="preserve"> that a large number of offenders with a history of alcohol and/or illicit drug abuse are subject to both a suspended sentence and a probation order</w:t>
      </w:r>
      <w:r>
        <w:rPr>
          <w:rFonts w:eastAsia="Times New Roman" w:cs="Times New Roman"/>
          <w:lang w:val="en-AU"/>
        </w:rPr>
        <w:t>.</w:t>
      </w:r>
      <w:r w:rsidR="00176ED7">
        <w:rPr>
          <w:rStyle w:val="FootnoteReference"/>
          <w:rFonts w:eastAsia="Times New Roman" w:cs="Times New Roman"/>
          <w:lang w:val="en-AU"/>
        </w:rPr>
        <w:footnoteReference w:id="9"/>
      </w:r>
      <w:r w:rsidR="00055BB4">
        <w:rPr>
          <w:rFonts w:eastAsia="Times New Roman" w:cs="Times New Roman"/>
          <w:lang w:val="en-AU"/>
        </w:rPr>
        <w:t xml:space="preserve"> </w:t>
      </w:r>
      <w:r>
        <w:rPr>
          <w:rFonts w:eastAsia="Times New Roman" w:cs="Times New Roman"/>
          <w:lang w:val="en-AU"/>
        </w:rPr>
        <w:t>W</w:t>
      </w:r>
      <w:r w:rsidR="004E2BD8">
        <w:rPr>
          <w:rFonts w:eastAsia="Times New Roman" w:cs="Times New Roman"/>
          <w:lang w:val="en-AU"/>
        </w:rPr>
        <w:t xml:space="preserve">e are </w:t>
      </w:r>
      <w:r w:rsidR="00176ED7">
        <w:rPr>
          <w:rFonts w:eastAsia="Times New Roman" w:cs="Times New Roman"/>
          <w:lang w:val="en-AU"/>
        </w:rPr>
        <w:t>concerned a</w:t>
      </w:r>
      <w:r w:rsidR="004E2BD8">
        <w:rPr>
          <w:rFonts w:eastAsia="Times New Roman" w:cs="Times New Roman"/>
          <w:lang w:val="en-AU"/>
        </w:rPr>
        <w:t>bou</w:t>
      </w:r>
      <w:r w:rsidR="00176ED7">
        <w:rPr>
          <w:rFonts w:eastAsia="Times New Roman" w:cs="Times New Roman"/>
          <w:lang w:val="en-AU"/>
        </w:rPr>
        <w:t xml:space="preserve">t the lack of judicial oversight that accompanies the making of </w:t>
      </w:r>
      <w:r>
        <w:rPr>
          <w:rFonts w:eastAsia="Times New Roman" w:cs="Times New Roman"/>
          <w:lang w:val="en-AU"/>
        </w:rPr>
        <w:t xml:space="preserve">probation </w:t>
      </w:r>
      <w:r w:rsidR="00176ED7">
        <w:rPr>
          <w:rFonts w:eastAsia="Times New Roman" w:cs="Times New Roman"/>
          <w:lang w:val="en-AU"/>
        </w:rPr>
        <w:t>order</w:t>
      </w:r>
      <w:r>
        <w:rPr>
          <w:rFonts w:eastAsia="Times New Roman" w:cs="Times New Roman"/>
          <w:lang w:val="en-AU"/>
        </w:rPr>
        <w:t>s. In discussions with both the legal and community sectors</w:t>
      </w:r>
      <w:r w:rsidR="00176ED7">
        <w:rPr>
          <w:rFonts w:eastAsia="Times New Roman" w:cs="Times New Roman"/>
          <w:lang w:val="en-AU"/>
        </w:rPr>
        <w:t xml:space="preserve">, </w:t>
      </w:r>
      <w:r>
        <w:rPr>
          <w:rFonts w:eastAsia="Times New Roman" w:cs="Times New Roman"/>
          <w:lang w:val="en-AU"/>
        </w:rPr>
        <w:t xml:space="preserve">we have become aware that </w:t>
      </w:r>
      <w:r w:rsidR="00176ED7">
        <w:rPr>
          <w:rFonts w:eastAsia="Times New Roman" w:cs="Times New Roman"/>
          <w:lang w:val="en-AU"/>
        </w:rPr>
        <w:t>drug testing is not regularly required and the failure to undertake urinalysis or other forms of drug testing, or unattended appointments with counselling services, treatment programs or probation officers</w:t>
      </w:r>
      <w:r w:rsidR="004E2BD8">
        <w:rPr>
          <w:rFonts w:eastAsia="Times New Roman" w:cs="Times New Roman"/>
          <w:lang w:val="en-AU"/>
        </w:rPr>
        <w:t>,</w:t>
      </w:r>
      <w:r w:rsidR="00176ED7">
        <w:rPr>
          <w:rFonts w:eastAsia="Times New Roman" w:cs="Times New Roman"/>
          <w:lang w:val="en-AU"/>
        </w:rPr>
        <w:t xml:space="preserve"> is</w:t>
      </w:r>
      <w:r w:rsidR="007E7AA4">
        <w:rPr>
          <w:rFonts w:eastAsia="Times New Roman" w:cs="Times New Roman"/>
          <w:lang w:val="en-AU"/>
        </w:rPr>
        <w:t xml:space="preserve"> not necessarily likely to warrant a review of the probation order</w:t>
      </w:r>
      <w:r w:rsidR="0030530C">
        <w:rPr>
          <w:rFonts w:eastAsia="Times New Roman" w:cs="Times New Roman"/>
          <w:lang w:val="en-AU"/>
        </w:rPr>
        <w:t xml:space="preserve">, as is currently required under section 41 of the </w:t>
      </w:r>
      <w:r w:rsidR="0030530C" w:rsidRPr="0030530C">
        <w:rPr>
          <w:rFonts w:eastAsia="Times New Roman" w:cs="Times New Roman"/>
          <w:i/>
          <w:lang w:val="en-AU"/>
        </w:rPr>
        <w:t>Sentencing Act 1997</w:t>
      </w:r>
      <w:r w:rsidR="0030530C">
        <w:rPr>
          <w:rFonts w:eastAsia="Times New Roman" w:cs="Times New Roman"/>
          <w:lang w:val="en-AU"/>
        </w:rPr>
        <w:t xml:space="preserve"> (</w:t>
      </w:r>
      <w:proofErr w:type="spellStart"/>
      <w:r w:rsidR="0030530C">
        <w:rPr>
          <w:rFonts w:eastAsia="Times New Roman" w:cs="Times New Roman"/>
          <w:lang w:val="en-AU"/>
        </w:rPr>
        <w:t>Tas</w:t>
      </w:r>
      <w:proofErr w:type="spellEnd"/>
      <w:r w:rsidR="0030530C">
        <w:rPr>
          <w:rFonts w:eastAsia="Times New Roman" w:cs="Times New Roman"/>
          <w:lang w:val="en-AU"/>
        </w:rPr>
        <w:t>)</w:t>
      </w:r>
      <w:r w:rsidR="00176ED7">
        <w:rPr>
          <w:rFonts w:eastAsia="Times New Roman" w:cs="Times New Roman"/>
          <w:lang w:val="en-AU"/>
        </w:rPr>
        <w:t xml:space="preserve">. Anecdotally, we are also aware of cases in which </w:t>
      </w:r>
      <w:r>
        <w:rPr>
          <w:rFonts w:eastAsia="Times New Roman" w:cs="Times New Roman"/>
          <w:lang w:val="en-AU"/>
        </w:rPr>
        <w:t>a judicial officer</w:t>
      </w:r>
      <w:r w:rsidR="00176ED7">
        <w:rPr>
          <w:rFonts w:eastAsia="Times New Roman" w:cs="Times New Roman"/>
          <w:lang w:val="en-AU"/>
        </w:rPr>
        <w:t xml:space="preserve"> impose</w:t>
      </w:r>
      <w:r>
        <w:rPr>
          <w:rFonts w:eastAsia="Times New Roman" w:cs="Times New Roman"/>
          <w:lang w:val="en-AU"/>
        </w:rPr>
        <w:t>s</w:t>
      </w:r>
      <w:r w:rsidR="00176ED7">
        <w:rPr>
          <w:rFonts w:eastAsia="Times New Roman" w:cs="Times New Roman"/>
          <w:lang w:val="en-AU"/>
        </w:rPr>
        <w:t xml:space="preserve"> a probation order on an offender who has expressed no motivation to rehabilitate, resulting in a likely breach and bringing disrepute to the sentencing process. </w:t>
      </w:r>
    </w:p>
    <w:p w14:paraId="361E7C3A" w14:textId="77777777" w:rsidR="00176ED7" w:rsidRDefault="00176ED7" w:rsidP="00E25A8F">
      <w:pPr>
        <w:ind w:right="-347"/>
        <w:jc w:val="both"/>
        <w:rPr>
          <w:rFonts w:eastAsia="Times New Roman" w:cs="Times New Roman"/>
          <w:lang w:val="en-AU"/>
        </w:rPr>
      </w:pPr>
    </w:p>
    <w:p w14:paraId="6B6D2116" w14:textId="03A1694E" w:rsidR="00176ED7" w:rsidRDefault="00176ED7" w:rsidP="001F3967">
      <w:pPr>
        <w:ind w:left="-284" w:right="-347"/>
        <w:jc w:val="both"/>
        <w:rPr>
          <w:rFonts w:eastAsia="Times New Roman" w:cs="Times New Roman"/>
          <w:lang w:val="en-AU"/>
        </w:rPr>
      </w:pPr>
      <w:r>
        <w:rPr>
          <w:rFonts w:eastAsia="Times New Roman" w:cs="Times New Roman"/>
          <w:lang w:val="en-AU"/>
        </w:rPr>
        <w:t>The lack of judicial oversight with probation orders can be starkly contrasted with Court Mandated Diversion</w:t>
      </w:r>
      <w:r w:rsidR="00081FCF">
        <w:rPr>
          <w:rFonts w:eastAsia="Times New Roman" w:cs="Times New Roman"/>
          <w:lang w:val="en-AU"/>
        </w:rPr>
        <w:t>, where</w:t>
      </w:r>
      <w:r>
        <w:rPr>
          <w:rFonts w:eastAsia="Times New Roman" w:cs="Times New Roman"/>
          <w:lang w:val="en-AU"/>
        </w:rPr>
        <w:t xml:space="preserve"> the offender is intensely and actively managed for two years, is regularly subject to urinalysis and other forms of drug testing</w:t>
      </w:r>
      <w:r w:rsidR="00081FCF">
        <w:rPr>
          <w:rFonts w:eastAsia="Times New Roman" w:cs="Times New Roman"/>
          <w:lang w:val="en-AU"/>
        </w:rPr>
        <w:t>,</w:t>
      </w:r>
      <w:r>
        <w:rPr>
          <w:rFonts w:eastAsia="Times New Roman" w:cs="Times New Roman"/>
          <w:lang w:val="en-AU"/>
        </w:rPr>
        <w:t xml:space="preserve"> and is required to attend court fortnightly. Overseeing these efforts is a judicial officer who forms a clos</w:t>
      </w:r>
      <w:r w:rsidR="00081FCF">
        <w:rPr>
          <w:rFonts w:eastAsia="Times New Roman" w:cs="Times New Roman"/>
          <w:lang w:val="en-AU"/>
        </w:rPr>
        <w:t>e working relationship with</w:t>
      </w:r>
      <w:r>
        <w:rPr>
          <w:rFonts w:eastAsia="Times New Roman" w:cs="Times New Roman"/>
          <w:lang w:val="en-AU"/>
        </w:rPr>
        <w:t xml:space="preserve"> defence, prosecutorial and departmental staff to ensure that the offender is given every opportunity to rehabilitate. </w:t>
      </w:r>
    </w:p>
    <w:p w14:paraId="60AABF12" w14:textId="77777777" w:rsidR="00176ED7" w:rsidRDefault="00176ED7" w:rsidP="001F3967">
      <w:pPr>
        <w:ind w:left="-284" w:right="-347"/>
        <w:jc w:val="both"/>
        <w:rPr>
          <w:rFonts w:eastAsia="Times New Roman" w:cs="Times New Roman"/>
          <w:lang w:val="en-AU"/>
        </w:rPr>
      </w:pPr>
    </w:p>
    <w:p w14:paraId="0143142B" w14:textId="35ABE7BA" w:rsidR="00176ED7" w:rsidRDefault="00176ED7" w:rsidP="001F3967">
      <w:pPr>
        <w:ind w:left="-284" w:right="-347"/>
        <w:jc w:val="both"/>
        <w:rPr>
          <w:rFonts w:cs="Arial"/>
        </w:rPr>
      </w:pPr>
      <w:r>
        <w:rPr>
          <w:rFonts w:eastAsia="Times New Roman" w:cs="Times New Roman"/>
          <w:lang w:val="en-AU"/>
        </w:rPr>
        <w:t>The expansion of the</w:t>
      </w:r>
      <w:r w:rsidRPr="0073495B">
        <w:rPr>
          <w:rFonts w:eastAsia="Times New Roman" w:cs="Times New Roman"/>
          <w:lang w:val="en-AU"/>
        </w:rPr>
        <w:t xml:space="preserve"> Cour</w:t>
      </w:r>
      <w:r>
        <w:rPr>
          <w:rFonts w:eastAsia="Times New Roman" w:cs="Times New Roman"/>
          <w:lang w:val="en-AU"/>
        </w:rPr>
        <w:t>t Mandated Diversion pr</w:t>
      </w:r>
      <w:r w:rsidR="00654C71">
        <w:rPr>
          <w:rFonts w:eastAsia="Times New Roman" w:cs="Times New Roman"/>
          <w:lang w:val="en-AU"/>
        </w:rPr>
        <w:t xml:space="preserve">ogram to the Supreme Court is likely to be a win-win-win that reduces recidivism as offenders undergo treatment for their drug abuse, </w:t>
      </w:r>
      <w:r>
        <w:rPr>
          <w:rFonts w:eastAsia="Times New Roman" w:cs="Times New Roman"/>
          <w:lang w:val="en-AU"/>
        </w:rPr>
        <w:t>increase</w:t>
      </w:r>
      <w:r w:rsidR="00654C71">
        <w:rPr>
          <w:rFonts w:eastAsia="Times New Roman" w:cs="Times New Roman"/>
          <w:lang w:val="en-AU"/>
        </w:rPr>
        <w:t>s</w:t>
      </w:r>
      <w:r>
        <w:rPr>
          <w:rFonts w:eastAsia="Times New Roman" w:cs="Times New Roman"/>
          <w:lang w:val="en-AU"/>
        </w:rPr>
        <w:t xml:space="preserve"> confidence in the Judiciary</w:t>
      </w:r>
      <w:r w:rsidR="00654C71">
        <w:rPr>
          <w:rFonts w:eastAsia="Times New Roman" w:cs="Times New Roman"/>
          <w:lang w:val="en-AU"/>
        </w:rPr>
        <w:t xml:space="preserve"> by ensuring that orders are complied with and </w:t>
      </w:r>
      <w:r>
        <w:rPr>
          <w:rFonts w:eastAsia="Times New Roman" w:cs="Times New Roman"/>
          <w:lang w:val="en-AU"/>
        </w:rPr>
        <w:t>provide</w:t>
      </w:r>
      <w:r w:rsidR="00654C71">
        <w:rPr>
          <w:rFonts w:eastAsia="Times New Roman" w:cs="Times New Roman"/>
          <w:lang w:val="en-AU"/>
        </w:rPr>
        <w:t>s</w:t>
      </w:r>
      <w:r>
        <w:rPr>
          <w:rFonts w:eastAsia="Times New Roman" w:cs="Times New Roman"/>
          <w:lang w:val="en-AU"/>
        </w:rPr>
        <w:t xml:space="preserve"> a level of accountability that is currently lacking for many offenders sentenced to a suspended sentence in</w:t>
      </w:r>
      <w:r w:rsidR="00654C71">
        <w:rPr>
          <w:rFonts w:eastAsia="Times New Roman" w:cs="Times New Roman"/>
          <w:lang w:val="en-AU"/>
        </w:rPr>
        <w:t xml:space="preserve"> the Supreme Court of Tasmania. </w:t>
      </w:r>
    </w:p>
    <w:p w14:paraId="5C35F976" w14:textId="77777777" w:rsidR="00E25A8F" w:rsidRDefault="00E25A8F" w:rsidP="00055BB4">
      <w:pPr>
        <w:ind w:right="-347"/>
        <w:jc w:val="both"/>
        <w:rPr>
          <w:rFonts w:eastAsia="Times New Roman"/>
          <w:lang w:val="en-AU"/>
        </w:rPr>
      </w:pPr>
    </w:p>
    <w:p w14:paraId="789AB670" w14:textId="6255E64A" w:rsidR="00A85886" w:rsidRPr="00A85886" w:rsidRDefault="00A85886" w:rsidP="001F3967">
      <w:pPr>
        <w:ind w:left="-284" w:right="-347"/>
        <w:jc w:val="both"/>
        <w:rPr>
          <w:rFonts w:eastAsia="Times New Roman" w:cs="Times New Roman"/>
          <w:b/>
          <w:lang w:val="en-AU"/>
        </w:rPr>
      </w:pPr>
      <w:r w:rsidRPr="00A85886">
        <w:rPr>
          <w:rFonts w:eastAsia="Times New Roman" w:cs="Times New Roman"/>
          <w:b/>
          <w:lang w:val="en-AU"/>
        </w:rPr>
        <w:t>Nomenclature</w:t>
      </w:r>
    </w:p>
    <w:p w14:paraId="6A5E0D93" w14:textId="2216D79E" w:rsidR="0073495B" w:rsidRDefault="0073495B" w:rsidP="001F3967">
      <w:pPr>
        <w:ind w:left="-284" w:right="-347"/>
        <w:jc w:val="both"/>
        <w:rPr>
          <w:rFonts w:eastAsia="Times New Roman" w:cs="Times New Roman"/>
          <w:lang w:val="en-AU"/>
        </w:rPr>
      </w:pPr>
      <w:r w:rsidRPr="004A6A78">
        <w:rPr>
          <w:rFonts w:eastAsia="Times New Roman" w:cs="Times New Roman"/>
          <w:lang w:val="en-AU"/>
        </w:rPr>
        <w:t xml:space="preserve">Finally, we would strongly recommend that the </w:t>
      </w:r>
      <w:r w:rsidR="00A87D51" w:rsidRPr="004A6A78">
        <w:rPr>
          <w:rFonts w:eastAsia="Times New Roman" w:cs="Times New Roman"/>
          <w:lang w:val="en-AU"/>
        </w:rPr>
        <w:t xml:space="preserve">nomenclature </w:t>
      </w:r>
      <w:r w:rsidRPr="004A6A78">
        <w:rPr>
          <w:rFonts w:eastAsia="Times New Roman" w:cs="Times New Roman"/>
          <w:lang w:val="en-AU"/>
        </w:rPr>
        <w:t xml:space="preserve">around the drug treatment order </w:t>
      </w:r>
      <w:r w:rsidR="00A87D51" w:rsidRPr="004A6A78">
        <w:rPr>
          <w:rFonts w:eastAsia="Times New Roman" w:cs="Times New Roman"/>
          <w:lang w:val="en-AU"/>
        </w:rPr>
        <w:t xml:space="preserve">be amended. </w:t>
      </w:r>
      <w:r w:rsidR="00BE1539">
        <w:rPr>
          <w:rFonts w:eastAsia="Times New Roman" w:cs="Times New Roman"/>
          <w:lang w:val="en-AU"/>
        </w:rPr>
        <w:t xml:space="preserve">In our opinion, the ‘drug and alcohol treatment order’ is suggestive of alcohol not being a drug or not being a drug that is as dangerous as illicit drugs. Nothing could be further from the truth. </w:t>
      </w:r>
      <w:r w:rsidR="00191C98">
        <w:rPr>
          <w:rFonts w:eastAsia="Times New Roman" w:cs="Times New Roman"/>
          <w:lang w:val="en-AU"/>
        </w:rPr>
        <w:t xml:space="preserve">According to a report cited in the </w:t>
      </w:r>
      <w:r w:rsidR="00191C98" w:rsidRPr="0089696E">
        <w:rPr>
          <w:rFonts w:eastAsia="Times New Roman" w:cs="Times New Roman"/>
          <w:i/>
          <w:lang w:val="en-AU"/>
        </w:rPr>
        <w:t>National</w:t>
      </w:r>
      <w:r w:rsidR="0089696E" w:rsidRPr="0089696E">
        <w:rPr>
          <w:rFonts w:eastAsia="Times New Roman" w:cs="Times New Roman"/>
          <w:i/>
          <w:lang w:val="en-AU"/>
        </w:rPr>
        <w:t xml:space="preserve"> Drug Strategy Household Survey 2013</w:t>
      </w:r>
      <w:r w:rsidR="0089696E">
        <w:rPr>
          <w:rFonts w:eastAsia="Times New Roman" w:cs="Times New Roman"/>
          <w:lang w:val="en-AU"/>
        </w:rPr>
        <w:t xml:space="preserve"> deaths attributable to alcohol are more than double the deaths attributable to illicit drugs.</w:t>
      </w:r>
      <w:r w:rsidR="0089696E">
        <w:rPr>
          <w:rStyle w:val="FootnoteReference"/>
          <w:rFonts w:eastAsia="Times New Roman" w:cs="Times New Roman"/>
          <w:lang w:val="en-AU"/>
        </w:rPr>
        <w:footnoteReference w:id="10"/>
      </w:r>
      <w:r w:rsidR="0089696E">
        <w:rPr>
          <w:rFonts w:eastAsia="Times New Roman" w:cs="Times New Roman"/>
          <w:lang w:val="en-AU"/>
        </w:rPr>
        <w:t xml:space="preserve"> It is therefore important </w:t>
      </w:r>
      <w:r w:rsidRPr="004A6A78">
        <w:rPr>
          <w:rFonts w:eastAsia="Times New Roman" w:cs="Times New Roman"/>
          <w:lang w:val="en-AU"/>
        </w:rPr>
        <w:t xml:space="preserve">that the </w:t>
      </w:r>
      <w:r w:rsidR="003B4EB4">
        <w:rPr>
          <w:rFonts w:eastAsia="Times New Roman" w:cs="Times New Roman"/>
          <w:lang w:val="en-AU"/>
        </w:rPr>
        <w:t>order</w:t>
      </w:r>
      <w:r w:rsidR="00A85886">
        <w:rPr>
          <w:rFonts w:eastAsia="Times New Roman" w:cs="Times New Roman"/>
          <w:lang w:val="en-AU"/>
        </w:rPr>
        <w:t xml:space="preserve"> </w:t>
      </w:r>
      <w:r w:rsidR="0089696E">
        <w:rPr>
          <w:rFonts w:eastAsia="Times New Roman" w:cs="Times New Roman"/>
          <w:lang w:val="en-AU"/>
        </w:rPr>
        <w:t>highlight</w:t>
      </w:r>
      <w:r w:rsidR="007C57DE" w:rsidRPr="004A6A78">
        <w:rPr>
          <w:rFonts w:eastAsia="Times New Roman" w:cs="Times New Roman"/>
          <w:lang w:val="en-AU"/>
        </w:rPr>
        <w:t xml:space="preserve"> that alcohol </w:t>
      </w:r>
      <w:r w:rsidR="00654C71">
        <w:rPr>
          <w:rFonts w:eastAsia="Times New Roman" w:cs="Times New Roman"/>
          <w:lang w:val="en-AU"/>
        </w:rPr>
        <w:t>is capable of being</w:t>
      </w:r>
      <w:r w:rsidR="0036413F">
        <w:rPr>
          <w:rFonts w:eastAsia="Times New Roman" w:cs="Times New Roman"/>
          <w:lang w:val="en-AU"/>
        </w:rPr>
        <w:t xml:space="preserve"> a harmful</w:t>
      </w:r>
      <w:r w:rsidR="007C57DE" w:rsidRPr="004A6A78">
        <w:rPr>
          <w:rFonts w:eastAsia="Times New Roman" w:cs="Times New Roman"/>
          <w:lang w:val="en-AU"/>
        </w:rPr>
        <w:t xml:space="preserve"> drug and that alcohol </w:t>
      </w:r>
      <w:r w:rsidR="00A85886">
        <w:rPr>
          <w:rFonts w:eastAsia="Times New Roman" w:cs="Times New Roman"/>
          <w:lang w:val="en-AU"/>
        </w:rPr>
        <w:t>abuse</w:t>
      </w:r>
      <w:r w:rsidR="007C57DE" w:rsidRPr="004A6A78">
        <w:rPr>
          <w:rFonts w:eastAsia="Times New Roman" w:cs="Times New Roman"/>
          <w:lang w:val="en-AU"/>
        </w:rPr>
        <w:t xml:space="preserve"> </w:t>
      </w:r>
      <w:r w:rsidR="0089696E">
        <w:rPr>
          <w:rFonts w:eastAsia="Times New Roman" w:cs="Times New Roman"/>
          <w:lang w:val="en-AU"/>
        </w:rPr>
        <w:t>is</w:t>
      </w:r>
      <w:r w:rsidR="007C57DE" w:rsidRPr="004A6A78">
        <w:rPr>
          <w:rFonts w:eastAsia="Times New Roman" w:cs="Times New Roman"/>
          <w:lang w:val="en-AU"/>
        </w:rPr>
        <w:t xml:space="preserve"> taken as seriously as illicit drug </w:t>
      </w:r>
      <w:r w:rsidR="003B4EB4">
        <w:rPr>
          <w:rFonts w:eastAsia="Times New Roman" w:cs="Times New Roman"/>
          <w:lang w:val="en-AU"/>
        </w:rPr>
        <w:t>abuse</w:t>
      </w:r>
      <w:r w:rsidR="007C57DE" w:rsidRPr="004A6A78">
        <w:rPr>
          <w:rFonts w:eastAsia="Times New Roman" w:cs="Times New Roman"/>
          <w:lang w:val="en-AU"/>
        </w:rPr>
        <w:t>. We therefore recommend that the proposed order</w:t>
      </w:r>
      <w:r w:rsidR="002934F4">
        <w:rPr>
          <w:rFonts w:eastAsia="Times New Roman" w:cs="Times New Roman"/>
          <w:lang w:val="en-AU"/>
        </w:rPr>
        <w:t xml:space="preserve"> be referred to</w:t>
      </w:r>
      <w:r w:rsidR="003B4EB4">
        <w:rPr>
          <w:rFonts w:eastAsia="Times New Roman" w:cs="Times New Roman"/>
          <w:lang w:val="en-AU"/>
        </w:rPr>
        <w:t xml:space="preserve"> either </w:t>
      </w:r>
      <w:r w:rsidR="002934F4">
        <w:rPr>
          <w:rFonts w:eastAsia="Times New Roman" w:cs="Times New Roman"/>
          <w:lang w:val="en-AU"/>
        </w:rPr>
        <w:t xml:space="preserve">as </w:t>
      </w:r>
      <w:r w:rsidR="003B4EB4">
        <w:rPr>
          <w:rFonts w:eastAsia="Times New Roman" w:cs="Times New Roman"/>
          <w:lang w:val="en-AU"/>
        </w:rPr>
        <w:t>the ‘Alcohol and Other Drug Treatment O</w:t>
      </w:r>
      <w:r w:rsidR="007C57DE" w:rsidRPr="004A6A78">
        <w:rPr>
          <w:rFonts w:eastAsia="Times New Roman" w:cs="Times New Roman"/>
          <w:lang w:val="en-AU"/>
        </w:rPr>
        <w:t>rder’ or si</w:t>
      </w:r>
      <w:r w:rsidR="003B4EB4">
        <w:rPr>
          <w:rFonts w:eastAsia="Times New Roman" w:cs="Times New Roman"/>
          <w:lang w:val="en-AU"/>
        </w:rPr>
        <w:t>mply a ‘Drug Treatment O</w:t>
      </w:r>
      <w:r w:rsidR="007C57DE" w:rsidRPr="004A6A78">
        <w:rPr>
          <w:rFonts w:eastAsia="Times New Roman" w:cs="Times New Roman"/>
          <w:lang w:val="en-AU"/>
        </w:rPr>
        <w:t>rder’</w:t>
      </w:r>
      <w:r w:rsidR="00A85886">
        <w:rPr>
          <w:rFonts w:eastAsia="Times New Roman" w:cs="Times New Roman"/>
          <w:lang w:val="en-AU"/>
        </w:rPr>
        <w:t xml:space="preserve"> that includes </w:t>
      </w:r>
      <w:r w:rsidR="003B4EB4">
        <w:rPr>
          <w:rFonts w:eastAsia="Times New Roman" w:cs="Times New Roman"/>
          <w:lang w:val="en-AU"/>
        </w:rPr>
        <w:t xml:space="preserve">reference to </w:t>
      </w:r>
      <w:r w:rsidR="00A85886">
        <w:rPr>
          <w:rFonts w:eastAsia="Times New Roman" w:cs="Times New Roman"/>
          <w:lang w:val="en-AU"/>
        </w:rPr>
        <w:t>alcohol</w:t>
      </w:r>
      <w:r w:rsidR="003B4EB4">
        <w:rPr>
          <w:rFonts w:eastAsia="Times New Roman" w:cs="Times New Roman"/>
          <w:lang w:val="en-AU"/>
        </w:rPr>
        <w:t xml:space="preserve"> abuse</w:t>
      </w:r>
      <w:r w:rsidRPr="004A6A78">
        <w:rPr>
          <w:rFonts w:eastAsia="Times New Roman" w:cs="Times New Roman"/>
          <w:lang w:val="en-AU"/>
        </w:rPr>
        <w:t>.</w:t>
      </w:r>
    </w:p>
    <w:p w14:paraId="4DF0433B" w14:textId="77777777" w:rsidR="00CA6ED1" w:rsidRDefault="00CA6ED1" w:rsidP="001F3967">
      <w:pPr>
        <w:pStyle w:val="NoSpacing"/>
        <w:ind w:left="-284" w:right="-347"/>
        <w:jc w:val="both"/>
        <w:rPr>
          <w:sz w:val="24"/>
          <w:szCs w:val="24"/>
          <w:lang w:val="en-AU"/>
        </w:rPr>
      </w:pPr>
    </w:p>
    <w:p w14:paraId="615AA010" w14:textId="77777777" w:rsidR="00BE1539" w:rsidRDefault="00BE1539" w:rsidP="001F3967">
      <w:pPr>
        <w:shd w:val="clear" w:color="auto" w:fill="FFFFFF"/>
        <w:ind w:left="-284" w:right="-347"/>
        <w:jc w:val="both"/>
        <w:rPr>
          <w:rFonts w:eastAsia="Times New Roman" w:cs="Times New Roman"/>
          <w:bCs/>
          <w:color w:val="000000" w:themeColor="text1"/>
          <w:lang w:eastAsia="en-AU"/>
        </w:rPr>
      </w:pPr>
    </w:p>
    <w:p w14:paraId="16BD3CA5" w14:textId="77777777" w:rsidR="00DB6390" w:rsidRDefault="00DB6390" w:rsidP="001F3967">
      <w:pPr>
        <w:shd w:val="clear" w:color="auto" w:fill="FFFFFF"/>
        <w:ind w:left="-284" w:right="-347"/>
        <w:jc w:val="both"/>
        <w:rPr>
          <w:rFonts w:eastAsia="Times New Roman" w:cs="Times New Roman"/>
          <w:bCs/>
          <w:color w:val="000000" w:themeColor="text1"/>
          <w:lang w:eastAsia="en-AU"/>
        </w:rPr>
      </w:pPr>
      <w:r>
        <w:rPr>
          <w:rFonts w:eastAsia="Times New Roman" w:cs="Times New Roman"/>
          <w:bCs/>
          <w:color w:val="000000" w:themeColor="text1"/>
          <w:lang w:eastAsia="en-AU"/>
        </w:rPr>
        <w:lastRenderedPageBreak/>
        <w:t>If we can be of any further assistance, please do not hesitate to contact us.</w:t>
      </w:r>
    </w:p>
    <w:p w14:paraId="74CC543D" w14:textId="77777777" w:rsidR="00DB6390" w:rsidRDefault="00DB6390" w:rsidP="001F3967">
      <w:pPr>
        <w:shd w:val="clear" w:color="auto" w:fill="FFFFFF"/>
        <w:ind w:left="-284" w:right="-347"/>
        <w:jc w:val="both"/>
        <w:rPr>
          <w:rFonts w:eastAsia="Times New Roman" w:cs="Times New Roman"/>
          <w:bCs/>
          <w:color w:val="000000" w:themeColor="text1"/>
          <w:lang w:eastAsia="en-AU"/>
        </w:rPr>
      </w:pPr>
    </w:p>
    <w:p w14:paraId="5DC8A13E" w14:textId="77777777" w:rsidR="00DB6390" w:rsidRDefault="00DB6390" w:rsidP="001F3967">
      <w:pPr>
        <w:shd w:val="clear" w:color="auto" w:fill="FFFFFF"/>
        <w:ind w:left="-284" w:right="-347"/>
        <w:jc w:val="both"/>
        <w:rPr>
          <w:rFonts w:eastAsia="Times New Roman" w:cs="Times New Roman"/>
          <w:bCs/>
          <w:color w:val="000000" w:themeColor="text1"/>
          <w:lang w:eastAsia="en-AU"/>
        </w:rPr>
      </w:pPr>
      <w:r>
        <w:rPr>
          <w:rFonts w:eastAsia="Times New Roman" w:cs="Times New Roman"/>
          <w:bCs/>
          <w:color w:val="000000" w:themeColor="text1"/>
          <w:lang w:eastAsia="en-AU"/>
        </w:rPr>
        <w:t>Yours faithfully,</w:t>
      </w:r>
    </w:p>
    <w:p w14:paraId="74DEB5BD" w14:textId="77777777" w:rsidR="00DB6390" w:rsidRDefault="00DB6390" w:rsidP="001F3967">
      <w:pPr>
        <w:shd w:val="clear" w:color="auto" w:fill="FFFFFF"/>
        <w:ind w:left="-284" w:right="-347"/>
        <w:jc w:val="both"/>
        <w:rPr>
          <w:rFonts w:eastAsia="Times New Roman" w:cs="Times New Roman"/>
          <w:bCs/>
          <w:color w:val="000000" w:themeColor="text1"/>
          <w:lang w:eastAsia="en-AU"/>
        </w:rPr>
      </w:pPr>
    </w:p>
    <w:p w14:paraId="1EEF1B48" w14:textId="77777777" w:rsidR="00DB6390" w:rsidRDefault="00DB6390" w:rsidP="001F3967">
      <w:pPr>
        <w:shd w:val="clear" w:color="auto" w:fill="FFFFFF"/>
        <w:ind w:left="-284" w:right="-347"/>
        <w:jc w:val="both"/>
        <w:rPr>
          <w:rFonts w:eastAsia="Times New Roman" w:cs="Times New Roman"/>
          <w:bCs/>
          <w:color w:val="000000" w:themeColor="text1"/>
          <w:lang w:eastAsia="en-AU"/>
        </w:rPr>
      </w:pPr>
    </w:p>
    <w:p w14:paraId="7E775D47" w14:textId="77777777" w:rsidR="00654C71" w:rsidRDefault="00654C71" w:rsidP="001F3967">
      <w:pPr>
        <w:shd w:val="clear" w:color="auto" w:fill="FFFFFF"/>
        <w:ind w:left="-284" w:right="-347"/>
        <w:jc w:val="both"/>
        <w:rPr>
          <w:rFonts w:eastAsia="Times New Roman" w:cs="Times New Roman"/>
          <w:bCs/>
          <w:color w:val="000000" w:themeColor="text1"/>
          <w:lang w:eastAsia="en-AU"/>
        </w:rPr>
      </w:pPr>
    </w:p>
    <w:p w14:paraId="55F66A4D" w14:textId="77777777" w:rsidR="00DB6390" w:rsidRDefault="00DB6390" w:rsidP="001F3967">
      <w:pPr>
        <w:shd w:val="clear" w:color="auto" w:fill="FFFFFF"/>
        <w:ind w:left="-284" w:right="-347"/>
        <w:jc w:val="both"/>
        <w:rPr>
          <w:rFonts w:eastAsia="Times New Roman" w:cs="Times New Roman"/>
          <w:bCs/>
          <w:color w:val="000000" w:themeColor="text1"/>
          <w:lang w:eastAsia="en-AU"/>
        </w:rPr>
      </w:pPr>
      <w:r>
        <w:rPr>
          <w:rFonts w:eastAsia="Times New Roman" w:cs="Times New Roman"/>
          <w:bCs/>
          <w:color w:val="000000" w:themeColor="text1"/>
          <w:lang w:eastAsia="en-AU"/>
        </w:rPr>
        <w:t>Benedict Bartl</w:t>
      </w:r>
    </w:p>
    <w:p w14:paraId="6959014F" w14:textId="77777777" w:rsidR="00DB6390" w:rsidRDefault="00DB6390" w:rsidP="001F3967">
      <w:pPr>
        <w:shd w:val="clear" w:color="auto" w:fill="FFFFFF"/>
        <w:ind w:left="-284" w:right="-347"/>
        <w:jc w:val="both"/>
        <w:rPr>
          <w:rFonts w:eastAsia="Times New Roman" w:cs="Times New Roman"/>
          <w:bCs/>
          <w:color w:val="000000" w:themeColor="text1"/>
          <w:lang w:eastAsia="en-AU"/>
        </w:rPr>
      </w:pPr>
      <w:r>
        <w:rPr>
          <w:rFonts w:eastAsia="Times New Roman" w:cs="Times New Roman"/>
          <w:bCs/>
          <w:color w:val="000000" w:themeColor="text1"/>
          <w:lang w:eastAsia="en-AU"/>
        </w:rPr>
        <w:t>Policy Officer</w:t>
      </w:r>
    </w:p>
    <w:p w14:paraId="16941EC6" w14:textId="77777777" w:rsidR="00DB6390" w:rsidRPr="0031455F" w:rsidRDefault="00DB6390" w:rsidP="001F3967">
      <w:pPr>
        <w:pBdr>
          <w:bottom w:val="single" w:sz="6" w:space="1" w:color="auto"/>
        </w:pBdr>
        <w:shd w:val="clear" w:color="auto" w:fill="FFFFFF"/>
        <w:ind w:left="-284" w:right="-347"/>
        <w:jc w:val="both"/>
        <w:rPr>
          <w:rFonts w:eastAsia="Times New Roman" w:cs="Times New Roman"/>
          <w:bCs/>
          <w:color w:val="000000" w:themeColor="text1"/>
          <w:lang w:eastAsia="en-AU"/>
        </w:rPr>
      </w:pPr>
      <w:r>
        <w:rPr>
          <w:rFonts w:eastAsia="Times New Roman" w:cs="Times New Roman"/>
          <w:bCs/>
          <w:color w:val="000000" w:themeColor="text1"/>
          <w:lang w:eastAsia="en-AU"/>
        </w:rPr>
        <w:t xml:space="preserve">Community Legal </w:t>
      </w:r>
      <w:proofErr w:type="spellStart"/>
      <w:r>
        <w:rPr>
          <w:rFonts w:eastAsia="Times New Roman" w:cs="Times New Roman"/>
          <w:bCs/>
          <w:color w:val="000000" w:themeColor="text1"/>
          <w:lang w:eastAsia="en-AU"/>
        </w:rPr>
        <w:t>Centres</w:t>
      </w:r>
      <w:proofErr w:type="spellEnd"/>
      <w:r>
        <w:rPr>
          <w:rFonts w:eastAsia="Times New Roman" w:cs="Times New Roman"/>
          <w:bCs/>
          <w:color w:val="000000" w:themeColor="text1"/>
          <w:lang w:eastAsia="en-AU"/>
        </w:rPr>
        <w:t xml:space="preserve"> Tasmania</w:t>
      </w:r>
    </w:p>
    <w:p w14:paraId="4B6D5B0F" w14:textId="77777777" w:rsidR="00DB6390" w:rsidRDefault="00DB6390" w:rsidP="001F3967">
      <w:pPr>
        <w:ind w:left="-284" w:right="-347"/>
      </w:pPr>
    </w:p>
    <w:p w14:paraId="3D4B3314" w14:textId="77777777" w:rsidR="003C0581" w:rsidRDefault="003C0581" w:rsidP="001F3967">
      <w:pPr>
        <w:ind w:left="-284" w:right="-347"/>
      </w:pPr>
    </w:p>
    <w:sectPr w:rsidR="003C0581" w:rsidSect="003C058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A9667" w14:textId="77777777" w:rsidR="00E25A8F" w:rsidRDefault="00E25A8F" w:rsidP="00DB6390">
      <w:r>
        <w:separator/>
      </w:r>
    </w:p>
  </w:endnote>
  <w:endnote w:type="continuationSeparator" w:id="0">
    <w:p w14:paraId="540DF544" w14:textId="77777777" w:rsidR="00E25A8F" w:rsidRDefault="00E25A8F" w:rsidP="00DB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9F23E" w14:textId="77777777" w:rsidR="00E25A8F" w:rsidRDefault="00E25A8F" w:rsidP="00DB6390">
      <w:r>
        <w:separator/>
      </w:r>
    </w:p>
  </w:footnote>
  <w:footnote w:type="continuationSeparator" w:id="0">
    <w:p w14:paraId="33583C0A" w14:textId="77777777" w:rsidR="00E25A8F" w:rsidRDefault="00E25A8F" w:rsidP="00DB6390">
      <w:r>
        <w:continuationSeparator/>
      </w:r>
    </w:p>
  </w:footnote>
  <w:footnote w:id="1">
    <w:p w14:paraId="3474920E" w14:textId="21A68171" w:rsidR="00E25A8F" w:rsidRDefault="00E25A8F" w:rsidP="00DB63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530D4">
        <w:rPr>
          <w:sz w:val="20"/>
          <w:szCs w:val="20"/>
        </w:rPr>
        <w:t xml:space="preserve">CLC </w:t>
      </w:r>
      <w:proofErr w:type="spellStart"/>
      <w:proofErr w:type="gramStart"/>
      <w:r w:rsidRPr="00A530D4">
        <w:rPr>
          <w:sz w:val="20"/>
          <w:szCs w:val="20"/>
        </w:rPr>
        <w:t>Tas</w:t>
      </w:r>
      <w:proofErr w:type="spellEnd"/>
      <w:proofErr w:type="gramEnd"/>
      <w:r w:rsidRPr="00A530D4">
        <w:rPr>
          <w:sz w:val="20"/>
          <w:szCs w:val="20"/>
        </w:rPr>
        <w:t xml:space="preserve"> would like to acknowledge the assistance of Rebekah Fleming, Amelia Hickman, Genevieve James, Olivia Jarvis, Erin Lim, Hannah Moore and Alice Wanders who </w:t>
      </w:r>
      <w:r>
        <w:rPr>
          <w:sz w:val="20"/>
          <w:szCs w:val="20"/>
        </w:rPr>
        <w:t>undertook the research that underpins this response</w:t>
      </w:r>
      <w:r w:rsidRPr="00A530D4">
        <w:rPr>
          <w:sz w:val="20"/>
          <w:szCs w:val="20"/>
        </w:rPr>
        <w:t>.</w:t>
      </w:r>
    </w:p>
  </w:footnote>
  <w:footnote w:id="2">
    <w:p w14:paraId="3706D96F" w14:textId="77777777" w:rsidR="00E25A8F" w:rsidRPr="00D12889" w:rsidRDefault="00E25A8F" w:rsidP="00D53F72">
      <w:pPr>
        <w:pStyle w:val="FootnoteText"/>
      </w:pPr>
      <w:r w:rsidRPr="002527F4">
        <w:rPr>
          <w:rStyle w:val="FootnoteReference"/>
        </w:rPr>
        <w:footnoteRef/>
      </w:r>
      <w:r>
        <w:t xml:space="preserve"> </w:t>
      </w:r>
      <w:proofErr w:type="gramStart"/>
      <w:r w:rsidRPr="00D53F72">
        <w:rPr>
          <w:sz w:val="20"/>
          <w:szCs w:val="20"/>
        </w:rPr>
        <w:t xml:space="preserve">Sections 7, 27G and 27H of the </w:t>
      </w:r>
      <w:r w:rsidRPr="00D53F72">
        <w:rPr>
          <w:i/>
          <w:sz w:val="20"/>
          <w:szCs w:val="20"/>
        </w:rPr>
        <w:t>Sentencing Act 1997</w:t>
      </w:r>
      <w:r w:rsidRPr="00D53F72">
        <w:rPr>
          <w:sz w:val="20"/>
          <w:szCs w:val="20"/>
        </w:rPr>
        <w:t xml:space="preserve"> (</w:t>
      </w:r>
      <w:proofErr w:type="spellStart"/>
      <w:r w:rsidRPr="00D53F72">
        <w:rPr>
          <w:sz w:val="20"/>
          <w:szCs w:val="20"/>
        </w:rPr>
        <w:t>Tas</w:t>
      </w:r>
      <w:proofErr w:type="spellEnd"/>
      <w:r w:rsidRPr="00D53F72">
        <w:rPr>
          <w:sz w:val="20"/>
          <w:szCs w:val="20"/>
        </w:rPr>
        <w:t>).</w:t>
      </w:r>
      <w:proofErr w:type="gramEnd"/>
    </w:p>
  </w:footnote>
  <w:footnote w:id="3">
    <w:p w14:paraId="566AAE0A" w14:textId="36F3F041" w:rsidR="00E25A8F" w:rsidRPr="0053518A" w:rsidRDefault="00E25A8F" w:rsidP="0053518A">
      <w:pPr>
        <w:rPr>
          <w:rFonts w:eastAsia="Times New Roman" w:cs="Times New Roman"/>
          <w:sz w:val="20"/>
          <w:szCs w:val="20"/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D91821">
        <w:rPr>
          <w:sz w:val="20"/>
          <w:szCs w:val="20"/>
        </w:rPr>
        <w:t>For example,</w:t>
      </w:r>
      <w:r>
        <w:rPr>
          <w:sz w:val="20"/>
          <w:szCs w:val="20"/>
        </w:rPr>
        <w:t xml:space="preserve"> a review of the NSW</w:t>
      </w:r>
      <w:r w:rsidRPr="00D91821">
        <w:rPr>
          <w:sz w:val="20"/>
          <w:szCs w:val="20"/>
        </w:rPr>
        <w:t xml:space="preserve"> Drug Court compared reco</w:t>
      </w:r>
      <w:r>
        <w:rPr>
          <w:sz w:val="20"/>
          <w:szCs w:val="20"/>
        </w:rPr>
        <w:t xml:space="preserve">nviction rates </w:t>
      </w:r>
      <w:r w:rsidRPr="00D91821">
        <w:rPr>
          <w:rFonts w:eastAsia="Times New Roman" w:cs="Times New Roman"/>
          <w:sz w:val="20"/>
          <w:szCs w:val="20"/>
          <w:lang w:val="en-AU"/>
        </w:rPr>
        <w:t>amongst participants in the Drug Court program wi</w:t>
      </w:r>
      <w:r>
        <w:rPr>
          <w:rFonts w:eastAsia="Times New Roman" w:cs="Times New Roman"/>
          <w:sz w:val="20"/>
          <w:szCs w:val="20"/>
          <w:lang w:val="en-AU"/>
        </w:rPr>
        <w:t>th reconviction rates amongst a</w:t>
      </w:r>
      <w:r w:rsidRPr="00D91821">
        <w:rPr>
          <w:rFonts w:eastAsia="Times New Roman" w:cs="Times New Roman"/>
          <w:sz w:val="20"/>
          <w:szCs w:val="20"/>
          <w:lang w:val="en-AU"/>
        </w:rPr>
        <w:t xml:space="preserve"> comparison group deemed eligible for the Drug Court Program but excluded either because they reside out of area or because they had been convicted of a violent offence. The study </w:t>
      </w:r>
      <w:r>
        <w:rPr>
          <w:rFonts w:eastAsia="Times New Roman" w:cs="Times New Roman"/>
          <w:sz w:val="20"/>
          <w:szCs w:val="20"/>
          <w:lang w:val="en-AU"/>
        </w:rPr>
        <w:t>found that</w:t>
      </w:r>
      <w:r w:rsidRPr="00D91821">
        <w:rPr>
          <w:rFonts w:eastAsia="Times New Roman" w:cs="Times New Roman"/>
          <w:sz w:val="20"/>
          <w:szCs w:val="20"/>
          <w:lang w:val="en-AU"/>
        </w:rPr>
        <w:t xml:space="preserve"> participants in the NSW Drug Court were less likely to be reconvicted than offenders given conventional sanctions</w:t>
      </w:r>
      <w:r>
        <w:rPr>
          <w:rFonts w:eastAsia="Times New Roman" w:cs="Times New Roman"/>
          <w:sz w:val="20"/>
          <w:szCs w:val="20"/>
          <w:lang w:val="en-AU"/>
        </w:rPr>
        <w:t xml:space="preserve">: see </w:t>
      </w:r>
      <w:r w:rsidRPr="00D91821">
        <w:rPr>
          <w:sz w:val="20"/>
          <w:szCs w:val="20"/>
        </w:rPr>
        <w:t xml:space="preserve">Don </w:t>
      </w:r>
      <w:proofErr w:type="spellStart"/>
      <w:r w:rsidRPr="00D91821">
        <w:rPr>
          <w:sz w:val="20"/>
          <w:szCs w:val="20"/>
        </w:rPr>
        <w:t>Weatherburn</w:t>
      </w:r>
      <w:proofErr w:type="spellEnd"/>
      <w:r w:rsidRPr="00D91821">
        <w:rPr>
          <w:sz w:val="20"/>
          <w:szCs w:val="20"/>
        </w:rPr>
        <w:t xml:space="preserve">, Craig Jones, Lucy Snowball and </w:t>
      </w:r>
      <w:proofErr w:type="spellStart"/>
      <w:r w:rsidRPr="00D91821">
        <w:rPr>
          <w:sz w:val="20"/>
          <w:szCs w:val="20"/>
        </w:rPr>
        <w:t>Jiuzhao</w:t>
      </w:r>
      <w:proofErr w:type="spellEnd"/>
      <w:r w:rsidRPr="00D91821">
        <w:rPr>
          <w:sz w:val="20"/>
          <w:szCs w:val="20"/>
        </w:rPr>
        <w:t xml:space="preserve"> </w:t>
      </w:r>
      <w:proofErr w:type="spellStart"/>
      <w:r w:rsidRPr="00D91821">
        <w:rPr>
          <w:sz w:val="20"/>
          <w:szCs w:val="20"/>
        </w:rPr>
        <w:t>Hua</w:t>
      </w:r>
      <w:proofErr w:type="spellEnd"/>
      <w:r w:rsidRPr="00D91821">
        <w:rPr>
          <w:sz w:val="20"/>
          <w:szCs w:val="20"/>
        </w:rPr>
        <w:t>, ‘The NSW Drug Court: A re-evaluation of its effectiveness’ (Crime and Justice Bulletin No 121, NSW Bureau of Crime Statistics and Research, September 2008).</w:t>
      </w:r>
    </w:p>
  </w:footnote>
  <w:footnote w:id="4">
    <w:p w14:paraId="13CA91D1" w14:textId="77777777" w:rsidR="00E25A8F" w:rsidRPr="00577B1D" w:rsidRDefault="00E25A8F" w:rsidP="004A6A78">
      <w:pPr>
        <w:rPr>
          <w:rFonts w:eastAsia="Times New Roman" w:cs="Times New Roman"/>
          <w:sz w:val="20"/>
          <w:szCs w:val="20"/>
          <w:lang w:val="en-AU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Pr="00577B1D">
        <w:rPr>
          <w:rFonts w:eastAsia="Times New Roman" w:cs="Times New Roman"/>
          <w:sz w:val="20"/>
          <w:szCs w:val="20"/>
          <w:lang w:val="en-AU"/>
        </w:rPr>
        <w:t>Tasmania’s Court Mandated Drug Diversion Program, Evaluation Report (November 2008)</w:t>
      </w:r>
      <w:r>
        <w:rPr>
          <w:rFonts w:eastAsia="Times New Roman" w:cs="Times New Roman"/>
          <w:sz w:val="20"/>
          <w:szCs w:val="20"/>
          <w:lang w:val="en-AU"/>
        </w:rPr>
        <w:t xml:space="preserve"> at 68.</w:t>
      </w:r>
      <w:proofErr w:type="gramEnd"/>
      <w:r>
        <w:rPr>
          <w:rFonts w:eastAsia="Times New Roman" w:cs="Times New Roman"/>
          <w:sz w:val="20"/>
          <w:szCs w:val="20"/>
          <w:lang w:val="en-AU"/>
        </w:rPr>
        <w:t xml:space="preserve"> As found at </w:t>
      </w:r>
    </w:p>
    <w:p w14:paraId="5D48CDAD" w14:textId="77777777" w:rsidR="00E25A8F" w:rsidRPr="00577B1D" w:rsidRDefault="004D19FC" w:rsidP="004A6A78">
      <w:pPr>
        <w:rPr>
          <w:rFonts w:ascii="Helvetica" w:eastAsia="Times New Roman" w:hAnsi="Helvetica" w:cs="Times New Roman"/>
          <w:sz w:val="52"/>
          <w:szCs w:val="52"/>
          <w:lang w:val="en-AU"/>
        </w:rPr>
      </w:pPr>
      <w:hyperlink r:id="rId1" w:history="1">
        <w:r w:rsidR="00E25A8F" w:rsidRPr="000F0336">
          <w:rPr>
            <w:rStyle w:val="Hyperlink"/>
            <w:rFonts w:eastAsia="Times New Roman" w:cs="Times New Roman"/>
            <w:sz w:val="20"/>
            <w:szCs w:val="20"/>
            <w:lang w:val="en-AU"/>
          </w:rPr>
          <w:t>http://www.justice.tas.gov.au/__data/assets/pdf_file/0020/115463/CMD_Eval_Final_Report_Jan_09.pdf</w:t>
        </w:r>
      </w:hyperlink>
      <w:r w:rsidR="00E25A8F">
        <w:rPr>
          <w:rFonts w:eastAsia="Times New Roman" w:cs="Times New Roman"/>
          <w:sz w:val="20"/>
          <w:szCs w:val="20"/>
          <w:lang w:val="en-AU"/>
        </w:rPr>
        <w:t xml:space="preserve"> </w:t>
      </w:r>
      <w:r w:rsidR="00E25A8F" w:rsidRPr="00577B1D">
        <w:rPr>
          <w:rFonts w:eastAsia="Times New Roman" w:cs="Times New Roman"/>
          <w:sz w:val="20"/>
          <w:szCs w:val="20"/>
          <w:lang w:val="en-AU"/>
        </w:rPr>
        <w:t>(Accessed 29th April 2015).</w:t>
      </w:r>
    </w:p>
  </w:footnote>
  <w:footnote w:id="5">
    <w:p w14:paraId="064F76D3" w14:textId="77777777" w:rsidR="00E25A8F" w:rsidRDefault="00E25A8F" w:rsidP="009C52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D3856">
        <w:rPr>
          <w:sz w:val="20"/>
          <w:szCs w:val="20"/>
        </w:rPr>
        <w:t xml:space="preserve">Sentencing Advisory Council, </w:t>
      </w:r>
      <w:r w:rsidRPr="002D3856">
        <w:rPr>
          <w:i/>
          <w:sz w:val="20"/>
          <w:szCs w:val="20"/>
        </w:rPr>
        <w:t>Phasing out Suspended Sentences Consultation Paper</w:t>
      </w:r>
      <w:r w:rsidRPr="002D3856">
        <w:rPr>
          <w:sz w:val="20"/>
          <w:szCs w:val="20"/>
        </w:rPr>
        <w:t xml:space="preserve"> (August 2015) at 52. As found at </w:t>
      </w:r>
      <w:hyperlink r:id="rId2" w:history="1">
        <w:r w:rsidRPr="002D3856">
          <w:rPr>
            <w:rStyle w:val="Hyperlink"/>
            <w:sz w:val="20"/>
            <w:szCs w:val="20"/>
          </w:rPr>
          <w:t>http://www.sentencingcouncil.tas.gov.au/__data/assets/pdf_file/0016/324106/Phasing_Out_of_Suspended_Sentences_-_Consultation_Paper.pdf</w:t>
        </w:r>
      </w:hyperlink>
      <w:r w:rsidRPr="002D3856">
        <w:rPr>
          <w:sz w:val="20"/>
          <w:szCs w:val="20"/>
        </w:rPr>
        <w:t xml:space="preserve"> (Accessed 12 October 2015).  </w:t>
      </w:r>
    </w:p>
  </w:footnote>
  <w:footnote w:id="6">
    <w:p w14:paraId="224BA4AD" w14:textId="0824907B" w:rsidR="00E25A8F" w:rsidRDefault="00E25A8F" w:rsidP="009C52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B5E65">
        <w:rPr>
          <w:sz w:val="20"/>
          <w:szCs w:val="20"/>
        </w:rPr>
        <w:t xml:space="preserve">See, for example, </w:t>
      </w:r>
      <w:r>
        <w:rPr>
          <w:sz w:val="20"/>
          <w:szCs w:val="20"/>
        </w:rPr>
        <w:t xml:space="preserve">Jason Payne and </w:t>
      </w:r>
      <w:proofErr w:type="spellStart"/>
      <w:r>
        <w:rPr>
          <w:sz w:val="20"/>
          <w:szCs w:val="20"/>
        </w:rPr>
        <w:t>Antonette</w:t>
      </w:r>
      <w:proofErr w:type="spellEnd"/>
      <w:r>
        <w:rPr>
          <w:sz w:val="20"/>
          <w:szCs w:val="20"/>
        </w:rPr>
        <w:t xml:space="preserve"> Gaffney, ‘How much crime is drug or alcohol related? Self-reported attributions of police detainees’ (Trends and Issues in crime and criminal justice No 439, Australian Institute of Criminology, May 2012); </w:t>
      </w:r>
      <w:r w:rsidRPr="000B5E65">
        <w:rPr>
          <w:sz w:val="20"/>
          <w:szCs w:val="20"/>
        </w:rPr>
        <w:t xml:space="preserve">Toni </w:t>
      </w:r>
      <w:proofErr w:type="spellStart"/>
      <w:r w:rsidRPr="000B5E65">
        <w:rPr>
          <w:sz w:val="20"/>
          <w:szCs w:val="20"/>
        </w:rPr>
        <w:t>Makkai</w:t>
      </w:r>
      <w:proofErr w:type="spellEnd"/>
      <w:r w:rsidRPr="000B5E65">
        <w:rPr>
          <w:sz w:val="20"/>
          <w:szCs w:val="20"/>
        </w:rPr>
        <w:t xml:space="preserve"> and Jason Payne, ‘Drugs and Crime: A Study of Incarcerated Male Offenders’ (Research and Public Policy Series No 52, Australian Institute of Criminology, 2003); Holly Johnson, ‘Drugs and Crime: A Study of Incarcerated Female Offenders’ (Research and Public Policy Series No 63, Australian Institute of Criminology, 2004).</w:t>
      </w:r>
    </w:p>
  </w:footnote>
  <w:footnote w:id="7">
    <w:p w14:paraId="1C1130CF" w14:textId="423C604F" w:rsidR="00E25A8F" w:rsidRDefault="00E25A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F3866">
        <w:rPr>
          <w:sz w:val="20"/>
          <w:szCs w:val="20"/>
        </w:rPr>
        <w:t xml:space="preserve">This research was made possible through the grant of research monies made available through the Solicitors’ Guarantee Fund in 2013. The research forms part of a much larger project investigating </w:t>
      </w:r>
      <w:r w:rsidRPr="00FF3866">
        <w:rPr>
          <w:rFonts w:eastAsia="Times New Roman" w:cs="Times New Roman"/>
          <w:sz w:val="20"/>
          <w:szCs w:val="20"/>
          <w:lang w:val="en-AU"/>
        </w:rPr>
        <w:t>the economic and social impacts of drug use in Tasmania.</w:t>
      </w:r>
      <w:r>
        <w:rPr>
          <w:rFonts w:eastAsia="Times New Roman" w:cs="Times New Roman"/>
          <w:lang w:val="en-AU"/>
        </w:rPr>
        <w:t xml:space="preserve"> </w:t>
      </w:r>
    </w:p>
  </w:footnote>
  <w:footnote w:id="8">
    <w:p w14:paraId="1ED72689" w14:textId="77777777" w:rsidR="00E25A8F" w:rsidRPr="002530C0" w:rsidRDefault="00E25A8F" w:rsidP="00CF7BF3">
      <w:pPr>
        <w:pStyle w:val="NoSpacing"/>
        <w:jc w:val="both"/>
        <w:rPr>
          <w:rFonts w:cs="Cambria"/>
          <w:color w:val="000000"/>
          <w:sz w:val="24"/>
          <w:szCs w:val="24"/>
        </w:rPr>
      </w:pPr>
      <w:r w:rsidRPr="002530C0">
        <w:rPr>
          <w:rStyle w:val="FootnoteReference"/>
          <w:sz w:val="24"/>
          <w:szCs w:val="24"/>
        </w:rPr>
        <w:footnoteRef/>
      </w:r>
      <w:r w:rsidRPr="002530C0">
        <w:rPr>
          <w:rFonts w:cs="Cambria"/>
          <w:color w:val="000000"/>
        </w:rPr>
        <w:t>An electronic database of the sentencing comments is available at</w:t>
      </w:r>
      <w:r w:rsidRPr="002530C0">
        <w:t xml:space="preserve"> </w:t>
      </w:r>
      <w:hyperlink r:id="rId3" w:history="1">
        <w:r w:rsidRPr="002530C0">
          <w:rPr>
            <w:rStyle w:val="Hyperlink"/>
            <w:rFonts w:cs="Cambria"/>
          </w:rPr>
          <w:t>http://catalogues.lawlibrary.tas.gov.au/textbase/SentSearch.htm</w:t>
        </w:r>
      </w:hyperlink>
      <w:r w:rsidRPr="002530C0">
        <w:rPr>
          <w:rFonts w:cs="Cambria"/>
          <w:color w:val="000000"/>
        </w:rPr>
        <w:t xml:space="preserve"> (Accessed 10 July 2015).</w:t>
      </w:r>
    </w:p>
  </w:footnote>
  <w:footnote w:id="9">
    <w:p w14:paraId="2EA4417E" w14:textId="77777777" w:rsidR="00E25A8F" w:rsidRDefault="00E25A8F" w:rsidP="00176ED7">
      <w:r>
        <w:rPr>
          <w:rStyle w:val="FootnoteReference"/>
        </w:rPr>
        <w:footnoteRef/>
      </w:r>
      <w:r>
        <w:t xml:space="preserve"> </w:t>
      </w:r>
      <w:r w:rsidRPr="00DB1EFA">
        <w:rPr>
          <w:sz w:val="20"/>
          <w:szCs w:val="20"/>
        </w:rPr>
        <w:t xml:space="preserve">See section 37(2) of the </w:t>
      </w:r>
      <w:r w:rsidRPr="00DB1EFA">
        <w:rPr>
          <w:i/>
          <w:sz w:val="20"/>
          <w:szCs w:val="20"/>
        </w:rPr>
        <w:t>Sentencing Act 1997</w:t>
      </w:r>
      <w:r w:rsidRPr="00DB1EFA">
        <w:rPr>
          <w:sz w:val="20"/>
          <w:szCs w:val="20"/>
        </w:rPr>
        <w:t xml:space="preserve"> (</w:t>
      </w:r>
      <w:proofErr w:type="spellStart"/>
      <w:r w:rsidRPr="00DB1EFA">
        <w:rPr>
          <w:sz w:val="20"/>
          <w:szCs w:val="20"/>
        </w:rPr>
        <w:t>Tas</w:t>
      </w:r>
      <w:proofErr w:type="spellEnd"/>
      <w:r w:rsidRPr="00DB1EFA">
        <w:rPr>
          <w:sz w:val="20"/>
          <w:szCs w:val="20"/>
        </w:rPr>
        <w:t>). Most commonly, offenders were required to undergo assessment and treatment for alcohol or drug dependency as directed by a probation officer;</w:t>
      </w:r>
      <w:bookmarkStart w:id="1" w:name="GS37@Gs2@Hpc@EN"/>
      <w:bookmarkEnd w:id="1"/>
      <w:r w:rsidRPr="00DB1EFA">
        <w:rPr>
          <w:sz w:val="20"/>
          <w:szCs w:val="20"/>
        </w:rPr>
        <w:t xml:space="preserve"> and/or submit to testing for alcohol or drug use as directed by a probation officer and/o</w:t>
      </w:r>
      <w:bookmarkStart w:id="2" w:name="GS37@Gs2@Hpd@EN"/>
      <w:bookmarkEnd w:id="2"/>
      <w:r w:rsidRPr="00DB1EFA">
        <w:rPr>
          <w:sz w:val="20"/>
          <w:szCs w:val="20"/>
        </w:rPr>
        <w:t>r submit to medical, psychological or psychiatric assessment or treatment as directed by a probation officer</w:t>
      </w:r>
    </w:p>
  </w:footnote>
  <w:footnote w:id="10">
    <w:p w14:paraId="5198E690" w14:textId="6C36BD3D" w:rsidR="00E25A8F" w:rsidRDefault="00E25A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9696E">
        <w:rPr>
          <w:sz w:val="20"/>
          <w:szCs w:val="20"/>
        </w:rPr>
        <w:t>The report cited found that in 2003 alcohol was attributable for 3,430 deaths whilst 1,705 deaths were attributable to illicit drugs</w:t>
      </w:r>
      <w:r>
        <w:rPr>
          <w:sz w:val="20"/>
          <w:szCs w:val="20"/>
        </w:rPr>
        <w:t>: see</w:t>
      </w:r>
      <w:r w:rsidRPr="0089696E">
        <w:rPr>
          <w:sz w:val="20"/>
          <w:szCs w:val="20"/>
        </w:rPr>
        <w:t xml:space="preserve"> Australian Institute of Health and Welfare, </w:t>
      </w:r>
      <w:r w:rsidRPr="00081FCF">
        <w:rPr>
          <w:i/>
          <w:sz w:val="20"/>
          <w:szCs w:val="20"/>
        </w:rPr>
        <w:t xml:space="preserve">National Drug Strategy Household Survey Detailed Report </w:t>
      </w:r>
      <w:r>
        <w:rPr>
          <w:sz w:val="20"/>
          <w:szCs w:val="20"/>
        </w:rPr>
        <w:t>(</w:t>
      </w:r>
      <w:r w:rsidRPr="0089696E">
        <w:rPr>
          <w:sz w:val="20"/>
          <w:szCs w:val="20"/>
        </w:rPr>
        <w:t>2013</w:t>
      </w:r>
      <w:r>
        <w:rPr>
          <w:sz w:val="20"/>
          <w:szCs w:val="20"/>
        </w:rPr>
        <w:t>)</w:t>
      </w:r>
      <w:r w:rsidRPr="0089696E">
        <w:rPr>
          <w:sz w:val="20"/>
          <w:szCs w:val="20"/>
        </w:rPr>
        <w:t xml:space="preserve"> at 106. As found at </w:t>
      </w:r>
      <w:hyperlink r:id="rId4" w:history="1">
        <w:r w:rsidRPr="0089696E">
          <w:rPr>
            <w:rStyle w:val="Hyperlink"/>
            <w:sz w:val="20"/>
            <w:szCs w:val="20"/>
          </w:rPr>
          <w:t>http://www.aihw.gov.au/WorkArea/DownloadAsset.aspx?id=60129549848</w:t>
        </w:r>
      </w:hyperlink>
      <w:r w:rsidRPr="0089696E">
        <w:rPr>
          <w:sz w:val="20"/>
          <w:szCs w:val="20"/>
        </w:rPr>
        <w:t xml:space="preserve"> (Accessed 13 October 2015).</w:t>
      </w:r>
      <w:r>
        <w:t xml:space="preserve"> 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0B32"/>
    <w:multiLevelType w:val="hybridMultilevel"/>
    <w:tmpl w:val="70364814"/>
    <w:lvl w:ilvl="0" w:tplc="90545B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8E79F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B84F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D894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07B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802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C4F0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8E21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00C3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390"/>
    <w:rsid w:val="00016E0F"/>
    <w:rsid w:val="00041785"/>
    <w:rsid w:val="00055BB4"/>
    <w:rsid w:val="00064753"/>
    <w:rsid w:val="00081FCF"/>
    <w:rsid w:val="0009319E"/>
    <w:rsid w:val="00096112"/>
    <w:rsid w:val="000B5E65"/>
    <w:rsid w:val="00176ED7"/>
    <w:rsid w:val="00191C98"/>
    <w:rsid w:val="001F3967"/>
    <w:rsid w:val="001F6D19"/>
    <w:rsid w:val="00201182"/>
    <w:rsid w:val="0028267B"/>
    <w:rsid w:val="002934F4"/>
    <w:rsid w:val="002C5F57"/>
    <w:rsid w:val="002D3856"/>
    <w:rsid w:val="003016FD"/>
    <w:rsid w:val="0030530C"/>
    <w:rsid w:val="003114A8"/>
    <w:rsid w:val="00316A1F"/>
    <w:rsid w:val="00324893"/>
    <w:rsid w:val="003319D6"/>
    <w:rsid w:val="003604BD"/>
    <w:rsid w:val="0036413F"/>
    <w:rsid w:val="003B4EB4"/>
    <w:rsid w:val="003C0581"/>
    <w:rsid w:val="00404B69"/>
    <w:rsid w:val="004144B1"/>
    <w:rsid w:val="00416E9B"/>
    <w:rsid w:val="00420BA9"/>
    <w:rsid w:val="00430348"/>
    <w:rsid w:val="004753BF"/>
    <w:rsid w:val="00487F9A"/>
    <w:rsid w:val="004A6A78"/>
    <w:rsid w:val="004D19FC"/>
    <w:rsid w:val="004E2BD8"/>
    <w:rsid w:val="005011A7"/>
    <w:rsid w:val="00501D5D"/>
    <w:rsid w:val="0050367B"/>
    <w:rsid w:val="00524971"/>
    <w:rsid w:val="0053518A"/>
    <w:rsid w:val="00537080"/>
    <w:rsid w:val="005C5742"/>
    <w:rsid w:val="005F2595"/>
    <w:rsid w:val="006146D3"/>
    <w:rsid w:val="0062587C"/>
    <w:rsid w:val="00654C71"/>
    <w:rsid w:val="006B6E5F"/>
    <w:rsid w:val="006F756E"/>
    <w:rsid w:val="0070789C"/>
    <w:rsid w:val="00731AE1"/>
    <w:rsid w:val="0073495B"/>
    <w:rsid w:val="007B2811"/>
    <w:rsid w:val="007C57DE"/>
    <w:rsid w:val="007D39AE"/>
    <w:rsid w:val="007E7AA4"/>
    <w:rsid w:val="00810F31"/>
    <w:rsid w:val="00827DF5"/>
    <w:rsid w:val="0084074A"/>
    <w:rsid w:val="0089696E"/>
    <w:rsid w:val="008D4B5E"/>
    <w:rsid w:val="009272A5"/>
    <w:rsid w:val="0095267A"/>
    <w:rsid w:val="00970AC6"/>
    <w:rsid w:val="00976723"/>
    <w:rsid w:val="009A01FC"/>
    <w:rsid w:val="009B72F9"/>
    <w:rsid w:val="009C5223"/>
    <w:rsid w:val="009D672E"/>
    <w:rsid w:val="009F7933"/>
    <w:rsid w:val="00A4101A"/>
    <w:rsid w:val="00A530D4"/>
    <w:rsid w:val="00A833CF"/>
    <w:rsid w:val="00A85886"/>
    <w:rsid w:val="00A87D51"/>
    <w:rsid w:val="00AA7200"/>
    <w:rsid w:val="00AB0FCE"/>
    <w:rsid w:val="00AE6B9F"/>
    <w:rsid w:val="00B20CA2"/>
    <w:rsid w:val="00B71E77"/>
    <w:rsid w:val="00BA55F2"/>
    <w:rsid w:val="00BE1539"/>
    <w:rsid w:val="00C42C59"/>
    <w:rsid w:val="00CA6ED1"/>
    <w:rsid w:val="00CC1427"/>
    <w:rsid w:val="00CC2431"/>
    <w:rsid w:val="00CC292B"/>
    <w:rsid w:val="00CE049D"/>
    <w:rsid w:val="00CE25FF"/>
    <w:rsid w:val="00CF7BF3"/>
    <w:rsid w:val="00D53F72"/>
    <w:rsid w:val="00D74FA6"/>
    <w:rsid w:val="00D91821"/>
    <w:rsid w:val="00D93357"/>
    <w:rsid w:val="00DB1EFA"/>
    <w:rsid w:val="00DB37F1"/>
    <w:rsid w:val="00DB4595"/>
    <w:rsid w:val="00DB6390"/>
    <w:rsid w:val="00DD39DE"/>
    <w:rsid w:val="00E25A8F"/>
    <w:rsid w:val="00E403AF"/>
    <w:rsid w:val="00E708B6"/>
    <w:rsid w:val="00E7610E"/>
    <w:rsid w:val="00E8362B"/>
    <w:rsid w:val="00EB2F3D"/>
    <w:rsid w:val="00EE0198"/>
    <w:rsid w:val="00FB4D82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7626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39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,Text"/>
    <w:basedOn w:val="Normal"/>
    <w:link w:val="FootnoteTextChar"/>
    <w:unhideWhenUsed/>
    <w:rsid w:val="00DB6390"/>
  </w:style>
  <w:style w:type="character" w:customStyle="1" w:styleId="FootnoteTextChar">
    <w:name w:val="Footnote Text Char"/>
    <w:aliases w:val="Footnote Char,Text Char"/>
    <w:basedOn w:val="DefaultParagraphFont"/>
    <w:link w:val="FootnoteText"/>
    <w:rsid w:val="00DB6390"/>
    <w:rPr>
      <w:lang w:val="en-US"/>
    </w:rPr>
  </w:style>
  <w:style w:type="character" w:styleId="FootnoteReference">
    <w:name w:val="footnote reference"/>
    <w:basedOn w:val="DefaultParagraphFont"/>
    <w:unhideWhenUsed/>
    <w:rsid w:val="00DB639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B63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3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390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uiPriority w:val="1"/>
    <w:qFormat/>
    <w:rsid w:val="004A6A78"/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E7610E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B1EF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55B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BB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BB4"/>
    <w:rPr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39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,Text"/>
    <w:basedOn w:val="Normal"/>
    <w:link w:val="FootnoteTextChar"/>
    <w:unhideWhenUsed/>
    <w:rsid w:val="00DB6390"/>
  </w:style>
  <w:style w:type="character" w:customStyle="1" w:styleId="FootnoteTextChar">
    <w:name w:val="Footnote Text Char"/>
    <w:aliases w:val="Footnote Char,Text Char"/>
    <w:basedOn w:val="DefaultParagraphFont"/>
    <w:link w:val="FootnoteText"/>
    <w:rsid w:val="00DB6390"/>
    <w:rPr>
      <w:lang w:val="en-US"/>
    </w:rPr>
  </w:style>
  <w:style w:type="character" w:styleId="FootnoteReference">
    <w:name w:val="footnote reference"/>
    <w:basedOn w:val="DefaultParagraphFont"/>
    <w:unhideWhenUsed/>
    <w:rsid w:val="00DB639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B63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3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390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uiPriority w:val="1"/>
    <w:qFormat/>
    <w:rsid w:val="004A6A78"/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E7610E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B1EF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55B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BB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BB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0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hart" Target="charts/chart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sac@justice.tas.gov.au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catalogues.lawlibrary.tas.gov.au/textbase/SentSearch.htm" TargetMode="External"/><Relationship Id="rId4" Type="http://schemas.openxmlformats.org/officeDocument/2006/relationships/hyperlink" Target="http://www.aihw.gov.au/WorkArea/DownloadAsset.aspx?id=60129549848" TargetMode="External"/><Relationship Id="rId1" Type="http://schemas.openxmlformats.org/officeDocument/2006/relationships/hyperlink" Target="http://www.justice.tas.gov.au/__data/assets/pdf_file/0020/115463/CMD_Eval_Final_Report_Jan_09.pdf" TargetMode="External"/><Relationship Id="rId2" Type="http://schemas.openxmlformats.org/officeDocument/2006/relationships/hyperlink" Target="http://www.sentencingcouncil.tas.gov.au/__data/assets/pdf_file/0016/324106/Phasing_Out_of_Suspended_Sentences_-_Consultation_Paper.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Shared%20Docs:Public:Sister%20Organisations:CLC%20Tas:TACLC%20-%20Ben%20Bartl's%20work:Drugs:SuspendedSentencesStat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No.</a:t>
            </a:r>
            <a:r>
              <a:rPr lang="en-US" sz="1400" baseline="0"/>
              <a:t> of offenders sentenced in Supreme Court to suspended sentences 2008-14</a:t>
            </a:r>
            <a:endParaRPr lang="en-US" sz="14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Sheet1!$B$128</c:f>
              <c:strCache>
                <c:ptCount val="1"/>
                <c:pt idx="0">
                  <c:v>Wholly Suspended</c:v>
                </c:pt>
              </c:strCache>
            </c:strRef>
          </c:tx>
          <c:invertIfNegative val="0"/>
          <c:cat>
            <c:numRef>
              <c:f>Sheet1!$A$129:$A$135</c:f>
              <c:numCache>
                <c:formatCode>General</c:formatCode>
                <c:ptCount val="7"/>
                <c:pt idx="0">
                  <c:v>2008.0</c:v>
                </c:pt>
                <c:pt idx="1">
                  <c:v>2009.0</c:v>
                </c:pt>
                <c:pt idx="2">
                  <c:v>2010.0</c:v>
                </c:pt>
                <c:pt idx="3">
                  <c:v>2011.0</c:v>
                </c:pt>
                <c:pt idx="4">
                  <c:v>2012.0</c:v>
                </c:pt>
                <c:pt idx="5">
                  <c:v>2013.0</c:v>
                </c:pt>
                <c:pt idx="6">
                  <c:v>2014.0</c:v>
                </c:pt>
              </c:numCache>
            </c:numRef>
          </c:cat>
          <c:val>
            <c:numRef>
              <c:f>Sheet1!$B$129:$B$135</c:f>
              <c:numCache>
                <c:formatCode>General</c:formatCode>
                <c:ptCount val="7"/>
                <c:pt idx="0">
                  <c:v>16.0</c:v>
                </c:pt>
                <c:pt idx="1">
                  <c:v>26.0</c:v>
                </c:pt>
                <c:pt idx="2">
                  <c:v>40.0</c:v>
                </c:pt>
                <c:pt idx="3">
                  <c:v>61.0</c:v>
                </c:pt>
                <c:pt idx="4">
                  <c:v>16.0</c:v>
                </c:pt>
                <c:pt idx="5">
                  <c:v>26.0</c:v>
                </c:pt>
                <c:pt idx="6">
                  <c:v>20.0</c:v>
                </c:pt>
              </c:numCache>
            </c:numRef>
          </c:val>
        </c:ser>
        <c:ser>
          <c:idx val="1"/>
          <c:order val="1"/>
          <c:tx>
            <c:strRef>
              <c:f>Sheet1!$C$128</c:f>
              <c:strCache>
                <c:ptCount val="1"/>
                <c:pt idx="0">
                  <c:v>Partly Suspended</c:v>
                </c:pt>
              </c:strCache>
            </c:strRef>
          </c:tx>
          <c:invertIfNegative val="0"/>
          <c:cat>
            <c:numRef>
              <c:f>Sheet1!$A$129:$A$135</c:f>
              <c:numCache>
                <c:formatCode>General</c:formatCode>
                <c:ptCount val="7"/>
                <c:pt idx="0">
                  <c:v>2008.0</c:v>
                </c:pt>
                <c:pt idx="1">
                  <c:v>2009.0</c:v>
                </c:pt>
                <c:pt idx="2">
                  <c:v>2010.0</c:v>
                </c:pt>
                <c:pt idx="3">
                  <c:v>2011.0</c:v>
                </c:pt>
                <c:pt idx="4">
                  <c:v>2012.0</c:v>
                </c:pt>
                <c:pt idx="5">
                  <c:v>2013.0</c:v>
                </c:pt>
                <c:pt idx="6">
                  <c:v>2014.0</c:v>
                </c:pt>
              </c:numCache>
            </c:numRef>
          </c:cat>
          <c:val>
            <c:numRef>
              <c:f>Sheet1!$C$129:$C$135</c:f>
              <c:numCache>
                <c:formatCode>General</c:formatCode>
                <c:ptCount val="7"/>
                <c:pt idx="0">
                  <c:v>17.0</c:v>
                </c:pt>
                <c:pt idx="1">
                  <c:v>11.0</c:v>
                </c:pt>
                <c:pt idx="2">
                  <c:v>18.0</c:v>
                </c:pt>
                <c:pt idx="3">
                  <c:v>18.0</c:v>
                </c:pt>
                <c:pt idx="4">
                  <c:v>9.0</c:v>
                </c:pt>
                <c:pt idx="5">
                  <c:v>11.0</c:v>
                </c:pt>
                <c:pt idx="6">
                  <c:v>26.0</c:v>
                </c:pt>
              </c:numCache>
            </c:numRef>
          </c:val>
        </c:ser>
        <c:ser>
          <c:idx val="2"/>
          <c:order val="2"/>
          <c:tx>
            <c:strRef>
              <c:f>Sheet1!$D$128</c:f>
              <c:strCache>
                <c:ptCount val="1"/>
              </c:strCache>
            </c:strRef>
          </c:tx>
          <c:invertIfNegative val="0"/>
          <c:cat>
            <c:numRef>
              <c:f>Sheet1!$A$129:$A$135</c:f>
              <c:numCache>
                <c:formatCode>General</c:formatCode>
                <c:ptCount val="7"/>
                <c:pt idx="0">
                  <c:v>2008.0</c:v>
                </c:pt>
                <c:pt idx="1">
                  <c:v>2009.0</c:v>
                </c:pt>
                <c:pt idx="2">
                  <c:v>2010.0</c:v>
                </c:pt>
                <c:pt idx="3">
                  <c:v>2011.0</c:v>
                </c:pt>
                <c:pt idx="4">
                  <c:v>2012.0</c:v>
                </c:pt>
                <c:pt idx="5">
                  <c:v>2013.0</c:v>
                </c:pt>
                <c:pt idx="6">
                  <c:v>2014.0</c:v>
                </c:pt>
              </c:numCache>
            </c:numRef>
          </c:cat>
          <c:val>
            <c:numRef>
              <c:f>Sheet1!$D$129:$D$135</c:f>
              <c:numCache>
                <c:formatCode>General</c:formatCode>
                <c:ptCount val="7"/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2141966024"/>
        <c:axId val="-2141972456"/>
      </c:barChart>
      <c:catAx>
        <c:axId val="-2141966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2141972456"/>
        <c:crosses val="autoZero"/>
        <c:auto val="1"/>
        <c:lblAlgn val="ctr"/>
        <c:lblOffset val="100"/>
        <c:noMultiLvlLbl val="0"/>
      </c:catAx>
      <c:valAx>
        <c:axId val="-2141972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41966024"/>
        <c:crosses val="autoZero"/>
        <c:crossBetween val="between"/>
      </c:valAx>
    </c:plotArea>
    <c:legend>
      <c:legendPos val="r"/>
      <c:legendEntry>
        <c:idx val="2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206FC0-9A3B-404E-9982-07FF42FF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6</Pages>
  <Words>1598</Words>
  <Characters>9114</Characters>
  <Application>Microsoft Macintosh Word</Application>
  <DocSecurity>0</DocSecurity>
  <Lines>75</Lines>
  <Paragraphs>21</Paragraphs>
  <ScaleCrop>false</ScaleCrop>
  <Company>tenants union</Company>
  <LinksUpToDate>false</LinksUpToDate>
  <CharactersWithSpaces>10691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Bartl</dc:creator>
  <cp:keywords/>
  <dc:description/>
  <cp:lastModifiedBy>Ben Bartl</cp:lastModifiedBy>
  <cp:revision>17</cp:revision>
  <cp:lastPrinted>2015-10-16T04:45:00Z</cp:lastPrinted>
  <dcterms:created xsi:type="dcterms:W3CDTF">2015-10-14T23:27:00Z</dcterms:created>
  <dcterms:modified xsi:type="dcterms:W3CDTF">2015-10-16T04:45:00Z</dcterms:modified>
</cp:coreProperties>
</file>