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4BD87" w14:textId="77777777" w:rsidR="00B840D5" w:rsidRDefault="00B840D5" w:rsidP="00930277">
      <w:pPr>
        <w:ind w:right="-347"/>
        <w:jc w:val="center"/>
      </w:pPr>
      <w:bookmarkStart w:id="0" w:name="_GoBack"/>
      <w:bookmarkEnd w:id="0"/>
      <w:r>
        <w:rPr>
          <w:noProof/>
          <w:sz w:val="20"/>
          <w:szCs w:val="20"/>
          <w:lang w:val="en-AU" w:eastAsia="en-AU"/>
        </w:rPr>
        <w:drawing>
          <wp:inline distT="0" distB="0" distL="0" distR="0" wp14:anchorId="40995B2E" wp14:editId="564BBA25">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0307B02D" w14:textId="77777777" w:rsidR="00B840D5" w:rsidRPr="003A13C9" w:rsidRDefault="00B840D5" w:rsidP="00930277">
      <w:pPr>
        <w:ind w:right="-347"/>
      </w:pPr>
    </w:p>
    <w:p w14:paraId="58FE5070" w14:textId="77777777" w:rsidR="00B840D5" w:rsidRPr="003A13C9" w:rsidRDefault="00B840D5" w:rsidP="00930277">
      <w:pPr>
        <w:ind w:right="-347"/>
      </w:pPr>
    </w:p>
    <w:p w14:paraId="2F60CB55" w14:textId="77777777" w:rsidR="00B840D5" w:rsidRPr="003A13C9" w:rsidRDefault="00B840D5" w:rsidP="00930277">
      <w:pPr>
        <w:ind w:right="-347"/>
      </w:pPr>
    </w:p>
    <w:p w14:paraId="2F6542EA" w14:textId="50378ECA" w:rsidR="00B840D5" w:rsidRPr="003A13C9" w:rsidRDefault="008C61F8" w:rsidP="00930277">
      <w:pPr>
        <w:ind w:right="-347"/>
      </w:pPr>
      <w:r w:rsidRPr="003A13C9">
        <w:t>1 June</w:t>
      </w:r>
      <w:r w:rsidR="0022614F" w:rsidRPr="003A13C9">
        <w:t xml:space="preserve"> 2018</w:t>
      </w:r>
    </w:p>
    <w:p w14:paraId="5AC4C5FA" w14:textId="77777777" w:rsidR="00B840D5" w:rsidRPr="003A13C9" w:rsidRDefault="00B840D5" w:rsidP="00930277">
      <w:pPr>
        <w:ind w:right="-347"/>
      </w:pPr>
    </w:p>
    <w:p w14:paraId="49EBDFC9" w14:textId="77777777" w:rsidR="00B840D5" w:rsidRPr="003A13C9" w:rsidRDefault="00B840D5" w:rsidP="00930277">
      <w:pPr>
        <w:ind w:right="-347"/>
      </w:pPr>
      <w:r w:rsidRPr="003A13C9">
        <w:t>Sentencing Advisory Council</w:t>
      </w:r>
    </w:p>
    <w:p w14:paraId="78F5054C" w14:textId="77777777" w:rsidR="00B840D5" w:rsidRPr="003A13C9" w:rsidRDefault="00B840D5" w:rsidP="00930277">
      <w:pPr>
        <w:ind w:right="-347"/>
      </w:pPr>
      <w:r w:rsidRPr="003A13C9">
        <w:t>GPO Box 825</w:t>
      </w:r>
    </w:p>
    <w:p w14:paraId="6AD9284C" w14:textId="77777777" w:rsidR="00B840D5" w:rsidRPr="003A13C9" w:rsidRDefault="00B840D5" w:rsidP="00930277">
      <w:pPr>
        <w:ind w:right="-347"/>
      </w:pPr>
      <w:r w:rsidRPr="003A13C9">
        <w:t>Hobart TAS 7001</w:t>
      </w:r>
    </w:p>
    <w:p w14:paraId="27EBD6D5" w14:textId="77777777" w:rsidR="00B840D5" w:rsidRPr="003A13C9" w:rsidRDefault="00B840D5" w:rsidP="00930277">
      <w:pPr>
        <w:ind w:right="-347"/>
      </w:pPr>
    </w:p>
    <w:p w14:paraId="1D9D8086" w14:textId="77777777" w:rsidR="00B840D5" w:rsidRPr="003A13C9" w:rsidRDefault="00B840D5" w:rsidP="00930277">
      <w:pPr>
        <w:ind w:right="-347"/>
      </w:pPr>
      <w:r w:rsidRPr="003A13C9">
        <w:rPr>
          <w:b/>
          <w:bCs/>
        </w:rPr>
        <w:t>via email</w:t>
      </w:r>
      <w:r w:rsidRPr="003A13C9">
        <w:t xml:space="preserve">: </w:t>
      </w:r>
      <w:hyperlink r:id="rId8" w:history="1">
        <w:r w:rsidRPr="003A13C9">
          <w:rPr>
            <w:rStyle w:val="Hyperlink"/>
          </w:rPr>
          <w:t>sac@justice.tas.gov.au</w:t>
        </w:r>
      </w:hyperlink>
      <w:r w:rsidRPr="003A13C9">
        <w:t xml:space="preserve"> </w:t>
      </w:r>
    </w:p>
    <w:p w14:paraId="3E5851AC" w14:textId="77777777" w:rsidR="00B840D5" w:rsidRPr="003A13C9" w:rsidRDefault="00B840D5" w:rsidP="00930277">
      <w:pPr>
        <w:ind w:right="-347"/>
      </w:pPr>
    </w:p>
    <w:p w14:paraId="5D4207C7" w14:textId="77777777" w:rsidR="00B840D5" w:rsidRPr="003A13C9" w:rsidRDefault="00B840D5" w:rsidP="00930277">
      <w:pPr>
        <w:ind w:right="-347"/>
      </w:pPr>
      <w:r w:rsidRPr="003A13C9">
        <w:t>To the Sentencing Advisory Council,</w:t>
      </w:r>
    </w:p>
    <w:p w14:paraId="49314465" w14:textId="0FE78273" w:rsidR="00B840D5" w:rsidRPr="003A13C9" w:rsidRDefault="00B840D5" w:rsidP="0022614F">
      <w:pPr>
        <w:pBdr>
          <w:bottom w:val="single" w:sz="6" w:space="1" w:color="auto"/>
        </w:pBdr>
        <w:ind w:right="-347"/>
        <w:rPr>
          <w:b/>
        </w:rPr>
      </w:pPr>
      <w:r w:rsidRPr="003A13C9">
        <w:rPr>
          <w:b/>
        </w:rPr>
        <w:t xml:space="preserve">Re: </w:t>
      </w:r>
      <w:r w:rsidR="001C0E60" w:rsidRPr="003A13C9">
        <w:rPr>
          <w:b/>
          <w:i/>
        </w:rPr>
        <w:t>Statutory Sentencing Discounts for Pleas of G</w:t>
      </w:r>
      <w:r w:rsidR="0022614F" w:rsidRPr="003A13C9">
        <w:rPr>
          <w:b/>
          <w:i/>
        </w:rPr>
        <w:t>uilty</w:t>
      </w:r>
      <w:r w:rsidR="001C0E60" w:rsidRPr="003A13C9">
        <w:rPr>
          <w:b/>
          <w:i/>
        </w:rPr>
        <w:t>: Consultation Paper</w:t>
      </w:r>
    </w:p>
    <w:p w14:paraId="0219AE23" w14:textId="77777777" w:rsidR="00B840D5" w:rsidRPr="003A13C9" w:rsidRDefault="00B840D5" w:rsidP="00930277">
      <w:pPr>
        <w:ind w:right="-347"/>
        <w:rPr>
          <w:rFonts w:cs="Arial"/>
        </w:rPr>
      </w:pPr>
    </w:p>
    <w:p w14:paraId="2E3A2738" w14:textId="2BCF8523" w:rsidR="00B840D5" w:rsidRPr="003A13C9" w:rsidRDefault="00B840D5" w:rsidP="00930277">
      <w:pPr>
        <w:ind w:right="-347"/>
        <w:jc w:val="both"/>
      </w:pPr>
      <w:r w:rsidRPr="003A13C9">
        <w:rPr>
          <w:rFonts w:cs="Calibri"/>
        </w:rPr>
        <w:t xml:space="preserve">Community Legal </w:t>
      </w:r>
      <w:proofErr w:type="spellStart"/>
      <w:r w:rsidRPr="003A13C9">
        <w:rPr>
          <w:rFonts w:cs="Calibri"/>
        </w:rPr>
        <w:t>Centres</w:t>
      </w:r>
      <w:proofErr w:type="spellEnd"/>
      <w:r w:rsidRPr="003A13C9">
        <w:rPr>
          <w:rFonts w:cs="Calibri"/>
        </w:rPr>
        <w:t xml:space="preserve"> Tasmania (CLC </w:t>
      </w:r>
      <w:proofErr w:type="spellStart"/>
      <w:r w:rsidRPr="003A13C9">
        <w:rPr>
          <w:rFonts w:cs="Calibri"/>
        </w:rPr>
        <w:t>Tas</w:t>
      </w:r>
      <w:proofErr w:type="spellEnd"/>
      <w:r w:rsidRPr="003A13C9">
        <w:rPr>
          <w:rFonts w:cs="Calibri"/>
        </w:rPr>
        <w:t>)</w:t>
      </w:r>
      <w:r w:rsidRPr="003A13C9">
        <w:t xml:space="preserve"> welcomes the opportunity to provide comment on the </w:t>
      </w:r>
      <w:r w:rsidR="001C0E60" w:rsidRPr="003A13C9">
        <w:rPr>
          <w:i/>
        </w:rPr>
        <w:t>Statutory Sentencing Discounts for Pleas of Guilty: Consultation Paper</w:t>
      </w:r>
      <w:r w:rsidRPr="003A13C9">
        <w:t>.</w:t>
      </w:r>
      <w:r w:rsidRPr="003A13C9">
        <w:rPr>
          <w:rStyle w:val="FootnoteReference"/>
        </w:rPr>
        <w:footnoteReference w:id="2"/>
      </w:r>
    </w:p>
    <w:p w14:paraId="07FF5329" w14:textId="77777777" w:rsidR="00B840D5" w:rsidRPr="003A13C9" w:rsidRDefault="00B840D5" w:rsidP="00930277">
      <w:pPr>
        <w:ind w:right="-347"/>
        <w:jc w:val="both"/>
      </w:pPr>
    </w:p>
    <w:p w14:paraId="3DFAA6F7" w14:textId="77777777" w:rsidR="002B1CBD" w:rsidRPr="003A13C9" w:rsidRDefault="00B840D5" w:rsidP="002B1CBD">
      <w:pPr>
        <w:ind w:right="-347"/>
        <w:jc w:val="both"/>
        <w:rPr>
          <w:rFonts w:cs="Arial"/>
          <w:color w:val="000000"/>
        </w:rPr>
      </w:pPr>
      <w:r w:rsidRPr="003A13C9">
        <w:rPr>
          <w:rFonts w:eastAsia="Times New Roman" w:cs="Arial"/>
          <w:lang w:eastAsia="en-AU"/>
        </w:rPr>
        <w:t xml:space="preserve">CLC </w:t>
      </w:r>
      <w:proofErr w:type="spellStart"/>
      <w:r w:rsidRPr="003A13C9">
        <w:rPr>
          <w:rFonts w:eastAsia="Times New Roman" w:cs="Arial"/>
          <w:lang w:eastAsia="en-AU"/>
        </w:rPr>
        <w:t>Tas</w:t>
      </w:r>
      <w:proofErr w:type="spellEnd"/>
      <w:r w:rsidRPr="003A13C9">
        <w:rPr>
          <w:rFonts w:eastAsia="Times New Roman" w:cs="Arial"/>
          <w:lang w:eastAsia="en-AU"/>
        </w:rPr>
        <w:t xml:space="preserve"> </w:t>
      </w:r>
      <w:r w:rsidRPr="003A13C9">
        <w:rPr>
          <w:rFonts w:cs="Arial"/>
        </w:rPr>
        <w:t xml:space="preserve">is the peak body representing the interests of </w:t>
      </w:r>
      <w:r w:rsidR="00F65698" w:rsidRPr="003A13C9">
        <w:rPr>
          <w:rFonts w:cs="Arial"/>
        </w:rPr>
        <w:t>nine</w:t>
      </w:r>
      <w:r w:rsidRPr="003A13C9">
        <w:rPr>
          <w:rFonts w:cs="Arial"/>
        </w:rPr>
        <w:t xml:space="preserve"> </w:t>
      </w:r>
      <w:proofErr w:type="gramStart"/>
      <w:r w:rsidRPr="003A13C9">
        <w:rPr>
          <w:rFonts w:cs="Arial"/>
        </w:rPr>
        <w:t>community</w:t>
      </w:r>
      <w:proofErr w:type="gramEnd"/>
      <w:r w:rsidRPr="003A13C9">
        <w:rPr>
          <w:rFonts w:cs="Arial"/>
        </w:rPr>
        <w:t xml:space="preserve"> legal </w:t>
      </w:r>
      <w:proofErr w:type="spellStart"/>
      <w:r w:rsidRPr="003A13C9">
        <w:rPr>
          <w:rFonts w:cs="Arial"/>
        </w:rPr>
        <w:t>centres</w:t>
      </w:r>
      <w:proofErr w:type="spellEnd"/>
      <w:r w:rsidRPr="003A13C9">
        <w:rPr>
          <w:rFonts w:cs="Arial"/>
        </w:rPr>
        <w:t xml:space="preserve"> (CLCs) located throughout Tasmania. We are a member-based, independent, not-for-profit and incorporated </w:t>
      </w:r>
      <w:proofErr w:type="spellStart"/>
      <w:r w:rsidRPr="003A13C9">
        <w:rPr>
          <w:rFonts w:cs="Arial"/>
        </w:rPr>
        <w:t>organisation</w:t>
      </w:r>
      <w:proofErr w:type="spellEnd"/>
      <w:r w:rsidRPr="003A13C9">
        <w:rPr>
          <w:rFonts w:cs="Arial"/>
        </w:rPr>
        <w:t xml:space="preserve"> that</w:t>
      </w:r>
      <w:r w:rsidRPr="003A13C9">
        <w:rPr>
          <w:rFonts w:cs="Arial"/>
          <w:color w:val="000000"/>
        </w:rPr>
        <w:t xml:space="preserve"> advocates for law reform on a range of public interest matters aimed at improving access to justice, reducing discrimination and protecting and promoting human rights. </w:t>
      </w:r>
    </w:p>
    <w:p w14:paraId="7487C4C7" w14:textId="77777777" w:rsidR="002B1CBD" w:rsidRPr="003A13C9" w:rsidRDefault="002B1CBD" w:rsidP="002B1CBD">
      <w:pPr>
        <w:ind w:right="-347"/>
        <w:jc w:val="both"/>
        <w:rPr>
          <w:rFonts w:cs="Arial"/>
          <w:color w:val="000000"/>
        </w:rPr>
      </w:pPr>
    </w:p>
    <w:p w14:paraId="46D179CE" w14:textId="341EB660" w:rsidR="002B1CBD" w:rsidRPr="003A13C9" w:rsidRDefault="001D3B36" w:rsidP="002B1CBD">
      <w:pPr>
        <w:ind w:right="-347"/>
        <w:jc w:val="both"/>
        <w:rPr>
          <w:rFonts w:cs="Arial"/>
          <w:color w:val="000000"/>
        </w:rPr>
      </w:pPr>
      <w:r w:rsidRPr="003A13C9">
        <w:t xml:space="preserve">In summary, </w:t>
      </w:r>
      <w:r w:rsidR="005B5D7F" w:rsidRPr="003A13C9">
        <w:t xml:space="preserve">we strongly believe that there should not be any legislative change for </w:t>
      </w:r>
      <w:r w:rsidR="00C0146A" w:rsidRPr="003A13C9">
        <w:t>early</w:t>
      </w:r>
      <w:r w:rsidR="005B5D7F" w:rsidRPr="003A13C9">
        <w:t xml:space="preserve"> pleas of guilty</w:t>
      </w:r>
      <w:r w:rsidR="00C0146A" w:rsidRPr="003A13C9">
        <w:t xml:space="preserve"> without also introducing </w:t>
      </w:r>
      <w:r w:rsidR="005B5D7F" w:rsidRPr="003A13C9">
        <w:rPr>
          <w:bCs/>
        </w:rPr>
        <w:t xml:space="preserve">reforms </w:t>
      </w:r>
      <w:r w:rsidR="00DA0292" w:rsidRPr="003A13C9">
        <w:rPr>
          <w:rFonts w:cs="Calibri"/>
          <w:color w:val="000000"/>
        </w:rPr>
        <w:t xml:space="preserve">around </w:t>
      </w:r>
      <w:r w:rsidR="005B5D7F" w:rsidRPr="003A13C9">
        <w:rPr>
          <w:rFonts w:cs="Calibri"/>
          <w:color w:val="000000"/>
        </w:rPr>
        <w:t>disclosure.</w:t>
      </w:r>
      <w:r w:rsidR="003A13C9" w:rsidRPr="003A13C9">
        <w:t xml:space="preserve"> </w:t>
      </w:r>
      <w:r w:rsidR="00DA0292" w:rsidRPr="003A13C9">
        <w:t xml:space="preserve">Further, we </w:t>
      </w:r>
      <w:r w:rsidRPr="003A13C9">
        <w:t xml:space="preserve">support the creation of a statutory provision in the </w:t>
      </w:r>
      <w:r w:rsidRPr="003A13C9">
        <w:rPr>
          <w:i/>
        </w:rPr>
        <w:t>Sentencing Act 1997</w:t>
      </w:r>
      <w:r w:rsidRPr="003A13C9">
        <w:t xml:space="preserve"> (</w:t>
      </w:r>
      <w:proofErr w:type="spellStart"/>
      <w:r w:rsidRPr="003A13C9">
        <w:t>Tas</w:t>
      </w:r>
      <w:proofErr w:type="spellEnd"/>
      <w:r w:rsidRPr="003A13C9">
        <w:t>) as a means of clarifying the sentencing discount for a guil</w:t>
      </w:r>
      <w:r w:rsidR="00DA0292" w:rsidRPr="003A13C9">
        <w:t xml:space="preserve">ty plea as a mitigating factor. </w:t>
      </w:r>
      <w:r w:rsidR="00137CA6" w:rsidRPr="003A13C9">
        <w:t>Finally</w:t>
      </w:r>
      <w:r w:rsidRPr="003A13C9">
        <w:t>, we do not support a statutory scheme setting out the extent of the discount as a percentage reduction.</w:t>
      </w:r>
    </w:p>
    <w:p w14:paraId="7D0C0FB3" w14:textId="77777777" w:rsidR="002B1CBD" w:rsidRPr="003A13C9" w:rsidRDefault="002B1CBD" w:rsidP="002B1CBD">
      <w:pPr>
        <w:ind w:right="-347"/>
        <w:jc w:val="both"/>
        <w:rPr>
          <w:rFonts w:cs="Arial"/>
          <w:color w:val="000000"/>
        </w:rPr>
      </w:pPr>
    </w:p>
    <w:p w14:paraId="5C8F70DA" w14:textId="60F1B16E" w:rsidR="002B1CBD" w:rsidRPr="003A13C9" w:rsidRDefault="0022614F" w:rsidP="002B1CBD">
      <w:pPr>
        <w:pStyle w:val="ListParagraph"/>
        <w:numPr>
          <w:ilvl w:val="0"/>
          <w:numId w:val="6"/>
        </w:numPr>
        <w:ind w:right="-347"/>
        <w:jc w:val="both"/>
        <w:rPr>
          <w:rFonts w:cs="Arial"/>
          <w:color w:val="000000"/>
        </w:rPr>
      </w:pPr>
      <w:r w:rsidRPr="003A13C9">
        <w:rPr>
          <w:b/>
          <w:bCs/>
        </w:rPr>
        <w:t>To what extent do systemic factors contribute to delay in Tasmania?</w:t>
      </w:r>
    </w:p>
    <w:p w14:paraId="32B552E8" w14:textId="77777777" w:rsidR="00634EE6" w:rsidRPr="003A13C9" w:rsidRDefault="00634EE6" w:rsidP="0051142A">
      <w:pPr>
        <w:ind w:right="-347"/>
        <w:jc w:val="both"/>
      </w:pPr>
    </w:p>
    <w:p w14:paraId="2FCB3335" w14:textId="3BE54CF4" w:rsidR="002B1CBD" w:rsidRPr="003A13C9" w:rsidRDefault="0022614F" w:rsidP="0051142A">
      <w:pPr>
        <w:ind w:right="-347"/>
        <w:jc w:val="both"/>
        <w:rPr>
          <w:rFonts w:cs="Arial"/>
          <w:color w:val="000000"/>
        </w:rPr>
      </w:pPr>
      <w:r w:rsidRPr="003A13C9">
        <w:t>The</w:t>
      </w:r>
      <w:r w:rsidR="002E7E4F" w:rsidRPr="003A13C9">
        <w:t xml:space="preserve">re </w:t>
      </w:r>
      <w:r w:rsidR="0097248D" w:rsidRPr="003A13C9">
        <w:t xml:space="preserve">are </w:t>
      </w:r>
      <w:r w:rsidR="00FC7C11" w:rsidRPr="003A13C9">
        <w:t>a number of systemic factors that contribute to</w:t>
      </w:r>
      <w:r w:rsidR="002E7E4F" w:rsidRPr="003A13C9">
        <w:t xml:space="preserve"> delay in Tasmania</w:t>
      </w:r>
      <w:r w:rsidR="007800BE" w:rsidRPr="003A13C9">
        <w:t>’s justice system</w:t>
      </w:r>
      <w:r w:rsidR="0072100C" w:rsidRPr="003A13C9">
        <w:t xml:space="preserve"> including, most significantly</w:t>
      </w:r>
      <w:r w:rsidR="00737158" w:rsidRPr="003A13C9">
        <w:t xml:space="preserve">, </w:t>
      </w:r>
      <w:r w:rsidR="00137CA6" w:rsidRPr="003A13C9">
        <w:t>a lack of</w:t>
      </w:r>
      <w:r w:rsidR="001438E6" w:rsidRPr="003A13C9">
        <w:t xml:space="preserve"> </w:t>
      </w:r>
      <w:r w:rsidR="00104AF0" w:rsidRPr="003A13C9">
        <w:t>free legal assistance</w:t>
      </w:r>
      <w:r w:rsidR="00137CA6" w:rsidRPr="003A13C9">
        <w:t>. T</w:t>
      </w:r>
      <w:r w:rsidR="00F14CD7" w:rsidRPr="003A13C9">
        <w:t xml:space="preserve">he Productivity Commission </w:t>
      </w:r>
      <w:r w:rsidR="00137CA6" w:rsidRPr="003A13C9">
        <w:t xml:space="preserve">in 2014 </w:t>
      </w:r>
      <w:r w:rsidR="00F14CD7" w:rsidRPr="003A13C9">
        <w:t xml:space="preserve">reported that </w:t>
      </w:r>
      <w:r w:rsidR="007800BE" w:rsidRPr="003A13C9">
        <w:t xml:space="preserve">despite </w:t>
      </w:r>
      <w:r w:rsidR="00F14CD7" w:rsidRPr="003A13C9">
        <w:t xml:space="preserve">fourteen per cent of the </w:t>
      </w:r>
      <w:r w:rsidR="00104AF0" w:rsidRPr="003A13C9">
        <w:t xml:space="preserve">Australian </w:t>
      </w:r>
      <w:r w:rsidR="007800BE" w:rsidRPr="003A13C9">
        <w:t>population living under the poverty line,</w:t>
      </w:r>
      <w:r w:rsidR="00F14CD7" w:rsidRPr="003A13C9">
        <w:t xml:space="preserve"> </w:t>
      </w:r>
      <w:r w:rsidR="00104AF0" w:rsidRPr="003A13C9">
        <w:t xml:space="preserve">free </w:t>
      </w:r>
      <w:r w:rsidR="00F14CD7" w:rsidRPr="003A13C9">
        <w:t>legal a</w:t>
      </w:r>
      <w:r w:rsidR="001438E6" w:rsidRPr="003A13C9">
        <w:t>ssistance</w:t>
      </w:r>
      <w:r w:rsidR="00F14CD7" w:rsidRPr="003A13C9">
        <w:t xml:space="preserve"> representation</w:t>
      </w:r>
      <w:r w:rsidR="00104AF0" w:rsidRPr="003A13C9">
        <w:t xml:space="preserve"> was </w:t>
      </w:r>
      <w:r w:rsidR="00104AF0" w:rsidRPr="003A13C9">
        <w:lastRenderedPageBreak/>
        <w:t xml:space="preserve">only available to eight per cent of </w:t>
      </w:r>
      <w:r w:rsidR="007800BE" w:rsidRPr="003A13C9">
        <w:t>this cohort</w:t>
      </w:r>
      <w:r w:rsidR="00104AF0" w:rsidRPr="003A13C9">
        <w:t>.</w:t>
      </w:r>
      <w:r w:rsidR="007800BE" w:rsidRPr="003A13C9">
        <w:rPr>
          <w:rStyle w:val="FootnoteReference"/>
        </w:rPr>
        <w:footnoteReference w:id="3"/>
      </w:r>
      <w:r w:rsidR="00104AF0" w:rsidRPr="003A13C9">
        <w:t xml:space="preserve"> </w:t>
      </w:r>
      <w:r w:rsidR="004A3BA6" w:rsidRPr="003A13C9">
        <w:t>As former H</w:t>
      </w:r>
      <w:r w:rsidR="00104AF0" w:rsidRPr="003A13C9">
        <w:t xml:space="preserve">igh Court Chief Justice Gleeson has previously </w:t>
      </w:r>
      <w:r w:rsidR="004A3BA6" w:rsidRPr="003A13C9">
        <w:t>noted</w:t>
      </w:r>
      <w:r w:rsidR="00104AF0" w:rsidRPr="003A13C9">
        <w:t xml:space="preserve">, delay is a real and substantial cost of </w:t>
      </w:r>
      <w:r w:rsidR="00137CA6" w:rsidRPr="003A13C9">
        <w:t>inadequate</w:t>
      </w:r>
      <w:r w:rsidR="007800BE" w:rsidRPr="003A13C9">
        <w:t xml:space="preserve"> government funding</w:t>
      </w:r>
      <w:r w:rsidR="00F14CD7" w:rsidRPr="003A13C9">
        <w:t>:</w:t>
      </w:r>
      <w:r w:rsidR="00F14CD7" w:rsidRPr="003A13C9">
        <w:rPr>
          <w:rStyle w:val="FootnoteReference"/>
          <w:rFonts w:eastAsia="Times New Roman" w:cs="Times New Roman"/>
          <w:lang w:val="en-AU"/>
        </w:rPr>
        <w:t xml:space="preserve"> </w:t>
      </w:r>
      <w:r w:rsidR="00F14CD7" w:rsidRPr="003A13C9">
        <w:rPr>
          <w:rStyle w:val="FootnoteReference"/>
          <w:rFonts w:eastAsia="Times New Roman" w:cs="Times New Roman"/>
          <w:lang w:val="en-AU"/>
        </w:rPr>
        <w:footnoteReference w:id="4"/>
      </w:r>
    </w:p>
    <w:p w14:paraId="200EF319" w14:textId="77777777" w:rsidR="002B1CBD" w:rsidRPr="003A13C9" w:rsidRDefault="002B1CBD" w:rsidP="0051142A">
      <w:pPr>
        <w:ind w:right="-347"/>
        <w:jc w:val="both"/>
        <w:rPr>
          <w:rFonts w:cs="Arial"/>
          <w:color w:val="000000"/>
        </w:rPr>
      </w:pPr>
    </w:p>
    <w:p w14:paraId="2DDF6622" w14:textId="77777777" w:rsidR="002B1CBD" w:rsidRPr="003A13C9" w:rsidRDefault="002B1CBD" w:rsidP="002B1CBD">
      <w:pPr>
        <w:ind w:left="567" w:right="503"/>
        <w:jc w:val="both"/>
        <w:rPr>
          <w:sz w:val="22"/>
          <w:szCs w:val="22"/>
        </w:rPr>
      </w:pPr>
      <w:r w:rsidRPr="003A13C9">
        <w:rPr>
          <w:rFonts w:eastAsia="Times New Roman" w:cs="Times New Roman"/>
          <w:sz w:val="22"/>
          <w:szCs w:val="22"/>
          <w:lang w:val="en-AU"/>
        </w:rPr>
        <w:t>The expense which governments incur in funding legal aid is obvious and measurable. What is not so obvious, and not so easily measurable, but what is real and substantial, is the cost of the delay, disruption and inefficiency, which results from absence or denial of legal representation. Much of that cost is also borne, directly or indirectly, by governments. Providing legal aid is costly. So is not providing legal aid.</w:t>
      </w:r>
    </w:p>
    <w:p w14:paraId="686CB818" w14:textId="77777777" w:rsidR="002B1CBD" w:rsidRPr="003A13C9" w:rsidRDefault="002B1CBD" w:rsidP="0051142A">
      <w:pPr>
        <w:ind w:right="-347"/>
        <w:jc w:val="both"/>
        <w:rPr>
          <w:rFonts w:cs="Arial"/>
          <w:color w:val="000000"/>
        </w:rPr>
      </w:pPr>
    </w:p>
    <w:p w14:paraId="251AE1EB" w14:textId="77777777" w:rsidR="002B1CBD" w:rsidRPr="003A13C9" w:rsidRDefault="007800BE" w:rsidP="002B1CBD">
      <w:pPr>
        <w:ind w:right="-347"/>
        <w:jc w:val="both"/>
        <w:rPr>
          <w:rFonts w:cs="Arial"/>
          <w:color w:val="000000"/>
        </w:rPr>
      </w:pPr>
      <w:r w:rsidRPr="003A13C9">
        <w:rPr>
          <w:rFonts w:eastAsia="Times New Roman" w:cs="Times New Roman"/>
          <w:lang w:val="en-AU"/>
        </w:rPr>
        <w:t>Other factors that contribute to delay include</w:t>
      </w:r>
      <w:r w:rsidR="00737158" w:rsidRPr="003A13C9">
        <w:rPr>
          <w:rFonts w:eastAsia="Times New Roman" w:cs="Times New Roman"/>
          <w:lang w:val="en-AU"/>
        </w:rPr>
        <w:t xml:space="preserve"> the State’s failure to provide disclosure in a timely fashion, the lack of judicial officers and the setting of the criminal law lists by the Director of Public Prosecutions.</w:t>
      </w:r>
      <w:r w:rsidR="00785EBC" w:rsidRPr="003A13C9">
        <w:rPr>
          <w:rFonts w:eastAsia="Times New Roman" w:cs="Times New Roman"/>
          <w:lang w:val="en-AU"/>
        </w:rPr>
        <w:t xml:space="preserve"> Nevertheless, the </w:t>
      </w:r>
      <w:r w:rsidR="001438E6" w:rsidRPr="003A13C9">
        <w:rPr>
          <w:rFonts w:eastAsia="Times New Roman" w:cs="Times New Roman"/>
          <w:lang w:val="en-AU"/>
        </w:rPr>
        <w:t>lack of timely</w:t>
      </w:r>
      <w:r w:rsidR="00785EBC" w:rsidRPr="003A13C9">
        <w:rPr>
          <w:rFonts w:eastAsia="Times New Roman" w:cs="Times New Roman"/>
          <w:lang w:val="en-AU"/>
        </w:rPr>
        <w:t xml:space="preserve"> legal </w:t>
      </w:r>
      <w:r w:rsidR="001438E6" w:rsidRPr="003A13C9">
        <w:rPr>
          <w:rFonts w:eastAsia="Times New Roman" w:cs="Times New Roman"/>
          <w:lang w:val="en-AU"/>
        </w:rPr>
        <w:t>assistance</w:t>
      </w:r>
      <w:r w:rsidR="00785EBC" w:rsidRPr="003A13C9">
        <w:rPr>
          <w:rFonts w:eastAsia="Times New Roman" w:cs="Times New Roman"/>
          <w:lang w:val="en-AU"/>
        </w:rPr>
        <w:t xml:space="preserve"> is the most significant factor contributing to delay in Tasmania’s justice system. </w:t>
      </w:r>
      <w:r w:rsidR="00737158" w:rsidRPr="003A13C9">
        <w:rPr>
          <w:rFonts w:eastAsia="Times New Roman" w:cs="Times New Roman"/>
          <w:lang w:val="en-AU"/>
        </w:rPr>
        <w:t xml:space="preserve">  </w:t>
      </w:r>
      <w:r w:rsidRPr="003A13C9">
        <w:rPr>
          <w:rFonts w:eastAsia="Times New Roman" w:cs="Times New Roman"/>
          <w:lang w:val="en-AU"/>
        </w:rPr>
        <w:t xml:space="preserve">  </w:t>
      </w:r>
    </w:p>
    <w:p w14:paraId="73382E1A" w14:textId="77777777" w:rsidR="002B1CBD" w:rsidRPr="003A13C9" w:rsidRDefault="002B1CBD" w:rsidP="002B1CBD">
      <w:pPr>
        <w:ind w:right="-347"/>
        <w:jc w:val="both"/>
        <w:rPr>
          <w:rFonts w:cs="Arial"/>
          <w:color w:val="000000"/>
        </w:rPr>
      </w:pPr>
    </w:p>
    <w:p w14:paraId="34A10954" w14:textId="274F52C2" w:rsidR="002B1CBD" w:rsidRPr="003A13C9" w:rsidRDefault="0022614F" w:rsidP="002B1CBD">
      <w:pPr>
        <w:pStyle w:val="ListParagraph"/>
        <w:numPr>
          <w:ilvl w:val="0"/>
          <w:numId w:val="6"/>
        </w:numPr>
        <w:ind w:right="-347"/>
        <w:jc w:val="both"/>
        <w:rPr>
          <w:rFonts w:cs="Arial"/>
          <w:color w:val="000000"/>
        </w:rPr>
      </w:pPr>
      <w:r w:rsidRPr="003A13C9">
        <w:rPr>
          <w:b/>
          <w:bCs/>
        </w:rPr>
        <w:t>What are the features of the pre-trial process in Tasmania that may create obstacles to early guilty pleas?</w:t>
      </w:r>
    </w:p>
    <w:p w14:paraId="713A5443" w14:textId="77777777" w:rsidR="00634EE6" w:rsidRPr="003A13C9" w:rsidRDefault="00634EE6" w:rsidP="002B1CBD">
      <w:pPr>
        <w:ind w:right="-347"/>
        <w:jc w:val="both"/>
        <w:rPr>
          <w:bCs/>
        </w:rPr>
      </w:pPr>
    </w:p>
    <w:p w14:paraId="76ACB853" w14:textId="5A8391D9" w:rsidR="00DD43DA" w:rsidRPr="003A13C9" w:rsidRDefault="001438E6" w:rsidP="002B1CBD">
      <w:pPr>
        <w:ind w:right="-347"/>
        <w:jc w:val="both"/>
        <w:rPr>
          <w:rFonts w:cs="Arial"/>
          <w:color w:val="000000"/>
        </w:rPr>
      </w:pPr>
      <w:r w:rsidRPr="003A13C9">
        <w:rPr>
          <w:bCs/>
        </w:rPr>
        <w:t>The</w:t>
      </w:r>
      <w:r w:rsidR="00D4422C" w:rsidRPr="003A13C9">
        <w:rPr>
          <w:bCs/>
        </w:rPr>
        <w:t xml:space="preserve"> most significant obstacle</w:t>
      </w:r>
      <w:r w:rsidR="0097248D" w:rsidRPr="003A13C9">
        <w:rPr>
          <w:bCs/>
        </w:rPr>
        <w:t xml:space="preserve"> </w:t>
      </w:r>
      <w:r w:rsidR="00C06A26" w:rsidRPr="003A13C9">
        <w:rPr>
          <w:bCs/>
        </w:rPr>
        <w:t>to early guilty pleas in</w:t>
      </w:r>
      <w:r w:rsidR="0097248D" w:rsidRPr="003A13C9">
        <w:rPr>
          <w:bCs/>
        </w:rPr>
        <w:t xml:space="preserve"> th</w:t>
      </w:r>
      <w:r w:rsidR="00C06A26" w:rsidRPr="003A13C9">
        <w:rPr>
          <w:bCs/>
        </w:rPr>
        <w:t xml:space="preserve">e pre-trail process in Tasmania </w:t>
      </w:r>
      <w:r w:rsidR="00D31155" w:rsidRPr="003A13C9">
        <w:rPr>
          <w:bCs/>
        </w:rPr>
        <w:t>is</w:t>
      </w:r>
      <w:r w:rsidR="0097248D" w:rsidRPr="003A13C9">
        <w:rPr>
          <w:bCs/>
        </w:rPr>
        <w:t xml:space="preserve"> </w:t>
      </w:r>
      <w:r w:rsidR="00D4422C" w:rsidRPr="003A13C9">
        <w:rPr>
          <w:bCs/>
        </w:rPr>
        <w:t xml:space="preserve">the lack of evidence, including sufficient details of the charges, that is made available to the accused. </w:t>
      </w:r>
      <w:r w:rsidR="00C06A26" w:rsidRPr="003A13C9">
        <w:rPr>
          <w:bCs/>
        </w:rPr>
        <w:t>Anecdotally, we are aware of a number of cases where the accused</w:t>
      </w:r>
      <w:r w:rsidR="003C03F4" w:rsidRPr="003A13C9">
        <w:rPr>
          <w:bCs/>
        </w:rPr>
        <w:t xml:space="preserve"> has had</w:t>
      </w:r>
      <w:r w:rsidR="0097248D" w:rsidRPr="003A13C9">
        <w:rPr>
          <w:bCs/>
        </w:rPr>
        <w:t xml:space="preserve"> </w:t>
      </w:r>
      <w:r w:rsidR="003C03F4" w:rsidRPr="003A13C9">
        <w:rPr>
          <w:bCs/>
        </w:rPr>
        <w:t>access to either no or insufficient</w:t>
      </w:r>
      <w:r w:rsidR="0097248D" w:rsidRPr="003A13C9">
        <w:rPr>
          <w:bCs/>
        </w:rPr>
        <w:t xml:space="preserve"> </w:t>
      </w:r>
      <w:r w:rsidR="005B5D7F" w:rsidRPr="003A13C9">
        <w:rPr>
          <w:bCs/>
        </w:rPr>
        <w:t>evidence</w:t>
      </w:r>
      <w:r w:rsidR="008F3263" w:rsidRPr="003A13C9">
        <w:rPr>
          <w:bCs/>
        </w:rPr>
        <w:t xml:space="preserve"> </w:t>
      </w:r>
      <w:r w:rsidR="00C06A26" w:rsidRPr="003A13C9">
        <w:rPr>
          <w:bCs/>
        </w:rPr>
        <w:t xml:space="preserve">to </w:t>
      </w:r>
      <w:r w:rsidR="003C03F4" w:rsidRPr="003A13C9">
        <w:rPr>
          <w:bCs/>
        </w:rPr>
        <w:t>confidently enter a</w:t>
      </w:r>
      <w:r w:rsidR="00C06A26" w:rsidRPr="003A13C9">
        <w:rPr>
          <w:bCs/>
        </w:rPr>
        <w:t xml:space="preserve"> plea</w:t>
      </w:r>
      <w:r w:rsidR="00817AA6" w:rsidRPr="003A13C9">
        <w:rPr>
          <w:bCs/>
        </w:rPr>
        <w:t xml:space="preserve">, particularly </w:t>
      </w:r>
      <w:r w:rsidR="00770416" w:rsidRPr="003A13C9">
        <w:rPr>
          <w:bCs/>
        </w:rPr>
        <w:t>in</w:t>
      </w:r>
      <w:r w:rsidR="00817AA6" w:rsidRPr="003A13C9">
        <w:rPr>
          <w:bCs/>
        </w:rPr>
        <w:t xml:space="preserve"> circumstances in which</w:t>
      </w:r>
      <w:r w:rsidR="003C03F4" w:rsidRPr="003A13C9">
        <w:rPr>
          <w:bCs/>
        </w:rPr>
        <w:t xml:space="preserve"> elements of the crime include a mental element or a legal </w:t>
      </w:r>
      <w:proofErr w:type="spellStart"/>
      <w:r w:rsidR="003C03F4" w:rsidRPr="003A13C9">
        <w:rPr>
          <w:bCs/>
        </w:rPr>
        <w:t>defence</w:t>
      </w:r>
      <w:proofErr w:type="spellEnd"/>
      <w:r w:rsidR="003C03F4" w:rsidRPr="003A13C9">
        <w:rPr>
          <w:bCs/>
        </w:rPr>
        <w:t xml:space="preserve"> is available.</w:t>
      </w:r>
    </w:p>
    <w:p w14:paraId="6114AD43" w14:textId="77777777" w:rsidR="00817AA6" w:rsidRPr="003A13C9" w:rsidRDefault="00817AA6" w:rsidP="00C06A26">
      <w:pPr>
        <w:ind w:right="-347"/>
        <w:jc w:val="both"/>
        <w:rPr>
          <w:bCs/>
        </w:rPr>
      </w:pPr>
    </w:p>
    <w:p w14:paraId="33EE780D" w14:textId="77E68426" w:rsidR="007F2333" w:rsidRPr="003A13C9" w:rsidRDefault="00817AA6" w:rsidP="007F2333">
      <w:pPr>
        <w:ind w:right="-347"/>
        <w:jc w:val="both"/>
        <w:rPr>
          <w:bCs/>
        </w:rPr>
      </w:pPr>
      <w:r w:rsidRPr="003A13C9">
        <w:rPr>
          <w:bCs/>
        </w:rPr>
        <w:t xml:space="preserve">The </w:t>
      </w:r>
      <w:r w:rsidR="00D56821" w:rsidRPr="003A13C9">
        <w:rPr>
          <w:bCs/>
        </w:rPr>
        <w:t xml:space="preserve">failure </w:t>
      </w:r>
      <w:r w:rsidR="00BB5992" w:rsidRPr="003A13C9">
        <w:rPr>
          <w:bCs/>
        </w:rPr>
        <w:t xml:space="preserve">in both legislation and policy to prescribe </w:t>
      </w:r>
      <w:r w:rsidR="00D56821" w:rsidRPr="003A13C9">
        <w:rPr>
          <w:bCs/>
        </w:rPr>
        <w:t xml:space="preserve">timeframes for the provision of disclosure </w:t>
      </w:r>
      <w:r w:rsidRPr="003A13C9">
        <w:rPr>
          <w:bCs/>
        </w:rPr>
        <w:t xml:space="preserve">means that </w:t>
      </w:r>
      <w:proofErr w:type="spellStart"/>
      <w:r w:rsidR="00D56821" w:rsidRPr="003A13C9">
        <w:rPr>
          <w:bCs/>
        </w:rPr>
        <w:t>defence</w:t>
      </w:r>
      <w:proofErr w:type="spellEnd"/>
      <w:r w:rsidR="00D56821" w:rsidRPr="003A13C9">
        <w:rPr>
          <w:bCs/>
        </w:rPr>
        <w:t xml:space="preserve"> counsel is</w:t>
      </w:r>
      <w:r w:rsidR="00EA2F3A" w:rsidRPr="003A13C9">
        <w:rPr>
          <w:bCs/>
        </w:rPr>
        <w:t xml:space="preserve"> regularly unable to provide good advice in a timel</w:t>
      </w:r>
      <w:r w:rsidR="00D56821" w:rsidRPr="003A13C9">
        <w:rPr>
          <w:bCs/>
        </w:rPr>
        <w:t>y manner. In some cases,</w:t>
      </w:r>
      <w:r w:rsidR="00EA2F3A" w:rsidRPr="003A13C9">
        <w:rPr>
          <w:bCs/>
        </w:rPr>
        <w:t xml:space="preserve"> counsel may only have the complaint and the ‘Facts for the Prosecutor’</w:t>
      </w:r>
      <w:r w:rsidR="00D56821" w:rsidRPr="003A13C9">
        <w:rPr>
          <w:bCs/>
        </w:rPr>
        <w:t xml:space="preserve"> for multiple court appearances</w:t>
      </w:r>
      <w:r w:rsidR="007F2333" w:rsidRPr="003A13C9">
        <w:rPr>
          <w:bCs/>
        </w:rPr>
        <w:t>.</w:t>
      </w:r>
    </w:p>
    <w:p w14:paraId="7C841B7A" w14:textId="77777777" w:rsidR="00835A46" w:rsidRPr="003A13C9" w:rsidRDefault="00835A46" w:rsidP="007F2333">
      <w:pPr>
        <w:ind w:right="-347"/>
        <w:jc w:val="both"/>
        <w:rPr>
          <w:bCs/>
        </w:rPr>
      </w:pPr>
    </w:p>
    <w:p w14:paraId="6677100F" w14:textId="2FB09232" w:rsidR="00B42DDA" w:rsidRPr="003A13C9" w:rsidRDefault="007F2333" w:rsidP="007F2333">
      <w:pPr>
        <w:ind w:right="-347"/>
        <w:jc w:val="both"/>
        <w:rPr>
          <w:rFonts w:cs="Calibri"/>
          <w:color w:val="000000"/>
        </w:rPr>
      </w:pPr>
      <w:r w:rsidRPr="003A13C9">
        <w:rPr>
          <w:bCs/>
        </w:rPr>
        <w:t>It would be gross</w:t>
      </w:r>
      <w:r w:rsidR="001D3B36" w:rsidRPr="003A13C9">
        <w:rPr>
          <w:bCs/>
        </w:rPr>
        <w:t>ly</w:t>
      </w:r>
      <w:r w:rsidRPr="003A13C9">
        <w:rPr>
          <w:bCs/>
        </w:rPr>
        <w:t xml:space="preserve"> unfair if legislative disco</w:t>
      </w:r>
      <w:r w:rsidR="006705DD" w:rsidRPr="003A13C9">
        <w:rPr>
          <w:bCs/>
        </w:rPr>
        <w:t>unts were introduced for early</w:t>
      </w:r>
      <w:r w:rsidRPr="003A13C9">
        <w:rPr>
          <w:bCs/>
        </w:rPr>
        <w:t xml:space="preserve"> pleas of guilty </w:t>
      </w:r>
      <w:r w:rsidR="006705DD" w:rsidRPr="003A13C9">
        <w:rPr>
          <w:bCs/>
        </w:rPr>
        <w:t>without also</w:t>
      </w:r>
      <w:r w:rsidRPr="003A13C9">
        <w:rPr>
          <w:bCs/>
        </w:rPr>
        <w:t xml:space="preserve"> </w:t>
      </w:r>
      <w:r w:rsidR="006705DD" w:rsidRPr="003A13C9">
        <w:rPr>
          <w:bCs/>
        </w:rPr>
        <w:t xml:space="preserve">introducing </w:t>
      </w:r>
      <w:r w:rsidRPr="003A13C9">
        <w:rPr>
          <w:bCs/>
        </w:rPr>
        <w:t>reform</w:t>
      </w:r>
      <w:r w:rsidR="006705DD" w:rsidRPr="003A13C9">
        <w:rPr>
          <w:bCs/>
        </w:rPr>
        <w:t>s</w:t>
      </w:r>
      <w:r w:rsidRPr="003A13C9">
        <w:rPr>
          <w:bCs/>
        </w:rPr>
        <w:t xml:space="preserve"> </w:t>
      </w:r>
      <w:r w:rsidR="00687A20" w:rsidRPr="003A13C9">
        <w:rPr>
          <w:rFonts w:cs="Calibri"/>
          <w:color w:val="000000"/>
        </w:rPr>
        <w:t xml:space="preserve">around the </w:t>
      </w:r>
      <w:r w:rsidRPr="003A13C9">
        <w:rPr>
          <w:rFonts w:cs="Calibri"/>
          <w:color w:val="000000"/>
        </w:rPr>
        <w:t>provision</w:t>
      </w:r>
      <w:r w:rsidR="00687A20" w:rsidRPr="003A13C9">
        <w:rPr>
          <w:rFonts w:cs="Calibri"/>
          <w:color w:val="000000"/>
        </w:rPr>
        <w:t xml:space="preserve"> of disclosure.</w:t>
      </w:r>
      <w:r w:rsidRPr="003A13C9">
        <w:rPr>
          <w:rFonts w:cs="Calibri"/>
          <w:color w:val="000000"/>
        </w:rPr>
        <w:t xml:space="preserve"> </w:t>
      </w:r>
      <w:r w:rsidR="00B42DDA" w:rsidRPr="003A13C9">
        <w:rPr>
          <w:rFonts w:cs="Calibri"/>
          <w:color w:val="000000"/>
        </w:rPr>
        <w:t>A model that should be considered is section 123</w:t>
      </w:r>
      <w:r w:rsidR="00D64D2B" w:rsidRPr="003A13C9">
        <w:rPr>
          <w:rFonts w:cs="Calibri"/>
          <w:color w:val="000000"/>
        </w:rPr>
        <w:t>(1)</w:t>
      </w:r>
      <w:r w:rsidR="00B42DDA" w:rsidRPr="003A13C9">
        <w:rPr>
          <w:rFonts w:cs="Calibri"/>
          <w:color w:val="000000"/>
        </w:rPr>
        <w:t xml:space="preserve"> of the </w:t>
      </w:r>
      <w:r w:rsidR="00B42DDA" w:rsidRPr="003A13C9">
        <w:rPr>
          <w:rFonts w:cs="Calibri"/>
          <w:i/>
          <w:color w:val="000000"/>
        </w:rPr>
        <w:t>Criminal Procedure Act 1921</w:t>
      </w:r>
      <w:r w:rsidR="00B27637" w:rsidRPr="003A13C9">
        <w:rPr>
          <w:rFonts w:cs="Calibri"/>
          <w:color w:val="000000"/>
        </w:rPr>
        <w:t xml:space="preserve"> (SA) which </w:t>
      </w:r>
      <w:r w:rsidR="006705DD" w:rsidRPr="003A13C9">
        <w:rPr>
          <w:rFonts w:cs="Calibri"/>
          <w:color w:val="000000"/>
        </w:rPr>
        <w:t>stipulates</w:t>
      </w:r>
      <w:r w:rsidR="00D64D2B" w:rsidRPr="003A13C9">
        <w:rPr>
          <w:rFonts w:cs="Calibri"/>
          <w:color w:val="000000"/>
        </w:rPr>
        <w:t xml:space="preserve"> that </w:t>
      </w:r>
      <w:r w:rsidR="00B27637" w:rsidRPr="003A13C9">
        <w:rPr>
          <w:rFonts w:cs="Calibri"/>
          <w:color w:val="000000"/>
        </w:rPr>
        <w:t>six</w:t>
      </w:r>
      <w:r w:rsidR="00B42DDA" w:rsidRPr="003A13C9">
        <w:rPr>
          <w:rFonts w:cs="Calibri"/>
          <w:color w:val="000000"/>
        </w:rPr>
        <w:t xml:space="preserve"> weeks prior to the accused’s </w:t>
      </w:r>
      <w:r w:rsidR="00B27637" w:rsidRPr="003A13C9">
        <w:rPr>
          <w:rFonts w:cs="Calibri"/>
          <w:color w:val="000000"/>
        </w:rPr>
        <w:t>arraignment in a higher court</w:t>
      </w:r>
      <w:r w:rsidR="00B42DDA" w:rsidRPr="003A13C9">
        <w:rPr>
          <w:rFonts w:cs="Calibri"/>
          <w:color w:val="000000"/>
        </w:rPr>
        <w:t xml:space="preserve"> a ‘prosecution case statement’ must be provided to the accused or their counsel:</w:t>
      </w:r>
    </w:p>
    <w:p w14:paraId="2689590F" w14:textId="77777777" w:rsidR="00B42DDA" w:rsidRPr="003A13C9" w:rsidRDefault="00B42DDA" w:rsidP="007F2333">
      <w:pPr>
        <w:ind w:right="-347"/>
        <w:jc w:val="both"/>
        <w:rPr>
          <w:rFonts w:cs="Calibri"/>
          <w:color w:val="000000"/>
        </w:rPr>
      </w:pPr>
    </w:p>
    <w:p w14:paraId="3150A613" w14:textId="7F0A5525" w:rsidR="00B42DDA" w:rsidRPr="003A13C9" w:rsidRDefault="00B42DDA" w:rsidP="00B42DDA">
      <w:pPr>
        <w:ind w:left="567" w:right="503"/>
        <w:jc w:val="both"/>
        <w:rPr>
          <w:rFonts w:cs="Calibri"/>
          <w:b/>
          <w:color w:val="000000"/>
          <w:sz w:val="22"/>
          <w:szCs w:val="22"/>
        </w:rPr>
      </w:pPr>
      <w:r w:rsidRPr="003A13C9">
        <w:rPr>
          <w:rFonts w:cs="Calibri"/>
          <w:b/>
          <w:color w:val="000000"/>
          <w:sz w:val="22"/>
          <w:szCs w:val="22"/>
        </w:rPr>
        <w:t>123 Case statements</w:t>
      </w:r>
    </w:p>
    <w:p w14:paraId="5DF60F8D" w14:textId="0F68378B" w:rsidR="00B42DDA" w:rsidRPr="003A13C9" w:rsidRDefault="00B42DDA" w:rsidP="00B42DDA">
      <w:pPr>
        <w:ind w:left="567" w:right="503"/>
        <w:jc w:val="both"/>
        <w:rPr>
          <w:rFonts w:cs="Calibri"/>
          <w:color w:val="000000"/>
          <w:sz w:val="22"/>
          <w:szCs w:val="22"/>
        </w:rPr>
      </w:pPr>
      <w:r w:rsidRPr="003A13C9">
        <w:rPr>
          <w:rFonts w:cs="Calibri"/>
          <w:color w:val="000000"/>
          <w:sz w:val="22"/>
          <w:szCs w:val="22"/>
        </w:rPr>
        <w:t>(1) Subject to section 122, where the Magistrates Court commits a defendant charged with an indictable offence to a superior court for trial, the prosecution—</w:t>
      </w:r>
    </w:p>
    <w:p w14:paraId="33BE123E" w14:textId="77777777" w:rsidR="00EA69BB" w:rsidRPr="003A13C9" w:rsidRDefault="00EA69BB" w:rsidP="00B42DDA">
      <w:pPr>
        <w:ind w:left="720" w:right="503"/>
        <w:jc w:val="both"/>
        <w:rPr>
          <w:rFonts w:cs="Calibri"/>
          <w:color w:val="000000"/>
          <w:sz w:val="22"/>
          <w:szCs w:val="22"/>
        </w:rPr>
      </w:pPr>
    </w:p>
    <w:p w14:paraId="25694565" w14:textId="05B83B06" w:rsidR="00B42DDA" w:rsidRPr="003A13C9" w:rsidRDefault="00B42DDA" w:rsidP="00B42DDA">
      <w:pPr>
        <w:ind w:left="720" w:right="503"/>
        <w:jc w:val="both"/>
        <w:rPr>
          <w:rFonts w:cs="Calibri"/>
          <w:color w:val="000000"/>
          <w:sz w:val="22"/>
          <w:szCs w:val="22"/>
        </w:rPr>
      </w:pPr>
      <w:r w:rsidRPr="003A13C9">
        <w:rPr>
          <w:rFonts w:cs="Calibri"/>
          <w:color w:val="000000"/>
          <w:sz w:val="22"/>
          <w:szCs w:val="22"/>
        </w:rPr>
        <w:lastRenderedPageBreak/>
        <w:t>(a) must present, or cause to be presented, an information against that person; and</w:t>
      </w:r>
    </w:p>
    <w:p w14:paraId="1DCEAD2B" w14:textId="77777777" w:rsidR="00EA69BB" w:rsidRPr="003A13C9" w:rsidRDefault="00EA69BB" w:rsidP="00B42DDA">
      <w:pPr>
        <w:ind w:left="720" w:right="503"/>
        <w:jc w:val="both"/>
        <w:rPr>
          <w:rFonts w:cs="Calibri"/>
          <w:color w:val="000000"/>
          <w:sz w:val="22"/>
          <w:szCs w:val="22"/>
        </w:rPr>
      </w:pPr>
    </w:p>
    <w:p w14:paraId="2C8000C6" w14:textId="7CD0865E" w:rsidR="00B42DDA" w:rsidRPr="003A13C9" w:rsidRDefault="00B42DDA" w:rsidP="00B42DDA">
      <w:pPr>
        <w:ind w:left="720" w:right="503"/>
        <w:jc w:val="both"/>
        <w:rPr>
          <w:rFonts w:cs="Calibri"/>
          <w:color w:val="000000"/>
          <w:sz w:val="22"/>
          <w:szCs w:val="22"/>
        </w:rPr>
      </w:pPr>
      <w:r w:rsidRPr="003A13C9">
        <w:rPr>
          <w:rFonts w:cs="Calibri"/>
          <w:color w:val="000000"/>
          <w:sz w:val="22"/>
          <w:szCs w:val="22"/>
        </w:rPr>
        <w:t>(b) must, not less than 6 weeks before the date fixed for the defendant's arraignment in the superior court—</w:t>
      </w:r>
    </w:p>
    <w:p w14:paraId="57D27EA4" w14:textId="77777777" w:rsidR="00EA69BB" w:rsidRPr="003A13C9" w:rsidRDefault="00EA69BB" w:rsidP="00B42DDA">
      <w:pPr>
        <w:ind w:left="1287" w:right="503" w:firstLine="153"/>
        <w:jc w:val="both"/>
        <w:rPr>
          <w:rFonts w:cs="Calibri"/>
          <w:color w:val="000000"/>
          <w:sz w:val="22"/>
          <w:szCs w:val="22"/>
        </w:rPr>
      </w:pPr>
    </w:p>
    <w:p w14:paraId="45AA6626" w14:textId="77777777" w:rsidR="00B42DDA" w:rsidRPr="003A13C9" w:rsidRDefault="00B42DDA" w:rsidP="00B42DDA">
      <w:pPr>
        <w:ind w:left="1287" w:right="503" w:firstLine="153"/>
        <w:jc w:val="both"/>
        <w:rPr>
          <w:rFonts w:cs="Calibri"/>
          <w:color w:val="000000"/>
          <w:sz w:val="22"/>
          <w:szCs w:val="22"/>
        </w:rPr>
      </w:pPr>
      <w:r w:rsidRPr="003A13C9">
        <w:rPr>
          <w:rFonts w:cs="Calibri"/>
          <w:color w:val="000000"/>
          <w:sz w:val="22"/>
          <w:szCs w:val="22"/>
        </w:rPr>
        <w:t>(</w:t>
      </w:r>
      <w:proofErr w:type="spellStart"/>
      <w:r w:rsidRPr="003A13C9">
        <w:rPr>
          <w:rFonts w:cs="Calibri"/>
          <w:color w:val="000000"/>
          <w:sz w:val="22"/>
          <w:szCs w:val="22"/>
        </w:rPr>
        <w:t>i</w:t>
      </w:r>
      <w:proofErr w:type="spellEnd"/>
      <w:r w:rsidRPr="003A13C9">
        <w:rPr>
          <w:rFonts w:cs="Calibri"/>
          <w:color w:val="000000"/>
          <w:sz w:val="22"/>
          <w:szCs w:val="22"/>
        </w:rPr>
        <w:t>) file in that court; and</w:t>
      </w:r>
    </w:p>
    <w:p w14:paraId="4151482C" w14:textId="77777777" w:rsidR="00EA69BB" w:rsidRPr="003A13C9" w:rsidRDefault="00EA69BB" w:rsidP="00B42DDA">
      <w:pPr>
        <w:ind w:left="1440" w:right="503"/>
        <w:jc w:val="both"/>
        <w:rPr>
          <w:rFonts w:cs="Calibri"/>
          <w:color w:val="000000"/>
          <w:sz w:val="22"/>
          <w:szCs w:val="22"/>
        </w:rPr>
      </w:pPr>
    </w:p>
    <w:p w14:paraId="78968AE1" w14:textId="060C190A" w:rsidR="00B42DDA" w:rsidRPr="003A13C9" w:rsidRDefault="00B42DDA" w:rsidP="00B42DDA">
      <w:pPr>
        <w:ind w:left="1440" w:right="503"/>
        <w:jc w:val="both"/>
        <w:rPr>
          <w:rFonts w:cs="Calibri"/>
          <w:color w:val="000000"/>
          <w:sz w:val="22"/>
          <w:szCs w:val="22"/>
        </w:rPr>
      </w:pPr>
      <w:r w:rsidRPr="003A13C9">
        <w:rPr>
          <w:rFonts w:cs="Calibri"/>
          <w:color w:val="000000"/>
          <w:sz w:val="22"/>
          <w:szCs w:val="22"/>
        </w:rPr>
        <w:t>(ii) give to the defendant or a legal practitioner representing the defendant, a prosecution case statement.</w:t>
      </w:r>
    </w:p>
    <w:p w14:paraId="19295779" w14:textId="77777777" w:rsidR="00B42DDA" w:rsidRPr="003A13C9" w:rsidRDefault="00B42DDA" w:rsidP="00B42DDA">
      <w:pPr>
        <w:ind w:left="567" w:right="503"/>
        <w:jc w:val="both"/>
        <w:rPr>
          <w:rFonts w:cs="Calibri"/>
          <w:color w:val="000000"/>
          <w:sz w:val="22"/>
          <w:szCs w:val="22"/>
        </w:rPr>
      </w:pPr>
    </w:p>
    <w:p w14:paraId="24E44721" w14:textId="04F87842" w:rsidR="00D64D2B" w:rsidRPr="003A13C9" w:rsidRDefault="00D64D2B" w:rsidP="00D64D2B">
      <w:pPr>
        <w:ind w:right="-347"/>
        <w:jc w:val="both"/>
        <w:rPr>
          <w:rFonts w:cs="Calibri"/>
          <w:color w:val="000000"/>
        </w:rPr>
      </w:pPr>
      <w:r w:rsidRPr="003A13C9">
        <w:rPr>
          <w:rFonts w:cs="Calibri"/>
          <w:color w:val="000000"/>
        </w:rPr>
        <w:t xml:space="preserve">Section 123(2) of the </w:t>
      </w:r>
      <w:r w:rsidRPr="003A13C9">
        <w:rPr>
          <w:rFonts w:cs="Calibri"/>
          <w:i/>
          <w:color w:val="000000"/>
        </w:rPr>
        <w:t>Criminal Procedure Act 1921</w:t>
      </w:r>
      <w:r w:rsidRPr="003A13C9">
        <w:rPr>
          <w:rFonts w:cs="Calibri"/>
          <w:color w:val="000000"/>
        </w:rPr>
        <w:t xml:space="preserve"> (SA) then sets out what the ‘prosecution case statement’ must contain:</w:t>
      </w:r>
    </w:p>
    <w:p w14:paraId="21147F64" w14:textId="77777777" w:rsidR="00D64D2B" w:rsidRPr="003A13C9" w:rsidRDefault="00D64D2B" w:rsidP="00D64D2B">
      <w:pPr>
        <w:ind w:right="503"/>
        <w:jc w:val="both"/>
        <w:rPr>
          <w:rFonts w:cs="Calibri"/>
          <w:color w:val="000000"/>
          <w:sz w:val="22"/>
          <w:szCs w:val="22"/>
        </w:rPr>
      </w:pPr>
    </w:p>
    <w:p w14:paraId="2ECA2DF1" w14:textId="38C1A272" w:rsidR="00B42DDA" w:rsidRPr="003A13C9" w:rsidRDefault="00B42DDA" w:rsidP="00B42DDA">
      <w:pPr>
        <w:ind w:left="567" w:right="503"/>
        <w:jc w:val="both"/>
        <w:rPr>
          <w:rFonts w:cs="Calibri"/>
          <w:color w:val="000000"/>
          <w:sz w:val="22"/>
          <w:szCs w:val="22"/>
        </w:rPr>
      </w:pPr>
      <w:r w:rsidRPr="003A13C9">
        <w:rPr>
          <w:rFonts w:cs="Calibri"/>
          <w:color w:val="000000"/>
          <w:sz w:val="22"/>
          <w:szCs w:val="22"/>
        </w:rPr>
        <w:t>(2) A prosecution case statement must include (in accordance with prosecution duties of disclosure) the following:</w:t>
      </w:r>
    </w:p>
    <w:p w14:paraId="1CD5F987" w14:textId="77777777" w:rsidR="00EA69BB" w:rsidRPr="003A13C9" w:rsidRDefault="00EA69BB" w:rsidP="00B42DDA">
      <w:pPr>
        <w:ind w:left="567" w:right="503" w:firstLine="153"/>
        <w:jc w:val="both"/>
        <w:rPr>
          <w:rFonts w:cs="Calibri"/>
          <w:color w:val="000000"/>
          <w:sz w:val="22"/>
          <w:szCs w:val="22"/>
        </w:rPr>
      </w:pPr>
    </w:p>
    <w:p w14:paraId="1D51472D" w14:textId="77777777" w:rsidR="00B42DDA" w:rsidRPr="003A13C9" w:rsidRDefault="00B42DDA" w:rsidP="00B42DDA">
      <w:pPr>
        <w:ind w:left="567" w:right="503" w:firstLine="153"/>
        <w:jc w:val="both"/>
        <w:rPr>
          <w:rFonts w:cs="Calibri"/>
          <w:color w:val="000000"/>
          <w:sz w:val="22"/>
          <w:szCs w:val="22"/>
        </w:rPr>
      </w:pPr>
      <w:r w:rsidRPr="003A13C9">
        <w:rPr>
          <w:rFonts w:cs="Calibri"/>
          <w:color w:val="000000"/>
          <w:sz w:val="22"/>
          <w:szCs w:val="22"/>
        </w:rPr>
        <w:t>(</w:t>
      </w:r>
      <w:proofErr w:type="spellStart"/>
      <w:r w:rsidRPr="003A13C9">
        <w:rPr>
          <w:rFonts w:cs="Calibri"/>
          <w:color w:val="000000"/>
          <w:sz w:val="22"/>
          <w:szCs w:val="22"/>
        </w:rPr>
        <w:t>a</w:t>
      </w:r>
      <w:proofErr w:type="spellEnd"/>
      <w:r w:rsidRPr="003A13C9">
        <w:rPr>
          <w:rFonts w:cs="Calibri"/>
          <w:color w:val="000000"/>
          <w:sz w:val="22"/>
          <w:szCs w:val="22"/>
        </w:rPr>
        <w:t>) a summary of the alleged facts;</w:t>
      </w:r>
    </w:p>
    <w:p w14:paraId="079F3E93" w14:textId="77777777" w:rsidR="00EA69BB" w:rsidRPr="003A13C9" w:rsidRDefault="00EA69BB" w:rsidP="00B42DDA">
      <w:pPr>
        <w:ind w:left="720" w:right="503"/>
        <w:jc w:val="both"/>
        <w:rPr>
          <w:rFonts w:cs="Calibri"/>
          <w:color w:val="000000"/>
          <w:sz w:val="22"/>
          <w:szCs w:val="22"/>
        </w:rPr>
      </w:pPr>
    </w:p>
    <w:p w14:paraId="55CD9ED6" w14:textId="4757E834" w:rsidR="00B42DDA" w:rsidRPr="003A13C9" w:rsidRDefault="00B42DDA" w:rsidP="00B42DDA">
      <w:pPr>
        <w:ind w:left="720" w:right="503"/>
        <w:jc w:val="both"/>
        <w:rPr>
          <w:rFonts w:cs="Calibri"/>
          <w:color w:val="000000"/>
          <w:sz w:val="22"/>
          <w:szCs w:val="22"/>
        </w:rPr>
      </w:pPr>
      <w:r w:rsidRPr="003A13C9">
        <w:rPr>
          <w:rFonts w:cs="Calibri"/>
          <w:color w:val="000000"/>
          <w:sz w:val="22"/>
          <w:szCs w:val="22"/>
        </w:rPr>
        <w:t>(b) a description of evidence that may be led by the prosecution in relation to each element of the offence;</w:t>
      </w:r>
    </w:p>
    <w:p w14:paraId="03304AB3" w14:textId="77777777" w:rsidR="00EA69BB" w:rsidRPr="003A13C9" w:rsidRDefault="00EA69BB" w:rsidP="00B42DDA">
      <w:pPr>
        <w:ind w:left="567" w:right="503" w:firstLine="153"/>
        <w:jc w:val="both"/>
        <w:rPr>
          <w:rFonts w:cs="Calibri"/>
          <w:color w:val="000000"/>
          <w:sz w:val="22"/>
          <w:szCs w:val="22"/>
        </w:rPr>
      </w:pPr>
    </w:p>
    <w:p w14:paraId="4C53649D" w14:textId="77777777" w:rsidR="00B42DDA" w:rsidRPr="003A13C9" w:rsidRDefault="00B42DDA" w:rsidP="00B42DDA">
      <w:pPr>
        <w:ind w:left="567" w:right="503" w:firstLine="153"/>
        <w:jc w:val="both"/>
        <w:rPr>
          <w:rFonts w:cs="Calibri"/>
          <w:color w:val="000000"/>
          <w:sz w:val="22"/>
          <w:szCs w:val="22"/>
        </w:rPr>
      </w:pPr>
      <w:r w:rsidRPr="003A13C9">
        <w:rPr>
          <w:rFonts w:cs="Calibri"/>
          <w:color w:val="000000"/>
          <w:sz w:val="22"/>
          <w:szCs w:val="22"/>
        </w:rPr>
        <w:t>(c) a list of the witnesses the prosecution intends to call at trial;</w:t>
      </w:r>
    </w:p>
    <w:p w14:paraId="6EAE5877" w14:textId="77777777" w:rsidR="00EA69BB" w:rsidRPr="003A13C9" w:rsidRDefault="00EA69BB" w:rsidP="00B42DDA">
      <w:pPr>
        <w:ind w:left="567" w:right="503" w:firstLine="153"/>
        <w:jc w:val="both"/>
        <w:rPr>
          <w:rFonts w:cs="Calibri"/>
          <w:color w:val="000000"/>
          <w:sz w:val="22"/>
          <w:szCs w:val="22"/>
        </w:rPr>
      </w:pPr>
    </w:p>
    <w:p w14:paraId="3647B1F4" w14:textId="77777777" w:rsidR="00B42DDA" w:rsidRPr="003A13C9" w:rsidRDefault="00B42DDA" w:rsidP="00B42DDA">
      <w:pPr>
        <w:ind w:left="567" w:right="503" w:firstLine="153"/>
        <w:jc w:val="both"/>
        <w:rPr>
          <w:rFonts w:cs="Calibri"/>
          <w:color w:val="000000"/>
          <w:sz w:val="22"/>
          <w:szCs w:val="22"/>
        </w:rPr>
      </w:pPr>
      <w:r w:rsidRPr="003A13C9">
        <w:rPr>
          <w:rFonts w:cs="Calibri"/>
          <w:color w:val="000000"/>
          <w:sz w:val="22"/>
          <w:szCs w:val="22"/>
        </w:rPr>
        <w:t>(d) details of each expert witness the prosecution intends to call at trial;</w:t>
      </w:r>
    </w:p>
    <w:p w14:paraId="3184CA37" w14:textId="77777777" w:rsidR="00EA69BB" w:rsidRPr="003A13C9" w:rsidRDefault="00EA69BB" w:rsidP="00B42DDA">
      <w:pPr>
        <w:ind w:left="720" w:right="503"/>
        <w:jc w:val="both"/>
        <w:rPr>
          <w:rFonts w:cs="Calibri"/>
          <w:color w:val="000000"/>
          <w:sz w:val="22"/>
          <w:szCs w:val="22"/>
        </w:rPr>
      </w:pPr>
    </w:p>
    <w:p w14:paraId="6B10CF03" w14:textId="019BB2A6" w:rsidR="00B42DDA" w:rsidRPr="003A13C9" w:rsidRDefault="00B42DDA" w:rsidP="00B42DDA">
      <w:pPr>
        <w:ind w:left="720" w:right="503"/>
        <w:jc w:val="both"/>
        <w:rPr>
          <w:rFonts w:cs="Calibri"/>
          <w:color w:val="000000"/>
          <w:sz w:val="22"/>
          <w:szCs w:val="22"/>
        </w:rPr>
      </w:pPr>
      <w:r w:rsidRPr="003A13C9">
        <w:rPr>
          <w:rFonts w:cs="Calibri"/>
          <w:color w:val="000000"/>
          <w:sz w:val="22"/>
          <w:szCs w:val="22"/>
        </w:rPr>
        <w:t>(e) details of any additional witness statement that the prosecution is aware will be obtained, but which has not yet been obtained;</w:t>
      </w:r>
    </w:p>
    <w:p w14:paraId="4E4E69A2" w14:textId="77777777" w:rsidR="00EA69BB" w:rsidRPr="003A13C9" w:rsidRDefault="00EA69BB" w:rsidP="00B42DDA">
      <w:pPr>
        <w:ind w:left="567" w:right="503" w:firstLine="153"/>
        <w:jc w:val="both"/>
        <w:rPr>
          <w:rFonts w:cs="Calibri"/>
          <w:color w:val="000000"/>
          <w:sz w:val="22"/>
          <w:szCs w:val="22"/>
        </w:rPr>
      </w:pPr>
    </w:p>
    <w:p w14:paraId="7EE28C37" w14:textId="77777777" w:rsidR="00B42DDA" w:rsidRPr="003A13C9" w:rsidRDefault="00B42DDA" w:rsidP="00B42DDA">
      <w:pPr>
        <w:ind w:left="567" w:right="503" w:firstLine="153"/>
        <w:jc w:val="both"/>
        <w:rPr>
          <w:rFonts w:cs="Calibri"/>
          <w:color w:val="000000"/>
          <w:sz w:val="22"/>
          <w:szCs w:val="22"/>
        </w:rPr>
      </w:pPr>
      <w:r w:rsidRPr="003A13C9">
        <w:rPr>
          <w:rFonts w:cs="Calibri"/>
          <w:color w:val="000000"/>
          <w:sz w:val="22"/>
          <w:szCs w:val="22"/>
        </w:rPr>
        <w:t>(f) whether the prosecution intends to lead discreditable conduct evidence</w:t>
      </w:r>
    </w:p>
    <w:p w14:paraId="50DC353F" w14:textId="0DF8C298" w:rsidR="00B42DDA" w:rsidRPr="003A13C9" w:rsidRDefault="00B42DDA" w:rsidP="00B42DDA">
      <w:pPr>
        <w:ind w:left="720" w:right="503"/>
        <w:rPr>
          <w:rFonts w:eastAsia="Times New Roman" w:cs="Times New Roman"/>
          <w:sz w:val="22"/>
          <w:szCs w:val="22"/>
          <w:lang w:val="en-AU"/>
        </w:rPr>
      </w:pPr>
      <w:r w:rsidRPr="003A13C9">
        <w:rPr>
          <w:rFonts w:cs="Calibri"/>
          <w:color w:val="000000"/>
          <w:sz w:val="22"/>
          <w:szCs w:val="22"/>
        </w:rPr>
        <w:t xml:space="preserve">(within the meaning of section 34P of the </w:t>
      </w:r>
      <w:r w:rsidRPr="003A13C9">
        <w:rPr>
          <w:rFonts w:cs="Calibri"/>
          <w:i/>
          <w:color w:val="000000"/>
          <w:sz w:val="22"/>
          <w:szCs w:val="22"/>
        </w:rPr>
        <w:t>Evidence Act 1929</w:t>
      </w:r>
      <w:r w:rsidRPr="003A13C9">
        <w:rPr>
          <w:rFonts w:cs="Calibri"/>
          <w:color w:val="000000"/>
          <w:sz w:val="22"/>
          <w:szCs w:val="22"/>
        </w:rPr>
        <w:t xml:space="preserve">) and, if so, </w:t>
      </w:r>
      <w:r w:rsidRPr="003A13C9">
        <w:rPr>
          <w:rFonts w:eastAsia="Times New Roman" w:cs="Times New Roman"/>
          <w:sz w:val="22"/>
          <w:szCs w:val="22"/>
          <w:lang w:val="en-AU"/>
        </w:rPr>
        <w:t xml:space="preserve">details of that evidence; </w:t>
      </w:r>
    </w:p>
    <w:p w14:paraId="31375AE6" w14:textId="77777777" w:rsidR="00EA69BB" w:rsidRPr="003A13C9" w:rsidRDefault="00EA69BB" w:rsidP="00B42DDA">
      <w:pPr>
        <w:ind w:left="720" w:right="503"/>
        <w:rPr>
          <w:rFonts w:eastAsia="Times New Roman" w:cs="Times New Roman"/>
          <w:sz w:val="22"/>
          <w:szCs w:val="22"/>
          <w:lang w:val="en-AU"/>
        </w:rPr>
      </w:pPr>
    </w:p>
    <w:p w14:paraId="52BB2B31" w14:textId="77777777" w:rsidR="00B42DDA" w:rsidRPr="003A13C9" w:rsidRDefault="00B42DDA" w:rsidP="00B42DDA">
      <w:pPr>
        <w:ind w:left="720" w:right="503"/>
        <w:rPr>
          <w:rFonts w:eastAsia="Times New Roman" w:cs="Times New Roman"/>
          <w:sz w:val="22"/>
          <w:szCs w:val="22"/>
          <w:lang w:val="en-AU"/>
        </w:rPr>
      </w:pPr>
      <w:r w:rsidRPr="003A13C9">
        <w:rPr>
          <w:rFonts w:eastAsia="Times New Roman" w:cs="Times New Roman"/>
          <w:sz w:val="22"/>
          <w:szCs w:val="22"/>
          <w:lang w:val="en-AU"/>
        </w:rPr>
        <w:t xml:space="preserve">(g) whether the prosecution intends to make any pre-trial applications under the </w:t>
      </w:r>
      <w:r w:rsidRPr="003A13C9">
        <w:rPr>
          <w:rFonts w:eastAsia="Times New Roman" w:cs="Times New Roman"/>
          <w:i/>
          <w:sz w:val="22"/>
          <w:szCs w:val="22"/>
          <w:lang w:val="en-AU"/>
        </w:rPr>
        <w:t>Evidence Act 1929</w:t>
      </w:r>
      <w:r w:rsidRPr="003A13C9">
        <w:rPr>
          <w:rFonts w:eastAsia="Times New Roman" w:cs="Times New Roman"/>
          <w:sz w:val="22"/>
          <w:szCs w:val="22"/>
          <w:lang w:val="en-AU"/>
        </w:rPr>
        <w:t xml:space="preserve"> and, if so, a copy of any such application; </w:t>
      </w:r>
    </w:p>
    <w:p w14:paraId="33A6E460" w14:textId="77777777" w:rsidR="00EA69BB" w:rsidRPr="003A13C9" w:rsidRDefault="00EA69BB" w:rsidP="00B42DDA">
      <w:pPr>
        <w:ind w:left="720" w:right="503"/>
        <w:rPr>
          <w:rFonts w:eastAsia="Times New Roman" w:cs="Times New Roman"/>
          <w:sz w:val="22"/>
          <w:szCs w:val="22"/>
          <w:lang w:val="en-AU"/>
        </w:rPr>
      </w:pPr>
    </w:p>
    <w:p w14:paraId="249400E8" w14:textId="77777777" w:rsidR="00EA69BB" w:rsidRPr="003A13C9" w:rsidRDefault="00B42DDA" w:rsidP="00B42DDA">
      <w:pPr>
        <w:ind w:left="720" w:right="503"/>
        <w:rPr>
          <w:rFonts w:eastAsia="Times New Roman" w:cs="Times New Roman"/>
          <w:sz w:val="22"/>
          <w:szCs w:val="22"/>
          <w:lang w:val="en-AU"/>
        </w:rPr>
      </w:pPr>
      <w:r w:rsidRPr="003A13C9">
        <w:rPr>
          <w:rFonts w:eastAsia="Times New Roman" w:cs="Times New Roman"/>
          <w:sz w:val="22"/>
          <w:szCs w:val="22"/>
          <w:lang w:val="en-AU"/>
        </w:rPr>
        <w:t xml:space="preserve">(h) whether the trial is one that is to be given priority under section 50B of the </w:t>
      </w:r>
      <w:r w:rsidRPr="003A13C9">
        <w:rPr>
          <w:rFonts w:eastAsia="Times New Roman" w:cs="Times New Roman"/>
          <w:i/>
          <w:sz w:val="22"/>
          <w:szCs w:val="22"/>
          <w:lang w:val="en-AU"/>
        </w:rPr>
        <w:t>District Court Act 1991</w:t>
      </w:r>
      <w:r w:rsidRPr="003A13C9">
        <w:rPr>
          <w:rFonts w:eastAsia="Times New Roman" w:cs="Times New Roman"/>
          <w:sz w:val="22"/>
          <w:szCs w:val="22"/>
          <w:lang w:val="en-AU"/>
        </w:rPr>
        <w:t xml:space="preserve">; </w:t>
      </w:r>
    </w:p>
    <w:p w14:paraId="05EC80A2" w14:textId="77777777" w:rsidR="00EA69BB" w:rsidRPr="003A13C9" w:rsidRDefault="00EA69BB" w:rsidP="00B42DDA">
      <w:pPr>
        <w:ind w:left="720" w:right="503"/>
        <w:rPr>
          <w:rFonts w:eastAsia="Times New Roman" w:cs="Times New Roman"/>
          <w:sz w:val="22"/>
          <w:szCs w:val="22"/>
          <w:lang w:val="en-AU"/>
        </w:rPr>
      </w:pPr>
    </w:p>
    <w:p w14:paraId="69B49C47" w14:textId="5CF38970" w:rsidR="00B42DDA" w:rsidRPr="003A13C9" w:rsidRDefault="00B42DDA" w:rsidP="00B42DDA">
      <w:pPr>
        <w:ind w:left="720" w:right="503"/>
        <w:rPr>
          <w:rFonts w:eastAsia="Times New Roman" w:cs="Times New Roman"/>
          <w:sz w:val="22"/>
          <w:szCs w:val="22"/>
          <w:lang w:val="en-AU"/>
        </w:rPr>
      </w:pPr>
      <w:r w:rsidRPr="003A13C9">
        <w:rPr>
          <w:rFonts w:eastAsia="Times New Roman" w:cs="Times New Roman"/>
          <w:sz w:val="22"/>
          <w:szCs w:val="22"/>
          <w:lang w:val="en-AU"/>
        </w:rPr>
        <w:t>(</w:t>
      </w:r>
      <w:proofErr w:type="spellStart"/>
      <w:r w:rsidRPr="003A13C9">
        <w:rPr>
          <w:rFonts w:eastAsia="Times New Roman" w:cs="Times New Roman"/>
          <w:sz w:val="22"/>
          <w:szCs w:val="22"/>
          <w:lang w:val="en-AU"/>
        </w:rPr>
        <w:t>i</w:t>
      </w:r>
      <w:proofErr w:type="spellEnd"/>
      <w:r w:rsidRPr="003A13C9">
        <w:rPr>
          <w:rFonts w:eastAsia="Times New Roman" w:cs="Times New Roman"/>
          <w:sz w:val="22"/>
          <w:szCs w:val="22"/>
          <w:lang w:val="en-AU"/>
        </w:rPr>
        <w:t>) an estimate of the length of the prosecution case;</w:t>
      </w:r>
    </w:p>
    <w:p w14:paraId="5D0F6C64" w14:textId="77777777" w:rsidR="00EA69BB" w:rsidRPr="003A13C9" w:rsidRDefault="00EA69BB" w:rsidP="00B42DDA">
      <w:pPr>
        <w:ind w:left="720" w:right="503"/>
        <w:rPr>
          <w:rFonts w:eastAsia="Times New Roman" w:cs="Times New Roman"/>
          <w:sz w:val="22"/>
          <w:szCs w:val="22"/>
          <w:lang w:val="en-AU"/>
        </w:rPr>
      </w:pPr>
    </w:p>
    <w:p w14:paraId="187A84CC" w14:textId="77777777" w:rsidR="00B42DDA" w:rsidRPr="003A13C9" w:rsidRDefault="00B42DDA" w:rsidP="00B42DDA">
      <w:pPr>
        <w:ind w:left="720" w:right="503"/>
        <w:rPr>
          <w:rFonts w:eastAsia="Times New Roman" w:cs="Times New Roman"/>
          <w:sz w:val="22"/>
          <w:szCs w:val="22"/>
          <w:lang w:val="en-AU"/>
        </w:rPr>
      </w:pPr>
      <w:r w:rsidRPr="003A13C9">
        <w:rPr>
          <w:rFonts w:eastAsia="Times New Roman" w:cs="Times New Roman"/>
          <w:sz w:val="22"/>
          <w:szCs w:val="22"/>
          <w:lang w:val="en-AU"/>
        </w:rPr>
        <w:t>(j) whether any interpreter will be required for the prosecution case (and if so, the language that the interpreter will be required to interpret).</w:t>
      </w:r>
    </w:p>
    <w:p w14:paraId="6BC2EBDE" w14:textId="2F453AB6" w:rsidR="00B42DDA" w:rsidRPr="003A13C9" w:rsidRDefault="00B42DDA" w:rsidP="00B42DDA">
      <w:pPr>
        <w:ind w:left="720" w:right="503"/>
        <w:rPr>
          <w:rFonts w:eastAsia="Times New Roman" w:cs="Times New Roman"/>
          <w:sz w:val="22"/>
          <w:szCs w:val="22"/>
          <w:lang w:val="en-AU"/>
        </w:rPr>
      </w:pPr>
      <w:r w:rsidRPr="003A13C9">
        <w:rPr>
          <w:rFonts w:eastAsia="Times New Roman" w:cs="Times New Roman"/>
          <w:sz w:val="22"/>
          <w:szCs w:val="22"/>
          <w:lang w:val="en-AU"/>
        </w:rPr>
        <w:t>…</w:t>
      </w:r>
    </w:p>
    <w:p w14:paraId="626282B9" w14:textId="77777777" w:rsidR="004A32E6" w:rsidRPr="003A13C9" w:rsidRDefault="004A32E6" w:rsidP="007F2333">
      <w:pPr>
        <w:ind w:right="-347"/>
        <w:jc w:val="both"/>
        <w:rPr>
          <w:rFonts w:cs="Calibri"/>
          <w:color w:val="000000"/>
        </w:rPr>
      </w:pPr>
    </w:p>
    <w:p w14:paraId="70CF9D28" w14:textId="77777777" w:rsidR="003A13C9" w:rsidRPr="003A13C9" w:rsidRDefault="007F2333" w:rsidP="002B1CBD">
      <w:pPr>
        <w:ind w:right="-347"/>
        <w:jc w:val="both"/>
        <w:rPr>
          <w:rFonts w:cs="Calibri"/>
          <w:color w:val="000000"/>
        </w:rPr>
      </w:pPr>
      <w:r w:rsidRPr="003A13C9">
        <w:rPr>
          <w:rFonts w:cs="Calibri"/>
          <w:color w:val="000000"/>
        </w:rPr>
        <w:t xml:space="preserve">We strongly support </w:t>
      </w:r>
      <w:r w:rsidR="004A32E6" w:rsidRPr="003A13C9">
        <w:rPr>
          <w:rFonts w:cs="Calibri"/>
          <w:color w:val="000000"/>
        </w:rPr>
        <w:t>statutory requirements on disclosure</w:t>
      </w:r>
      <w:r w:rsidR="007E7C3D" w:rsidRPr="003A13C9">
        <w:rPr>
          <w:rFonts w:cs="Calibri"/>
          <w:color w:val="000000"/>
        </w:rPr>
        <w:t>,</w:t>
      </w:r>
      <w:r w:rsidR="00B27637" w:rsidRPr="003A13C9">
        <w:rPr>
          <w:rFonts w:cs="Calibri"/>
          <w:color w:val="000000"/>
        </w:rPr>
        <w:t xml:space="preserve"> which </w:t>
      </w:r>
      <w:r w:rsidR="004A32E6" w:rsidRPr="003A13C9">
        <w:rPr>
          <w:rFonts w:cs="Calibri"/>
          <w:color w:val="000000"/>
        </w:rPr>
        <w:t xml:space="preserve">will in turn </w:t>
      </w:r>
      <w:r w:rsidR="00B27637" w:rsidRPr="003A13C9">
        <w:rPr>
          <w:rFonts w:cs="Calibri"/>
          <w:color w:val="000000"/>
        </w:rPr>
        <w:t>allow for</w:t>
      </w:r>
      <w:r w:rsidR="00835A46" w:rsidRPr="003A13C9">
        <w:rPr>
          <w:rFonts w:cs="Calibri"/>
          <w:color w:val="000000"/>
        </w:rPr>
        <w:t xml:space="preserve"> appropriate </w:t>
      </w:r>
      <w:r w:rsidR="00B27637" w:rsidRPr="003A13C9">
        <w:rPr>
          <w:rFonts w:cs="Calibri"/>
          <w:color w:val="000000"/>
        </w:rPr>
        <w:t>consideration</w:t>
      </w:r>
      <w:r w:rsidR="00835A46" w:rsidRPr="003A13C9">
        <w:rPr>
          <w:rFonts w:cs="Calibri"/>
          <w:color w:val="000000"/>
        </w:rPr>
        <w:t xml:space="preserve"> before </w:t>
      </w:r>
      <w:r w:rsidR="006705DD" w:rsidRPr="003A13C9">
        <w:rPr>
          <w:rFonts w:cs="Calibri"/>
          <w:color w:val="000000"/>
        </w:rPr>
        <w:t xml:space="preserve">a plea </w:t>
      </w:r>
      <w:r w:rsidR="004A32E6" w:rsidRPr="003A13C9">
        <w:rPr>
          <w:rFonts w:cs="Calibri"/>
          <w:color w:val="000000"/>
        </w:rPr>
        <w:t>is</w:t>
      </w:r>
      <w:r w:rsidR="006705DD" w:rsidRPr="003A13C9">
        <w:rPr>
          <w:rFonts w:cs="Calibri"/>
          <w:color w:val="000000"/>
        </w:rPr>
        <w:t xml:space="preserve"> entered and</w:t>
      </w:r>
      <w:r w:rsidR="00835A46" w:rsidRPr="003A13C9">
        <w:rPr>
          <w:rFonts w:cs="Calibri"/>
          <w:color w:val="000000"/>
        </w:rPr>
        <w:t xml:space="preserve"> importantly </w:t>
      </w:r>
      <w:r w:rsidR="004A32E6" w:rsidRPr="003A13C9">
        <w:rPr>
          <w:rFonts w:cs="Calibri"/>
          <w:color w:val="000000"/>
        </w:rPr>
        <w:t xml:space="preserve">will ensure that a plea is not entered </w:t>
      </w:r>
      <w:r w:rsidR="001D212D" w:rsidRPr="003A13C9">
        <w:rPr>
          <w:rFonts w:cs="Calibri"/>
          <w:color w:val="000000"/>
        </w:rPr>
        <w:t xml:space="preserve">before </w:t>
      </w:r>
      <w:r w:rsidR="00B27637" w:rsidRPr="003A13C9">
        <w:rPr>
          <w:rFonts w:cs="Calibri"/>
          <w:color w:val="000000"/>
        </w:rPr>
        <w:t>all relevant evidence</w:t>
      </w:r>
      <w:r w:rsidR="001D212D" w:rsidRPr="003A13C9">
        <w:rPr>
          <w:rFonts w:cs="Calibri"/>
          <w:color w:val="000000"/>
        </w:rPr>
        <w:t xml:space="preserve"> has been received</w:t>
      </w:r>
      <w:r w:rsidR="00E329D7" w:rsidRPr="003A13C9">
        <w:rPr>
          <w:rFonts w:cs="Calibri"/>
          <w:color w:val="000000"/>
        </w:rPr>
        <w:t>.</w:t>
      </w:r>
      <w:r w:rsidR="003A13C9" w:rsidRPr="003A13C9">
        <w:rPr>
          <w:rFonts w:cs="Calibri"/>
          <w:color w:val="000000"/>
        </w:rPr>
        <w:t xml:space="preserve"> </w:t>
      </w:r>
    </w:p>
    <w:p w14:paraId="3FF95C9C" w14:textId="77777777" w:rsidR="003A13C9" w:rsidRPr="003A13C9" w:rsidRDefault="003A13C9" w:rsidP="002B1CBD">
      <w:pPr>
        <w:ind w:right="-347"/>
        <w:jc w:val="both"/>
        <w:rPr>
          <w:rFonts w:cs="Calibri"/>
          <w:color w:val="000000"/>
        </w:rPr>
      </w:pPr>
    </w:p>
    <w:p w14:paraId="33B8A70F" w14:textId="67CD09AF" w:rsidR="002B1CBD" w:rsidRPr="003A13C9" w:rsidRDefault="001D212D" w:rsidP="002B1CBD">
      <w:pPr>
        <w:ind w:right="-347"/>
        <w:jc w:val="both"/>
        <w:rPr>
          <w:rFonts w:cs="Calibri"/>
          <w:color w:val="000000"/>
        </w:rPr>
      </w:pPr>
      <w:r w:rsidRPr="003A13C9">
        <w:rPr>
          <w:bCs/>
        </w:rPr>
        <w:t>Another</w:t>
      </w:r>
      <w:r w:rsidR="006705DD" w:rsidRPr="003A13C9">
        <w:rPr>
          <w:bCs/>
        </w:rPr>
        <w:t xml:space="preserve"> significant </w:t>
      </w:r>
      <w:r w:rsidR="004A32E6" w:rsidRPr="003A13C9">
        <w:rPr>
          <w:bCs/>
        </w:rPr>
        <w:t>feature</w:t>
      </w:r>
      <w:r w:rsidRPr="003A13C9">
        <w:rPr>
          <w:bCs/>
        </w:rPr>
        <w:t xml:space="preserve"> </w:t>
      </w:r>
      <w:r w:rsidR="006705DD" w:rsidRPr="003A13C9">
        <w:rPr>
          <w:bCs/>
        </w:rPr>
        <w:t>that creates an obstacle to an early gu</w:t>
      </w:r>
      <w:r w:rsidR="008561DC" w:rsidRPr="003A13C9">
        <w:rPr>
          <w:bCs/>
        </w:rPr>
        <w:t xml:space="preserve">ilty plea is inadequate funding -particularly in the early stages- </w:t>
      </w:r>
      <w:r w:rsidR="006705DD" w:rsidRPr="003A13C9">
        <w:rPr>
          <w:bCs/>
        </w:rPr>
        <w:t>which</w:t>
      </w:r>
      <w:r w:rsidR="00817AA6" w:rsidRPr="003A13C9">
        <w:rPr>
          <w:bCs/>
        </w:rPr>
        <w:t xml:space="preserve"> means that underpaid and inexperienced lawyers are required to act in cases that </w:t>
      </w:r>
      <w:r w:rsidR="006705DD" w:rsidRPr="003A13C9">
        <w:rPr>
          <w:bCs/>
        </w:rPr>
        <w:t xml:space="preserve">require </w:t>
      </w:r>
      <w:r w:rsidR="00817AA6" w:rsidRPr="003A13C9">
        <w:rPr>
          <w:bCs/>
        </w:rPr>
        <w:t>more experienced counsel.</w:t>
      </w:r>
      <w:r w:rsidR="006E34FE" w:rsidRPr="003A13C9">
        <w:rPr>
          <w:bCs/>
        </w:rPr>
        <w:t xml:space="preserve"> </w:t>
      </w:r>
      <w:proofErr w:type="spellStart"/>
      <w:r w:rsidR="006E34FE" w:rsidRPr="003A13C9">
        <w:rPr>
          <w:bCs/>
        </w:rPr>
        <w:t>Defence</w:t>
      </w:r>
      <w:proofErr w:type="spellEnd"/>
      <w:r w:rsidR="006E34FE" w:rsidRPr="003A13C9">
        <w:rPr>
          <w:bCs/>
        </w:rPr>
        <w:t xml:space="preserve"> counsel often work at pay rates that are not </w:t>
      </w:r>
      <w:r w:rsidR="006E34FE" w:rsidRPr="003A13C9">
        <w:rPr>
          <w:bCs/>
        </w:rPr>
        <w:lastRenderedPageBreak/>
        <w:t xml:space="preserve">commensurate with the experience required. For example, </w:t>
      </w:r>
      <w:r w:rsidR="006E34FE" w:rsidRPr="003A13C9">
        <w:rPr>
          <w:rFonts w:cs="Calibri"/>
          <w:color w:val="000000"/>
        </w:rPr>
        <w:t xml:space="preserve">there is next to no financial incentive </w:t>
      </w:r>
      <w:r w:rsidR="008561DC" w:rsidRPr="003A13C9">
        <w:rPr>
          <w:rFonts w:cs="Calibri"/>
          <w:color w:val="000000"/>
        </w:rPr>
        <w:t xml:space="preserve">for legal counsel </w:t>
      </w:r>
      <w:r w:rsidR="006E34FE" w:rsidRPr="003A13C9">
        <w:rPr>
          <w:rFonts w:cs="Calibri"/>
          <w:color w:val="000000"/>
        </w:rPr>
        <w:t xml:space="preserve">to spend 10-12 hours </w:t>
      </w:r>
      <w:r w:rsidR="008561DC" w:rsidRPr="003A13C9">
        <w:rPr>
          <w:rFonts w:cs="Calibri"/>
          <w:color w:val="000000"/>
        </w:rPr>
        <w:t xml:space="preserve">taking instructions, </w:t>
      </w:r>
      <w:r w:rsidR="006E34FE" w:rsidRPr="003A13C9">
        <w:rPr>
          <w:rFonts w:cs="Calibri"/>
          <w:color w:val="000000"/>
        </w:rPr>
        <w:t>trawling through</w:t>
      </w:r>
      <w:r w:rsidR="008561DC" w:rsidRPr="003A13C9">
        <w:rPr>
          <w:rFonts w:cs="Calibri"/>
          <w:color w:val="000000"/>
        </w:rPr>
        <w:t xml:space="preserve"> materials </w:t>
      </w:r>
      <w:r w:rsidR="004A32E6" w:rsidRPr="003A13C9">
        <w:rPr>
          <w:rFonts w:cs="Calibri"/>
          <w:color w:val="000000"/>
        </w:rPr>
        <w:t xml:space="preserve">and </w:t>
      </w:r>
      <w:r w:rsidR="006E34FE" w:rsidRPr="003A13C9">
        <w:rPr>
          <w:rFonts w:cs="Calibri"/>
          <w:color w:val="000000"/>
        </w:rPr>
        <w:t>considering legal arguments all within the first hours or days of being charged, when at that point the standard “investigate and report” fee is a paltry $240</w:t>
      </w:r>
      <w:r w:rsidR="001438E6" w:rsidRPr="003A13C9">
        <w:rPr>
          <w:rFonts w:cs="Calibri"/>
          <w:color w:val="000000"/>
        </w:rPr>
        <w:t>.00</w:t>
      </w:r>
      <w:r w:rsidR="006E34FE" w:rsidRPr="003A13C9">
        <w:rPr>
          <w:rFonts w:cs="Calibri"/>
          <w:color w:val="000000"/>
        </w:rPr>
        <w:t xml:space="preserve">. </w:t>
      </w:r>
    </w:p>
    <w:p w14:paraId="34008E88" w14:textId="77777777" w:rsidR="002B1CBD" w:rsidRPr="003A13C9" w:rsidRDefault="002B1CBD" w:rsidP="00B8655A">
      <w:pPr>
        <w:ind w:right="-347"/>
        <w:jc w:val="both"/>
        <w:rPr>
          <w:bCs/>
        </w:rPr>
      </w:pPr>
    </w:p>
    <w:p w14:paraId="13BA54DD" w14:textId="0366B185" w:rsidR="002B1CBD" w:rsidRPr="003A13C9" w:rsidRDefault="00235A0C" w:rsidP="00B8655A">
      <w:pPr>
        <w:pStyle w:val="ListParagraph"/>
        <w:numPr>
          <w:ilvl w:val="0"/>
          <w:numId w:val="6"/>
        </w:numPr>
        <w:ind w:right="-347"/>
        <w:jc w:val="both"/>
        <w:rPr>
          <w:bCs/>
        </w:rPr>
      </w:pPr>
      <w:r w:rsidRPr="003A13C9">
        <w:rPr>
          <w:rFonts w:cs="Calibri"/>
          <w:b/>
          <w:color w:val="000000"/>
        </w:rPr>
        <w:t>In your view, what factors influence plea decisions of offenders in Tasmania?</w:t>
      </w:r>
    </w:p>
    <w:p w14:paraId="65BF8134" w14:textId="77777777" w:rsidR="00634EE6" w:rsidRPr="003A13C9" w:rsidRDefault="00634EE6" w:rsidP="00B8655A">
      <w:pPr>
        <w:ind w:right="-347"/>
        <w:jc w:val="both"/>
        <w:rPr>
          <w:rFonts w:cs="Calibri"/>
          <w:color w:val="000000"/>
        </w:rPr>
      </w:pPr>
    </w:p>
    <w:p w14:paraId="043F248F" w14:textId="6E5664D2" w:rsidR="00235A0C" w:rsidRPr="003A13C9" w:rsidRDefault="00235A0C" w:rsidP="00B8655A">
      <w:pPr>
        <w:ind w:right="-347"/>
        <w:jc w:val="both"/>
        <w:rPr>
          <w:rFonts w:cs="Calibri"/>
          <w:color w:val="000000"/>
        </w:rPr>
      </w:pPr>
      <w:r w:rsidRPr="003A13C9">
        <w:rPr>
          <w:rFonts w:cs="Calibri"/>
          <w:color w:val="000000"/>
        </w:rPr>
        <w:t>In broadly descending order of importance:</w:t>
      </w:r>
    </w:p>
    <w:p w14:paraId="5DEFE5A0" w14:textId="77777777" w:rsidR="0092212C" w:rsidRPr="003A13C9" w:rsidRDefault="0092212C" w:rsidP="00B8655A">
      <w:pPr>
        <w:ind w:right="-347"/>
        <w:jc w:val="both"/>
        <w:rPr>
          <w:bCs/>
        </w:rPr>
      </w:pPr>
    </w:p>
    <w:p w14:paraId="3C87CF49" w14:textId="77777777" w:rsidR="000A1274" w:rsidRPr="003A13C9" w:rsidRDefault="00C62F0E" w:rsidP="000A1274">
      <w:pPr>
        <w:pStyle w:val="ListParagraph"/>
        <w:widowControl w:val="0"/>
        <w:numPr>
          <w:ilvl w:val="0"/>
          <w:numId w:val="11"/>
        </w:numPr>
        <w:autoSpaceDE w:val="0"/>
        <w:autoSpaceDN w:val="0"/>
        <w:adjustRightInd w:val="0"/>
        <w:jc w:val="both"/>
        <w:rPr>
          <w:rFonts w:cs="Calibri"/>
          <w:color w:val="000000"/>
        </w:rPr>
      </w:pPr>
      <w:r w:rsidRPr="003A13C9">
        <w:rPr>
          <w:rFonts w:cs="Calibri"/>
          <w:color w:val="000000"/>
        </w:rPr>
        <w:t>Is</w:t>
      </w:r>
      <w:r w:rsidR="00235A0C" w:rsidRPr="003A13C9">
        <w:rPr>
          <w:rFonts w:cs="Calibri"/>
          <w:color w:val="000000"/>
        </w:rPr>
        <w:t xml:space="preserve"> </w:t>
      </w:r>
      <w:r w:rsidR="004B3E7E" w:rsidRPr="003A13C9">
        <w:rPr>
          <w:rFonts w:cs="Calibri"/>
          <w:color w:val="000000"/>
        </w:rPr>
        <w:t>the accused</w:t>
      </w:r>
      <w:r w:rsidR="00235A0C" w:rsidRPr="003A13C9">
        <w:rPr>
          <w:rFonts w:cs="Calibri"/>
          <w:color w:val="000000"/>
        </w:rPr>
        <w:t xml:space="preserve"> actually guilty of the </w:t>
      </w:r>
      <w:proofErr w:type="gramStart"/>
      <w:r w:rsidR="00235A0C" w:rsidRPr="003A13C9">
        <w:rPr>
          <w:rFonts w:cs="Calibri"/>
          <w:color w:val="000000"/>
        </w:rPr>
        <w:t>charge</w:t>
      </w:r>
      <w:proofErr w:type="gramEnd"/>
    </w:p>
    <w:p w14:paraId="60D9B306" w14:textId="77777777" w:rsidR="000A1274" w:rsidRPr="003A13C9" w:rsidRDefault="00C62F0E" w:rsidP="000A1274">
      <w:pPr>
        <w:pStyle w:val="ListParagraph"/>
        <w:widowControl w:val="0"/>
        <w:numPr>
          <w:ilvl w:val="0"/>
          <w:numId w:val="11"/>
        </w:numPr>
        <w:autoSpaceDE w:val="0"/>
        <w:autoSpaceDN w:val="0"/>
        <w:adjustRightInd w:val="0"/>
        <w:jc w:val="both"/>
        <w:rPr>
          <w:rFonts w:cs="Calibri"/>
          <w:color w:val="000000"/>
        </w:rPr>
      </w:pPr>
      <w:r w:rsidRPr="003A13C9">
        <w:rPr>
          <w:rFonts w:cs="Calibri"/>
          <w:color w:val="000000"/>
        </w:rPr>
        <w:t>Can the state</w:t>
      </w:r>
      <w:r w:rsidR="00235A0C" w:rsidRPr="003A13C9">
        <w:rPr>
          <w:rFonts w:cs="Calibri"/>
          <w:color w:val="000000"/>
        </w:rPr>
        <w:t xml:space="preserve"> prove </w:t>
      </w:r>
      <w:r w:rsidR="004B3E7E" w:rsidRPr="003A13C9">
        <w:rPr>
          <w:rFonts w:cs="Calibri"/>
          <w:color w:val="000000"/>
        </w:rPr>
        <w:t>the accused</w:t>
      </w:r>
      <w:r w:rsidR="00235A0C" w:rsidRPr="003A13C9">
        <w:rPr>
          <w:rFonts w:cs="Calibri"/>
          <w:color w:val="000000"/>
        </w:rPr>
        <w:t xml:space="preserve"> is guilty of a </w:t>
      </w:r>
      <w:proofErr w:type="gramStart"/>
      <w:r w:rsidR="00235A0C" w:rsidRPr="003A13C9">
        <w:rPr>
          <w:rFonts w:cs="Calibri"/>
          <w:color w:val="000000"/>
        </w:rPr>
        <w:t>charge</w:t>
      </w:r>
      <w:proofErr w:type="gramEnd"/>
    </w:p>
    <w:p w14:paraId="77E77788" w14:textId="77777777" w:rsidR="000A1274" w:rsidRPr="003A13C9" w:rsidRDefault="00C62F0E" w:rsidP="000A1274">
      <w:pPr>
        <w:pStyle w:val="ListParagraph"/>
        <w:widowControl w:val="0"/>
        <w:numPr>
          <w:ilvl w:val="0"/>
          <w:numId w:val="11"/>
        </w:numPr>
        <w:autoSpaceDE w:val="0"/>
        <w:autoSpaceDN w:val="0"/>
        <w:adjustRightInd w:val="0"/>
        <w:jc w:val="both"/>
        <w:rPr>
          <w:rFonts w:cs="Calibri"/>
          <w:color w:val="000000"/>
        </w:rPr>
      </w:pPr>
      <w:r w:rsidRPr="003A13C9">
        <w:rPr>
          <w:rFonts w:cs="Calibri"/>
          <w:color w:val="000000"/>
        </w:rPr>
        <w:t>Legal advice provided to the</w:t>
      </w:r>
      <w:r w:rsidR="004B3E7E" w:rsidRPr="003A13C9">
        <w:rPr>
          <w:rFonts w:cs="Calibri"/>
          <w:color w:val="000000"/>
        </w:rPr>
        <w:t xml:space="preserve"> accused </w:t>
      </w:r>
    </w:p>
    <w:p w14:paraId="4E3AA54E" w14:textId="77777777" w:rsidR="000A1274" w:rsidRPr="003A13C9" w:rsidRDefault="00C62F0E" w:rsidP="000A1274">
      <w:pPr>
        <w:pStyle w:val="ListParagraph"/>
        <w:widowControl w:val="0"/>
        <w:numPr>
          <w:ilvl w:val="0"/>
          <w:numId w:val="11"/>
        </w:numPr>
        <w:autoSpaceDE w:val="0"/>
        <w:autoSpaceDN w:val="0"/>
        <w:adjustRightInd w:val="0"/>
        <w:jc w:val="both"/>
        <w:rPr>
          <w:rFonts w:cs="Calibri"/>
          <w:color w:val="000000"/>
        </w:rPr>
      </w:pPr>
      <w:r w:rsidRPr="003A13C9">
        <w:rPr>
          <w:rFonts w:cs="Calibri"/>
          <w:color w:val="000000"/>
        </w:rPr>
        <w:t xml:space="preserve">Is the accused likely to be </w:t>
      </w:r>
      <w:proofErr w:type="gramStart"/>
      <w:r w:rsidRPr="003A13C9">
        <w:rPr>
          <w:rFonts w:cs="Calibri"/>
          <w:color w:val="000000"/>
        </w:rPr>
        <w:t>imprisoned</w:t>
      </w:r>
      <w:proofErr w:type="gramEnd"/>
    </w:p>
    <w:p w14:paraId="4552389E" w14:textId="3AE4860A" w:rsidR="00235A0C" w:rsidRPr="003A13C9" w:rsidRDefault="00235A0C" w:rsidP="000A1274">
      <w:pPr>
        <w:pStyle w:val="ListParagraph"/>
        <w:widowControl w:val="0"/>
        <w:numPr>
          <w:ilvl w:val="0"/>
          <w:numId w:val="11"/>
        </w:numPr>
        <w:autoSpaceDE w:val="0"/>
        <w:autoSpaceDN w:val="0"/>
        <w:adjustRightInd w:val="0"/>
        <w:jc w:val="both"/>
        <w:rPr>
          <w:rFonts w:cs="Calibri"/>
          <w:color w:val="000000"/>
        </w:rPr>
      </w:pPr>
      <w:r w:rsidRPr="003A13C9">
        <w:rPr>
          <w:rFonts w:cs="Calibri"/>
          <w:color w:val="000000"/>
        </w:rPr>
        <w:t>The pers</w:t>
      </w:r>
      <w:r w:rsidR="004B3E7E" w:rsidRPr="003A13C9">
        <w:rPr>
          <w:rFonts w:cs="Calibri"/>
          <w:color w:val="000000"/>
        </w:rPr>
        <w:t xml:space="preserve">onality type of that client – some accused </w:t>
      </w:r>
      <w:r w:rsidR="00C62F0E" w:rsidRPr="003A13C9">
        <w:rPr>
          <w:rFonts w:cs="Calibri"/>
          <w:color w:val="000000"/>
        </w:rPr>
        <w:t>will</w:t>
      </w:r>
      <w:r w:rsidRPr="003A13C9">
        <w:rPr>
          <w:rFonts w:cs="Calibri"/>
          <w:color w:val="000000"/>
        </w:rPr>
        <w:t xml:space="preserve"> not plea</w:t>
      </w:r>
      <w:r w:rsidR="004B3E7E" w:rsidRPr="003A13C9">
        <w:rPr>
          <w:rFonts w:cs="Calibri"/>
          <w:color w:val="000000"/>
        </w:rPr>
        <w:t>d</w:t>
      </w:r>
      <w:r w:rsidRPr="003A13C9">
        <w:rPr>
          <w:rFonts w:cs="Calibri"/>
          <w:color w:val="000000"/>
        </w:rPr>
        <w:t xml:space="preserve"> guilty regardless of the evidence or the advice.</w:t>
      </w:r>
    </w:p>
    <w:p w14:paraId="66AA1C2D" w14:textId="77777777" w:rsidR="00C62F0E" w:rsidRPr="003A13C9" w:rsidRDefault="00C62F0E" w:rsidP="00B8655A">
      <w:pPr>
        <w:ind w:right="-347"/>
        <w:jc w:val="both"/>
        <w:rPr>
          <w:rFonts w:cs="Calibri"/>
          <w:color w:val="000000"/>
        </w:rPr>
      </w:pPr>
    </w:p>
    <w:p w14:paraId="47AB97FB" w14:textId="77777777" w:rsidR="002B1CBD" w:rsidRPr="003A13C9" w:rsidRDefault="00235A0C" w:rsidP="00B8655A">
      <w:pPr>
        <w:ind w:right="-347"/>
        <w:jc w:val="both"/>
        <w:rPr>
          <w:rFonts w:cs="Calibri"/>
          <w:color w:val="000000"/>
        </w:rPr>
      </w:pPr>
      <w:r w:rsidRPr="003A13C9">
        <w:rPr>
          <w:rFonts w:cs="Calibri"/>
          <w:color w:val="000000"/>
        </w:rPr>
        <w:t xml:space="preserve">There are other </w:t>
      </w:r>
      <w:r w:rsidR="00C62F0E" w:rsidRPr="003A13C9">
        <w:rPr>
          <w:rFonts w:cs="Calibri"/>
          <w:color w:val="000000"/>
        </w:rPr>
        <w:t>considerations that influence plea decisions</w:t>
      </w:r>
      <w:r w:rsidRPr="003A13C9">
        <w:rPr>
          <w:rFonts w:cs="Calibri"/>
          <w:color w:val="000000"/>
        </w:rPr>
        <w:t xml:space="preserve">, but </w:t>
      </w:r>
      <w:r w:rsidR="00C62F0E" w:rsidRPr="003A13C9">
        <w:rPr>
          <w:rFonts w:cs="Calibri"/>
          <w:color w:val="000000"/>
        </w:rPr>
        <w:t xml:space="preserve">the factors listed above are the most common. </w:t>
      </w:r>
    </w:p>
    <w:p w14:paraId="1A1E80E0" w14:textId="77777777" w:rsidR="002B1CBD" w:rsidRPr="003A13C9" w:rsidRDefault="002B1CBD" w:rsidP="00B8655A">
      <w:pPr>
        <w:ind w:right="-347"/>
        <w:jc w:val="both"/>
        <w:rPr>
          <w:rFonts w:cs="Calibri"/>
          <w:color w:val="000000"/>
        </w:rPr>
      </w:pPr>
    </w:p>
    <w:p w14:paraId="62F3696C" w14:textId="01DEF1B5" w:rsidR="002B1CBD" w:rsidRPr="003A13C9" w:rsidRDefault="0022614F" w:rsidP="00B8655A">
      <w:pPr>
        <w:pStyle w:val="ListParagraph"/>
        <w:numPr>
          <w:ilvl w:val="0"/>
          <w:numId w:val="6"/>
        </w:numPr>
        <w:ind w:right="-347"/>
        <w:jc w:val="both"/>
        <w:rPr>
          <w:rFonts w:cs="Calibri"/>
          <w:color w:val="000000"/>
        </w:rPr>
      </w:pPr>
      <w:r w:rsidRPr="003A13C9">
        <w:rPr>
          <w:b/>
          <w:bCs/>
        </w:rPr>
        <w:t xml:space="preserve">In your experience, how many guilty pleas are to different charges than original charges or </w:t>
      </w:r>
      <w:r w:rsidRPr="003A13C9">
        <w:rPr>
          <w:b/>
        </w:rPr>
        <w:t xml:space="preserve">occur </w:t>
      </w:r>
      <w:r w:rsidR="008F3263" w:rsidRPr="003A13C9">
        <w:rPr>
          <w:b/>
        </w:rPr>
        <w:t>because of</w:t>
      </w:r>
      <w:r w:rsidRPr="003A13C9">
        <w:rPr>
          <w:b/>
        </w:rPr>
        <w:t xml:space="preserve"> plea negotiations?</w:t>
      </w:r>
    </w:p>
    <w:p w14:paraId="7ECC9342" w14:textId="77777777" w:rsidR="00634EE6" w:rsidRPr="003A13C9" w:rsidRDefault="00634EE6" w:rsidP="00B8655A">
      <w:pPr>
        <w:ind w:right="-347"/>
        <w:jc w:val="both"/>
      </w:pPr>
    </w:p>
    <w:p w14:paraId="6C7F9BC9" w14:textId="2E029E49" w:rsidR="002B1CBD" w:rsidRPr="003A13C9" w:rsidRDefault="004B56D9" w:rsidP="00B8655A">
      <w:pPr>
        <w:ind w:right="-347"/>
        <w:jc w:val="both"/>
        <w:rPr>
          <w:rFonts w:cs="Calibri"/>
          <w:color w:val="000000"/>
        </w:rPr>
      </w:pPr>
      <w:r w:rsidRPr="003A13C9">
        <w:t xml:space="preserve">In our experience </w:t>
      </w:r>
      <w:r w:rsidR="00273B0D" w:rsidRPr="003A13C9">
        <w:t>the ‘plea deal’</w:t>
      </w:r>
      <w:r w:rsidRPr="003A13C9">
        <w:t xml:space="preserve"> operates in summary jurisdictions in </w:t>
      </w:r>
      <w:r w:rsidR="001D212D" w:rsidRPr="003A13C9">
        <w:t>circumstances where the S</w:t>
      </w:r>
      <w:r w:rsidR="008F531E" w:rsidRPr="003A13C9">
        <w:t>tate will not proceed with matters that are contestable in exchange for pleas to those charges where the evidence is strong.</w:t>
      </w:r>
      <w:r w:rsidR="00273B0D" w:rsidRPr="003A13C9">
        <w:t xml:space="preserve"> </w:t>
      </w:r>
      <w:r w:rsidR="005C2871" w:rsidRPr="003A13C9">
        <w:t xml:space="preserve">Generally, this is easier to achieve if the accused has been charged with a large number of offences. </w:t>
      </w:r>
    </w:p>
    <w:p w14:paraId="68391236" w14:textId="77777777" w:rsidR="002B1CBD" w:rsidRPr="003A13C9" w:rsidRDefault="002B1CBD" w:rsidP="00B8655A">
      <w:pPr>
        <w:ind w:right="-347"/>
        <w:jc w:val="both"/>
        <w:rPr>
          <w:rFonts w:cs="Calibri"/>
          <w:color w:val="000000"/>
        </w:rPr>
      </w:pPr>
    </w:p>
    <w:p w14:paraId="14A4915E" w14:textId="77777777" w:rsidR="009F750E" w:rsidRPr="003A13C9" w:rsidRDefault="008F531E" w:rsidP="00B8655A">
      <w:pPr>
        <w:ind w:right="-347"/>
        <w:jc w:val="both"/>
        <w:rPr>
          <w:rFonts w:cs="Calibri"/>
          <w:color w:val="000000"/>
        </w:rPr>
      </w:pPr>
      <w:r w:rsidRPr="003A13C9">
        <w:t xml:space="preserve">However, there is less negotiation in summary courts where the accused is charged with indictable offences. This is because the </w:t>
      </w:r>
      <w:r w:rsidR="005C2871" w:rsidRPr="003A13C9">
        <w:t>Director of Public Prosecutions</w:t>
      </w:r>
      <w:r w:rsidRPr="003A13C9">
        <w:t xml:space="preserve"> is </w:t>
      </w:r>
      <w:r w:rsidR="006D4A37" w:rsidRPr="003A13C9">
        <w:t>reluctant</w:t>
      </w:r>
      <w:r w:rsidRPr="003A13C9">
        <w:t xml:space="preserve"> to neg</w:t>
      </w:r>
      <w:r w:rsidR="005C2871" w:rsidRPr="003A13C9">
        <w:t>otiate</w:t>
      </w:r>
      <w:r w:rsidRPr="003A13C9">
        <w:t xml:space="preserve">. </w:t>
      </w:r>
      <w:r w:rsidR="00F45695" w:rsidRPr="003A13C9">
        <w:t xml:space="preserve">Anecdotally, we are aware of a large number of </w:t>
      </w:r>
      <w:r w:rsidR="005C2871" w:rsidRPr="003A13C9">
        <w:t>indictable matters may be resolved through an ‘alternative verdict’</w:t>
      </w:r>
      <w:r w:rsidR="00791B54" w:rsidRPr="003A13C9">
        <w:t xml:space="preserve"> with one </w:t>
      </w:r>
      <w:r w:rsidR="006D4A37" w:rsidRPr="003A13C9">
        <w:t xml:space="preserve">senior </w:t>
      </w:r>
      <w:r w:rsidR="00791B54" w:rsidRPr="003A13C9">
        <w:t xml:space="preserve">criminal lawyer </w:t>
      </w:r>
      <w:r w:rsidR="006D4A37" w:rsidRPr="003A13C9">
        <w:t>observing that 10 of his last 13 trials ended with an alternative verdict, 2 not guilty verdicts and 1 guilty verdict on the primary indictment charge.</w:t>
      </w:r>
      <w:r w:rsidR="00895EE7" w:rsidRPr="003A13C9">
        <w:t xml:space="preserve"> If these observations are representative, then clearly reform is needed. </w:t>
      </w:r>
    </w:p>
    <w:p w14:paraId="53BBC9FB" w14:textId="77777777" w:rsidR="009F750E" w:rsidRPr="003A13C9" w:rsidRDefault="009F750E" w:rsidP="00B8655A">
      <w:pPr>
        <w:ind w:right="-347"/>
        <w:jc w:val="both"/>
        <w:rPr>
          <w:rFonts w:cs="Calibri"/>
          <w:color w:val="000000"/>
        </w:rPr>
      </w:pPr>
    </w:p>
    <w:p w14:paraId="561E9E9B" w14:textId="6D20921D" w:rsidR="009F750E" w:rsidRPr="003A13C9" w:rsidRDefault="0022614F" w:rsidP="00B8655A">
      <w:pPr>
        <w:pStyle w:val="ListParagraph"/>
        <w:numPr>
          <w:ilvl w:val="0"/>
          <w:numId w:val="6"/>
        </w:numPr>
        <w:ind w:right="-347"/>
        <w:jc w:val="both"/>
        <w:rPr>
          <w:rFonts w:cs="Calibri"/>
          <w:color w:val="000000"/>
        </w:rPr>
      </w:pPr>
      <w:r w:rsidRPr="003A13C9">
        <w:rPr>
          <w:b/>
        </w:rPr>
        <w:t>In Tasmania, do you consider that there is a sentencing benefit to an offender from entering a plea of</w:t>
      </w:r>
      <w:r w:rsidR="00C95D3D" w:rsidRPr="003A13C9">
        <w:rPr>
          <w:b/>
        </w:rPr>
        <w:t xml:space="preserve"> </w:t>
      </w:r>
      <w:r w:rsidRPr="003A13C9">
        <w:rPr>
          <w:b/>
        </w:rPr>
        <w:t>guilty and/or from entering an early plea of guilty compared to a late plea of guilty?</w:t>
      </w:r>
    </w:p>
    <w:p w14:paraId="093A5659" w14:textId="77777777" w:rsidR="00634EE6" w:rsidRPr="003A13C9" w:rsidRDefault="00634EE6" w:rsidP="00B8655A">
      <w:pPr>
        <w:ind w:right="-347"/>
        <w:jc w:val="both"/>
      </w:pPr>
    </w:p>
    <w:p w14:paraId="56FE2DF5" w14:textId="60F0074F" w:rsidR="009F750E" w:rsidRPr="003A13C9" w:rsidRDefault="002004F3" w:rsidP="00B8655A">
      <w:pPr>
        <w:ind w:right="-347"/>
        <w:jc w:val="both"/>
        <w:rPr>
          <w:rFonts w:cs="Calibri"/>
          <w:color w:val="000000"/>
        </w:rPr>
      </w:pPr>
      <w:r w:rsidRPr="003A13C9">
        <w:t xml:space="preserve">There is a sentencing benefit </w:t>
      </w:r>
      <w:r w:rsidR="00094F1A" w:rsidRPr="003A13C9">
        <w:t>for an</w:t>
      </w:r>
      <w:r w:rsidRPr="003A13C9">
        <w:t xml:space="preserve"> offender </w:t>
      </w:r>
      <w:r w:rsidR="00094F1A" w:rsidRPr="003A13C9">
        <w:t>to enter</w:t>
      </w:r>
      <w:r w:rsidRPr="003A13C9">
        <w:t xml:space="preserve"> a</w:t>
      </w:r>
      <w:r w:rsidR="00094F1A" w:rsidRPr="003A13C9">
        <w:t>n early</w:t>
      </w:r>
      <w:r w:rsidRPr="003A13C9">
        <w:t xml:space="preserve"> plea of guilty compared to a late p</w:t>
      </w:r>
      <w:r w:rsidR="00094F1A" w:rsidRPr="003A13C9">
        <w:t xml:space="preserve">lea of guilty. </w:t>
      </w:r>
      <w:r w:rsidR="001D212D" w:rsidRPr="003A13C9">
        <w:t xml:space="preserve">We are aware of </w:t>
      </w:r>
      <w:r w:rsidR="00094F1A" w:rsidRPr="003A13C9">
        <w:t xml:space="preserve">very few judicial officers who give any weight </w:t>
      </w:r>
      <w:r w:rsidRPr="003A13C9">
        <w:t>to late pleas</w:t>
      </w:r>
      <w:r w:rsidR="00094F1A" w:rsidRPr="003A13C9">
        <w:t xml:space="preserve"> of guilty</w:t>
      </w:r>
      <w:r w:rsidR="00D63C36" w:rsidRPr="003A13C9">
        <w:t xml:space="preserve">, even </w:t>
      </w:r>
      <w:r w:rsidR="00094F1A" w:rsidRPr="003A13C9">
        <w:t>in circumstances in which</w:t>
      </w:r>
      <w:r w:rsidR="00D63C36" w:rsidRPr="003A13C9">
        <w:t xml:space="preserve"> </w:t>
      </w:r>
      <w:r w:rsidR="00095E1A" w:rsidRPr="003A13C9">
        <w:t>those</w:t>
      </w:r>
      <w:r w:rsidR="00094F1A" w:rsidRPr="003A13C9">
        <w:t xml:space="preserve"> pleas are the result of late dis</w:t>
      </w:r>
      <w:r w:rsidR="001D212D" w:rsidRPr="003A13C9">
        <w:t>closure of new material by the S</w:t>
      </w:r>
      <w:r w:rsidR="00094F1A" w:rsidRPr="003A13C9">
        <w:t xml:space="preserve">tate. </w:t>
      </w:r>
    </w:p>
    <w:p w14:paraId="5FF6EE07" w14:textId="77777777" w:rsidR="009F750E" w:rsidRPr="003A13C9" w:rsidRDefault="009F750E" w:rsidP="00B8655A">
      <w:pPr>
        <w:ind w:right="-347"/>
        <w:jc w:val="both"/>
        <w:rPr>
          <w:rFonts w:cs="Calibri"/>
          <w:color w:val="000000"/>
        </w:rPr>
      </w:pPr>
    </w:p>
    <w:p w14:paraId="4F5E63FA" w14:textId="77777777" w:rsidR="003A13C9" w:rsidRPr="003A13C9" w:rsidRDefault="003A13C9" w:rsidP="00B8655A">
      <w:pPr>
        <w:ind w:right="-347"/>
        <w:jc w:val="both"/>
        <w:rPr>
          <w:rFonts w:cs="Calibri"/>
          <w:color w:val="000000"/>
        </w:rPr>
      </w:pPr>
    </w:p>
    <w:p w14:paraId="732E5106" w14:textId="77777777" w:rsidR="003A13C9" w:rsidRPr="003A13C9" w:rsidRDefault="003A13C9" w:rsidP="00B8655A">
      <w:pPr>
        <w:ind w:right="-347"/>
        <w:jc w:val="both"/>
        <w:rPr>
          <w:rFonts w:cs="Calibri"/>
          <w:color w:val="000000"/>
        </w:rPr>
      </w:pPr>
    </w:p>
    <w:p w14:paraId="385BA7D8" w14:textId="3114C208" w:rsidR="009F750E" w:rsidRPr="003A13C9" w:rsidRDefault="0022614F" w:rsidP="00B8655A">
      <w:pPr>
        <w:pStyle w:val="ListParagraph"/>
        <w:numPr>
          <w:ilvl w:val="0"/>
          <w:numId w:val="6"/>
        </w:numPr>
        <w:ind w:right="-347"/>
        <w:jc w:val="both"/>
        <w:rPr>
          <w:rFonts w:cs="Calibri"/>
          <w:color w:val="000000"/>
        </w:rPr>
      </w:pPr>
      <w:r w:rsidRPr="003A13C9">
        <w:rPr>
          <w:b/>
        </w:rPr>
        <w:lastRenderedPageBreak/>
        <w:t xml:space="preserve">Should the </w:t>
      </w:r>
      <w:r w:rsidRPr="003A13C9">
        <w:rPr>
          <w:b/>
          <w:i/>
        </w:rPr>
        <w:t>Sentencing Act 1997</w:t>
      </w:r>
      <w:r w:rsidRPr="003A13C9">
        <w:rPr>
          <w:b/>
        </w:rPr>
        <w:t xml:space="preserve"> (</w:t>
      </w:r>
      <w:proofErr w:type="spellStart"/>
      <w:r w:rsidRPr="003A13C9">
        <w:rPr>
          <w:b/>
        </w:rPr>
        <w:t>Tas</w:t>
      </w:r>
      <w:proofErr w:type="spellEnd"/>
      <w:r w:rsidRPr="003A13C9">
        <w:rPr>
          <w:b/>
        </w:rPr>
        <w:t>) be amended to provide that a guilty plea is a mitigating factor</w:t>
      </w:r>
      <w:r w:rsidR="00C95D3D" w:rsidRPr="003A13C9">
        <w:rPr>
          <w:b/>
        </w:rPr>
        <w:t xml:space="preserve"> </w:t>
      </w:r>
      <w:r w:rsidRPr="003A13C9">
        <w:rPr>
          <w:b/>
        </w:rPr>
        <w:t>relevant to the sentence imposed?</w:t>
      </w:r>
    </w:p>
    <w:p w14:paraId="1E0F421E" w14:textId="77777777" w:rsidR="00634EE6" w:rsidRPr="003A13C9" w:rsidRDefault="00634EE6" w:rsidP="00B8655A">
      <w:pPr>
        <w:ind w:right="-347"/>
        <w:jc w:val="both"/>
      </w:pPr>
    </w:p>
    <w:p w14:paraId="179CC85C" w14:textId="77777777" w:rsidR="00DD0E3D" w:rsidRPr="003A13C9" w:rsidRDefault="00F358E3" w:rsidP="00B8655A">
      <w:pPr>
        <w:ind w:right="-347"/>
        <w:jc w:val="both"/>
      </w:pPr>
      <w:r w:rsidRPr="003A13C9">
        <w:t xml:space="preserve">We strongly support the creation of a statutory provision in the </w:t>
      </w:r>
      <w:r w:rsidRPr="003A13C9">
        <w:rPr>
          <w:i/>
        </w:rPr>
        <w:t>Sentencing Act 1997</w:t>
      </w:r>
      <w:r w:rsidRPr="003A13C9">
        <w:t xml:space="preserve"> (</w:t>
      </w:r>
      <w:proofErr w:type="spellStart"/>
      <w:r w:rsidRPr="003A13C9">
        <w:t>Tas</w:t>
      </w:r>
      <w:proofErr w:type="spellEnd"/>
      <w:r w:rsidRPr="003A13C9">
        <w:t>)</w:t>
      </w:r>
      <w:r w:rsidR="00095E1A" w:rsidRPr="003A13C9">
        <w:t xml:space="preserve"> as a means of clarifying the sentencing discount for a guilty plea as a mitigating factor. We believe that such a reform will create certainty for offenders and their counsel as well as enshrining the judicial view that there is a utilita</w:t>
      </w:r>
      <w:r w:rsidR="00DD0E3D" w:rsidRPr="003A13C9">
        <w:t xml:space="preserve">rian value in a guilty plea.  </w:t>
      </w:r>
    </w:p>
    <w:p w14:paraId="666A0108" w14:textId="77777777" w:rsidR="00DD0E3D" w:rsidRPr="003A13C9" w:rsidRDefault="00DD0E3D" w:rsidP="00B8655A">
      <w:pPr>
        <w:ind w:right="-347"/>
        <w:jc w:val="both"/>
      </w:pPr>
    </w:p>
    <w:p w14:paraId="734AF04B" w14:textId="72D2FF9C" w:rsidR="00DD0E3D" w:rsidRPr="003A13C9" w:rsidRDefault="0022614F" w:rsidP="00B8655A">
      <w:pPr>
        <w:pStyle w:val="ListParagraph"/>
        <w:numPr>
          <w:ilvl w:val="0"/>
          <w:numId w:val="6"/>
        </w:numPr>
        <w:ind w:right="-347"/>
        <w:jc w:val="both"/>
        <w:rPr>
          <w:rFonts w:cs="Calibri"/>
          <w:color w:val="000000"/>
        </w:rPr>
      </w:pPr>
      <w:r w:rsidRPr="003A13C9">
        <w:rPr>
          <w:b/>
        </w:rPr>
        <w:t>Should the statutory scheme set out the extent of the discount as a percentage reduction in</w:t>
      </w:r>
      <w:r w:rsidR="00C95D3D" w:rsidRPr="003A13C9">
        <w:rPr>
          <w:b/>
        </w:rPr>
        <w:t xml:space="preserve"> </w:t>
      </w:r>
      <w:r w:rsidRPr="003A13C9">
        <w:rPr>
          <w:b/>
        </w:rPr>
        <w:t>sentence?</w:t>
      </w:r>
    </w:p>
    <w:p w14:paraId="4A682BB3" w14:textId="77777777" w:rsidR="00634EE6" w:rsidRPr="003A13C9" w:rsidRDefault="00634EE6" w:rsidP="00B8655A">
      <w:pPr>
        <w:ind w:right="-347"/>
        <w:jc w:val="both"/>
      </w:pPr>
    </w:p>
    <w:p w14:paraId="7581F9D3" w14:textId="5A424100" w:rsidR="00F81C79" w:rsidRPr="003A13C9" w:rsidRDefault="00F81C79" w:rsidP="00B8655A">
      <w:pPr>
        <w:ind w:right="-347"/>
        <w:jc w:val="both"/>
        <w:rPr>
          <w:rFonts w:cs="Calibri"/>
          <w:color w:val="000000"/>
        </w:rPr>
      </w:pPr>
      <w:r w:rsidRPr="003A13C9">
        <w:t xml:space="preserve">We </w:t>
      </w:r>
      <w:r w:rsidR="00703AD5" w:rsidRPr="003A13C9">
        <w:t>do not support a</w:t>
      </w:r>
      <w:r w:rsidRPr="003A13C9">
        <w:t xml:space="preserve"> statutory scheme setting out the extent of the dis</w:t>
      </w:r>
      <w:r w:rsidR="00703AD5" w:rsidRPr="003A13C9">
        <w:t xml:space="preserve">count as a percentage reduction. In our opinion it </w:t>
      </w:r>
      <w:r w:rsidR="00614F27" w:rsidRPr="003A13C9">
        <w:t xml:space="preserve">is likely to amount to a blunt instrument. </w:t>
      </w:r>
      <w:r w:rsidR="00703AD5" w:rsidRPr="003A13C9">
        <w:t>The amount of the discount may be</w:t>
      </w:r>
      <w:r w:rsidR="00614F27" w:rsidRPr="003A13C9">
        <w:t xml:space="preserve"> counterproductive</w:t>
      </w:r>
      <w:r w:rsidR="00703AD5" w:rsidRPr="003A13C9">
        <w:t xml:space="preserve"> either because</w:t>
      </w:r>
      <w:r w:rsidR="00BA6F07" w:rsidRPr="003A13C9">
        <w:t xml:space="preserve"> it is set too low and result</w:t>
      </w:r>
      <w:r w:rsidR="00703AD5" w:rsidRPr="003A13C9">
        <w:t xml:space="preserve"> in accused persons choos</w:t>
      </w:r>
      <w:r w:rsidR="00BA6F07" w:rsidRPr="003A13C9">
        <w:t xml:space="preserve">ing to take the risk of </w:t>
      </w:r>
      <w:r w:rsidR="00433DEC" w:rsidRPr="003A13C9">
        <w:t xml:space="preserve">a finding of guilt and </w:t>
      </w:r>
      <w:r w:rsidR="00BA6F07" w:rsidRPr="003A13C9">
        <w:t xml:space="preserve">imprisonment </w:t>
      </w:r>
      <w:r w:rsidR="00703AD5" w:rsidRPr="003A13C9">
        <w:t xml:space="preserve">or because it is set too high and innocent </w:t>
      </w:r>
      <w:r w:rsidR="00BA6F07" w:rsidRPr="003A13C9">
        <w:t xml:space="preserve">persons </w:t>
      </w:r>
      <w:r w:rsidR="00703AD5" w:rsidRPr="003A13C9">
        <w:t xml:space="preserve">plead guilty to avoid the </w:t>
      </w:r>
      <w:r w:rsidR="00BA6F07" w:rsidRPr="003A13C9">
        <w:t>possibility</w:t>
      </w:r>
      <w:r w:rsidR="00703AD5" w:rsidRPr="003A13C9">
        <w:t xml:space="preserve"> of a longer sentence. </w:t>
      </w:r>
    </w:p>
    <w:p w14:paraId="223DDDB5" w14:textId="77777777" w:rsidR="00C95D3D" w:rsidRPr="003A13C9" w:rsidRDefault="00C95D3D" w:rsidP="00B8655A">
      <w:pPr>
        <w:ind w:right="-347"/>
        <w:jc w:val="both"/>
        <w:rPr>
          <w:b/>
        </w:rPr>
      </w:pPr>
    </w:p>
    <w:p w14:paraId="6171A45F" w14:textId="77777777" w:rsidR="00C35DAD" w:rsidRPr="003A13C9" w:rsidRDefault="00C35DAD" w:rsidP="00696045">
      <w:pPr>
        <w:pStyle w:val="ListParagraph"/>
        <w:numPr>
          <w:ilvl w:val="0"/>
          <w:numId w:val="6"/>
        </w:numPr>
        <w:ind w:right="-347"/>
        <w:jc w:val="both"/>
        <w:rPr>
          <w:rFonts w:eastAsia="Times New Roman" w:cs="Times New Roman"/>
          <w:b/>
          <w:lang w:val="en-AU"/>
        </w:rPr>
      </w:pPr>
      <w:r w:rsidRPr="003A13C9">
        <w:rPr>
          <w:rFonts w:eastAsia="Times New Roman" w:cs="Times New Roman"/>
          <w:b/>
          <w:lang w:val="en-AU"/>
        </w:rPr>
        <w:t xml:space="preserve">(a) </w:t>
      </w:r>
      <w:r w:rsidR="00421011" w:rsidRPr="003A13C9">
        <w:rPr>
          <w:rFonts w:eastAsia="Times New Roman" w:cs="Times New Roman"/>
          <w:b/>
          <w:lang w:val="en-AU"/>
        </w:rPr>
        <w:t xml:space="preserve">Should the court be required to state how much weight has been given to the guilty plea and its effect on the sentence imposed? </w:t>
      </w:r>
    </w:p>
    <w:p w14:paraId="189CEDFE" w14:textId="77777777" w:rsidR="00C35DAD" w:rsidRPr="003A13C9" w:rsidRDefault="00421011" w:rsidP="00696045">
      <w:pPr>
        <w:pStyle w:val="ListParagraph"/>
        <w:ind w:right="-347"/>
        <w:jc w:val="both"/>
        <w:rPr>
          <w:rFonts w:eastAsia="Times New Roman" w:cs="Times New Roman"/>
          <w:b/>
          <w:lang w:val="en-AU"/>
        </w:rPr>
      </w:pPr>
      <w:r w:rsidRPr="003A13C9">
        <w:rPr>
          <w:rFonts w:eastAsia="Times New Roman" w:cs="Times New Roman"/>
          <w:b/>
          <w:lang w:val="en-AU"/>
        </w:rPr>
        <w:t xml:space="preserve">(b) Or should the court be permitted (but not obligated) to state how much weight has been given to the guilty plea and its effect on the sentence imposed? </w:t>
      </w:r>
    </w:p>
    <w:p w14:paraId="622C02C5" w14:textId="5762EC68" w:rsidR="00421011" w:rsidRPr="003A13C9" w:rsidRDefault="00421011" w:rsidP="00696045">
      <w:pPr>
        <w:pStyle w:val="ListParagraph"/>
        <w:ind w:right="-347"/>
        <w:jc w:val="both"/>
        <w:rPr>
          <w:rFonts w:eastAsia="Times New Roman" w:cs="Times New Roman"/>
          <w:b/>
          <w:lang w:val="en-AU"/>
        </w:rPr>
      </w:pPr>
      <w:r w:rsidRPr="003A13C9">
        <w:rPr>
          <w:rFonts w:eastAsia="Times New Roman" w:cs="Times New Roman"/>
          <w:b/>
          <w:lang w:val="en-AU"/>
        </w:rPr>
        <w:t>(c) Or should there be a different position that applies to different sentence types to only impose the obligation on the court to state how much weight has been given to the guilty plea and its effect on the sentence imposed for more serious offences? If so, how should this be defined?</w:t>
      </w:r>
    </w:p>
    <w:p w14:paraId="45888B3C" w14:textId="77777777" w:rsidR="00634EE6" w:rsidRPr="003A13C9" w:rsidRDefault="00634EE6" w:rsidP="00B8655A">
      <w:pPr>
        <w:ind w:right="-347"/>
        <w:jc w:val="both"/>
        <w:rPr>
          <w:color w:val="000000" w:themeColor="text1"/>
        </w:rPr>
      </w:pPr>
    </w:p>
    <w:p w14:paraId="1FF45CCB" w14:textId="5B6F1EA7" w:rsidR="00172C6F" w:rsidRPr="003A13C9" w:rsidRDefault="00BB4435" w:rsidP="00B8655A">
      <w:pPr>
        <w:ind w:right="-347"/>
        <w:jc w:val="both"/>
        <w:rPr>
          <w:color w:val="000000" w:themeColor="text1"/>
        </w:rPr>
      </w:pPr>
      <w:r w:rsidRPr="003A13C9">
        <w:rPr>
          <w:color w:val="000000" w:themeColor="text1"/>
        </w:rPr>
        <w:t xml:space="preserve">We </w:t>
      </w:r>
      <w:r w:rsidR="00172C6F" w:rsidRPr="003A13C9">
        <w:rPr>
          <w:color w:val="000000" w:themeColor="text1"/>
        </w:rPr>
        <w:t xml:space="preserve">strongly </w:t>
      </w:r>
      <w:r w:rsidRPr="003A13C9">
        <w:rPr>
          <w:color w:val="000000" w:themeColor="text1"/>
        </w:rPr>
        <w:t>believe that the court should be required to state the weight that has been given to the guilty plea and its effect on the sentence imposed</w:t>
      </w:r>
      <w:r w:rsidR="00172C6F" w:rsidRPr="003A13C9">
        <w:rPr>
          <w:color w:val="000000" w:themeColor="text1"/>
        </w:rPr>
        <w:t xml:space="preserve"> and believe that</w:t>
      </w:r>
      <w:r w:rsidR="0028141D" w:rsidRPr="003A13C9">
        <w:rPr>
          <w:color w:val="000000" w:themeColor="text1"/>
        </w:rPr>
        <w:t xml:space="preserve"> </w:t>
      </w:r>
      <w:r w:rsidR="00172C6F" w:rsidRPr="003A13C9">
        <w:rPr>
          <w:color w:val="000000" w:themeColor="text1"/>
        </w:rPr>
        <w:t xml:space="preserve">the </w:t>
      </w:r>
      <w:r w:rsidR="006D3820" w:rsidRPr="003A13C9">
        <w:rPr>
          <w:color w:val="000000" w:themeColor="text1"/>
        </w:rPr>
        <w:t xml:space="preserve">Victorian </w:t>
      </w:r>
      <w:r w:rsidR="00172C6F" w:rsidRPr="003A13C9">
        <w:rPr>
          <w:color w:val="000000" w:themeColor="text1"/>
        </w:rPr>
        <w:t>approach provides a good model.</w:t>
      </w:r>
      <w:r w:rsidR="00172C6F" w:rsidRPr="003A13C9">
        <w:rPr>
          <w:rStyle w:val="FootnoteReference"/>
          <w:color w:val="000000" w:themeColor="text1"/>
        </w:rPr>
        <w:footnoteReference w:id="5"/>
      </w:r>
      <w:r w:rsidR="00CC77D3" w:rsidRPr="003A13C9">
        <w:rPr>
          <w:color w:val="000000" w:themeColor="text1"/>
        </w:rPr>
        <w:t xml:space="preserve"> </w:t>
      </w:r>
      <w:r w:rsidR="00172C6F" w:rsidRPr="003A13C9">
        <w:rPr>
          <w:color w:val="000000" w:themeColor="text1"/>
        </w:rPr>
        <w:t>In our opinion</w:t>
      </w:r>
      <w:r w:rsidR="000D38DE" w:rsidRPr="003A13C9">
        <w:rPr>
          <w:color w:val="000000" w:themeColor="text1"/>
        </w:rPr>
        <w:t>,</w:t>
      </w:r>
      <w:r w:rsidR="00172C6F" w:rsidRPr="003A13C9">
        <w:rPr>
          <w:color w:val="000000" w:themeColor="text1"/>
        </w:rPr>
        <w:t xml:space="preserve"> </w:t>
      </w:r>
      <w:r w:rsidR="00CC77D3" w:rsidRPr="003A13C9">
        <w:rPr>
          <w:color w:val="000000" w:themeColor="text1"/>
        </w:rPr>
        <w:t xml:space="preserve">the introduction of a legislative provision requiring the court to state the weight attached to the guilty plea and its effect on the sentence imposed </w:t>
      </w:r>
      <w:r w:rsidR="00172C6F" w:rsidRPr="003A13C9">
        <w:rPr>
          <w:color w:val="000000" w:themeColor="text1"/>
        </w:rPr>
        <w:t>will lead to greater transparency, accountability and clarity and may well result in a reduction in appeals before the Court of Criminal Appeals.</w:t>
      </w:r>
      <w:r w:rsidR="000D38DE" w:rsidRPr="003A13C9">
        <w:rPr>
          <w:color w:val="000000" w:themeColor="text1"/>
        </w:rPr>
        <w:t xml:space="preserve"> This is because </w:t>
      </w:r>
      <w:proofErr w:type="spellStart"/>
      <w:r w:rsidR="000D38DE" w:rsidRPr="003A13C9">
        <w:rPr>
          <w:color w:val="000000" w:themeColor="text1"/>
        </w:rPr>
        <w:t>defence</w:t>
      </w:r>
      <w:proofErr w:type="spellEnd"/>
      <w:r w:rsidR="000D38DE" w:rsidRPr="003A13C9">
        <w:rPr>
          <w:color w:val="000000" w:themeColor="text1"/>
        </w:rPr>
        <w:t xml:space="preserve"> counsel will have the confidence to advise clients of the likely reduction in sentence if there is an early guilty plea. The other advantage of the Victorian approach is that judicial officers retain some discretion.     </w:t>
      </w:r>
    </w:p>
    <w:p w14:paraId="4C4E9BCB" w14:textId="77777777" w:rsidR="00C35DAD" w:rsidRPr="003A13C9" w:rsidRDefault="00C35DAD" w:rsidP="00B8655A">
      <w:pPr>
        <w:ind w:right="-347"/>
        <w:jc w:val="both"/>
        <w:rPr>
          <w:color w:val="FF0000"/>
        </w:rPr>
      </w:pPr>
    </w:p>
    <w:p w14:paraId="029DEA69" w14:textId="77777777" w:rsidR="00C35DAD" w:rsidRPr="003A13C9" w:rsidRDefault="00C35DAD" w:rsidP="00B8655A">
      <w:pPr>
        <w:pStyle w:val="ListParagraph"/>
        <w:numPr>
          <w:ilvl w:val="0"/>
          <w:numId w:val="6"/>
        </w:numPr>
        <w:ind w:right="-347"/>
        <w:jc w:val="both"/>
        <w:rPr>
          <w:b/>
        </w:rPr>
      </w:pPr>
      <w:r w:rsidRPr="003A13C9">
        <w:rPr>
          <w:b/>
        </w:rPr>
        <w:t xml:space="preserve">(a) </w:t>
      </w:r>
      <w:r w:rsidR="0022614F" w:rsidRPr="003A13C9">
        <w:rPr>
          <w:b/>
        </w:rPr>
        <w:t>Should there be a cap on the amount by which a sentence can be reduced by a guilty plea</w:t>
      </w:r>
      <w:r w:rsidR="00BC733B" w:rsidRPr="003A13C9">
        <w:rPr>
          <w:b/>
        </w:rPr>
        <w:t xml:space="preserve"> </w:t>
      </w:r>
      <w:r w:rsidR="0022614F" w:rsidRPr="003A13C9">
        <w:rPr>
          <w:b/>
        </w:rPr>
        <w:t>specified in legislation? If so, what should that cap be? When should it apply?</w:t>
      </w:r>
    </w:p>
    <w:p w14:paraId="2C77D9CC" w14:textId="77777777" w:rsidR="00C35DAD" w:rsidRPr="003A13C9" w:rsidRDefault="0022614F" w:rsidP="00B8655A">
      <w:pPr>
        <w:pStyle w:val="ListParagraph"/>
        <w:ind w:right="-347"/>
        <w:jc w:val="both"/>
        <w:rPr>
          <w:b/>
        </w:rPr>
      </w:pPr>
      <w:r w:rsidRPr="003A13C9">
        <w:rPr>
          <w:b/>
        </w:rPr>
        <w:lastRenderedPageBreak/>
        <w:t>(b) Or should a range be included in the legislation that sets out the minimum and maximum</w:t>
      </w:r>
      <w:r w:rsidR="00C95D3D" w:rsidRPr="003A13C9">
        <w:rPr>
          <w:b/>
        </w:rPr>
        <w:t xml:space="preserve"> </w:t>
      </w:r>
      <w:r w:rsidRPr="003A13C9">
        <w:rPr>
          <w:b/>
        </w:rPr>
        <w:t>reduction for a guilty plea? If so, what should the range be? When should it apply?</w:t>
      </w:r>
    </w:p>
    <w:p w14:paraId="76534B71" w14:textId="0CEB3D21" w:rsidR="0022614F" w:rsidRPr="003A13C9" w:rsidRDefault="0022614F" w:rsidP="00B8655A">
      <w:pPr>
        <w:pStyle w:val="ListParagraph"/>
        <w:ind w:right="-347"/>
        <w:jc w:val="both"/>
        <w:rPr>
          <w:b/>
        </w:rPr>
      </w:pPr>
      <w:r w:rsidRPr="003A13C9">
        <w:rPr>
          <w:b/>
        </w:rPr>
        <w:t>(c) Or should a sliding scale be introduced relating to particular reductions? If so, should this be</w:t>
      </w:r>
      <w:r w:rsidR="00BC733B" w:rsidRPr="003A13C9">
        <w:rPr>
          <w:b/>
        </w:rPr>
        <w:t xml:space="preserve"> </w:t>
      </w:r>
      <w:r w:rsidRPr="003A13C9">
        <w:rPr>
          <w:b/>
        </w:rPr>
        <w:t>tied to specific pre-trial stages or should it relate to a plea entered at the ‘first reasonable</w:t>
      </w:r>
      <w:r w:rsidR="00C95D3D" w:rsidRPr="003A13C9">
        <w:rPr>
          <w:b/>
        </w:rPr>
        <w:t xml:space="preserve"> </w:t>
      </w:r>
      <w:r w:rsidRPr="003A13C9">
        <w:rPr>
          <w:b/>
        </w:rPr>
        <w:t>opportunity’? If it is tied to specific time frames/stages, what should these be and what</w:t>
      </w:r>
      <w:r w:rsidR="00C95D3D" w:rsidRPr="003A13C9">
        <w:rPr>
          <w:b/>
        </w:rPr>
        <w:t xml:space="preserve"> </w:t>
      </w:r>
      <w:r w:rsidRPr="003A13C9">
        <w:rPr>
          <w:b/>
        </w:rPr>
        <w:t>exceptions should apply? What should the reductions be? What information should be made available to a defendant to allow an informed decision to enter a guilty plea and obtain the maximum discount?</w:t>
      </w:r>
    </w:p>
    <w:p w14:paraId="225247A7" w14:textId="77777777" w:rsidR="00634EE6" w:rsidRPr="003A13C9" w:rsidRDefault="00634EE6" w:rsidP="00B8655A">
      <w:pPr>
        <w:ind w:right="-347"/>
        <w:jc w:val="both"/>
      </w:pPr>
    </w:p>
    <w:p w14:paraId="79DDD560" w14:textId="0F3A814D" w:rsidR="00F75E4C" w:rsidRPr="003A13C9" w:rsidRDefault="00122B94" w:rsidP="00B8655A">
      <w:pPr>
        <w:ind w:right="-347"/>
        <w:jc w:val="both"/>
        <w:rPr>
          <w:rFonts w:cs="Calibri"/>
          <w:color w:val="000000"/>
        </w:rPr>
      </w:pPr>
      <w:r w:rsidRPr="003A13C9">
        <w:t>There should be no</w:t>
      </w:r>
      <w:r w:rsidR="009E101A" w:rsidRPr="003A13C9">
        <w:t xml:space="preserve"> cap</w:t>
      </w:r>
      <w:r w:rsidRPr="003A13C9">
        <w:rPr>
          <w:rFonts w:cs="Calibri"/>
          <w:color w:val="000000"/>
        </w:rPr>
        <w:t xml:space="preserve">, range or sliding scale introduced. There will always be </w:t>
      </w:r>
      <w:r w:rsidR="00433DEC" w:rsidRPr="003A13C9">
        <w:rPr>
          <w:rFonts w:cs="Calibri"/>
          <w:color w:val="000000"/>
        </w:rPr>
        <w:t>cases</w:t>
      </w:r>
      <w:r w:rsidRPr="003A13C9">
        <w:rPr>
          <w:rFonts w:cs="Calibri"/>
          <w:color w:val="000000"/>
        </w:rPr>
        <w:t xml:space="preserve"> where an early plea of guilty is of truly enormous benefit and ought to be rewarded as such</w:t>
      </w:r>
      <w:r w:rsidR="00433DEC" w:rsidRPr="003A13C9">
        <w:rPr>
          <w:rFonts w:cs="Calibri"/>
          <w:color w:val="000000"/>
        </w:rPr>
        <w:t xml:space="preserve">. On the other hand, there will be cases for </w:t>
      </w:r>
      <w:r w:rsidRPr="003A13C9">
        <w:rPr>
          <w:rFonts w:cs="Calibri"/>
          <w:color w:val="000000"/>
        </w:rPr>
        <w:t xml:space="preserve">similar crimes where an early plea of guilty is of less benefit. Both the </w:t>
      </w:r>
      <w:proofErr w:type="spellStart"/>
      <w:r w:rsidRPr="003A13C9">
        <w:rPr>
          <w:rFonts w:cs="Calibri"/>
          <w:color w:val="000000"/>
        </w:rPr>
        <w:t>defence</w:t>
      </w:r>
      <w:proofErr w:type="spellEnd"/>
      <w:r w:rsidRPr="003A13C9">
        <w:rPr>
          <w:rFonts w:cs="Calibri"/>
          <w:color w:val="000000"/>
        </w:rPr>
        <w:t xml:space="preserve"> and prosecution need to be able to make their case for a sentencing discount on the plea of guilty and </w:t>
      </w:r>
      <w:r w:rsidR="00433DEC" w:rsidRPr="003A13C9">
        <w:rPr>
          <w:rFonts w:cs="Calibri"/>
          <w:color w:val="000000"/>
        </w:rPr>
        <w:t>provide</w:t>
      </w:r>
      <w:r w:rsidRPr="003A13C9">
        <w:rPr>
          <w:rFonts w:cs="Calibri"/>
          <w:color w:val="000000"/>
        </w:rPr>
        <w:t xml:space="preserve"> the judicial officer </w:t>
      </w:r>
      <w:r w:rsidR="00433DEC" w:rsidRPr="003A13C9">
        <w:rPr>
          <w:rFonts w:cs="Calibri"/>
          <w:color w:val="000000"/>
        </w:rPr>
        <w:t xml:space="preserve">with the discretion they need </w:t>
      </w:r>
      <w:r w:rsidRPr="003A13C9">
        <w:rPr>
          <w:rFonts w:cs="Calibri"/>
          <w:color w:val="000000"/>
        </w:rPr>
        <w:t>to arrive at a</w:t>
      </w:r>
      <w:r w:rsidR="00433DEC" w:rsidRPr="003A13C9">
        <w:rPr>
          <w:rFonts w:cs="Calibri"/>
          <w:color w:val="000000"/>
        </w:rPr>
        <w:t xml:space="preserve">n appropriate sentence, </w:t>
      </w:r>
      <w:r w:rsidRPr="003A13C9">
        <w:rPr>
          <w:rFonts w:cs="Calibri"/>
          <w:color w:val="000000"/>
        </w:rPr>
        <w:t xml:space="preserve">rather than have the sentencing discount </w:t>
      </w:r>
      <w:r w:rsidR="004A7469" w:rsidRPr="003A13C9">
        <w:rPr>
          <w:rFonts w:cs="Calibri"/>
          <w:color w:val="000000"/>
        </w:rPr>
        <w:t>prescribed in legislation</w:t>
      </w:r>
      <w:r w:rsidRPr="003A13C9">
        <w:rPr>
          <w:rFonts w:cs="Calibri"/>
          <w:color w:val="000000"/>
        </w:rPr>
        <w:t>.</w:t>
      </w:r>
      <w:r w:rsidR="00433DEC" w:rsidRPr="003A13C9">
        <w:rPr>
          <w:rFonts w:cs="Calibri"/>
          <w:color w:val="000000"/>
        </w:rPr>
        <w:t xml:space="preserve"> </w:t>
      </w:r>
      <w:r w:rsidRPr="003A13C9">
        <w:rPr>
          <w:rFonts w:cs="Calibri"/>
          <w:color w:val="000000"/>
        </w:rPr>
        <w:t xml:space="preserve">    </w:t>
      </w:r>
      <w:r w:rsidR="009E101A" w:rsidRPr="003A13C9">
        <w:rPr>
          <w:rFonts w:cs="Calibri"/>
          <w:color w:val="000000"/>
        </w:rPr>
        <w:t xml:space="preserve"> </w:t>
      </w:r>
    </w:p>
    <w:p w14:paraId="601F9106" w14:textId="77777777" w:rsidR="009B5369" w:rsidRPr="003A13C9" w:rsidRDefault="009B5369" w:rsidP="00B8655A">
      <w:pPr>
        <w:ind w:right="-347"/>
        <w:jc w:val="both"/>
        <w:rPr>
          <w:rFonts w:cs="Calibri"/>
          <w:color w:val="000000"/>
        </w:rPr>
      </w:pPr>
    </w:p>
    <w:p w14:paraId="2F9D8CE9" w14:textId="6A2A12C5" w:rsidR="0022614F" w:rsidRPr="003A13C9" w:rsidRDefault="0022614F" w:rsidP="00B8655A">
      <w:pPr>
        <w:pStyle w:val="ListParagraph"/>
        <w:numPr>
          <w:ilvl w:val="0"/>
          <w:numId w:val="6"/>
        </w:numPr>
        <w:ind w:right="-347"/>
        <w:jc w:val="both"/>
        <w:rPr>
          <w:b/>
        </w:rPr>
      </w:pPr>
      <w:r w:rsidRPr="003A13C9">
        <w:rPr>
          <w:b/>
        </w:rPr>
        <w:t>Should all offenders who plead guilty be given a reduction in sentence for their guilty plea or should the court have the discretion to decide whether or not a guilty plea merits a reduction in sentence?</w:t>
      </w:r>
    </w:p>
    <w:p w14:paraId="499396C0" w14:textId="77777777" w:rsidR="00634EE6" w:rsidRPr="003A13C9" w:rsidRDefault="00634EE6" w:rsidP="00B8655A">
      <w:pPr>
        <w:ind w:right="-347"/>
        <w:jc w:val="both"/>
      </w:pPr>
    </w:p>
    <w:p w14:paraId="192D5E25" w14:textId="14385DB8" w:rsidR="00C56F4B" w:rsidRPr="003A13C9" w:rsidRDefault="005B3D7D" w:rsidP="00B8655A">
      <w:pPr>
        <w:ind w:right="-347"/>
        <w:jc w:val="both"/>
        <w:rPr>
          <w:rFonts w:cs="Calibri"/>
          <w:color w:val="000000"/>
        </w:rPr>
      </w:pPr>
      <w:r w:rsidRPr="003A13C9">
        <w:t>In short, d</w:t>
      </w:r>
      <w:r w:rsidR="009B5369" w:rsidRPr="003A13C9">
        <w:t>iscretion</w:t>
      </w:r>
      <w:r w:rsidR="002E1D68" w:rsidRPr="003A13C9">
        <w:t xml:space="preserve"> should remain</w:t>
      </w:r>
      <w:r w:rsidR="009B5369" w:rsidRPr="003A13C9">
        <w:t xml:space="preserve">. There is always some benefit to a plea, even </w:t>
      </w:r>
      <w:r w:rsidR="00C46B39" w:rsidRPr="003A13C9">
        <w:t xml:space="preserve">at the door of the court or </w:t>
      </w:r>
      <w:r w:rsidRPr="003A13C9">
        <w:t xml:space="preserve">even </w:t>
      </w:r>
      <w:r w:rsidR="009B5369" w:rsidRPr="003A13C9">
        <w:t>mid-trial</w:t>
      </w:r>
      <w:r w:rsidR="00C46B39" w:rsidRPr="003A13C9">
        <w:t xml:space="preserve"> although in practice the </w:t>
      </w:r>
      <w:r w:rsidR="0083125A" w:rsidRPr="003A13C9">
        <w:t xml:space="preserve">weight that </w:t>
      </w:r>
      <w:r w:rsidR="009A29B6" w:rsidRPr="003A13C9">
        <w:t>is</w:t>
      </w:r>
      <w:r w:rsidR="0083125A" w:rsidRPr="003A13C9">
        <w:t xml:space="preserve"> attached should diminish the longer the proce</w:t>
      </w:r>
      <w:r w:rsidR="009A29B6" w:rsidRPr="003A13C9">
        <w:t>edings are allowed t</w:t>
      </w:r>
      <w:r w:rsidR="002E1D68" w:rsidRPr="003A13C9">
        <w:t xml:space="preserve">o continue. Anecdotally, it is extremely rare for a </w:t>
      </w:r>
      <w:r w:rsidR="009A29B6" w:rsidRPr="003A13C9">
        <w:t>judicial offi</w:t>
      </w:r>
      <w:r w:rsidR="002E1D68" w:rsidRPr="003A13C9">
        <w:t>cer to refuse to give any</w:t>
      </w:r>
      <w:r w:rsidR="002E1D68" w:rsidRPr="003A13C9">
        <w:rPr>
          <w:rFonts w:cs="Calibri"/>
          <w:color w:val="000000"/>
        </w:rPr>
        <w:t xml:space="preserve"> </w:t>
      </w:r>
      <w:r w:rsidR="00F75E4C" w:rsidRPr="003A13C9">
        <w:rPr>
          <w:rFonts w:cs="Calibri"/>
          <w:color w:val="000000"/>
        </w:rPr>
        <w:t xml:space="preserve">benefit for a plea. </w:t>
      </w:r>
      <w:r w:rsidR="002E1D68" w:rsidRPr="003A13C9">
        <w:rPr>
          <w:rFonts w:cs="Calibri"/>
          <w:color w:val="000000"/>
        </w:rPr>
        <w:t xml:space="preserve">Whilst some lawyers we </w:t>
      </w:r>
      <w:r w:rsidR="006115C0" w:rsidRPr="003A13C9">
        <w:rPr>
          <w:rFonts w:cs="Calibri"/>
          <w:color w:val="000000"/>
        </w:rPr>
        <w:t xml:space="preserve">have </w:t>
      </w:r>
      <w:r w:rsidR="002E1D68" w:rsidRPr="003A13C9">
        <w:rPr>
          <w:rFonts w:cs="Calibri"/>
          <w:color w:val="000000"/>
        </w:rPr>
        <w:t>spoke</w:t>
      </w:r>
      <w:r w:rsidR="006115C0" w:rsidRPr="003A13C9">
        <w:rPr>
          <w:rFonts w:cs="Calibri"/>
          <w:color w:val="000000"/>
        </w:rPr>
        <w:t>n</w:t>
      </w:r>
      <w:r w:rsidR="002E1D68" w:rsidRPr="003A13C9">
        <w:rPr>
          <w:rFonts w:cs="Calibri"/>
          <w:color w:val="000000"/>
        </w:rPr>
        <w:t xml:space="preserve"> to felt that th</w:t>
      </w:r>
      <w:r w:rsidR="00C56F4B" w:rsidRPr="003A13C9">
        <w:rPr>
          <w:rFonts w:cs="Calibri"/>
          <w:color w:val="000000"/>
        </w:rPr>
        <w:t xml:space="preserve">ere had been no benefit, or very little benefit, attached to their client’s early plea of guilty, they also </w:t>
      </w:r>
      <w:proofErr w:type="spellStart"/>
      <w:r w:rsidR="00DC31A4" w:rsidRPr="003A13C9">
        <w:rPr>
          <w:rFonts w:cs="Calibri"/>
          <w:color w:val="000000"/>
        </w:rPr>
        <w:t>recognis</w:t>
      </w:r>
      <w:r w:rsidR="006115C0" w:rsidRPr="003A13C9">
        <w:rPr>
          <w:rFonts w:cs="Calibri"/>
          <w:color w:val="000000"/>
        </w:rPr>
        <w:t>ed</w:t>
      </w:r>
      <w:proofErr w:type="spellEnd"/>
      <w:r w:rsidR="006115C0" w:rsidRPr="003A13C9">
        <w:rPr>
          <w:rFonts w:cs="Calibri"/>
          <w:color w:val="000000"/>
        </w:rPr>
        <w:t xml:space="preserve"> </w:t>
      </w:r>
      <w:r w:rsidR="00C56F4B" w:rsidRPr="003A13C9">
        <w:rPr>
          <w:rFonts w:cs="Calibri"/>
          <w:color w:val="000000"/>
        </w:rPr>
        <w:t xml:space="preserve">that sentences have been increasing over the last decade.   </w:t>
      </w:r>
      <w:r w:rsidR="002E1D68" w:rsidRPr="003A13C9">
        <w:rPr>
          <w:rFonts w:cs="Calibri"/>
          <w:color w:val="000000"/>
        </w:rPr>
        <w:t xml:space="preserve">  </w:t>
      </w:r>
    </w:p>
    <w:p w14:paraId="0A0F484C" w14:textId="77777777" w:rsidR="00C56F4B" w:rsidRPr="003A13C9" w:rsidRDefault="00C56F4B" w:rsidP="00B8655A">
      <w:pPr>
        <w:ind w:right="-347"/>
        <w:jc w:val="both"/>
        <w:rPr>
          <w:rFonts w:cs="Calibri"/>
          <w:color w:val="000000"/>
        </w:rPr>
      </w:pPr>
    </w:p>
    <w:p w14:paraId="683CE5DF" w14:textId="528889FB" w:rsidR="0022614F" w:rsidRPr="003A13C9" w:rsidRDefault="0022614F" w:rsidP="00B8655A">
      <w:pPr>
        <w:pStyle w:val="ListParagraph"/>
        <w:numPr>
          <w:ilvl w:val="0"/>
          <w:numId w:val="6"/>
        </w:numPr>
        <w:ind w:right="-347"/>
        <w:jc w:val="both"/>
        <w:rPr>
          <w:b/>
        </w:rPr>
      </w:pPr>
      <w:r w:rsidRPr="003A13C9">
        <w:rPr>
          <w:b/>
        </w:rPr>
        <w:t>Should any category of offender or offence be automatically ineligible for sentencing</w:t>
      </w:r>
      <w:r w:rsidR="00C56F4B" w:rsidRPr="003A13C9">
        <w:rPr>
          <w:rFonts w:cs="Calibri"/>
          <w:color w:val="000000"/>
        </w:rPr>
        <w:t xml:space="preserve"> </w:t>
      </w:r>
      <w:r w:rsidRPr="003A13C9">
        <w:rPr>
          <w:b/>
        </w:rPr>
        <w:t>reduction for a guilty plea? If so, what nature or type of offences or offenders should</w:t>
      </w:r>
      <w:r w:rsidR="00C95D3D" w:rsidRPr="003A13C9">
        <w:rPr>
          <w:b/>
        </w:rPr>
        <w:t xml:space="preserve"> </w:t>
      </w:r>
      <w:r w:rsidRPr="003A13C9">
        <w:rPr>
          <w:b/>
        </w:rPr>
        <w:t>be excluded?</w:t>
      </w:r>
    </w:p>
    <w:p w14:paraId="3E0B2FB9" w14:textId="77777777" w:rsidR="00634EE6" w:rsidRPr="003A13C9" w:rsidRDefault="00634EE6" w:rsidP="00696045">
      <w:pPr>
        <w:widowControl w:val="0"/>
        <w:autoSpaceDE w:val="0"/>
        <w:autoSpaceDN w:val="0"/>
        <w:adjustRightInd w:val="0"/>
        <w:ind w:right="-347"/>
        <w:jc w:val="both"/>
        <w:rPr>
          <w:rFonts w:cs="Calibri"/>
          <w:color w:val="000000"/>
        </w:rPr>
      </w:pPr>
    </w:p>
    <w:p w14:paraId="3DEEF550" w14:textId="21A64EE2" w:rsidR="0097644C" w:rsidRPr="003A13C9" w:rsidRDefault="009F190A" w:rsidP="00696045">
      <w:pPr>
        <w:widowControl w:val="0"/>
        <w:autoSpaceDE w:val="0"/>
        <w:autoSpaceDN w:val="0"/>
        <w:adjustRightInd w:val="0"/>
        <w:ind w:right="-347"/>
        <w:jc w:val="both"/>
        <w:rPr>
          <w:rFonts w:cs="Calibri"/>
          <w:color w:val="000000"/>
        </w:rPr>
      </w:pPr>
      <w:r w:rsidRPr="003A13C9">
        <w:rPr>
          <w:rFonts w:cs="Calibri"/>
          <w:color w:val="000000"/>
        </w:rPr>
        <w:t xml:space="preserve">There should not be any automatic ineligibility attached to particular categories of offender. Any restriction is likely to result in an increase in not guilty pleas as accused persons </w:t>
      </w:r>
      <w:r w:rsidR="006115C0" w:rsidRPr="003A13C9">
        <w:rPr>
          <w:rFonts w:cs="Calibri"/>
          <w:color w:val="000000"/>
        </w:rPr>
        <w:t xml:space="preserve">believe </w:t>
      </w:r>
      <w:r w:rsidRPr="003A13C9">
        <w:rPr>
          <w:rFonts w:cs="Calibri"/>
          <w:color w:val="000000"/>
        </w:rPr>
        <w:t>that they have nothing to lose. An increase is not guilty pleas will result in more hearings and will mean that more victims are lik</w:t>
      </w:r>
      <w:r w:rsidR="0097644C" w:rsidRPr="003A13C9">
        <w:rPr>
          <w:rFonts w:cs="Calibri"/>
          <w:color w:val="000000"/>
        </w:rPr>
        <w:t>ely to be cross-</w:t>
      </w:r>
      <w:r w:rsidRPr="003A13C9">
        <w:rPr>
          <w:rFonts w:cs="Calibri"/>
          <w:color w:val="000000"/>
        </w:rPr>
        <w:t>examined.</w:t>
      </w:r>
      <w:r w:rsidR="0097644C" w:rsidRPr="003A13C9">
        <w:rPr>
          <w:rFonts w:cs="Calibri"/>
          <w:color w:val="000000"/>
        </w:rPr>
        <w:t xml:space="preserve"> </w:t>
      </w:r>
    </w:p>
    <w:p w14:paraId="79DA4631" w14:textId="77777777" w:rsidR="0097644C" w:rsidRPr="003A13C9" w:rsidRDefault="0097644C" w:rsidP="00B8655A">
      <w:pPr>
        <w:widowControl w:val="0"/>
        <w:autoSpaceDE w:val="0"/>
        <w:autoSpaceDN w:val="0"/>
        <w:adjustRightInd w:val="0"/>
        <w:jc w:val="both"/>
        <w:rPr>
          <w:rFonts w:cs="Calibri"/>
          <w:color w:val="000000"/>
        </w:rPr>
      </w:pPr>
    </w:p>
    <w:p w14:paraId="45C3AC87" w14:textId="57D83FF2" w:rsidR="0097644C" w:rsidRPr="003A13C9" w:rsidRDefault="0022614F" w:rsidP="00696045">
      <w:pPr>
        <w:pStyle w:val="ListParagraph"/>
        <w:widowControl w:val="0"/>
        <w:numPr>
          <w:ilvl w:val="0"/>
          <w:numId w:val="6"/>
        </w:numPr>
        <w:autoSpaceDE w:val="0"/>
        <w:autoSpaceDN w:val="0"/>
        <w:adjustRightInd w:val="0"/>
        <w:ind w:right="-489"/>
        <w:jc w:val="both"/>
        <w:rPr>
          <w:b/>
        </w:rPr>
      </w:pPr>
      <w:r w:rsidRPr="003A13C9">
        <w:rPr>
          <w:b/>
        </w:rPr>
        <w:t>Should there be a different sentencing discount scheme applicable to summary and indictable offences? If so, what should be the elements of the different schemes?</w:t>
      </w:r>
    </w:p>
    <w:p w14:paraId="4E329C3B" w14:textId="77777777" w:rsidR="00634EE6" w:rsidRPr="003A13C9" w:rsidRDefault="00634EE6" w:rsidP="00696045">
      <w:pPr>
        <w:widowControl w:val="0"/>
        <w:autoSpaceDE w:val="0"/>
        <w:autoSpaceDN w:val="0"/>
        <w:adjustRightInd w:val="0"/>
        <w:ind w:right="-347"/>
        <w:jc w:val="both"/>
        <w:rPr>
          <w:rFonts w:cs="Calibri"/>
          <w:color w:val="000000"/>
        </w:rPr>
      </w:pPr>
    </w:p>
    <w:p w14:paraId="71904F1F" w14:textId="5170275F" w:rsidR="00F75E4C" w:rsidRPr="003A13C9" w:rsidRDefault="00EE56BA" w:rsidP="00696045">
      <w:pPr>
        <w:widowControl w:val="0"/>
        <w:autoSpaceDE w:val="0"/>
        <w:autoSpaceDN w:val="0"/>
        <w:adjustRightInd w:val="0"/>
        <w:ind w:right="-347"/>
        <w:jc w:val="both"/>
        <w:rPr>
          <w:rFonts w:cs="Calibri"/>
          <w:color w:val="000000"/>
        </w:rPr>
      </w:pPr>
      <w:r w:rsidRPr="003A13C9">
        <w:rPr>
          <w:rFonts w:cs="Calibri"/>
          <w:color w:val="000000"/>
        </w:rPr>
        <w:t xml:space="preserve">We strongly believe that discretion should be available to judicial officers </w:t>
      </w:r>
      <w:r w:rsidR="00370267" w:rsidRPr="003A13C9">
        <w:rPr>
          <w:rFonts w:cs="Calibri"/>
          <w:color w:val="000000"/>
        </w:rPr>
        <w:t xml:space="preserve">for both summary and indictable offences. </w:t>
      </w:r>
      <w:r w:rsidR="00F54612" w:rsidRPr="003A13C9">
        <w:rPr>
          <w:rFonts w:cs="Calibri"/>
          <w:color w:val="000000"/>
        </w:rPr>
        <w:t xml:space="preserve">There is no good </w:t>
      </w:r>
      <w:r w:rsidR="006115C0" w:rsidRPr="003A13C9">
        <w:rPr>
          <w:rFonts w:cs="Calibri"/>
          <w:color w:val="000000"/>
        </w:rPr>
        <w:t xml:space="preserve">policy </w:t>
      </w:r>
      <w:r w:rsidR="00F54612" w:rsidRPr="003A13C9">
        <w:rPr>
          <w:rFonts w:cs="Calibri"/>
          <w:color w:val="000000"/>
        </w:rPr>
        <w:t xml:space="preserve">reason for applying a different sentencing discount to summary and indictable offences. </w:t>
      </w:r>
      <w:r w:rsidRPr="003A13C9">
        <w:rPr>
          <w:rFonts w:cs="Calibri"/>
          <w:color w:val="000000"/>
        </w:rPr>
        <w:t xml:space="preserve">In many instances </w:t>
      </w:r>
      <w:r w:rsidRPr="003A13C9">
        <w:rPr>
          <w:rFonts w:cs="Calibri"/>
          <w:color w:val="000000"/>
        </w:rPr>
        <w:lastRenderedPageBreak/>
        <w:t>the difference is one of degree. For example</w:t>
      </w:r>
      <w:r w:rsidR="006115C0" w:rsidRPr="003A13C9">
        <w:rPr>
          <w:rFonts w:cs="Calibri"/>
          <w:color w:val="000000"/>
        </w:rPr>
        <w:t>,</w:t>
      </w:r>
      <w:r w:rsidRPr="003A13C9">
        <w:rPr>
          <w:rFonts w:cs="Calibri"/>
          <w:color w:val="000000"/>
        </w:rPr>
        <w:t xml:space="preserve"> a</w:t>
      </w:r>
      <w:r w:rsidR="006115C0" w:rsidRPr="003A13C9">
        <w:rPr>
          <w:rFonts w:cs="Calibri"/>
          <w:color w:val="000000"/>
        </w:rPr>
        <w:t>n opportunistic</w:t>
      </w:r>
      <w:r w:rsidRPr="003A13C9">
        <w:rPr>
          <w:rFonts w:cs="Calibri"/>
          <w:color w:val="000000"/>
        </w:rPr>
        <w:t xml:space="preserve"> break and enter where the offender is charged summarily </w:t>
      </w:r>
      <w:r w:rsidR="006115C0" w:rsidRPr="003A13C9">
        <w:rPr>
          <w:rFonts w:cs="Calibri"/>
          <w:color w:val="000000"/>
        </w:rPr>
        <w:t>for</w:t>
      </w:r>
      <w:r w:rsidRPr="003A13C9">
        <w:rPr>
          <w:rFonts w:cs="Calibri"/>
          <w:color w:val="000000"/>
        </w:rPr>
        <w:t xml:space="preserve"> goods </w:t>
      </w:r>
      <w:r w:rsidR="006115C0" w:rsidRPr="003A13C9">
        <w:rPr>
          <w:rFonts w:cs="Calibri"/>
          <w:color w:val="000000"/>
        </w:rPr>
        <w:t>worth</w:t>
      </w:r>
      <w:r w:rsidRPr="003A13C9">
        <w:rPr>
          <w:rFonts w:cs="Calibri"/>
          <w:color w:val="000000"/>
        </w:rPr>
        <w:t xml:space="preserve"> less than $5,000, the charge is electable if between $5</w:t>
      </w:r>
      <w:r w:rsidR="00DC31A4" w:rsidRPr="003A13C9">
        <w:rPr>
          <w:rFonts w:cs="Calibri"/>
          <w:color w:val="000000"/>
        </w:rPr>
        <w:t>,000</w:t>
      </w:r>
      <w:r w:rsidRPr="003A13C9">
        <w:rPr>
          <w:rFonts w:cs="Calibri"/>
          <w:color w:val="000000"/>
        </w:rPr>
        <w:t xml:space="preserve">-$20,000 and indictable if over $20,000. These small differences are also applicable to charges of assault and some driving offences.    </w:t>
      </w:r>
    </w:p>
    <w:p w14:paraId="0C7CB6D7" w14:textId="77777777" w:rsidR="00EE56BA" w:rsidRPr="003A13C9" w:rsidRDefault="00EE56BA" w:rsidP="00B8655A">
      <w:pPr>
        <w:widowControl w:val="0"/>
        <w:autoSpaceDE w:val="0"/>
        <w:autoSpaceDN w:val="0"/>
        <w:adjustRightInd w:val="0"/>
        <w:jc w:val="both"/>
        <w:rPr>
          <w:rFonts w:cs="Calibri"/>
          <w:color w:val="000000"/>
        </w:rPr>
      </w:pPr>
    </w:p>
    <w:p w14:paraId="16399605" w14:textId="25B6B564" w:rsidR="0022614F" w:rsidRPr="003A13C9" w:rsidRDefault="0022614F" w:rsidP="00B8655A">
      <w:pPr>
        <w:pStyle w:val="ListParagraph"/>
        <w:numPr>
          <w:ilvl w:val="0"/>
          <w:numId w:val="6"/>
        </w:numPr>
        <w:ind w:right="-347"/>
        <w:jc w:val="both"/>
        <w:rPr>
          <w:b/>
        </w:rPr>
      </w:pPr>
      <w:r w:rsidRPr="003A13C9">
        <w:rPr>
          <w:b/>
        </w:rPr>
        <w:t>Should the seriousness of the offence be a matter relevant to the sentencing discount for a guilty</w:t>
      </w:r>
      <w:r w:rsidR="00C95D3D" w:rsidRPr="003A13C9">
        <w:rPr>
          <w:b/>
        </w:rPr>
        <w:t xml:space="preserve"> </w:t>
      </w:r>
      <w:r w:rsidRPr="003A13C9">
        <w:rPr>
          <w:b/>
        </w:rPr>
        <w:t>plea?</w:t>
      </w:r>
    </w:p>
    <w:p w14:paraId="06A05CFA" w14:textId="77777777" w:rsidR="00634EE6" w:rsidRPr="003A13C9" w:rsidRDefault="00634EE6" w:rsidP="00B8655A">
      <w:pPr>
        <w:ind w:right="-347"/>
        <w:jc w:val="both"/>
      </w:pPr>
    </w:p>
    <w:p w14:paraId="69CCF346" w14:textId="115040E4" w:rsidR="00FF6841" w:rsidRPr="003A13C9" w:rsidRDefault="00335E84" w:rsidP="00B8655A">
      <w:pPr>
        <w:ind w:right="-347"/>
        <w:jc w:val="both"/>
      </w:pPr>
      <w:r w:rsidRPr="003A13C9">
        <w:t xml:space="preserve">We do not believe </w:t>
      </w:r>
      <w:r w:rsidR="00856B77" w:rsidRPr="003A13C9">
        <w:t xml:space="preserve">the seriousness of the offence should be a matter relevant to the sentencing discount for a guilty plea. Currently, </w:t>
      </w:r>
      <w:r w:rsidR="00F75E4C" w:rsidRPr="003A13C9">
        <w:rPr>
          <w:rFonts w:cs="Calibri"/>
          <w:color w:val="000000"/>
        </w:rPr>
        <w:t>the seriousness is taken into a</w:t>
      </w:r>
      <w:r w:rsidR="00DC31A4" w:rsidRPr="003A13C9">
        <w:rPr>
          <w:rFonts w:cs="Calibri"/>
          <w:color w:val="000000"/>
        </w:rPr>
        <w:t>ccount in a very limited sense;</w:t>
      </w:r>
      <w:r w:rsidR="00856B77" w:rsidRPr="003A13C9">
        <w:rPr>
          <w:rFonts w:cs="Calibri"/>
          <w:color w:val="000000"/>
        </w:rPr>
        <w:t xml:space="preserve"> murder charges receive a</w:t>
      </w:r>
      <w:r w:rsidR="00F75E4C" w:rsidRPr="003A13C9">
        <w:rPr>
          <w:rFonts w:cs="Calibri"/>
          <w:color w:val="000000"/>
        </w:rPr>
        <w:t xml:space="preserve"> significantly </w:t>
      </w:r>
      <w:r w:rsidR="00856B77" w:rsidRPr="003A13C9">
        <w:rPr>
          <w:rFonts w:cs="Calibri"/>
          <w:color w:val="000000"/>
        </w:rPr>
        <w:t>smaller</w:t>
      </w:r>
      <w:r w:rsidR="00F75E4C" w:rsidRPr="003A13C9">
        <w:rPr>
          <w:rFonts w:cs="Calibri"/>
          <w:color w:val="000000"/>
        </w:rPr>
        <w:t xml:space="preserve"> discount. </w:t>
      </w:r>
      <w:r w:rsidR="00856B77" w:rsidRPr="003A13C9">
        <w:rPr>
          <w:rFonts w:cs="Calibri"/>
          <w:color w:val="000000"/>
        </w:rPr>
        <w:t>T</w:t>
      </w:r>
      <w:r w:rsidR="00F75E4C" w:rsidRPr="003A13C9">
        <w:rPr>
          <w:rFonts w:cs="Calibri"/>
          <w:color w:val="000000"/>
        </w:rPr>
        <w:t xml:space="preserve">he </w:t>
      </w:r>
      <w:r w:rsidR="00856B77" w:rsidRPr="003A13C9">
        <w:rPr>
          <w:rFonts w:cs="Calibri"/>
          <w:color w:val="000000"/>
        </w:rPr>
        <w:t>smaller</w:t>
      </w:r>
      <w:r w:rsidR="00F75E4C" w:rsidRPr="003A13C9">
        <w:rPr>
          <w:rFonts w:cs="Calibri"/>
          <w:color w:val="000000"/>
        </w:rPr>
        <w:t xml:space="preserve"> </w:t>
      </w:r>
      <w:r w:rsidR="00856B77" w:rsidRPr="003A13C9">
        <w:rPr>
          <w:rFonts w:cs="Calibri"/>
          <w:color w:val="000000"/>
        </w:rPr>
        <w:t>discount</w:t>
      </w:r>
      <w:r w:rsidR="00DC31A4" w:rsidRPr="003A13C9">
        <w:rPr>
          <w:rFonts w:cs="Calibri"/>
          <w:color w:val="000000"/>
        </w:rPr>
        <w:t xml:space="preserve"> for</w:t>
      </w:r>
      <w:r w:rsidR="00F75E4C" w:rsidRPr="003A13C9">
        <w:rPr>
          <w:rFonts w:cs="Calibri"/>
          <w:color w:val="000000"/>
        </w:rPr>
        <w:t xml:space="preserve"> a plea </w:t>
      </w:r>
      <w:r w:rsidR="00856B77" w:rsidRPr="003A13C9">
        <w:rPr>
          <w:rFonts w:cs="Calibri"/>
          <w:color w:val="000000"/>
        </w:rPr>
        <w:t>of guilty to</w:t>
      </w:r>
      <w:r w:rsidR="00F75E4C" w:rsidRPr="003A13C9">
        <w:rPr>
          <w:rFonts w:cs="Calibri"/>
          <w:color w:val="000000"/>
        </w:rPr>
        <w:t xml:space="preserve"> murder means they invariably go to trial. Reducing the benefit for other serious crimes is likely to see a similar effect.</w:t>
      </w:r>
    </w:p>
    <w:p w14:paraId="1BC16138" w14:textId="77777777" w:rsidR="00FF6841" w:rsidRPr="003A13C9" w:rsidRDefault="00FF6841" w:rsidP="00B8655A">
      <w:pPr>
        <w:ind w:right="-347"/>
        <w:jc w:val="both"/>
      </w:pPr>
    </w:p>
    <w:p w14:paraId="0F9527E4" w14:textId="3E853DB3" w:rsidR="0022614F" w:rsidRPr="003A13C9" w:rsidRDefault="0022614F" w:rsidP="00B8655A">
      <w:pPr>
        <w:pStyle w:val="ListParagraph"/>
        <w:numPr>
          <w:ilvl w:val="0"/>
          <w:numId w:val="6"/>
        </w:numPr>
        <w:ind w:right="-347"/>
        <w:jc w:val="both"/>
        <w:rPr>
          <w:b/>
        </w:rPr>
      </w:pPr>
      <w:r w:rsidRPr="003A13C9">
        <w:rPr>
          <w:b/>
        </w:rPr>
        <w:t>Should the strength of the prosecution case be a matter relevant to the sentencing discount for a</w:t>
      </w:r>
      <w:r w:rsidR="00C95D3D" w:rsidRPr="003A13C9">
        <w:rPr>
          <w:b/>
        </w:rPr>
        <w:t xml:space="preserve"> </w:t>
      </w:r>
      <w:r w:rsidRPr="003A13C9">
        <w:rPr>
          <w:b/>
        </w:rPr>
        <w:t>guilty plea?</w:t>
      </w:r>
    </w:p>
    <w:p w14:paraId="57491EAA" w14:textId="77777777" w:rsidR="0092212C" w:rsidRPr="003A13C9" w:rsidRDefault="0092212C" w:rsidP="00696045">
      <w:pPr>
        <w:widowControl w:val="0"/>
        <w:autoSpaceDE w:val="0"/>
        <w:autoSpaceDN w:val="0"/>
        <w:adjustRightInd w:val="0"/>
        <w:ind w:right="-347"/>
        <w:jc w:val="both"/>
      </w:pPr>
    </w:p>
    <w:p w14:paraId="64D2E5A8" w14:textId="4ED618D5" w:rsidR="00F75E4C" w:rsidRPr="003A13C9" w:rsidRDefault="00FF6841" w:rsidP="00696045">
      <w:pPr>
        <w:widowControl w:val="0"/>
        <w:autoSpaceDE w:val="0"/>
        <w:autoSpaceDN w:val="0"/>
        <w:adjustRightInd w:val="0"/>
        <w:ind w:right="-347"/>
        <w:jc w:val="both"/>
        <w:rPr>
          <w:rFonts w:cs="Calibri"/>
          <w:color w:val="000000"/>
        </w:rPr>
      </w:pPr>
      <w:r w:rsidRPr="003A13C9">
        <w:t xml:space="preserve">We agree that the strength of the prosecution case should be a matter relevant to the sentencing discount for a guilty plea. </w:t>
      </w:r>
      <w:r w:rsidR="008E045A" w:rsidRPr="003A13C9">
        <w:rPr>
          <w:rFonts w:cs="Calibri"/>
          <w:color w:val="000000"/>
        </w:rPr>
        <w:t>In our experience</w:t>
      </w:r>
      <w:r w:rsidR="00DC31A4" w:rsidRPr="003A13C9">
        <w:rPr>
          <w:rFonts w:cs="Calibri"/>
          <w:color w:val="000000"/>
        </w:rPr>
        <w:t>,</w:t>
      </w:r>
      <w:r w:rsidR="008E045A" w:rsidRPr="003A13C9">
        <w:rPr>
          <w:rFonts w:cs="Calibri"/>
          <w:color w:val="000000"/>
        </w:rPr>
        <w:t xml:space="preserve"> the </w:t>
      </w:r>
      <w:r w:rsidR="00F75E4C" w:rsidRPr="003A13C9">
        <w:rPr>
          <w:rFonts w:cs="Calibri"/>
          <w:color w:val="000000"/>
        </w:rPr>
        <w:t xml:space="preserve">value of a </w:t>
      </w:r>
      <w:r w:rsidR="008E045A" w:rsidRPr="003A13C9">
        <w:rPr>
          <w:rFonts w:cs="Calibri"/>
          <w:color w:val="000000"/>
        </w:rPr>
        <w:t>plea of guilty</w:t>
      </w:r>
      <w:r w:rsidR="00F75E4C" w:rsidRPr="003A13C9">
        <w:rPr>
          <w:rFonts w:cs="Calibri"/>
          <w:color w:val="000000"/>
        </w:rPr>
        <w:t xml:space="preserve"> rests in three main aspects:</w:t>
      </w:r>
    </w:p>
    <w:p w14:paraId="2B2A3D0C" w14:textId="77777777" w:rsidR="0092212C" w:rsidRPr="003A13C9" w:rsidRDefault="0092212C" w:rsidP="00696045">
      <w:pPr>
        <w:widowControl w:val="0"/>
        <w:autoSpaceDE w:val="0"/>
        <w:autoSpaceDN w:val="0"/>
        <w:adjustRightInd w:val="0"/>
        <w:ind w:right="-347"/>
        <w:jc w:val="both"/>
        <w:rPr>
          <w:rFonts w:cs="Calibri"/>
          <w:color w:val="000000"/>
        </w:rPr>
      </w:pPr>
    </w:p>
    <w:p w14:paraId="20356676" w14:textId="77777777" w:rsidR="000A1274" w:rsidRPr="003A13C9" w:rsidRDefault="00F75E4C" w:rsidP="000A1274">
      <w:pPr>
        <w:pStyle w:val="ListParagraph"/>
        <w:widowControl w:val="0"/>
        <w:numPr>
          <w:ilvl w:val="0"/>
          <w:numId w:val="12"/>
        </w:numPr>
        <w:autoSpaceDE w:val="0"/>
        <w:autoSpaceDN w:val="0"/>
        <w:adjustRightInd w:val="0"/>
        <w:ind w:right="-347"/>
        <w:jc w:val="both"/>
        <w:rPr>
          <w:rFonts w:cs="Calibri"/>
          <w:color w:val="000000"/>
        </w:rPr>
      </w:pPr>
      <w:r w:rsidRPr="003A13C9">
        <w:rPr>
          <w:rFonts w:cs="Calibri"/>
          <w:color w:val="000000"/>
        </w:rPr>
        <w:t>Demonstration of remorse</w:t>
      </w:r>
      <w:r w:rsidR="008E045A" w:rsidRPr="003A13C9">
        <w:rPr>
          <w:rFonts w:cs="Calibri"/>
          <w:color w:val="000000"/>
        </w:rPr>
        <w:t xml:space="preserve">; </w:t>
      </w:r>
    </w:p>
    <w:p w14:paraId="56CE28F3" w14:textId="77777777" w:rsidR="000A1274" w:rsidRPr="003A13C9" w:rsidRDefault="00F75E4C" w:rsidP="000A1274">
      <w:pPr>
        <w:pStyle w:val="ListParagraph"/>
        <w:widowControl w:val="0"/>
        <w:numPr>
          <w:ilvl w:val="0"/>
          <w:numId w:val="12"/>
        </w:numPr>
        <w:autoSpaceDE w:val="0"/>
        <w:autoSpaceDN w:val="0"/>
        <w:adjustRightInd w:val="0"/>
        <w:ind w:right="-347"/>
        <w:jc w:val="both"/>
        <w:rPr>
          <w:rFonts w:cs="Calibri"/>
          <w:color w:val="000000"/>
        </w:rPr>
      </w:pPr>
      <w:r w:rsidRPr="003A13C9">
        <w:rPr>
          <w:rFonts w:cs="Calibri"/>
          <w:color w:val="000000"/>
        </w:rPr>
        <w:t>Ease of mind on victims and their families</w:t>
      </w:r>
      <w:r w:rsidR="008E045A" w:rsidRPr="003A13C9">
        <w:rPr>
          <w:rFonts w:cs="Calibri"/>
          <w:color w:val="000000"/>
        </w:rPr>
        <w:t>;</w:t>
      </w:r>
    </w:p>
    <w:p w14:paraId="46488B80" w14:textId="3E05D841" w:rsidR="00F75E4C" w:rsidRPr="003A13C9" w:rsidRDefault="008E045A" w:rsidP="000A1274">
      <w:pPr>
        <w:pStyle w:val="ListParagraph"/>
        <w:widowControl w:val="0"/>
        <w:numPr>
          <w:ilvl w:val="0"/>
          <w:numId w:val="12"/>
        </w:numPr>
        <w:autoSpaceDE w:val="0"/>
        <w:autoSpaceDN w:val="0"/>
        <w:adjustRightInd w:val="0"/>
        <w:ind w:right="-347"/>
        <w:jc w:val="both"/>
        <w:rPr>
          <w:rFonts w:cs="Calibri"/>
          <w:color w:val="000000"/>
        </w:rPr>
      </w:pPr>
      <w:r w:rsidRPr="003A13C9">
        <w:rPr>
          <w:rFonts w:cs="Calibri"/>
          <w:color w:val="000000"/>
        </w:rPr>
        <w:t>Financial</w:t>
      </w:r>
      <w:r w:rsidR="00F75E4C" w:rsidRPr="003A13C9">
        <w:rPr>
          <w:rFonts w:cs="Calibri"/>
          <w:color w:val="000000"/>
        </w:rPr>
        <w:t xml:space="preserve"> savings to the </w:t>
      </w:r>
      <w:r w:rsidRPr="003A13C9">
        <w:rPr>
          <w:rFonts w:cs="Calibri"/>
          <w:color w:val="000000"/>
        </w:rPr>
        <w:t xml:space="preserve">judicial </w:t>
      </w:r>
      <w:r w:rsidR="00F75E4C" w:rsidRPr="003A13C9">
        <w:rPr>
          <w:rFonts w:cs="Calibri"/>
          <w:color w:val="000000"/>
        </w:rPr>
        <w:t>system</w:t>
      </w:r>
    </w:p>
    <w:p w14:paraId="2D8403F6" w14:textId="77777777" w:rsidR="00F75E4C" w:rsidRPr="003A13C9" w:rsidRDefault="00F75E4C" w:rsidP="00696045">
      <w:pPr>
        <w:ind w:right="-347"/>
        <w:jc w:val="both"/>
        <w:rPr>
          <w:rFonts w:cs="Calibri"/>
          <w:color w:val="000000"/>
        </w:rPr>
      </w:pPr>
    </w:p>
    <w:p w14:paraId="7A13DBAD" w14:textId="77777777" w:rsidR="008E045A" w:rsidRPr="003A13C9" w:rsidRDefault="00F75E4C" w:rsidP="00696045">
      <w:pPr>
        <w:widowControl w:val="0"/>
        <w:autoSpaceDE w:val="0"/>
        <w:autoSpaceDN w:val="0"/>
        <w:adjustRightInd w:val="0"/>
        <w:ind w:right="-347"/>
        <w:jc w:val="both"/>
        <w:rPr>
          <w:rFonts w:cs="Calibri"/>
          <w:color w:val="000000"/>
        </w:rPr>
      </w:pPr>
      <w:r w:rsidRPr="003A13C9">
        <w:rPr>
          <w:rFonts w:cs="Calibri"/>
          <w:color w:val="000000"/>
        </w:rPr>
        <w:t xml:space="preserve">Of the three, the </w:t>
      </w:r>
      <w:r w:rsidR="008E045A" w:rsidRPr="003A13C9">
        <w:rPr>
          <w:rFonts w:cs="Calibri"/>
          <w:color w:val="000000"/>
        </w:rPr>
        <w:t xml:space="preserve">offender’s </w:t>
      </w:r>
      <w:r w:rsidRPr="003A13C9">
        <w:rPr>
          <w:rFonts w:cs="Calibri"/>
          <w:color w:val="000000"/>
        </w:rPr>
        <w:t xml:space="preserve">demonstration of remorse is </w:t>
      </w:r>
      <w:r w:rsidR="008E045A" w:rsidRPr="003A13C9">
        <w:rPr>
          <w:rFonts w:cs="Calibri"/>
          <w:color w:val="000000"/>
        </w:rPr>
        <w:t xml:space="preserve">of </w:t>
      </w:r>
      <w:r w:rsidRPr="003A13C9">
        <w:rPr>
          <w:rFonts w:cs="Calibri"/>
          <w:color w:val="000000"/>
        </w:rPr>
        <w:t xml:space="preserve">most important, as it </w:t>
      </w:r>
      <w:r w:rsidR="008E045A" w:rsidRPr="003A13C9">
        <w:rPr>
          <w:rFonts w:cs="Calibri"/>
          <w:color w:val="000000"/>
        </w:rPr>
        <w:t>is an important step towards rehabilitation</w:t>
      </w:r>
      <w:r w:rsidRPr="003A13C9">
        <w:rPr>
          <w:rFonts w:cs="Calibri"/>
          <w:color w:val="000000"/>
        </w:rPr>
        <w:t>.</w:t>
      </w:r>
      <w:r w:rsidR="008E045A" w:rsidRPr="003A13C9">
        <w:rPr>
          <w:rFonts w:cs="Calibri"/>
          <w:color w:val="000000"/>
        </w:rPr>
        <w:t xml:space="preserve"> </w:t>
      </w:r>
    </w:p>
    <w:p w14:paraId="27B2245E" w14:textId="77777777" w:rsidR="008E045A" w:rsidRPr="003A13C9" w:rsidRDefault="008E045A" w:rsidP="00696045">
      <w:pPr>
        <w:widowControl w:val="0"/>
        <w:autoSpaceDE w:val="0"/>
        <w:autoSpaceDN w:val="0"/>
        <w:adjustRightInd w:val="0"/>
        <w:ind w:right="-347"/>
        <w:jc w:val="both"/>
        <w:rPr>
          <w:rFonts w:cs="Calibri"/>
          <w:color w:val="000000"/>
        </w:rPr>
      </w:pPr>
    </w:p>
    <w:p w14:paraId="2BBE690C" w14:textId="502B330B" w:rsidR="00BB6A3C" w:rsidRPr="003A13C9" w:rsidRDefault="00F75E4C" w:rsidP="00696045">
      <w:pPr>
        <w:widowControl w:val="0"/>
        <w:autoSpaceDE w:val="0"/>
        <w:autoSpaceDN w:val="0"/>
        <w:adjustRightInd w:val="0"/>
        <w:ind w:right="-347"/>
        <w:jc w:val="both"/>
        <w:rPr>
          <w:rFonts w:cs="Calibri"/>
          <w:color w:val="000000"/>
        </w:rPr>
      </w:pPr>
      <w:r w:rsidRPr="003A13C9">
        <w:rPr>
          <w:rFonts w:cs="Calibri"/>
          <w:color w:val="000000"/>
        </w:rPr>
        <w:t xml:space="preserve">Pleading guilty to a </w:t>
      </w:r>
      <w:r w:rsidR="008E045A" w:rsidRPr="003A13C9">
        <w:rPr>
          <w:rFonts w:cs="Calibri"/>
          <w:color w:val="000000"/>
        </w:rPr>
        <w:t>charge</w:t>
      </w:r>
      <w:r w:rsidRPr="003A13C9">
        <w:rPr>
          <w:rFonts w:cs="Calibri"/>
          <w:color w:val="000000"/>
        </w:rPr>
        <w:t xml:space="preserve"> where the State’s case is weaker is indicative of considerable remorse, and </w:t>
      </w:r>
      <w:r w:rsidR="008E045A" w:rsidRPr="003A13C9">
        <w:rPr>
          <w:rFonts w:cs="Calibri"/>
          <w:color w:val="000000"/>
        </w:rPr>
        <w:t>should</w:t>
      </w:r>
      <w:r w:rsidRPr="003A13C9">
        <w:rPr>
          <w:rFonts w:cs="Calibri"/>
          <w:color w:val="000000"/>
        </w:rPr>
        <w:t xml:space="preserve"> be </w:t>
      </w:r>
      <w:proofErr w:type="spellStart"/>
      <w:r w:rsidR="008E045A" w:rsidRPr="003A13C9">
        <w:rPr>
          <w:rFonts w:cs="Calibri"/>
          <w:color w:val="000000"/>
        </w:rPr>
        <w:t>recognis</w:t>
      </w:r>
      <w:r w:rsidRPr="003A13C9">
        <w:rPr>
          <w:rFonts w:cs="Calibri"/>
          <w:color w:val="000000"/>
        </w:rPr>
        <w:t>ed</w:t>
      </w:r>
      <w:proofErr w:type="spellEnd"/>
      <w:r w:rsidRPr="003A13C9">
        <w:rPr>
          <w:rFonts w:cs="Calibri"/>
          <w:color w:val="000000"/>
        </w:rPr>
        <w:t xml:space="preserve"> as such.</w:t>
      </w:r>
      <w:r w:rsidR="00BB6A3C" w:rsidRPr="003A13C9">
        <w:rPr>
          <w:rFonts w:cs="Calibri"/>
          <w:color w:val="000000"/>
        </w:rPr>
        <w:t xml:space="preserve"> </w:t>
      </w:r>
      <w:r w:rsidRPr="003A13C9">
        <w:rPr>
          <w:rFonts w:cs="Calibri"/>
          <w:color w:val="000000"/>
        </w:rPr>
        <w:t>The current scheme also makes allowance</w:t>
      </w:r>
      <w:r w:rsidR="00BB6A3C" w:rsidRPr="003A13C9">
        <w:rPr>
          <w:rFonts w:cs="Calibri"/>
          <w:color w:val="000000"/>
        </w:rPr>
        <w:t>s for circumstances in which the conviction is inevitable</w:t>
      </w:r>
      <w:r w:rsidRPr="003A13C9">
        <w:rPr>
          <w:rFonts w:cs="Calibri"/>
          <w:color w:val="000000"/>
        </w:rPr>
        <w:t>, and this can lead to a lowering of the value of the plea.</w:t>
      </w:r>
    </w:p>
    <w:p w14:paraId="5C3BD5CA" w14:textId="77777777" w:rsidR="00BB6A3C" w:rsidRPr="003A13C9" w:rsidRDefault="00BB6A3C" w:rsidP="00696045">
      <w:pPr>
        <w:widowControl w:val="0"/>
        <w:autoSpaceDE w:val="0"/>
        <w:autoSpaceDN w:val="0"/>
        <w:adjustRightInd w:val="0"/>
        <w:ind w:right="-347"/>
        <w:jc w:val="both"/>
        <w:rPr>
          <w:rFonts w:cs="Calibri"/>
          <w:color w:val="000000"/>
        </w:rPr>
      </w:pPr>
    </w:p>
    <w:p w14:paraId="74150AC2" w14:textId="77777777" w:rsidR="003C0D7F" w:rsidRPr="003A13C9" w:rsidRDefault="00F75E4C" w:rsidP="00696045">
      <w:pPr>
        <w:widowControl w:val="0"/>
        <w:autoSpaceDE w:val="0"/>
        <w:autoSpaceDN w:val="0"/>
        <w:adjustRightInd w:val="0"/>
        <w:ind w:right="-347"/>
        <w:jc w:val="both"/>
        <w:rPr>
          <w:rFonts w:cs="Calibri"/>
          <w:color w:val="000000"/>
        </w:rPr>
      </w:pPr>
      <w:r w:rsidRPr="003A13C9">
        <w:rPr>
          <w:rFonts w:cs="Calibri"/>
          <w:color w:val="000000"/>
        </w:rPr>
        <w:t xml:space="preserve">This lowering of the value of the plea ought </w:t>
      </w:r>
      <w:proofErr w:type="gramStart"/>
      <w:r w:rsidRPr="003A13C9">
        <w:rPr>
          <w:rFonts w:cs="Calibri"/>
          <w:color w:val="000000"/>
        </w:rPr>
        <w:t>be</w:t>
      </w:r>
      <w:proofErr w:type="gramEnd"/>
      <w:r w:rsidRPr="003A13C9">
        <w:rPr>
          <w:rFonts w:cs="Calibri"/>
          <w:color w:val="000000"/>
        </w:rPr>
        <w:t>, and is, used sparingly – it should be limited to those cases where an absence of remorse is demonstrated through other factors.</w:t>
      </w:r>
    </w:p>
    <w:p w14:paraId="5927FE5F" w14:textId="77777777" w:rsidR="003C0D7F" w:rsidRPr="003A13C9" w:rsidRDefault="003C0D7F" w:rsidP="00B8655A">
      <w:pPr>
        <w:widowControl w:val="0"/>
        <w:autoSpaceDE w:val="0"/>
        <w:autoSpaceDN w:val="0"/>
        <w:adjustRightInd w:val="0"/>
        <w:jc w:val="both"/>
        <w:rPr>
          <w:rFonts w:cs="Calibri"/>
          <w:color w:val="000000"/>
        </w:rPr>
      </w:pPr>
    </w:p>
    <w:p w14:paraId="1DA093B1" w14:textId="0291D554" w:rsidR="0022614F" w:rsidRPr="003A13C9" w:rsidRDefault="0022614F" w:rsidP="00696045">
      <w:pPr>
        <w:pStyle w:val="ListParagraph"/>
        <w:widowControl w:val="0"/>
        <w:numPr>
          <w:ilvl w:val="0"/>
          <w:numId w:val="6"/>
        </w:numPr>
        <w:autoSpaceDE w:val="0"/>
        <w:autoSpaceDN w:val="0"/>
        <w:adjustRightInd w:val="0"/>
        <w:ind w:right="-347"/>
        <w:jc w:val="both"/>
        <w:rPr>
          <w:b/>
        </w:rPr>
      </w:pPr>
      <w:r w:rsidRPr="003A13C9">
        <w:rPr>
          <w:b/>
        </w:rPr>
        <w:t>Should the actual benefit derived from a guilty plea in terms of time saving and the sparing of</w:t>
      </w:r>
      <w:r w:rsidR="00C95D3D" w:rsidRPr="003A13C9">
        <w:rPr>
          <w:b/>
        </w:rPr>
        <w:t xml:space="preserve"> </w:t>
      </w:r>
      <w:r w:rsidRPr="003A13C9">
        <w:rPr>
          <w:b/>
        </w:rPr>
        <w:t>witnesses be a matter relevant to the sentencing discount for a guilty plea? Or should the narrow</w:t>
      </w:r>
      <w:r w:rsidR="00C95D3D" w:rsidRPr="003A13C9">
        <w:rPr>
          <w:b/>
        </w:rPr>
        <w:t xml:space="preserve"> </w:t>
      </w:r>
      <w:r w:rsidRPr="003A13C9">
        <w:rPr>
          <w:b/>
        </w:rPr>
        <w:t>view be adopted, where the discount reflects the notional benefit to the system?</w:t>
      </w:r>
    </w:p>
    <w:p w14:paraId="511B989E" w14:textId="77777777" w:rsidR="00634EE6" w:rsidRPr="003A13C9" w:rsidRDefault="00634EE6" w:rsidP="00B8655A">
      <w:pPr>
        <w:ind w:right="-347"/>
        <w:jc w:val="both"/>
      </w:pPr>
    </w:p>
    <w:p w14:paraId="72982C6E" w14:textId="50320817" w:rsidR="00C95D3D" w:rsidRPr="003A13C9" w:rsidRDefault="00B064A1" w:rsidP="00B8655A">
      <w:pPr>
        <w:ind w:right="-347"/>
        <w:jc w:val="both"/>
      </w:pPr>
      <w:r w:rsidRPr="003A13C9">
        <w:t xml:space="preserve">Time saving and the sparing of witnesses </w:t>
      </w:r>
      <w:r w:rsidR="004A6B81" w:rsidRPr="003A13C9">
        <w:t xml:space="preserve">from cross-examination </w:t>
      </w:r>
      <w:r w:rsidRPr="003A13C9">
        <w:t xml:space="preserve">are factors already taken into account and should continue to </w:t>
      </w:r>
      <w:r w:rsidR="004A6B81" w:rsidRPr="003A13C9">
        <w:t>be the case</w:t>
      </w:r>
      <w:r w:rsidRPr="003A13C9">
        <w:t xml:space="preserve">. Despite </w:t>
      </w:r>
      <w:r w:rsidR="006D52EA" w:rsidRPr="003A13C9">
        <w:t>legislative reform having been introduced with the intention of making the giving of evidence easier on victims,</w:t>
      </w:r>
      <w:r w:rsidR="006D52EA" w:rsidRPr="003A13C9">
        <w:rPr>
          <w:rStyle w:val="FootnoteReference"/>
        </w:rPr>
        <w:footnoteReference w:id="6"/>
      </w:r>
      <w:r w:rsidR="006D52EA" w:rsidRPr="003A13C9">
        <w:t xml:space="preserve"> it remains a traumatic experience for many</w:t>
      </w:r>
      <w:r w:rsidR="00DA3CE3" w:rsidRPr="003A13C9">
        <w:t>, including many non-</w:t>
      </w:r>
      <w:r w:rsidR="00DA3CE3" w:rsidRPr="003A13C9">
        <w:lastRenderedPageBreak/>
        <w:t>victim witnesses</w:t>
      </w:r>
      <w:r w:rsidR="006D52EA" w:rsidRPr="003A13C9">
        <w:t xml:space="preserve">. </w:t>
      </w:r>
      <w:r w:rsidR="008C4E44" w:rsidRPr="003A13C9">
        <w:t>Additionally, pleas of guilty invariably save cour</w:t>
      </w:r>
      <w:r w:rsidR="004A7469" w:rsidRPr="003A13C9">
        <w:t xml:space="preserve">ts, </w:t>
      </w:r>
      <w:proofErr w:type="spellStart"/>
      <w:r w:rsidR="004A7469" w:rsidRPr="003A13C9">
        <w:t>defence</w:t>
      </w:r>
      <w:proofErr w:type="spellEnd"/>
      <w:r w:rsidR="004A7469" w:rsidRPr="003A13C9">
        <w:t xml:space="preserve"> and prosecution</w:t>
      </w:r>
      <w:r w:rsidR="008C4E44" w:rsidRPr="003A13C9">
        <w:t xml:space="preserve"> time and resources.</w:t>
      </w:r>
      <w:r w:rsidR="003C0D7F" w:rsidRPr="003A13C9">
        <w:t xml:space="preserve"> We do not believe there is any benefit in attempting to quantify these savings with any degree of precision. </w:t>
      </w:r>
    </w:p>
    <w:p w14:paraId="4E315889" w14:textId="77777777" w:rsidR="00B064A1" w:rsidRPr="003A13C9" w:rsidRDefault="00B064A1" w:rsidP="00B8655A">
      <w:pPr>
        <w:ind w:right="-347"/>
        <w:jc w:val="both"/>
        <w:rPr>
          <w:b/>
        </w:rPr>
      </w:pPr>
    </w:p>
    <w:p w14:paraId="5AB59A6A" w14:textId="79BA4B4A" w:rsidR="0022614F" w:rsidRPr="003A13C9" w:rsidRDefault="0022614F" w:rsidP="00B8655A">
      <w:pPr>
        <w:pStyle w:val="ListParagraph"/>
        <w:numPr>
          <w:ilvl w:val="0"/>
          <w:numId w:val="6"/>
        </w:numPr>
        <w:ind w:right="-347"/>
        <w:jc w:val="both"/>
        <w:rPr>
          <w:b/>
        </w:rPr>
      </w:pPr>
      <w:r w:rsidRPr="003A13C9">
        <w:rPr>
          <w:b/>
        </w:rPr>
        <w:t>Should the circumstances of the plea be included as a matter relevant to the sentencing discount</w:t>
      </w:r>
      <w:r w:rsidR="00F75E4C" w:rsidRPr="003A13C9">
        <w:rPr>
          <w:b/>
        </w:rPr>
        <w:t xml:space="preserve"> </w:t>
      </w:r>
      <w:r w:rsidRPr="003A13C9">
        <w:rPr>
          <w:b/>
        </w:rPr>
        <w:t>for a guilty plea?</w:t>
      </w:r>
    </w:p>
    <w:p w14:paraId="2ABACF46" w14:textId="77777777" w:rsidR="00634EE6" w:rsidRPr="003A13C9" w:rsidRDefault="00634EE6" w:rsidP="00B8655A">
      <w:pPr>
        <w:ind w:right="-347"/>
        <w:jc w:val="both"/>
      </w:pPr>
    </w:p>
    <w:p w14:paraId="16D2F385" w14:textId="1C0EF6FC" w:rsidR="00C73054" w:rsidRPr="003A13C9" w:rsidRDefault="00F15A2A" w:rsidP="00B8655A">
      <w:pPr>
        <w:ind w:right="-347"/>
        <w:jc w:val="both"/>
      </w:pPr>
      <w:r w:rsidRPr="003A13C9">
        <w:t>In our opinion, the circumstances of the plea</w:t>
      </w:r>
      <w:r w:rsidR="005F42F7" w:rsidRPr="003A13C9">
        <w:t xml:space="preserve"> should be considered. However, discretion should remain with </w:t>
      </w:r>
      <w:r w:rsidR="004A7469" w:rsidRPr="003A13C9">
        <w:t>the judicial officer and not</w:t>
      </w:r>
      <w:r w:rsidR="005F42F7" w:rsidRPr="003A13C9">
        <w:t xml:space="preserve"> prescribed in legislation.  </w:t>
      </w:r>
    </w:p>
    <w:p w14:paraId="46F302E3" w14:textId="77777777" w:rsidR="00C73054" w:rsidRPr="003A13C9" w:rsidRDefault="00C73054" w:rsidP="00B8655A">
      <w:pPr>
        <w:ind w:right="-347"/>
        <w:jc w:val="both"/>
      </w:pPr>
    </w:p>
    <w:p w14:paraId="6E354A66" w14:textId="0D1D05B5" w:rsidR="0022614F" w:rsidRPr="003A13C9" w:rsidRDefault="0022614F" w:rsidP="00B8655A">
      <w:pPr>
        <w:pStyle w:val="ListParagraph"/>
        <w:numPr>
          <w:ilvl w:val="0"/>
          <w:numId w:val="6"/>
        </w:numPr>
        <w:ind w:right="-347"/>
        <w:jc w:val="both"/>
        <w:rPr>
          <w:b/>
        </w:rPr>
      </w:pPr>
      <w:r w:rsidRPr="003A13C9">
        <w:rPr>
          <w:b/>
        </w:rPr>
        <w:t xml:space="preserve">Should the existence of a plea bargain be </w:t>
      </w:r>
      <w:proofErr w:type="spellStart"/>
      <w:r w:rsidRPr="003A13C9">
        <w:rPr>
          <w:b/>
        </w:rPr>
        <w:t>recognised</w:t>
      </w:r>
      <w:proofErr w:type="spellEnd"/>
      <w:r w:rsidRPr="003A13C9">
        <w:rPr>
          <w:b/>
        </w:rPr>
        <w:t xml:space="preserve"> as a matter relevant to the sentencing</w:t>
      </w:r>
      <w:r w:rsidR="00C95D3D" w:rsidRPr="003A13C9">
        <w:rPr>
          <w:b/>
        </w:rPr>
        <w:t xml:space="preserve"> </w:t>
      </w:r>
      <w:r w:rsidRPr="003A13C9">
        <w:rPr>
          <w:b/>
        </w:rPr>
        <w:t>discount for a guilty plea? What should be the effect of a plea bargain?</w:t>
      </w:r>
    </w:p>
    <w:p w14:paraId="5BAE7D28" w14:textId="77777777" w:rsidR="00634EE6" w:rsidRPr="003A13C9" w:rsidRDefault="00634EE6" w:rsidP="00B8655A">
      <w:pPr>
        <w:ind w:right="-347"/>
        <w:jc w:val="both"/>
      </w:pPr>
    </w:p>
    <w:p w14:paraId="02782B07" w14:textId="1A66B674" w:rsidR="008923A7" w:rsidRPr="003A13C9" w:rsidRDefault="008870EB" w:rsidP="00B8655A">
      <w:pPr>
        <w:ind w:right="-347"/>
        <w:jc w:val="both"/>
      </w:pPr>
      <w:r w:rsidRPr="003A13C9">
        <w:t>The existence of a ple</w:t>
      </w:r>
      <w:r w:rsidR="004A7469" w:rsidRPr="003A13C9">
        <w:t xml:space="preserve">a bargain should not be </w:t>
      </w:r>
      <w:proofErr w:type="spellStart"/>
      <w:r w:rsidR="004A7469" w:rsidRPr="003A13C9">
        <w:t>recognis</w:t>
      </w:r>
      <w:r w:rsidRPr="003A13C9">
        <w:t>ed</w:t>
      </w:r>
      <w:proofErr w:type="spellEnd"/>
      <w:r w:rsidRPr="003A13C9">
        <w:t xml:space="preserve"> as a matter relevant to the sentencing discount for a guilty plea. The ability of </w:t>
      </w:r>
      <w:proofErr w:type="spellStart"/>
      <w:r w:rsidRPr="003A13C9">
        <w:t>defence</w:t>
      </w:r>
      <w:proofErr w:type="spellEnd"/>
      <w:r w:rsidRPr="003A13C9">
        <w:t xml:space="preserve"> counsel and prosecuting authorities to negotiate outcomes ou</w:t>
      </w:r>
      <w:r w:rsidR="005F65B9" w:rsidRPr="003A13C9">
        <w:t xml:space="preserve">ght not be fettered in any way, particularly as it is unlikely to achieve better outcomes. </w:t>
      </w:r>
    </w:p>
    <w:p w14:paraId="5717628A" w14:textId="77777777" w:rsidR="008923A7" w:rsidRPr="003A13C9" w:rsidRDefault="008923A7" w:rsidP="00B8655A">
      <w:pPr>
        <w:ind w:right="-347"/>
        <w:jc w:val="both"/>
        <w:rPr>
          <w:b/>
        </w:rPr>
      </w:pPr>
    </w:p>
    <w:p w14:paraId="41A9DC91" w14:textId="5130514D" w:rsidR="0022614F" w:rsidRPr="003A13C9" w:rsidRDefault="0022614F" w:rsidP="00B8655A">
      <w:pPr>
        <w:pStyle w:val="ListParagraph"/>
        <w:numPr>
          <w:ilvl w:val="0"/>
          <w:numId w:val="6"/>
        </w:numPr>
        <w:ind w:right="-347"/>
        <w:jc w:val="both"/>
        <w:rPr>
          <w:b/>
        </w:rPr>
      </w:pPr>
      <w:r w:rsidRPr="003A13C9">
        <w:rPr>
          <w:b/>
        </w:rPr>
        <w:t>Should these factors be defined in statute (English approach), left to the discretion of the court with</w:t>
      </w:r>
      <w:r w:rsidR="00C95D3D" w:rsidRPr="003A13C9">
        <w:rPr>
          <w:b/>
        </w:rPr>
        <w:t xml:space="preserve"> </w:t>
      </w:r>
      <w:r w:rsidRPr="003A13C9">
        <w:rPr>
          <w:b/>
        </w:rPr>
        <w:t>legislative clarification (as in NSW, South Australia and the ACT) or left completely to the court’s</w:t>
      </w:r>
      <w:r w:rsidR="00B156F1" w:rsidRPr="003A13C9">
        <w:rPr>
          <w:b/>
        </w:rPr>
        <w:t xml:space="preserve"> </w:t>
      </w:r>
      <w:r w:rsidRPr="003A13C9">
        <w:rPr>
          <w:b/>
        </w:rPr>
        <w:t>discretion other than the timing of the plea (as in Victoria, Queensland, NT, Western Australia)? If</w:t>
      </w:r>
      <w:r w:rsidR="00C95D3D" w:rsidRPr="003A13C9">
        <w:rPr>
          <w:b/>
        </w:rPr>
        <w:t xml:space="preserve"> </w:t>
      </w:r>
      <w:r w:rsidRPr="003A13C9">
        <w:rPr>
          <w:b/>
        </w:rPr>
        <w:t>some factors are set out in legislation, which ones should be included?</w:t>
      </w:r>
    </w:p>
    <w:p w14:paraId="5004415F" w14:textId="77777777" w:rsidR="00634EE6" w:rsidRPr="003A13C9" w:rsidRDefault="00634EE6" w:rsidP="0022614F">
      <w:pPr>
        <w:ind w:right="-347"/>
      </w:pPr>
    </w:p>
    <w:p w14:paraId="77723086" w14:textId="73CFFD85" w:rsidR="008923A7" w:rsidRPr="003A13C9" w:rsidRDefault="00EB5214" w:rsidP="0022614F">
      <w:pPr>
        <w:ind w:right="-347"/>
      </w:pPr>
      <w:r w:rsidRPr="003A13C9">
        <w:t xml:space="preserve">We believe that it should be left entirely to the discretion of the courts.  </w:t>
      </w:r>
    </w:p>
    <w:p w14:paraId="0D3DC038" w14:textId="77777777" w:rsidR="00EB5214" w:rsidRPr="003A13C9" w:rsidRDefault="00EB5214" w:rsidP="0022614F">
      <w:pPr>
        <w:ind w:right="-347"/>
      </w:pPr>
    </w:p>
    <w:p w14:paraId="18ABE2E3" w14:textId="4C3626D4" w:rsidR="000B59A8" w:rsidRPr="003A13C9" w:rsidRDefault="0022614F" w:rsidP="00B8655A">
      <w:pPr>
        <w:pStyle w:val="ListParagraph"/>
        <w:numPr>
          <w:ilvl w:val="0"/>
          <w:numId w:val="6"/>
        </w:numPr>
        <w:ind w:right="-347"/>
        <w:jc w:val="both"/>
        <w:rPr>
          <w:b/>
        </w:rPr>
      </w:pPr>
      <w:r w:rsidRPr="003A13C9">
        <w:rPr>
          <w:b/>
        </w:rPr>
        <w:t>Should there be a statutory provision that allows the court to impose a sentence that is less than</w:t>
      </w:r>
      <w:r w:rsidR="00C95D3D" w:rsidRPr="003A13C9">
        <w:rPr>
          <w:b/>
        </w:rPr>
        <w:t xml:space="preserve"> </w:t>
      </w:r>
      <w:r w:rsidRPr="003A13C9">
        <w:rPr>
          <w:b/>
        </w:rPr>
        <w:t>a mandatory minimum sentence in cases where an offender enters a plea of guilty?</w:t>
      </w:r>
    </w:p>
    <w:p w14:paraId="4E4CAB2F" w14:textId="77777777" w:rsidR="00634EE6" w:rsidRPr="003A13C9" w:rsidRDefault="00634EE6" w:rsidP="00B8655A">
      <w:pPr>
        <w:ind w:right="-347"/>
        <w:jc w:val="both"/>
        <w:rPr>
          <w:rFonts w:cs="Calibri"/>
          <w:color w:val="000000"/>
        </w:rPr>
      </w:pPr>
    </w:p>
    <w:p w14:paraId="0D79C93E" w14:textId="44E20E02" w:rsidR="008923A7" w:rsidRPr="003A13C9" w:rsidRDefault="00634EE6" w:rsidP="00B8655A">
      <w:pPr>
        <w:ind w:right="-347"/>
        <w:jc w:val="both"/>
        <w:rPr>
          <w:b/>
        </w:rPr>
      </w:pPr>
      <w:r w:rsidRPr="003A13C9">
        <w:rPr>
          <w:rFonts w:cs="Calibri"/>
          <w:color w:val="000000"/>
        </w:rPr>
        <w:t>We are strongly opposed to</w:t>
      </w:r>
      <w:r w:rsidR="008923A7" w:rsidRPr="003A13C9">
        <w:rPr>
          <w:rFonts w:cs="Calibri"/>
          <w:color w:val="000000"/>
        </w:rPr>
        <w:t xml:space="preserve"> mandatory penalties. Where there are, those mandatory penalties should only be deviated from in exceptional circumstances. Making exceptional circumstances effectively conditional upon a plea of guilty will lead to further injustice.</w:t>
      </w:r>
    </w:p>
    <w:p w14:paraId="10411EAB" w14:textId="77777777" w:rsidR="00C95D3D" w:rsidRPr="003A13C9" w:rsidRDefault="00C95D3D" w:rsidP="00B8655A">
      <w:pPr>
        <w:ind w:right="-347"/>
        <w:jc w:val="both"/>
        <w:rPr>
          <w:b/>
        </w:rPr>
      </w:pPr>
    </w:p>
    <w:p w14:paraId="7792484E" w14:textId="0C48B808" w:rsidR="0022614F" w:rsidRPr="003A13C9" w:rsidRDefault="0022614F" w:rsidP="00B8655A">
      <w:pPr>
        <w:pStyle w:val="ListParagraph"/>
        <w:numPr>
          <w:ilvl w:val="0"/>
          <w:numId w:val="6"/>
        </w:numPr>
        <w:ind w:right="-347"/>
        <w:jc w:val="both"/>
        <w:rPr>
          <w:b/>
        </w:rPr>
      </w:pPr>
      <w:r w:rsidRPr="003A13C9">
        <w:rPr>
          <w:b/>
        </w:rPr>
        <w:t>If so, should it apply to all mandatory minimum sentences or should it only apply to mandatory</w:t>
      </w:r>
      <w:r w:rsidR="00C95D3D" w:rsidRPr="003A13C9">
        <w:rPr>
          <w:b/>
        </w:rPr>
        <w:t xml:space="preserve"> </w:t>
      </w:r>
      <w:r w:rsidRPr="003A13C9">
        <w:rPr>
          <w:b/>
        </w:rPr>
        <w:t>minimum sentences that apply to indictable offences or some other category of offences or</w:t>
      </w:r>
      <w:r w:rsidR="00C95D3D" w:rsidRPr="003A13C9">
        <w:rPr>
          <w:b/>
        </w:rPr>
        <w:t xml:space="preserve"> </w:t>
      </w:r>
      <w:r w:rsidRPr="003A13C9">
        <w:rPr>
          <w:b/>
        </w:rPr>
        <w:t>specific offence?</w:t>
      </w:r>
    </w:p>
    <w:p w14:paraId="6E500376" w14:textId="77777777" w:rsidR="00634EE6" w:rsidRPr="003A13C9" w:rsidRDefault="00634EE6" w:rsidP="0022614F">
      <w:pPr>
        <w:ind w:right="-347"/>
      </w:pPr>
    </w:p>
    <w:p w14:paraId="7B3F0862" w14:textId="3C16BFBD" w:rsidR="008923A7" w:rsidRPr="003A13C9" w:rsidRDefault="000B59A8" w:rsidP="0022614F">
      <w:pPr>
        <w:ind w:right="-347"/>
      </w:pPr>
      <w:r w:rsidRPr="003A13C9">
        <w:t>See above</w:t>
      </w:r>
    </w:p>
    <w:p w14:paraId="1E40EED2" w14:textId="77777777" w:rsidR="000B59A8" w:rsidRPr="003A13C9" w:rsidRDefault="000B59A8" w:rsidP="0022614F">
      <w:pPr>
        <w:ind w:right="-347"/>
        <w:rPr>
          <w:b/>
        </w:rPr>
      </w:pPr>
    </w:p>
    <w:p w14:paraId="2716FE32" w14:textId="21F20B19" w:rsidR="000B59A8" w:rsidRPr="003A13C9" w:rsidRDefault="0022614F" w:rsidP="00B8655A">
      <w:pPr>
        <w:pStyle w:val="ListParagraph"/>
        <w:numPr>
          <w:ilvl w:val="0"/>
          <w:numId w:val="6"/>
        </w:numPr>
        <w:ind w:right="-347"/>
        <w:jc w:val="both"/>
        <w:rPr>
          <w:b/>
        </w:rPr>
      </w:pPr>
      <w:r w:rsidRPr="003A13C9">
        <w:rPr>
          <w:b/>
        </w:rPr>
        <w:t>Should there be any additional conditions that restrict the availability of the sentencing</w:t>
      </w:r>
      <w:r w:rsidR="00C95D3D" w:rsidRPr="003A13C9">
        <w:rPr>
          <w:b/>
        </w:rPr>
        <w:t xml:space="preserve"> </w:t>
      </w:r>
      <w:r w:rsidRPr="003A13C9">
        <w:rPr>
          <w:b/>
        </w:rPr>
        <w:t>discount?</w:t>
      </w:r>
      <w:r w:rsidR="008923A7" w:rsidRPr="003A13C9">
        <w:rPr>
          <w:b/>
        </w:rPr>
        <w:t xml:space="preserve"> </w:t>
      </w:r>
    </w:p>
    <w:p w14:paraId="327BE313" w14:textId="38229670" w:rsidR="0022614F" w:rsidRPr="003A13C9" w:rsidRDefault="008923A7" w:rsidP="00B8655A">
      <w:pPr>
        <w:ind w:right="-347"/>
        <w:jc w:val="both"/>
      </w:pPr>
      <w:r w:rsidRPr="003A13C9">
        <w:t>No.</w:t>
      </w:r>
    </w:p>
    <w:p w14:paraId="080DFC4A" w14:textId="77777777" w:rsidR="00C95D3D" w:rsidRPr="003A13C9" w:rsidRDefault="00C95D3D" w:rsidP="00B8655A">
      <w:pPr>
        <w:ind w:right="-347"/>
        <w:jc w:val="both"/>
        <w:rPr>
          <w:b/>
          <w:color w:val="000000" w:themeColor="text1"/>
        </w:rPr>
      </w:pPr>
    </w:p>
    <w:p w14:paraId="2F330223" w14:textId="77777777" w:rsidR="00B8655A" w:rsidRPr="003A13C9" w:rsidRDefault="0022614F" w:rsidP="00B8655A">
      <w:pPr>
        <w:pStyle w:val="ListParagraph"/>
        <w:numPr>
          <w:ilvl w:val="0"/>
          <w:numId w:val="6"/>
        </w:numPr>
        <w:ind w:right="-347"/>
        <w:jc w:val="both"/>
        <w:rPr>
          <w:b/>
          <w:color w:val="000000" w:themeColor="text1"/>
        </w:rPr>
      </w:pPr>
      <w:r w:rsidRPr="003A13C9">
        <w:rPr>
          <w:b/>
          <w:color w:val="000000" w:themeColor="text1"/>
        </w:rPr>
        <w:t>If the court is able to provide a sentencing discount if an offender enters a plea of guilty to an</w:t>
      </w:r>
      <w:r w:rsidR="00C95D3D" w:rsidRPr="003A13C9">
        <w:rPr>
          <w:b/>
          <w:color w:val="000000" w:themeColor="text1"/>
        </w:rPr>
        <w:t xml:space="preserve"> </w:t>
      </w:r>
      <w:r w:rsidRPr="003A13C9">
        <w:rPr>
          <w:b/>
          <w:color w:val="000000" w:themeColor="text1"/>
        </w:rPr>
        <w:t xml:space="preserve">offence attracting a mandatory minimum penalty </w:t>
      </w:r>
      <w:r w:rsidRPr="003A13C9">
        <w:rPr>
          <w:b/>
          <w:color w:val="000000" w:themeColor="text1"/>
        </w:rPr>
        <w:lastRenderedPageBreak/>
        <w:t>with the result that the sentence would be</w:t>
      </w:r>
      <w:r w:rsidR="00C95D3D" w:rsidRPr="003A13C9">
        <w:rPr>
          <w:b/>
          <w:color w:val="000000" w:themeColor="text1"/>
        </w:rPr>
        <w:t xml:space="preserve"> </w:t>
      </w:r>
      <w:r w:rsidRPr="003A13C9">
        <w:rPr>
          <w:b/>
          <w:color w:val="000000" w:themeColor="text1"/>
        </w:rPr>
        <w:t>below the mandatory minimum penalty, should an offender be entitled to the same discount as</w:t>
      </w:r>
      <w:r w:rsidR="00C95D3D" w:rsidRPr="003A13C9">
        <w:rPr>
          <w:b/>
          <w:color w:val="000000" w:themeColor="text1"/>
        </w:rPr>
        <w:t xml:space="preserve"> </w:t>
      </w:r>
      <w:r w:rsidRPr="003A13C9">
        <w:rPr>
          <w:b/>
          <w:color w:val="000000" w:themeColor="text1"/>
        </w:rPr>
        <w:t>if the mandatory minimum penalty did not exist (that is, the usual discount scheme) or should it</w:t>
      </w:r>
      <w:r w:rsidR="008923A7" w:rsidRPr="003A13C9">
        <w:rPr>
          <w:b/>
          <w:color w:val="000000" w:themeColor="text1"/>
        </w:rPr>
        <w:t xml:space="preserve"> </w:t>
      </w:r>
      <w:r w:rsidRPr="003A13C9">
        <w:rPr>
          <w:b/>
          <w:color w:val="000000" w:themeColor="text1"/>
        </w:rPr>
        <w:t>be a reduced discount?</w:t>
      </w:r>
    </w:p>
    <w:p w14:paraId="0EA1BA75" w14:textId="77777777" w:rsidR="00634EE6" w:rsidRPr="003A13C9" w:rsidRDefault="00634EE6" w:rsidP="00634EE6">
      <w:pPr>
        <w:ind w:right="-347"/>
        <w:jc w:val="both"/>
        <w:rPr>
          <w:color w:val="000000" w:themeColor="text1"/>
        </w:rPr>
      </w:pPr>
    </w:p>
    <w:p w14:paraId="4BE7F4CD" w14:textId="0CED4939" w:rsidR="00634EE6" w:rsidRPr="003A13C9" w:rsidRDefault="00634EE6" w:rsidP="00634EE6">
      <w:pPr>
        <w:ind w:right="-347"/>
        <w:jc w:val="both"/>
        <w:rPr>
          <w:color w:val="000000" w:themeColor="text1"/>
        </w:rPr>
      </w:pPr>
      <w:r w:rsidRPr="003A13C9">
        <w:rPr>
          <w:color w:val="000000" w:themeColor="text1"/>
        </w:rPr>
        <w:t>See answer to question 20</w:t>
      </w:r>
    </w:p>
    <w:p w14:paraId="2F402C15" w14:textId="77777777" w:rsidR="00634EE6" w:rsidRPr="003A13C9" w:rsidRDefault="00634EE6" w:rsidP="0022614F">
      <w:pPr>
        <w:ind w:right="-347"/>
        <w:rPr>
          <w:rFonts w:cs="Calibri"/>
          <w:color w:val="FF0000"/>
        </w:rPr>
      </w:pPr>
    </w:p>
    <w:p w14:paraId="6F20C5DC" w14:textId="67E574AC" w:rsidR="0022614F" w:rsidRPr="003A13C9" w:rsidRDefault="00C95D3D" w:rsidP="0022614F">
      <w:pPr>
        <w:ind w:right="-347"/>
        <w:rPr>
          <w:b/>
        </w:rPr>
      </w:pPr>
      <w:r w:rsidRPr="003A13C9">
        <w:rPr>
          <w:b/>
        </w:rPr>
        <w:t xml:space="preserve">23. </w:t>
      </w:r>
      <w:r w:rsidR="0022614F" w:rsidRPr="003A13C9">
        <w:rPr>
          <w:b/>
        </w:rPr>
        <w:t>What issues do you see in relation to the imposition of a global sentence arising from the</w:t>
      </w:r>
      <w:r w:rsidRPr="003A13C9">
        <w:rPr>
          <w:b/>
        </w:rPr>
        <w:t xml:space="preserve"> </w:t>
      </w:r>
      <w:r w:rsidR="0022614F" w:rsidRPr="003A13C9">
        <w:rPr>
          <w:b/>
        </w:rPr>
        <w:t>introduction of a statutory discount for a guilty plea?</w:t>
      </w:r>
    </w:p>
    <w:p w14:paraId="6D7AE641" w14:textId="77777777" w:rsidR="00634EE6" w:rsidRPr="003A13C9" w:rsidRDefault="00634EE6" w:rsidP="000338E9">
      <w:pPr>
        <w:ind w:right="-347"/>
        <w:jc w:val="both"/>
      </w:pPr>
    </w:p>
    <w:p w14:paraId="44E41ECC" w14:textId="6772D8A3" w:rsidR="000338E9" w:rsidRPr="003A13C9" w:rsidRDefault="000338E9" w:rsidP="000338E9">
      <w:pPr>
        <w:ind w:right="-347"/>
        <w:jc w:val="both"/>
      </w:pPr>
      <w:r w:rsidRPr="003A13C9">
        <w:t>The introduction of a statutory discount for a guilty plea may be problematic in circumstances in which:</w:t>
      </w:r>
    </w:p>
    <w:p w14:paraId="0B781910" w14:textId="77777777" w:rsidR="000338E9" w:rsidRPr="003A13C9" w:rsidRDefault="008923A7" w:rsidP="000338E9">
      <w:pPr>
        <w:pStyle w:val="ListParagraph"/>
        <w:numPr>
          <w:ilvl w:val="0"/>
          <w:numId w:val="9"/>
        </w:numPr>
        <w:ind w:right="-347"/>
        <w:jc w:val="both"/>
      </w:pPr>
      <w:r w:rsidRPr="003A13C9">
        <w:rPr>
          <w:rFonts w:cs="Calibri"/>
          <w:color w:val="000000"/>
        </w:rPr>
        <w:t>A global penalty includes pleas of gu</w:t>
      </w:r>
      <w:r w:rsidR="000338E9" w:rsidRPr="003A13C9">
        <w:rPr>
          <w:rFonts w:cs="Calibri"/>
          <w:color w:val="000000"/>
        </w:rPr>
        <w:t xml:space="preserve">ilty but also findings of guilt; </w:t>
      </w:r>
    </w:p>
    <w:p w14:paraId="30F45B76" w14:textId="77777777" w:rsidR="000338E9" w:rsidRPr="003A13C9" w:rsidRDefault="008923A7" w:rsidP="000338E9">
      <w:pPr>
        <w:pStyle w:val="ListParagraph"/>
        <w:numPr>
          <w:ilvl w:val="0"/>
          <w:numId w:val="9"/>
        </w:numPr>
        <w:ind w:right="-347"/>
        <w:jc w:val="both"/>
      </w:pPr>
      <w:r w:rsidRPr="003A13C9">
        <w:rPr>
          <w:rFonts w:cs="Calibri"/>
          <w:color w:val="000000"/>
        </w:rPr>
        <w:t>A global penalty includes early and late pl</w:t>
      </w:r>
      <w:r w:rsidR="000338E9" w:rsidRPr="003A13C9">
        <w:rPr>
          <w:rFonts w:cs="Calibri"/>
          <w:color w:val="000000"/>
        </w:rPr>
        <w:t>eas of guilty;</w:t>
      </w:r>
    </w:p>
    <w:p w14:paraId="5D96F9EB" w14:textId="537EA115" w:rsidR="008923A7" w:rsidRPr="003A13C9" w:rsidRDefault="008923A7" w:rsidP="000338E9">
      <w:pPr>
        <w:pStyle w:val="ListParagraph"/>
        <w:numPr>
          <w:ilvl w:val="0"/>
          <w:numId w:val="9"/>
        </w:numPr>
        <w:ind w:right="-347"/>
        <w:jc w:val="both"/>
      </w:pPr>
      <w:r w:rsidRPr="003A13C9">
        <w:rPr>
          <w:rFonts w:cs="Calibri"/>
          <w:color w:val="000000"/>
        </w:rPr>
        <w:t>A global penalty includes some matters that were adjourned sine die without plea prior to the hearing of a more serious matter</w:t>
      </w:r>
    </w:p>
    <w:p w14:paraId="03FE8ED5" w14:textId="77777777" w:rsidR="008923A7" w:rsidRPr="003A13C9" w:rsidRDefault="008923A7" w:rsidP="000338E9">
      <w:pPr>
        <w:widowControl w:val="0"/>
        <w:autoSpaceDE w:val="0"/>
        <w:autoSpaceDN w:val="0"/>
        <w:adjustRightInd w:val="0"/>
        <w:jc w:val="both"/>
        <w:rPr>
          <w:rFonts w:cs="Calibri"/>
          <w:color w:val="000000"/>
          <w:sz w:val="22"/>
          <w:szCs w:val="22"/>
        </w:rPr>
      </w:pPr>
      <w:r w:rsidRPr="003A13C9">
        <w:rPr>
          <w:rFonts w:cs="Calibri"/>
          <w:color w:val="000000"/>
          <w:sz w:val="22"/>
          <w:szCs w:val="22"/>
        </w:rPr>
        <w:t> </w:t>
      </w:r>
    </w:p>
    <w:p w14:paraId="2DD002DA" w14:textId="5C108500" w:rsidR="000338E9" w:rsidRPr="003A13C9" w:rsidRDefault="000338E9" w:rsidP="000338E9">
      <w:pPr>
        <w:widowControl w:val="0"/>
        <w:autoSpaceDE w:val="0"/>
        <w:autoSpaceDN w:val="0"/>
        <w:adjustRightInd w:val="0"/>
        <w:jc w:val="both"/>
        <w:rPr>
          <w:rFonts w:cs="Calibri"/>
          <w:color w:val="000000"/>
        </w:rPr>
      </w:pPr>
      <w:r w:rsidRPr="003A13C9">
        <w:rPr>
          <w:rFonts w:cs="Calibri"/>
          <w:color w:val="000000"/>
        </w:rPr>
        <w:t xml:space="preserve">A model providing for a statutory discount for a guilty plea at fixed points in the court process may be exploited. For example, an accused may plead guilty at an early stage to minor charges but take more serious charges to hearing and then claim the early plea benefit for all charges.    </w:t>
      </w:r>
    </w:p>
    <w:p w14:paraId="1BAD5CB3" w14:textId="77777777" w:rsidR="008923A7" w:rsidRPr="003A13C9" w:rsidRDefault="008923A7" w:rsidP="000338E9">
      <w:pPr>
        <w:widowControl w:val="0"/>
        <w:autoSpaceDE w:val="0"/>
        <w:autoSpaceDN w:val="0"/>
        <w:adjustRightInd w:val="0"/>
        <w:jc w:val="both"/>
        <w:rPr>
          <w:rFonts w:cs="Calibri"/>
          <w:color w:val="000000"/>
        </w:rPr>
      </w:pPr>
      <w:r w:rsidRPr="003A13C9">
        <w:rPr>
          <w:rFonts w:cs="Calibri"/>
          <w:color w:val="000000"/>
        </w:rPr>
        <w:t> </w:t>
      </w:r>
    </w:p>
    <w:p w14:paraId="5D3E4672" w14:textId="2384616A" w:rsidR="008923A7" w:rsidRPr="003A13C9" w:rsidRDefault="000A1274" w:rsidP="00634EE6">
      <w:pPr>
        <w:widowControl w:val="0"/>
        <w:autoSpaceDE w:val="0"/>
        <w:autoSpaceDN w:val="0"/>
        <w:adjustRightInd w:val="0"/>
        <w:jc w:val="both"/>
        <w:rPr>
          <w:rFonts w:cs="Calibri"/>
          <w:color w:val="000000"/>
        </w:rPr>
      </w:pPr>
      <w:r w:rsidRPr="003A13C9">
        <w:rPr>
          <w:rFonts w:cs="Calibri"/>
          <w:color w:val="000000"/>
        </w:rPr>
        <w:t xml:space="preserve">A model in which different sentences are required for an accused’s pleas of guilty and not guilty but where they are ultimately found guilty may serve to undermine the purpose of global sentencing.    </w:t>
      </w:r>
    </w:p>
    <w:p w14:paraId="1BEB22A5" w14:textId="77777777" w:rsidR="008923A7" w:rsidRPr="003A13C9" w:rsidRDefault="008923A7" w:rsidP="0022614F">
      <w:pPr>
        <w:ind w:right="-347"/>
        <w:jc w:val="both"/>
        <w:rPr>
          <w:b/>
        </w:rPr>
      </w:pPr>
    </w:p>
    <w:p w14:paraId="27F67F4B" w14:textId="77777777" w:rsidR="0092212C" w:rsidRPr="003A13C9" w:rsidRDefault="0092212C" w:rsidP="0022614F">
      <w:pPr>
        <w:ind w:right="-347"/>
        <w:jc w:val="both"/>
        <w:rPr>
          <w:b/>
        </w:rPr>
      </w:pPr>
      <w:r w:rsidRPr="003A13C9">
        <w:rPr>
          <w:b/>
        </w:rPr>
        <w:t>Appropriate resourcing of alternative sentencing options</w:t>
      </w:r>
    </w:p>
    <w:p w14:paraId="5860B920" w14:textId="7417273A" w:rsidR="00A744C3" w:rsidRPr="003A13C9" w:rsidRDefault="0092212C" w:rsidP="0022614F">
      <w:pPr>
        <w:ind w:right="-347"/>
        <w:jc w:val="both"/>
        <w:rPr>
          <w:bCs/>
        </w:rPr>
      </w:pPr>
      <w:r w:rsidRPr="003A13C9">
        <w:rPr>
          <w:bCs/>
        </w:rPr>
        <w:t xml:space="preserve">Finally, </w:t>
      </w:r>
      <w:r w:rsidR="00A95953" w:rsidRPr="003A13C9">
        <w:rPr>
          <w:bCs/>
        </w:rPr>
        <w:t xml:space="preserve">if </w:t>
      </w:r>
      <w:r w:rsidRPr="003A13C9">
        <w:rPr>
          <w:bCs/>
        </w:rPr>
        <w:t xml:space="preserve">legislative discounts </w:t>
      </w:r>
      <w:r w:rsidR="00A95953" w:rsidRPr="003A13C9">
        <w:rPr>
          <w:bCs/>
        </w:rPr>
        <w:t>are</w:t>
      </w:r>
      <w:r w:rsidRPr="003A13C9">
        <w:rPr>
          <w:bCs/>
        </w:rPr>
        <w:t xml:space="preserve"> introduced for early pleas of guilty</w:t>
      </w:r>
      <w:r w:rsidR="00A95953" w:rsidRPr="003A13C9">
        <w:rPr>
          <w:bCs/>
        </w:rPr>
        <w:t xml:space="preserve"> it is important that alternative sentencing reforms such as </w:t>
      </w:r>
      <w:r w:rsidR="001C0F8A" w:rsidRPr="003A13C9">
        <w:rPr>
          <w:bCs/>
        </w:rPr>
        <w:t>drug treatment orders</w:t>
      </w:r>
      <w:r w:rsidR="00A95953" w:rsidRPr="003A13C9">
        <w:rPr>
          <w:bCs/>
        </w:rPr>
        <w:t>, home detention and community correction orders</w:t>
      </w:r>
      <w:r w:rsidR="001C0F8A" w:rsidRPr="003A13C9">
        <w:rPr>
          <w:bCs/>
        </w:rPr>
        <w:t xml:space="preserve"> are appropriately resourced. </w:t>
      </w:r>
      <w:r w:rsidR="009E3B10" w:rsidRPr="003A13C9">
        <w:rPr>
          <w:bCs/>
        </w:rPr>
        <w:t xml:space="preserve">There </w:t>
      </w:r>
      <w:r w:rsidR="00E55042" w:rsidRPr="003A13C9">
        <w:rPr>
          <w:bCs/>
        </w:rPr>
        <w:t xml:space="preserve">will be a significant </w:t>
      </w:r>
      <w:r w:rsidR="009E3B10" w:rsidRPr="003A13C9">
        <w:rPr>
          <w:bCs/>
        </w:rPr>
        <w:t xml:space="preserve">incentive to pleading guilty, particularly at an early stage, if an accused is aware that alternative sentences are available. There may well be less enthusiasm for a plea of guilty in circumstances in which the alternative sentence is not available due to under resourcing and the only incentive to pleading guilty is a reduction in the length of imprisonment.    </w:t>
      </w:r>
    </w:p>
    <w:p w14:paraId="47946AA7" w14:textId="77777777" w:rsidR="004A7469" w:rsidRPr="003A13C9" w:rsidRDefault="004A7469" w:rsidP="0022614F">
      <w:pPr>
        <w:ind w:right="-347"/>
        <w:jc w:val="both"/>
        <w:rPr>
          <w:bCs/>
        </w:rPr>
      </w:pPr>
    </w:p>
    <w:p w14:paraId="23CC6AE7" w14:textId="3D742208" w:rsidR="004A7469" w:rsidRPr="003A13C9" w:rsidRDefault="004A7469" w:rsidP="0022614F">
      <w:pPr>
        <w:ind w:right="-347"/>
        <w:jc w:val="both"/>
        <w:rPr>
          <w:bCs/>
        </w:rPr>
      </w:pPr>
      <w:r w:rsidRPr="003A13C9">
        <w:rPr>
          <w:bCs/>
        </w:rPr>
        <w:t>If we can be of any further assistance, please do not hesitate to contact us.</w:t>
      </w:r>
    </w:p>
    <w:p w14:paraId="70A9CEEC" w14:textId="77777777" w:rsidR="004A7469" w:rsidRPr="003A13C9" w:rsidRDefault="004A7469" w:rsidP="0022614F">
      <w:pPr>
        <w:ind w:right="-347"/>
        <w:jc w:val="both"/>
        <w:rPr>
          <w:bCs/>
        </w:rPr>
      </w:pPr>
    </w:p>
    <w:p w14:paraId="6FC38D0C" w14:textId="77777777" w:rsidR="004A7469" w:rsidRPr="003A13C9" w:rsidRDefault="004A7469" w:rsidP="0022614F">
      <w:pPr>
        <w:ind w:right="-347"/>
        <w:jc w:val="both"/>
        <w:rPr>
          <w:bCs/>
        </w:rPr>
      </w:pPr>
    </w:p>
    <w:p w14:paraId="2B4A4EC5" w14:textId="69AFB5C4" w:rsidR="004A7469" w:rsidRPr="003A13C9" w:rsidRDefault="004A7469" w:rsidP="0022614F">
      <w:pPr>
        <w:ind w:right="-347"/>
        <w:jc w:val="both"/>
        <w:rPr>
          <w:bCs/>
        </w:rPr>
      </w:pPr>
      <w:r w:rsidRPr="003A13C9">
        <w:rPr>
          <w:bCs/>
        </w:rPr>
        <w:t>Yours faithfully,</w:t>
      </w:r>
    </w:p>
    <w:p w14:paraId="3DBBD38E" w14:textId="77777777" w:rsidR="004A7469" w:rsidRPr="003A13C9" w:rsidRDefault="004A7469" w:rsidP="0022614F">
      <w:pPr>
        <w:ind w:right="-347"/>
        <w:jc w:val="both"/>
        <w:rPr>
          <w:bCs/>
        </w:rPr>
      </w:pPr>
    </w:p>
    <w:p w14:paraId="04DCB0CB" w14:textId="77777777" w:rsidR="004A7469" w:rsidRPr="003A13C9" w:rsidRDefault="004A7469" w:rsidP="0022614F">
      <w:pPr>
        <w:ind w:right="-347"/>
        <w:jc w:val="both"/>
        <w:rPr>
          <w:bCs/>
        </w:rPr>
      </w:pPr>
    </w:p>
    <w:p w14:paraId="21771093" w14:textId="77777777" w:rsidR="004A7469" w:rsidRPr="003A13C9" w:rsidRDefault="004A7469" w:rsidP="0022614F">
      <w:pPr>
        <w:ind w:right="-347"/>
        <w:jc w:val="both"/>
        <w:rPr>
          <w:bCs/>
        </w:rPr>
      </w:pPr>
    </w:p>
    <w:p w14:paraId="14DD0F79" w14:textId="53CE4B3D" w:rsidR="004A7469" w:rsidRPr="003A13C9" w:rsidRDefault="004A7469" w:rsidP="0022614F">
      <w:pPr>
        <w:ind w:right="-347"/>
        <w:jc w:val="both"/>
        <w:rPr>
          <w:bCs/>
        </w:rPr>
      </w:pPr>
      <w:r w:rsidRPr="003A13C9">
        <w:rPr>
          <w:bCs/>
        </w:rPr>
        <w:t xml:space="preserve">Benedict </w:t>
      </w:r>
      <w:proofErr w:type="spellStart"/>
      <w:r w:rsidRPr="003A13C9">
        <w:rPr>
          <w:bCs/>
        </w:rPr>
        <w:t>Bartl</w:t>
      </w:r>
      <w:proofErr w:type="spellEnd"/>
    </w:p>
    <w:p w14:paraId="7FA764AD" w14:textId="47EA5A15" w:rsidR="004A7469" w:rsidRPr="003A13C9" w:rsidRDefault="004A7469" w:rsidP="0022614F">
      <w:pPr>
        <w:ind w:right="-347"/>
        <w:jc w:val="both"/>
        <w:rPr>
          <w:bCs/>
        </w:rPr>
      </w:pPr>
      <w:r w:rsidRPr="003A13C9">
        <w:rPr>
          <w:bCs/>
        </w:rPr>
        <w:t>Policy Officer</w:t>
      </w:r>
    </w:p>
    <w:p w14:paraId="2C294FE2" w14:textId="70C25FB2" w:rsidR="004A7469" w:rsidRPr="003A13C9" w:rsidRDefault="004A7469" w:rsidP="0022614F">
      <w:pPr>
        <w:pBdr>
          <w:bottom w:val="single" w:sz="6" w:space="1" w:color="auto"/>
        </w:pBdr>
        <w:ind w:right="-347"/>
        <w:jc w:val="both"/>
        <w:rPr>
          <w:b/>
          <w:bCs/>
        </w:rPr>
      </w:pPr>
      <w:r w:rsidRPr="003A13C9">
        <w:rPr>
          <w:b/>
          <w:bCs/>
        </w:rPr>
        <w:t xml:space="preserve">Community Legal </w:t>
      </w:r>
      <w:proofErr w:type="spellStart"/>
      <w:r w:rsidRPr="003A13C9">
        <w:rPr>
          <w:b/>
          <w:bCs/>
        </w:rPr>
        <w:t>Centres</w:t>
      </w:r>
      <w:proofErr w:type="spellEnd"/>
      <w:r w:rsidRPr="003A13C9">
        <w:rPr>
          <w:b/>
          <w:bCs/>
        </w:rPr>
        <w:t xml:space="preserve"> Tasmania</w:t>
      </w:r>
    </w:p>
    <w:p w14:paraId="597D8C26" w14:textId="5C62A4F0" w:rsidR="000E737A" w:rsidRPr="003A13C9" w:rsidRDefault="000E737A" w:rsidP="0022614F">
      <w:pPr>
        <w:ind w:right="-347"/>
        <w:jc w:val="both"/>
        <w:rPr>
          <w:bCs/>
        </w:rPr>
      </w:pPr>
    </w:p>
    <w:sectPr w:rsidR="000E737A" w:rsidRPr="003A13C9" w:rsidSect="00B506D1">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AD0A0" w14:textId="77777777" w:rsidR="001B7C2A" w:rsidRDefault="001B7C2A" w:rsidP="00B840D5">
      <w:r>
        <w:separator/>
      </w:r>
    </w:p>
  </w:endnote>
  <w:endnote w:type="continuationSeparator" w:id="0">
    <w:p w14:paraId="034429BF" w14:textId="77777777" w:rsidR="001B7C2A" w:rsidRDefault="001B7C2A" w:rsidP="00B840D5">
      <w:r>
        <w:continuationSeparator/>
      </w:r>
    </w:p>
  </w:endnote>
  <w:endnote w:type="continuationNotice" w:id="1">
    <w:p w14:paraId="164B1DC5" w14:textId="77777777" w:rsidR="001B7C2A" w:rsidRDefault="001B7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BB3CE" w14:textId="77777777" w:rsidR="009E3B10" w:rsidRDefault="009E3B10" w:rsidP="009B5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DF6892" w14:textId="77777777" w:rsidR="009E3B10" w:rsidRDefault="009E3B10" w:rsidP="009B53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22667" w14:textId="77777777" w:rsidR="009E3B10" w:rsidRDefault="009E3B10" w:rsidP="009B5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30DB">
      <w:rPr>
        <w:rStyle w:val="PageNumber"/>
        <w:noProof/>
      </w:rPr>
      <w:t>5</w:t>
    </w:r>
    <w:r>
      <w:rPr>
        <w:rStyle w:val="PageNumber"/>
      </w:rPr>
      <w:fldChar w:fldCharType="end"/>
    </w:r>
  </w:p>
  <w:p w14:paraId="0C298724" w14:textId="77777777" w:rsidR="009E3B10" w:rsidRDefault="009E3B10" w:rsidP="009B53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D1CA" w14:textId="77777777" w:rsidR="001B7C2A" w:rsidRDefault="001B7C2A" w:rsidP="00B840D5">
      <w:r>
        <w:separator/>
      </w:r>
    </w:p>
  </w:footnote>
  <w:footnote w:type="continuationSeparator" w:id="0">
    <w:p w14:paraId="5C064761" w14:textId="77777777" w:rsidR="001B7C2A" w:rsidRDefault="001B7C2A" w:rsidP="00B840D5">
      <w:r>
        <w:continuationSeparator/>
      </w:r>
    </w:p>
  </w:footnote>
  <w:footnote w:type="continuationNotice" w:id="1">
    <w:p w14:paraId="63A2A931" w14:textId="77777777" w:rsidR="001B7C2A" w:rsidRDefault="001B7C2A"/>
  </w:footnote>
  <w:footnote w:id="2">
    <w:p w14:paraId="6EFABF47" w14:textId="202877EA" w:rsidR="009E3B10" w:rsidRDefault="009E3B10" w:rsidP="0022614F">
      <w:pPr>
        <w:pStyle w:val="FootnoteText"/>
      </w:pPr>
      <w:r>
        <w:rPr>
          <w:rStyle w:val="FootnoteReference"/>
        </w:rPr>
        <w:footnoteRef/>
      </w:r>
      <w:r>
        <w:t xml:space="preserve"> </w:t>
      </w:r>
      <w:r w:rsidRPr="00FB6F72">
        <w:rPr>
          <w:color w:val="000000" w:themeColor="text1"/>
          <w:sz w:val="20"/>
          <w:szCs w:val="20"/>
        </w:rPr>
        <w:t xml:space="preserve">CLC </w:t>
      </w:r>
      <w:proofErr w:type="spellStart"/>
      <w:r w:rsidRPr="00FB6F72">
        <w:rPr>
          <w:color w:val="000000" w:themeColor="text1"/>
          <w:sz w:val="20"/>
          <w:szCs w:val="20"/>
        </w:rPr>
        <w:t>Tas</w:t>
      </w:r>
      <w:proofErr w:type="spellEnd"/>
      <w:r w:rsidRPr="00FB6F72">
        <w:rPr>
          <w:color w:val="000000" w:themeColor="text1"/>
          <w:sz w:val="20"/>
          <w:szCs w:val="20"/>
        </w:rPr>
        <w:t xml:space="preserve"> would like to acknowledge Lena </w:t>
      </w:r>
      <w:proofErr w:type="spellStart"/>
      <w:r w:rsidRPr="00FB6F72">
        <w:rPr>
          <w:color w:val="000000" w:themeColor="text1"/>
          <w:sz w:val="20"/>
          <w:szCs w:val="20"/>
        </w:rPr>
        <w:t>Lashin</w:t>
      </w:r>
      <w:proofErr w:type="spellEnd"/>
      <w:r w:rsidRPr="00FB6F72">
        <w:rPr>
          <w:color w:val="000000" w:themeColor="text1"/>
          <w:sz w:val="20"/>
          <w:szCs w:val="20"/>
        </w:rPr>
        <w:t xml:space="preserve"> and an anonymous referee who assisted in the preparation of this response.</w:t>
      </w:r>
      <w:r>
        <w:t xml:space="preserve"> </w:t>
      </w:r>
    </w:p>
  </w:footnote>
  <w:footnote w:id="3">
    <w:p w14:paraId="4DC9A27A" w14:textId="4000829E" w:rsidR="009E3B10" w:rsidRDefault="009E3B10">
      <w:pPr>
        <w:pStyle w:val="FootnoteText"/>
      </w:pPr>
      <w:r>
        <w:rPr>
          <w:rStyle w:val="FootnoteReference"/>
        </w:rPr>
        <w:footnoteRef/>
      </w:r>
      <w:r>
        <w:t xml:space="preserve"> </w:t>
      </w:r>
      <w:r w:rsidRPr="004A3BA6">
        <w:rPr>
          <w:rFonts w:eastAsia="Times New Roman" w:cs="Times New Roman"/>
          <w:sz w:val="20"/>
          <w:szCs w:val="20"/>
          <w:lang w:val="en-AU"/>
        </w:rPr>
        <w:t xml:space="preserve">Productivity Commission, Access to Justice Arrangements, (Inquiry Report 72, 2014) </w:t>
      </w:r>
      <w:r>
        <w:rPr>
          <w:rFonts w:eastAsia="Times New Roman" w:cs="Times New Roman"/>
          <w:sz w:val="20"/>
          <w:szCs w:val="20"/>
          <w:lang w:val="en-AU"/>
        </w:rPr>
        <w:t xml:space="preserve">Annexure H at 1021-2. </w:t>
      </w:r>
    </w:p>
  </w:footnote>
  <w:footnote w:id="4">
    <w:p w14:paraId="0D6C5CBE" w14:textId="77777777" w:rsidR="009E3B10" w:rsidRDefault="009E3B10" w:rsidP="00F14CD7">
      <w:pPr>
        <w:pStyle w:val="FootnoteText"/>
      </w:pPr>
      <w:r>
        <w:rPr>
          <w:rStyle w:val="FootnoteReference"/>
        </w:rPr>
        <w:footnoteRef/>
      </w:r>
      <w:r>
        <w:t xml:space="preserve"> </w:t>
      </w:r>
      <w:r w:rsidRPr="004A3BA6">
        <w:rPr>
          <w:rFonts w:eastAsia="Times New Roman" w:cs="Times New Roman"/>
          <w:sz w:val="20"/>
          <w:szCs w:val="20"/>
          <w:lang w:val="en-AU"/>
        </w:rPr>
        <w:t>Productivity Commission, Access to Justice Arrangements, (Inquiry Report 72, 2014) 665 at</w:t>
      </w:r>
      <w:r>
        <w:rPr>
          <w:rFonts w:eastAsia="Times New Roman" w:cs="Times New Roman"/>
          <w:sz w:val="20"/>
          <w:szCs w:val="20"/>
          <w:lang w:val="en-AU"/>
        </w:rPr>
        <w:t xml:space="preserve"> 739 </w:t>
      </w:r>
      <w:r w:rsidRPr="004A3BA6">
        <w:rPr>
          <w:rFonts w:eastAsia="Times New Roman" w:cs="Times New Roman"/>
          <w:sz w:val="20"/>
          <w:szCs w:val="20"/>
          <w:lang w:val="en-AU"/>
        </w:rPr>
        <w:t>quoting Chief Justice Murray Gleeson, ‘State of the Judicature’ (Speech delivered at the Australian Legal Convention, Canberra, 10 October 1999).</w:t>
      </w:r>
      <w:r w:rsidRPr="004A3BA6">
        <w:t xml:space="preserve">    </w:t>
      </w:r>
    </w:p>
  </w:footnote>
  <w:footnote w:id="5">
    <w:p w14:paraId="6EA04ED5" w14:textId="623E32EB" w:rsidR="00172C6F" w:rsidRPr="00172C6F" w:rsidRDefault="00172C6F">
      <w:pPr>
        <w:pStyle w:val="FootnoteText"/>
        <w:rPr>
          <w:lang w:val="en-AU"/>
        </w:rPr>
      </w:pPr>
      <w:r>
        <w:rPr>
          <w:rStyle w:val="FootnoteReference"/>
        </w:rPr>
        <w:footnoteRef/>
      </w:r>
      <w:r>
        <w:t xml:space="preserve"> </w:t>
      </w:r>
      <w:r w:rsidRPr="00172C6F">
        <w:rPr>
          <w:color w:val="000000" w:themeColor="text1"/>
          <w:sz w:val="20"/>
          <w:szCs w:val="20"/>
        </w:rPr>
        <w:t>Section 6</w:t>
      </w:r>
      <w:proofErr w:type="gramStart"/>
      <w:r w:rsidRPr="00172C6F">
        <w:rPr>
          <w:color w:val="000000" w:themeColor="text1"/>
          <w:sz w:val="20"/>
          <w:szCs w:val="20"/>
        </w:rPr>
        <w:t>AAA(</w:t>
      </w:r>
      <w:proofErr w:type="gramEnd"/>
      <w:r w:rsidRPr="00172C6F">
        <w:rPr>
          <w:color w:val="000000" w:themeColor="text1"/>
          <w:sz w:val="20"/>
          <w:szCs w:val="20"/>
        </w:rPr>
        <w:t xml:space="preserve">1) of the </w:t>
      </w:r>
      <w:r w:rsidRPr="00172C6F">
        <w:rPr>
          <w:i/>
          <w:color w:val="000000" w:themeColor="text1"/>
          <w:sz w:val="20"/>
          <w:szCs w:val="20"/>
        </w:rPr>
        <w:t>Sentencing Act 1991</w:t>
      </w:r>
      <w:r w:rsidRPr="00172C6F">
        <w:rPr>
          <w:color w:val="000000" w:themeColor="text1"/>
          <w:sz w:val="20"/>
          <w:szCs w:val="20"/>
        </w:rPr>
        <w:t xml:space="preserve"> (Vic).</w:t>
      </w:r>
    </w:p>
  </w:footnote>
  <w:footnote w:id="6">
    <w:p w14:paraId="26AFF68B" w14:textId="575B6B97" w:rsidR="009E3B10" w:rsidRDefault="009E3B10">
      <w:pPr>
        <w:pStyle w:val="FootnoteText"/>
      </w:pPr>
      <w:r>
        <w:rPr>
          <w:rStyle w:val="FootnoteReference"/>
        </w:rPr>
        <w:footnoteRef/>
      </w:r>
      <w:r>
        <w:t xml:space="preserve"> </w:t>
      </w:r>
      <w:r w:rsidRPr="006D52EA">
        <w:rPr>
          <w:sz w:val="20"/>
          <w:szCs w:val="20"/>
        </w:rPr>
        <w:t xml:space="preserve">See, for example the </w:t>
      </w:r>
      <w:r w:rsidRPr="006D52EA">
        <w:rPr>
          <w:i/>
          <w:sz w:val="20"/>
          <w:szCs w:val="20"/>
        </w:rPr>
        <w:t>Evidence (Children and Special Witnesses) Act 2001 (</w:t>
      </w:r>
      <w:proofErr w:type="spellStart"/>
      <w:r w:rsidRPr="006D52EA">
        <w:rPr>
          <w:i/>
          <w:sz w:val="20"/>
          <w:szCs w:val="20"/>
        </w:rPr>
        <w:t>Tas</w:t>
      </w:r>
      <w:proofErr w:type="spellEnd"/>
      <w:r w:rsidRPr="006D52EA">
        <w:rPr>
          <w:i/>
          <w:sz w:val="20"/>
          <w:szCs w:val="20"/>
        </w:rPr>
        <w:t>)</w:t>
      </w:r>
      <w:r w:rsidRPr="006D52EA">
        <w:rPr>
          <w:sz w:val="20"/>
          <w:szCs w:val="20"/>
        </w:rPr>
        <w:t>.</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B7EE5"/>
    <w:multiLevelType w:val="hybridMultilevel"/>
    <w:tmpl w:val="D94C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40AF2"/>
    <w:multiLevelType w:val="hybridMultilevel"/>
    <w:tmpl w:val="BBD8EB74"/>
    <w:lvl w:ilvl="0" w:tplc="F23C9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43EEB"/>
    <w:multiLevelType w:val="hybridMultilevel"/>
    <w:tmpl w:val="D800F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61A03"/>
    <w:multiLevelType w:val="hybridMultilevel"/>
    <w:tmpl w:val="382C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0739C"/>
    <w:multiLevelType w:val="hybridMultilevel"/>
    <w:tmpl w:val="F6CA5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836DB3"/>
    <w:multiLevelType w:val="hybridMultilevel"/>
    <w:tmpl w:val="80860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06BB0"/>
    <w:multiLevelType w:val="hybridMultilevel"/>
    <w:tmpl w:val="E7F09D3E"/>
    <w:lvl w:ilvl="0" w:tplc="07F6BCF8">
      <w:start w:val="1"/>
      <w:numFmt w:val="decimal"/>
      <w:lvlText w:val="%1."/>
      <w:lvlJc w:val="left"/>
      <w:pPr>
        <w:ind w:left="720" w:hanging="360"/>
      </w:pPr>
      <w:rPr>
        <w:rFonts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7217B"/>
    <w:multiLevelType w:val="hybridMultilevel"/>
    <w:tmpl w:val="C9DA2C9C"/>
    <w:lvl w:ilvl="0" w:tplc="04090001">
      <w:start w:val="1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294E41"/>
    <w:multiLevelType w:val="hybridMultilevel"/>
    <w:tmpl w:val="AE78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3F3CDE"/>
    <w:multiLevelType w:val="hybridMultilevel"/>
    <w:tmpl w:val="7CB6B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AA214A"/>
    <w:multiLevelType w:val="hybridMultilevel"/>
    <w:tmpl w:val="FED6DEA2"/>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951599"/>
    <w:multiLevelType w:val="hybridMultilevel"/>
    <w:tmpl w:val="0ACA6024"/>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7"/>
  </w:num>
  <w:num w:numId="5">
    <w:abstractNumId w:val="2"/>
  </w:num>
  <w:num w:numId="6">
    <w:abstractNumId w:val="6"/>
  </w:num>
  <w:num w:numId="7">
    <w:abstractNumId w:val="5"/>
  </w:num>
  <w:num w:numId="8">
    <w:abstractNumId w:val="9"/>
  </w:num>
  <w:num w:numId="9">
    <w:abstractNumId w:val="3"/>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D5"/>
    <w:rsid w:val="00002B4D"/>
    <w:rsid w:val="00005420"/>
    <w:rsid w:val="00027D42"/>
    <w:rsid w:val="000318D1"/>
    <w:rsid w:val="000338E9"/>
    <w:rsid w:val="00033EC8"/>
    <w:rsid w:val="0003526C"/>
    <w:rsid w:val="00041A4C"/>
    <w:rsid w:val="00041BBE"/>
    <w:rsid w:val="00051F8B"/>
    <w:rsid w:val="00067B2C"/>
    <w:rsid w:val="000902F1"/>
    <w:rsid w:val="00094F1A"/>
    <w:rsid w:val="00095E1A"/>
    <w:rsid w:val="000A1274"/>
    <w:rsid w:val="000A36F0"/>
    <w:rsid w:val="000B59A8"/>
    <w:rsid w:val="000C1B3A"/>
    <w:rsid w:val="000D38DE"/>
    <w:rsid w:val="000D6FD3"/>
    <w:rsid w:val="000E593C"/>
    <w:rsid w:val="000E737A"/>
    <w:rsid w:val="00104AF0"/>
    <w:rsid w:val="00122B94"/>
    <w:rsid w:val="00137CA6"/>
    <w:rsid w:val="001438E6"/>
    <w:rsid w:val="0015170B"/>
    <w:rsid w:val="00157CAB"/>
    <w:rsid w:val="00163230"/>
    <w:rsid w:val="00172C6F"/>
    <w:rsid w:val="00197F6C"/>
    <w:rsid w:val="001B7C2A"/>
    <w:rsid w:val="001C0E60"/>
    <w:rsid w:val="001C0F8A"/>
    <w:rsid w:val="001D212D"/>
    <w:rsid w:val="001D3B36"/>
    <w:rsid w:val="001F6763"/>
    <w:rsid w:val="002004F3"/>
    <w:rsid w:val="00200ED5"/>
    <w:rsid w:val="0020328B"/>
    <w:rsid w:val="00203B38"/>
    <w:rsid w:val="00215BBB"/>
    <w:rsid w:val="00223B6A"/>
    <w:rsid w:val="0022614F"/>
    <w:rsid w:val="00235A0C"/>
    <w:rsid w:val="00245C1A"/>
    <w:rsid w:val="0025362C"/>
    <w:rsid w:val="002702E0"/>
    <w:rsid w:val="00271DE7"/>
    <w:rsid w:val="00273B0D"/>
    <w:rsid w:val="00276326"/>
    <w:rsid w:val="0028141D"/>
    <w:rsid w:val="002817BD"/>
    <w:rsid w:val="00284C28"/>
    <w:rsid w:val="002933CE"/>
    <w:rsid w:val="002A6768"/>
    <w:rsid w:val="002B1CBD"/>
    <w:rsid w:val="002B5B9B"/>
    <w:rsid w:val="002B7FC4"/>
    <w:rsid w:val="002C2157"/>
    <w:rsid w:val="002E1AEC"/>
    <w:rsid w:val="002E1D68"/>
    <w:rsid w:val="002E7E4F"/>
    <w:rsid w:val="00311786"/>
    <w:rsid w:val="00335E84"/>
    <w:rsid w:val="00344D9A"/>
    <w:rsid w:val="00370267"/>
    <w:rsid w:val="00376ABE"/>
    <w:rsid w:val="0038029C"/>
    <w:rsid w:val="003A02B3"/>
    <w:rsid w:val="003A13C9"/>
    <w:rsid w:val="003C03F4"/>
    <w:rsid w:val="003C0D7F"/>
    <w:rsid w:val="003D4327"/>
    <w:rsid w:val="00404936"/>
    <w:rsid w:val="004051FE"/>
    <w:rsid w:val="00421011"/>
    <w:rsid w:val="00433DEC"/>
    <w:rsid w:val="004363BC"/>
    <w:rsid w:val="00454525"/>
    <w:rsid w:val="004552A4"/>
    <w:rsid w:val="00455CA4"/>
    <w:rsid w:val="0046352A"/>
    <w:rsid w:val="00492B9E"/>
    <w:rsid w:val="004A32E6"/>
    <w:rsid w:val="004A3BA6"/>
    <w:rsid w:val="004A6B81"/>
    <w:rsid w:val="004A7469"/>
    <w:rsid w:val="004B3E7E"/>
    <w:rsid w:val="004B415D"/>
    <w:rsid w:val="004B56D9"/>
    <w:rsid w:val="004B6BCA"/>
    <w:rsid w:val="004B7A39"/>
    <w:rsid w:val="004C0469"/>
    <w:rsid w:val="004D1221"/>
    <w:rsid w:val="004E5CA5"/>
    <w:rsid w:val="004F05DC"/>
    <w:rsid w:val="00504E2D"/>
    <w:rsid w:val="00506BB1"/>
    <w:rsid w:val="0051142A"/>
    <w:rsid w:val="00530691"/>
    <w:rsid w:val="005443A2"/>
    <w:rsid w:val="00563E8F"/>
    <w:rsid w:val="00575F1F"/>
    <w:rsid w:val="005A6FC0"/>
    <w:rsid w:val="005B3D7D"/>
    <w:rsid w:val="005B554F"/>
    <w:rsid w:val="005B5D7F"/>
    <w:rsid w:val="005C2331"/>
    <w:rsid w:val="005C2871"/>
    <w:rsid w:val="005C3C79"/>
    <w:rsid w:val="005F42F7"/>
    <w:rsid w:val="005F5C86"/>
    <w:rsid w:val="005F65B9"/>
    <w:rsid w:val="00606AC7"/>
    <w:rsid w:val="006115C0"/>
    <w:rsid w:val="00613604"/>
    <w:rsid w:val="00614F27"/>
    <w:rsid w:val="006162C0"/>
    <w:rsid w:val="006226C2"/>
    <w:rsid w:val="00634EE6"/>
    <w:rsid w:val="006705DD"/>
    <w:rsid w:val="0067183F"/>
    <w:rsid w:val="00687A20"/>
    <w:rsid w:val="00696045"/>
    <w:rsid w:val="006A3E0C"/>
    <w:rsid w:val="006D16CF"/>
    <w:rsid w:val="006D3820"/>
    <w:rsid w:val="006D4A37"/>
    <w:rsid w:val="006D52EA"/>
    <w:rsid w:val="006D56CC"/>
    <w:rsid w:val="006E0508"/>
    <w:rsid w:val="006E34FE"/>
    <w:rsid w:val="006F3D74"/>
    <w:rsid w:val="0070247D"/>
    <w:rsid w:val="00703AD5"/>
    <w:rsid w:val="0070763E"/>
    <w:rsid w:val="0072100C"/>
    <w:rsid w:val="00735402"/>
    <w:rsid w:val="00737158"/>
    <w:rsid w:val="00761EBE"/>
    <w:rsid w:val="00770416"/>
    <w:rsid w:val="00772E54"/>
    <w:rsid w:val="007800BE"/>
    <w:rsid w:val="00785EBC"/>
    <w:rsid w:val="00791B54"/>
    <w:rsid w:val="00795AE4"/>
    <w:rsid w:val="00795C47"/>
    <w:rsid w:val="007D5FD0"/>
    <w:rsid w:val="007E7C3D"/>
    <w:rsid w:val="007F184A"/>
    <w:rsid w:val="007F2333"/>
    <w:rsid w:val="00807673"/>
    <w:rsid w:val="00817AA6"/>
    <w:rsid w:val="008250ED"/>
    <w:rsid w:val="0083125A"/>
    <w:rsid w:val="00835A46"/>
    <w:rsid w:val="00840639"/>
    <w:rsid w:val="00846D3B"/>
    <w:rsid w:val="00855886"/>
    <w:rsid w:val="008561DC"/>
    <w:rsid w:val="00856B77"/>
    <w:rsid w:val="00866144"/>
    <w:rsid w:val="008870EB"/>
    <w:rsid w:val="008923A7"/>
    <w:rsid w:val="00895EE7"/>
    <w:rsid w:val="008C4E44"/>
    <w:rsid w:val="008C61F8"/>
    <w:rsid w:val="008D11B8"/>
    <w:rsid w:val="008D46AF"/>
    <w:rsid w:val="008E045A"/>
    <w:rsid w:val="008F3263"/>
    <w:rsid w:val="008F531E"/>
    <w:rsid w:val="00900BB1"/>
    <w:rsid w:val="00903268"/>
    <w:rsid w:val="00904202"/>
    <w:rsid w:val="00907AFF"/>
    <w:rsid w:val="009136CC"/>
    <w:rsid w:val="00913F0F"/>
    <w:rsid w:val="0092212C"/>
    <w:rsid w:val="00930277"/>
    <w:rsid w:val="0095556C"/>
    <w:rsid w:val="0097248D"/>
    <w:rsid w:val="0097644C"/>
    <w:rsid w:val="009A12EE"/>
    <w:rsid w:val="009A29B6"/>
    <w:rsid w:val="009A368C"/>
    <w:rsid w:val="009B5369"/>
    <w:rsid w:val="009C456B"/>
    <w:rsid w:val="009D3E3D"/>
    <w:rsid w:val="009E101A"/>
    <w:rsid w:val="009E3B10"/>
    <w:rsid w:val="009F190A"/>
    <w:rsid w:val="009F6CCD"/>
    <w:rsid w:val="009F750E"/>
    <w:rsid w:val="00A130DB"/>
    <w:rsid w:val="00A207D6"/>
    <w:rsid w:val="00A34A7B"/>
    <w:rsid w:val="00A479D1"/>
    <w:rsid w:val="00A54C5D"/>
    <w:rsid w:val="00A62432"/>
    <w:rsid w:val="00A645B6"/>
    <w:rsid w:val="00A744C3"/>
    <w:rsid w:val="00A95953"/>
    <w:rsid w:val="00A97488"/>
    <w:rsid w:val="00AE47C7"/>
    <w:rsid w:val="00AF7845"/>
    <w:rsid w:val="00B064A1"/>
    <w:rsid w:val="00B156F1"/>
    <w:rsid w:val="00B27637"/>
    <w:rsid w:val="00B42DDA"/>
    <w:rsid w:val="00B506D1"/>
    <w:rsid w:val="00B52340"/>
    <w:rsid w:val="00B52F7D"/>
    <w:rsid w:val="00B622E7"/>
    <w:rsid w:val="00B840D5"/>
    <w:rsid w:val="00B8655A"/>
    <w:rsid w:val="00B97CCB"/>
    <w:rsid w:val="00BA6F07"/>
    <w:rsid w:val="00BB4435"/>
    <w:rsid w:val="00BB5992"/>
    <w:rsid w:val="00BB6A3C"/>
    <w:rsid w:val="00BC28E9"/>
    <w:rsid w:val="00BC733B"/>
    <w:rsid w:val="00BE18BC"/>
    <w:rsid w:val="00BE1FB8"/>
    <w:rsid w:val="00BF44EB"/>
    <w:rsid w:val="00BF51F0"/>
    <w:rsid w:val="00C0146A"/>
    <w:rsid w:val="00C03EC0"/>
    <w:rsid w:val="00C06A26"/>
    <w:rsid w:val="00C35DAD"/>
    <w:rsid w:val="00C46B39"/>
    <w:rsid w:val="00C527BE"/>
    <w:rsid w:val="00C56F4B"/>
    <w:rsid w:val="00C62F0E"/>
    <w:rsid w:val="00C64C2F"/>
    <w:rsid w:val="00C73054"/>
    <w:rsid w:val="00C87179"/>
    <w:rsid w:val="00C954DB"/>
    <w:rsid w:val="00C95D3D"/>
    <w:rsid w:val="00CA443F"/>
    <w:rsid w:val="00CC0B56"/>
    <w:rsid w:val="00CC77D3"/>
    <w:rsid w:val="00CE7338"/>
    <w:rsid w:val="00CF3AD8"/>
    <w:rsid w:val="00CF7FDE"/>
    <w:rsid w:val="00D05EC3"/>
    <w:rsid w:val="00D31155"/>
    <w:rsid w:val="00D4422C"/>
    <w:rsid w:val="00D56821"/>
    <w:rsid w:val="00D63C36"/>
    <w:rsid w:val="00D64D2B"/>
    <w:rsid w:val="00D733FF"/>
    <w:rsid w:val="00D84394"/>
    <w:rsid w:val="00D93625"/>
    <w:rsid w:val="00DA0292"/>
    <w:rsid w:val="00DA3CE3"/>
    <w:rsid w:val="00DC31A4"/>
    <w:rsid w:val="00DD05CE"/>
    <w:rsid w:val="00DD0E3D"/>
    <w:rsid w:val="00DD3E8B"/>
    <w:rsid w:val="00DD43DA"/>
    <w:rsid w:val="00DE7128"/>
    <w:rsid w:val="00E04FCB"/>
    <w:rsid w:val="00E24771"/>
    <w:rsid w:val="00E329D7"/>
    <w:rsid w:val="00E35AA8"/>
    <w:rsid w:val="00E37BD9"/>
    <w:rsid w:val="00E5110A"/>
    <w:rsid w:val="00E55042"/>
    <w:rsid w:val="00E813DD"/>
    <w:rsid w:val="00E94735"/>
    <w:rsid w:val="00EA2F3A"/>
    <w:rsid w:val="00EA54BC"/>
    <w:rsid w:val="00EA69BB"/>
    <w:rsid w:val="00EB5214"/>
    <w:rsid w:val="00ED28CE"/>
    <w:rsid w:val="00EE56BA"/>
    <w:rsid w:val="00EF73CA"/>
    <w:rsid w:val="00F07008"/>
    <w:rsid w:val="00F14CD7"/>
    <w:rsid w:val="00F15A2A"/>
    <w:rsid w:val="00F358E3"/>
    <w:rsid w:val="00F37E06"/>
    <w:rsid w:val="00F45695"/>
    <w:rsid w:val="00F51F49"/>
    <w:rsid w:val="00F54612"/>
    <w:rsid w:val="00F65698"/>
    <w:rsid w:val="00F74BEF"/>
    <w:rsid w:val="00F75E4C"/>
    <w:rsid w:val="00F77883"/>
    <w:rsid w:val="00F80001"/>
    <w:rsid w:val="00F81C79"/>
    <w:rsid w:val="00FA0719"/>
    <w:rsid w:val="00FB1EE3"/>
    <w:rsid w:val="00FB6F72"/>
    <w:rsid w:val="00FC7C11"/>
    <w:rsid w:val="00FC7F3D"/>
    <w:rsid w:val="00FF6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ED4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0D5"/>
  </w:style>
  <w:style w:type="paragraph" w:styleId="Heading2">
    <w:name w:val="heading 2"/>
    <w:basedOn w:val="Normal"/>
    <w:link w:val="Heading2Char"/>
    <w:uiPriority w:val="9"/>
    <w:qFormat/>
    <w:rsid w:val="009136CC"/>
    <w:pPr>
      <w:spacing w:before="100" w:beforeAutospacing="1" w:after="100" w:afterAutospacing="1"/>
      <w:outlineLvl w:val="1"/>
    </w:pPr>
    <w:rPr>
      <w:rFonts w:ascii="Times" w:hAnsi="Times"/>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B840D5"/>
  </w:style>
  <w:style w:type="character" w:customStyle="1" w:styleId="FootnoteTextChar">
    <w:name w:val="Footnote Text Char"/>
    <w:aliases w:val="Footnote Char,Text Char"/>
    <w:basedOn w:val="DefaultParagraphFont"/>
    <w:link w:val="FootnoteText"/>
    <w:rsid w:val="00B840D5"/>
  </w:style>
  <w:style w:type="character" w:styleId="FootnoteReference">
    <w:name w:val="footnote reference"/>
    <w:basedOn w:val="DefaultParagraphFont"/>
    <w:unhideWhenUsed/>
    <w:rsid w:val="00B840D5"/>
    <w:rPr>
      <w:vertAlign w:val="superscript"/>
    </w:rPr>
  </w:style>
  <w:style w:type="character" w:styleId="Hyperlink">
    <w:name w:val="Hyperlink"/>
    <w:basedOn w:val="DefaultParagraphFont"/>
    <w:uiPriority w:val="99"/>
    <w:unhideWhenUsed/>
    <w:rsid w:val="00B840D5"/>
    <w:rPr>
      <w:color w:val="0000FF" w:themeColor="hyperlink"/>
      <w:u w:val="single"/>
    </w:rPr>
  </w:style>
  <w:style w:type="paragraph" w:styleId="NoSpacing">
    <w:name w:val="No Spacing"/>
    <w:uiPriority w:val="1"/>
    <w:qFormat/>
    <w:rsid w:val="00B840D5"/>
    <w:rPr>
      <w:rFonts w:cs="Times New Roman"/>
      <w:sz w:val="20"/>
      <w:szCs w:val="20"/>
    </w:rPr>
  </w:style>
  <w:style w:type="table" w:styleId="TableGrid">
    <w:name w:val="Table Grid"/>
    <w:basedOn w:val="TableNormal"/>
    <w:uiPriority w:val="59"/>
    <w:rsid w:val="00B84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0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0D5"/>
    <w:rPr>
      <w:rFonts w:ascii="Lucida Grande" w:hAnsi="Lucida Grande" w:cs="Lucida Grande"/>
      <w:sz w:val="18"/>
      <w:szCs w:val="18"/>
    </w:rPr>
  </w:style>
  <w:style w:type="paragraph" w:customStyle="1" w:styleId="Bpara">
    <w:name w:val="B_para"/>
    <w:basedOn w:val="Normal"/>
    <w:qFormat/>
    <w:rsid w:val="00344D9A"/>
    <w:pPr>
      <w:spacing w:after="120" w:line="300" w:lineRule="atLeast"/>
      <w:jc w:val="both"/>
    </w:pPr>
    <w:rPr>
      <w:color w:val="000000" w:themeColor="text1"/>
      <w:sz w:val="22"/>
      <w:lang w:val="en-AU"/>
    </w:rPr>
  </w:style>
  <w:style w:type="character" w:customStyle="1" w:styleId="Heading2Char">
    <w:name w:val="Heading 2 Char"/>
    <w:basedOn w:val="DefaultParagraphFont"/>
    <w:link w:val="Heading2"/>
    <w:uiPriority w:val="9"/>
    <w:rsid w:val="009136CC"/>
    <w:rPr>
      <w:rFonts w:ascii="Times" w:hAnsi="Times"/>
      <w:b/>
      <w:bCs/>
      <w:sz w:val="36"/>
      <w:szCs w:val="36"/>
      <w:lang w:val="en-AU"/>
    </w:rPr>
  </w:style>
  <w:style w:type="paragraph" w:styleId="ListParagraph">
    <w:name w:val="List Paragraph"/>
    <w:basedOn w:val="Normal"/>
    <w:uiPriority w:val="34"/>
    <w:qFormat/>
    <w:rsid w:val="004552A4"/>
    <w:pPr>
      <w:ind w:left="720"/>
      <w:contextualSpacing/>
    </w:pPr>
  </w:style>
  <w:style w:type="paragraph" w:styleId="Header">
    <w:name w:val="header"/>
    <w:basedOn w:val="Normal"/>
    <w:link w:val="HeaderChar"/>
    <w:uiPriority w:val="99"/>
    <w:unhideWhenUsed/>
    <w:rsid w:val="00C95D3D"/>
    <w:pPr>
      <w:tabs>
        <w:tab w:val="center" w:pos="4513"/>
        <w:tab w:val="right" w:pos="9026"/>
      </w:tabs>
    </w:pPr>
  </w:style>
  <w:style w:type="character" w:customStyle="1" w:styleId="HeaderChar">
    <w:name w:val="Header Char"/>
    <w:basedOn w:val="DefaultParagraphFont"/>
    <w:link w:val="Header"/>
    <w:uiPriority w:val="99"/>
    <w:rsid w:val="00C95D3D"/>
  </w:style>
  <w:style w:type="paragraph" w:styleId="Footer">
    <w:name w:val="footer"/>
    <w:basedOn w:val="Normal"/>
    <w:link w:val="FooterChar"/>
    <w:uiPriority w:val="99"/>
    <w:unhideWhenUsed/>
    <w:rsid w:val="00C95D3D"/>
    <w:pPr>
      <w:tabs>
        <w:tab w:val="center" w:pos="4513"/>
        <w:tab w:val="right" w:pos="9026"/>
      </w:tabs>
    </w:pPr>
  </w:style>
  <w:style w:type="character" w:customStyle="1" w:styleId="FooterChar">
    <w:name w:val="Footer Char"/>
    <w:basedOn w:val="DefaultParagraphFont"/>
    <w:link w:val="Footer"/>
    <w:uiPriority w:val="99"/>
    <w:rsid w:val="00C95D3D"/>
  </w:style>
  <w:style w:type="character" w:styleId="PageNumber">
    <w:name w:val="page number"/>
    <w:basedOn w:val="DefaultParagraphFont"/>
    <w:uiPriority w:val="99"/>
    <w:semiHidden/>
    <w:unhideWhenUsed/>
    <w:rsid w:val="009B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682">
      <w:bodyDiv w:val="1"/>
      <w:marLeft w:val="0"/>
      <w:marRight w:val="0"/>
      <w:marTop w:val="0"/>
      <w:marBottom w:val="0"/>
      <w:divBdr>
        <w:top w:val="none" w:sz="0" w:space="0" w:color="auto"/>
        <w:left w:val="none" w:sz="0" w:space="0" w:color="auto"/>
        <w:bottom w:val="none" w:sz="0" w:space="0" w:color="auto"/>
        <w:right w:val="none" w:sz="0" w:space="0" w:color="auto"/>
      </w:divBdr>
    </w:div>
    <w:div w:id="38747509">
      <w:bodyDiv w:val="1"/>
      <w:marLeft w:val="0"/>
      <w:marRight w:val="0"/>
      <w:marTop w:val="0"/>
      <w:marBottom w:val="0"/>
      <w:divBdr>
        <w:top w:val="none" w:sz="0" w:space="0" w:color="auto"/>
        <w:left w:val="none" w:sz="0" w:space="0" w:color="auto"/>
        <w:bottom w:val="none" w:sz="0" w:space="0" w:color="auto"/>
        <w:right w:val="none" w:sz="0" w:space="0" w:color="auto"/>
      </w:divBdr>
    </w:div>
    <w:div w:id="160850120">
      <w:bodyDiv w:val="1"/>
      <w:marLeft w:val="0"/>
      <w:marRight w:val="0"/>
      <w:marTop w:val="0"/>
      <w:marBottom w:val="0"/>
      <w:divBdr>
        <w:top w:val="none" w:sz="0" w:space="0" w:color="auto"/>
        <w:left w:val="none" w:sz="0" w:space="0" w:color="auto"/>
        <w:bottom w:val="none" w:sz="0" w:space="0" w:color="auto"/>
        <w:right w:val="none" w:sz="0" w:space="0" w:color="auto"/>
      </w:divBdr>
    </w:div>
    <w:div w:id="211238872">
      <w:bodyDiv w:val="1"/>
      <w:marLeft w:val="0"/>
      <w:marRight w:val="0"/>
      <w:marTop w:val="0"/>
      <w:marBottom w:val="0"/>
      <w:divBdr>
        <w:top w:val="none" w:sz="0" w:space="0" w:color="auto"/>
        <w:left w:val="none" w:sz="0" w:space="0" w:color="auto"/>
        <w:bottom w:val="none" w:sz="0" w:space="0" w:color="auto"/>
        <w:right w:val="none" w:sz="0" w:space="0" w:color="auto"/>
      </w:divBdr>
    </w:div>
    <w:div w:id="221134912">
      <w:bodyDiv w:val="1"/>
      <w:marLeft w:val="0"/>
      <w:marRight w:val="0"/>
      <w:marTop w:val="0"/>
      <w:marBottom w:val="0"/>
      <w:divBdr>
        <w:top w:val="none" w:sz="0" w:space="0" w:color="auto"/>
        <w:left w:val="none" w:sz="0" w:space="0" w:color="auto"/>
        <w:bottom w:val="none" w:sz="0" w:space="0" w:color="auto"/>
        <w:right w:val="none" w:sz="0" w:space="0" w:color="auto"/>
      </w:divBdr>
    </w:div>
    <w:div w:id="244460458">
      <w:bodyDiv w:val="1"/>
      <w:marLeft w:val="0"/>
      <w:marRight w:val="0"/>
      <w:marTop w:val="0"/>
      <w:marBottom w:val="0"/>
      <w:divBdr>
        <w:top w:val="none" w:sz="0" w:space="0" w:color="auto"/>
        <w:left w:val="none" w:sz="0" w:space="0" w:color="auto"/>
        <w:bottom w:val="none" w:sz="0" w:space="0" w:color="auto"/>
        <w:right w:val="none" w:sz="0" w:space="0" w:color="auto"/>
      </w:divBdr>
    </w:div>
    <w:div w:id="281770865">
      <w:bodyDiv w:val="1"/>
      <w:marLeft w:val="0"/>
      <w:marRight w:val="0"/>
      <w:marTop w:val="0"/>
      <w:marBottom w:val="0"/>
      <w:divBdr>
        <w:top w:val="none" w:sz="0" w:space="0" w:color="auto"/>
        <w:left w:val="none" w:sz="0" w:space="0" w:color="auto"/>
        <w:bottom w:val="none" w:sz="0" w:space="0" w:color="auto"/>
        <w:right w:val="none" w:sz="0" w:space="0" w:color="auto"/>
      </w:divBdr>
    </w:div>
    <w:div w:id="284384403">
      <w:bodyDiv w:val="1"/>
      <w:marLeft w:val="0"/>
      <w:marRight w:val="0"/>
      <w:marTop w:val="0"/>
      <w:marBottom w:val="0"/>
      <w:divBdr>
        <w:top w:val="none" w:sz="0" w:space="0" w:color="auto"/>
        <w:left w:val="none" w:sz="0" w:space="0" w:color="auto"/>
        <w:bottom w:val="none" w:sz="0" w:space="0" w:color="auto"/>
        <w:right w:val="none" w:sz="0" w:space="0" w:color="auto"/>
      </w:divBdr>
    </w:div>
    <w:div w:id="299921606">
      <w:bodyDiv w:val="1"/>
      <w:marLeft w:val="0"/>
      <w:marRight w:val="0"/>
      <w:marTop w:val="0"/>
      <w:marBottom w:val="0"/>
      <w:divBdr>
        <w:top w:val="none" w:sz="0" w:space="0" w:color="auto"/>
        <w:left w:val="none" w:sz="0" w:space="0" w:color="auto"/>
        <w:bottom w:val="none" w:sz="0" w:space="0" w:color="auto"/>
        <w:right w:val="none" w:sz="0" w:space="0" w:color="auto"/>
      </w:divBdr>
    </w:div>
    <w:div w:id="312179639">
      <w:bodyDiv w:val="1"/>
      <w:marLeft w:val="0"/>
      <w:marRight w:val="0"/>
      <w:marTop w:val="0"/>
      <w:marBottom w:val="0"/>
      <w:divBdr>
        <w:top w:val="none" w:sz="0" w:space="0" w:color="auto"/>
        <w:left w:val="none" w:sz="0" w:space="0" w:color="auto"/>
        <w:bottom w:val="none" w:sz="0" w:space="0" w:color="auto"/>
        <w:right w:val="none" w:sz="0" w:space="0" w:color="auto"/>
      </w:divBdr>
    </w:div>
    <w:div w:id="324819703">
      <w:bodyDiv w:val="1"/>
      <w:marLeft w:val="0"/>
      <w:marRight w:val="0"/>
      <w:marTop w:val="0"/>
      <w:marBottom w:val="0"/>
      <w:divBdr>
        <w:top w:val="none" w:sz="0" w:space="0" w:color="auto"/>
        <w:left w:val="none" w:sz="0" w:space="0" w:color="auto"/>
        <w:bottom w:val="none" w:sz="0" w:space="0" w:color="auto"/>
        <w:right w:val="none" w:sz="0" w:space="0" w:color="auto"/>
      </w:divBdr>
    </w:div>
    <w:div w:id="390352400">
      <w:bodyDiv w:val="1"/>
      <w:marLeft w:val="0"/>
      <w:marRight w:val="0"/>
      <w:marTop w:val="0"/>
      <w:marBottom w:val="0"/>
      <w:divBdr>
        <w:top w:val="none" w:sz="0" w:space="0" w:color="auto"/>
        <w:left w:val="none" w:sz="0" w:space="0" w:color="auto"/>
        <w:bottom w:val="none" w:sz="0" w:space="0" w:color="auto"/>
        <w:right w:val="none" w:sz="0" w:space="0" w:color="auto"/>
      </w:divBdr>
    </w:div>
    <w:div w:id="507257478">
      <w:bodyDiv w:val="1"/>
      <w:marLeft w:val="0"/>
      <w:marRight w:val="0"/>
      <w:marTop w:val="0"/>
      <w:marBottom w:val="0"/>
      <w:divBdr>
        <w:top w:val="none" w:sz="0" w:space="0" w:color="auto"/>
        <w:left w:val="none" w:sz="0" w:space="0" w:color="auto"/>
        <w:bottom w:val="none" w:sz="0" w:space="0" w:color="auto"/>
        <w:right w:val="none" w:sz="0" w:space="0" w:color="auto"/>
      </w:divBdr>
    </w:div>
    <w:div w:id="524559523">
      <w:bodyDiv w:val="1"/>
      <w:marLeft w:val="0"/>
      <w:marRight w:val="0"/>
      <w:marTop w:val="0"/>
      <w:marBottom w:val="0"/>
      <w:divBdr>
        <w:top w:val="none" w:sz="0" w:space="0" w:color="auto"/>
        <w:left w:val="none" w:sz="0" w:space="0" w:color="auto"/>
        <w:bottom w:val="none" w:sz="0" w:space="0" w:color="auto"/>
        <w:right w:val="none" w:sz="0" w:space="0" w:color="auto"/>
      </w:divBdr>
    </w:div>
    <w:div w:id="573661774">
      <w:bodyDiv w:val="1"/>
      <w:marLeft w:val="0"/>
      <w:marRight w:val="0"/>
      <w:marTop w:val="0"/>
      <w:marBottom w:val="0"/>
      <w:divBdr>
        <w:top w:val="none" w:sz="0" w:space="0" w:color="auto"/>
        <w:left w:val="none" w:sz="0" w:space="0" w:color="auto"/>
        <w:bottom w:val="none" w:sz="0" w:space="0" w:color="auto"/>
        <w:right w:val="none" w:sz="0" w:space="0" w:color="auto"/>
      </w:divBdr>
    </w:div>
    <w:div w:id="656154058">
      <w:bodyDiv w:val="1"/>
      <w:marLeft w:val="0"/>
      <w:marRight w:val="0"/>
      <w:marTop w:val="0"/>
      <w:marBottom w:val="0"/>
      <w:divBdr>
        <w:top w:val="none" w:sz="0" w:space="0" w:color="auto"/>
        <w:left w:val="none" w:sz="0" w:space="0" w:color="auto"/>
        <w:bottom w:val="none" w:sz="0" w:space="0" w:color="auto"/>
        <w:right w:val="none" w:sz="0" w:space="0" w:color="auto"/>
      </w:divBdr>
    </w:div>
    <w:div w:id="746733405">
      <w:bodyDiv w:val="1"/>
      <w:marLeft w:val="0"/>
      <w:marRight w:val="0"/>
      <w:marTop w:val="0"/>
      <w:marBottom w:val="0"/>
      <w:divBdr>
        <w:top w:val="none" w:sz="0" w:space="0" w:color="auto"/>
        <w:left w:val="none" w:sz="0" w:space="0" w:color="auto"/>
        <w:bottom w:val="none" w:sz="0" w:space="0" w:color="auto"/>
        <w:right w:val="none" w:sz="0" w:space="0" w:color="auto"/>
      </w:divBdr>
    </w:div>
    <w:div w:id="776027025">
      <w:bodyDiv w:val="1"/>
      <w:marLeft w:val="0"/>
      <w:marRight w:val="0"/>
      <w:marTop w:val="0"/>
      <w:marBottom w:val="0"/>
      <w:divBdr>
        <w:top w:val="none" w:sz="0" w:space="0" w:color="auto"/>
        <w:left w:val="none" w:sz="0" w:space="0" w:color="auto"/>
        <w:bottom w:val="none" w:sz="0" w:space="0" w:color="auto"/>
        <w:right w:val="none" w:sz="0" w:space="0" w:color="auto"/>
      </w:divBdr>
    </w:div>
    <w:div w:id="809053445">
      <w:bodyDiv w:val="1"/>
      <w:marLeft w:val="0"/>
      <w:marRight w:val="0"/>
      <w:marTop w:val="0"/>
      <w:marBottom w:val="0"/>
      <w:divBdr>
        <w:top w:val="none" w:sz="0" w:space="0" w:color="auto"/>
        <w:left w:val="none" w:sz="0" w:space="0" w:color="auto"/>
        <w:bottom w:val="none" w:sz="0" w:space="0" w:color="auto"/>
        <w:right w:val="none" w:sz="0" w:space="0" w:color="auto"/>
      </w:divBdr>
    </w:div>
    <w:div w:id="868493513">
      <w:bodyDiv w:val="1"/>
      <w:marLeft w:val="0"/>
      <w:marRight w:val="0"/>
      <w:marTop w:val="0"/>
      <w:marBottom w:val="0"/>
      <w:divBdr>
        <w:top w:val="none" w:sz="0" w:space="0" w:color="auto"/>
        <w:left w:val="none" w:sz="0" w:space="0" w:color="auto"/>
        <w:bottom w:val="none" w:sz="0" w:space="0" w:color="auto"/>
        <w:right w:val="none" w:sz="0" w:space="0" w:color="auto"/>
      </w:divBdr>
    </w:div>
    <w:div w:id="896091198">
      <w:bodyDiv w:val="1"/>
      <w:marLeft w:val="0"/>
      <w:marRight w:val="0"/>
      <w:marTop w:val="0"/>
      <w:marBottom w:val="0"/>
      <w:divBdr>
        <w:top w:val="none" w:sz="0" w:space="0" w:color="auto"/>
        <w:left w:val="none" w:sz="0" w:space="0" w:color="auto"/>
        <w:bottom w:val="none" w:sz="0" w:space="0" w:color="auto"/>
        <w:right w:val="none" w:sz="0" w:space="0" w:color="auto"/>
      </w:divBdr>
    </w:div>
    <w:div w:id="956638273">
      <w:bodyDiv w:val="1"/>
      <w:marLeft w:val="0"/>
      <w:marRight w:val="0"/>
      <w:marTop w:val="0"/>
      <w:marBottom w:val="0"/>
      <w:divBdr>
        <w:top w:val="none" w:sz="0" w:space="0" w:color="auto"/>
        <w:left w:val="none" w:sz="0" w:space="0" w:color="auto"/>
        <w:bottom w:val="none" w:sz="0" w:space="0" w:color="auto"/>
        <w:right w:val="none" w:sz="0" w:space="0" w:color="auto"/>
      </w:divBdr>
    </w:div>
    <w:div w:id="986084114">
      <w:bodyDiv w:val="1"/>
      <w:marLeft w:val="0"/>
      <w:marRight w:val="0"/>
      <w:marTop w:val="0"/>
      <w:marBottom w:val="0"/>
      <w:divBdr>
        <w:top w:val="none" w:sz="0" w:space="0" w:color="auto"/>
        <w:left w:val="none" w:sz="0" w:space="0" w:color="auto"/>
        <w:bottom w:val="none" w:sz="0" w:space="0" w:color="auto"/>
        <w:right w:val="none" w:sz="0" w:space="0" w:color="auto"/>
      </w:divBdr>
    </w:div>
    <w:div w:id="996613406">
      <w:bodyDiv w:val="1"/>
      <w:marLeft w:val="0"/>
      <w:marRight w:val="0"/>
      <w:marTop w:val="0"/>
      <w:marBottom w:val="0"/>
      <w:divBdr>
        <w:top w:val="none" w:sz="0" w:space="0" w:color="auto"/>
        <w:left w:val="none" w:sz="0" w:space="0" w:color="auto"/>
        <w:bottom w:val="none" w:sz="0" w:space="0" w:color="auto"/>
        <w:right w:val="none" w:sz="0" w:space="0" w:color="auto"/>
      </w:divBdr>
    </w:div>
    <w:div w:id="1018586057">
      <w:bodyDiv w:val="1"/>
      <w:marLeft w:val="0"/>
      <w:marRight w:val="0"/>
      <w:marTop w:val="0"/>
      <w:marBottom w:val="0"/>
      <w:divBdr>
        <w:top w:val="none" w:sz="0" w:space="0" w:color="auto"/>
        <w:left w:val="none" w:sz="0" w:space="0" w:color="auto"/>
        <w:bottom w:val="none" w:sz="0" w:space="0" w:color="auto"/>
        <w:right w:val="none" w:sz="0" w:space="0" w:color="auto"/>
      </w:divBdr>
    </w:div>
    <w:div w:id="1028946709">
      <w:bodyDiv w:val="1"/>
      <w:marLeft w:val="0"/>
      <w:marRight w:val="0"/>
      <w:marTop w:val="0"/>
      <w:marBottom w:val="0"/>
      <w:divBdr>
        <w:top w:val="none" w:sz="0" w:space="0" w:color="auto"/>
        <w:left w:val="none" w:sz="0" w:space="0" w:color="auto"/>
        <w:bottom w:val="none" w:sz="0" w:space="0" w:color="auto"/>
        <w:right w:val="none" w:sz="0" w:space="0" w:color="auto"/>
      </w:divBdr>
    </w:div>
    <w:div w:id="1078480532">
      <w:bodyDiv w:val="1"/>
      <w:marLeft w:val="0"/>
      <w:marRight w:val="0"/>
      <w:marTop w:val="0"/>
      <w:marBottom w:val="0"/>
      <w:divBdr>
        <w:top w:val="none" w:sz="0" w:space="0" w:color="auto"/>
        <w:left w:val="none" w:sz="0" w:space="0" w:color="auto"/>
        <w:bottom w:val="none" w:sz="0" w:space="0" w:color="auto"/>
        <w:right w:val="none" w:sz="0" w:space="0" w:color="auto"/>
      </w:divBdr>
    </w:div>
    <w:div w:id="1216163069">
      <w:bodyDiv w:val="1"/>
      <w:marLeft w:val="0"/>
      <w:marRight w:val="0"/>
      <w:marTop w:val="0"/>
      <w:marBottom w:val="0"/>
      <w:divBdr>
        <w:top w:val="none" w:sz="0" w:space="0" w:color="auto"/>
        <w:left w:val="none" w:sz="0" w:space="0" w:color="auto"/>
        <w:bottom w:val="none" w:sz="0" w:space="0" w:color="auto"/>
        <w:right w:val="none" w:sz="0" w:space="0" w:color="auto"/>
      </w:divBdr>
    </w:div>
    <w:div w:id="1236891475">
      <w:bodyDiv w:val="1"/>
      <w:marLeft w:val="0"/>
      <w:marRight w:val="0"/>
      <w:marTop w:val="0"/>
      <w:marBottom w:val="0"/>
      <w:divBdr>
        <w:top w:val="none" w:sz="0" w:space="0" w:color="auto"/>
        <w:left w:val="none" w:sz="0" w:space="0" w:color="auto"/>
        <w:bottom w:val="none" w:sz="0" w:space="0" w:color="auto"/>
        <w:right w:val="none" w:sz="0" w:space="0" w:color="auto"/>
      </w:divBdr>
    </w:div>
    <w:div w:id="1277636525">
      <w:bodyDiv w:val="1"/>
      <w:marLeft w:val="0"/>
      <w:marRight w:val="0"/>
      <w:marTop w:val="0"/>
      <w:marBottom w:val="0"/>
      <w:divBdr>
        <w:top w:val="none" w:sz="0" w:space="0" w:color="auto"/>
        <w:left w:val="none" w:sz="0" w:space="0" w:color="auto"/>
        <w:bottom w:val="none" w:sz="0" w:space="0" w:color="auto"/>
        <w:right w:val="none" w:sz="0" w:space="0" w:color="auto"/>
      </w:divBdr>
    </w:div>
    <w:div w:id="1288390770">
      <w:bodyDiv w:val="1"/>
      <w:marLeft w:val="0"/>
      <w:marRight w:val="0"/>
      <w:marTop w:val="0"/>
      <w:marBottom w:val="0"/>
      <w:divBdr>
        <w:top w:val="none" w:sz="0" w:space="0" w:color="auto"/>
        <w:left w:val="none" w:sz="0" w:space="0" w:color="auto"/>
        <w:bottom w:val="none" w:sz="0" w:space="0" w:color="auto"/>
        <w:right w:val="none" w:sz="0" w:space="0" w:color="auto"/>
      </w:divBdr>
    </w:div>
    <w:div w:id="1337809211">
      <w:bodyDiv w:val="1"/>
      <w:marLeft w:val="0"/>
      <w:marRight w:val="0"/>
      <w:marTop w:val="0"/>
      <w:marBottom w:val="0"/>
      <w:divBdr>
        <w:top w:val="none" w:sz="0" w:space="0" w:color="auto"/>
        <w:left w:val="none" w:sz="0" w:space="0" w:color="auto"/>
        <w:bottom w:val="none" w:sz="0" w:space="0" w:color="auto"/>
        <w:right w:val="none" w:sz="0" w:space="0" w:color="auto"/>
      </w:divBdr>
    </w:div>
    <w:div w:id="1339961858">
      <w:bodyDiv w:val="1"/>
      <w:marLeft w:val="0"/>
      <w:marRight w:val="0"/>
      <w:marTop w:val="0"/>
      <w:marBottom w:val="0"/>
      <w:divBdr>
        <w:top w:val="none" w:sz="0" w:space="0" w:color="auto"/>
        <w:left w:val="none" w:sz="0" w:space="0" w:color="auto"/>
        <w:bottom w:val="none" w:sz="0" w:space="0" w:color="auto"/>
        <w:right w:val="none" w:sz="0" w:space="0" w:color="auto"/>
      </w:divBdr>
    </w:div>
    <w:div w:id="1366831406">
      <w:bodyDiv w:val="1"/>
      <w:marLeft w:val="0"/>
      <w:marRight w:val="0"/>
      <w:marTop w:val="0"/>
      <w:marBottom w:val="0"/>
      <w:divBdr>
        <w:top w:val="none" w:sz="0" w:space="0" w:color="auto"/>
        <w:left w:val="none" w:sz="0" w:space="0" w:color="auto"/>
        <w:bottom w:val="none" w:sz="0" w:space="0" w:color="auto"/>
        <w:right w:val="none" w:sz="0" w:space="0" w:color="auto"/>
      </w:divBdr>
    </w:div>
    <w:div w:id="1416630830">
      <w:bodyDiv w:val="1"/>
      <w:marLeft w:val="0"/>
      <w:marRight w:val="0"/>
      <w:marTop w:val="0"/>
      <w:marBottom w:val="0"/>
      <w:divBdr>
        <w:top w:val="none" w:sz="0" w:space="0" w:color="auto"/>
        <w:left w:val="none" w:sz="0" w:space="0" w:color="auto"/>
        <w:bottom w:val="none" w:sz="0" w:space="0" w:color="auto"/>
        <w:right w:val="none" w:sz="0" w:space="0" w:color="auto"/>
      </w:divBdr>
    </w:div>
    <w:div w:id="1525556917">
      <w:bodyDiv w:val="1"/>
      <w:marLeft w:val="0"/>
      <w:marRight w:val="0"/>
      <w:marTop w:val="0"/>
      <w:marBottom w:val="0"/>
      <w:divBdr>
        <w:top w:val="none" w:sz="0" w:space="0" w:color="auto"/>
        <w:left w:val="none" w:sz="0" w:space="0" w:color="auto"/>
        <w:bottom w:val="none" w:sz="0" w:space="0" w:color="auto"/>
        <w:right w:val="none" w:sz="0" w:space="0" w:color="auto"/>
      </w:divBdr>
    </w:div>
    <w:div w:id="1587610238">
      <w:bodyDiv w:val="1"/>
      <w:marLeft w:val="0"/>
      <w:marRight w:val="0"/>
      <w:marTop w:val="0"/>
      <w:marBottom w:val="0"/>
      <w:divBdr>
        <w:top w:val="none" w:sz="0" w:space="0" w:color="auto"/>
        <w:left w:val="none" w:sz="0" w:space="0" w:color="auto"/>
        <w:bottom w:val="none" w:sz="0" w:space="0" w:color="auto"/>
        <w:right w:val="none" w:sz="0" w:space="0" w:color="auto"/>
      </w:divBdr>
    </w:div>
    <w:div w:id="1711221072">
      <w:bodyDiv w:val="1"/>
      <w:marLeft w:val="0"/>
      <w:marRight w:val="0"/>
      <w:marTop w:val="0"/>
      <w:marBottom w:val="0"/>
      <w:divBdr>
        <w:top w:val="none" w:sz="0" w:space="0" w:color="auto"/>
        <w:left w:val="none" w:sz="0" w:space="0" w:color="auto"/>
        <w:bottom w:val="none" w:sz="0" w:space="0" w:color="auto"/>
        <w:right w:val="none" w:sz="0" w:space="0" w:color="auto"/>
      </w:divBdr>
    </w:div>
    <w:div w:id="1736733619">
      <w:bodyDiv w:val="1"/>
      <w:marLeft w:val="0"/>
      <w:marRight w:val="0"/>
      <w:marTop w:val="0"/>
      <w:marBottom w:val="0"/>
      <w:divBdr>
        <w:top w:val="none" w:sz="0" w:space="0" w:color="auto"/>
        <w:left w:val="none" w:sz="0" w:space="0" w:color="auto"/>
        <w:bottom w:val="none" w:sz="0" w:space="0" w:color="auto"/>
        <w:right w:val="none" w:sz="0" w:space="0" w:color="auto"/>
      </w:divBdr>
    </w:div>
    <w:div w:id="1774740230">
      <w:bodyDiv w:val="1"/>
      <w:marLeft w:val="0"/>
      <w:marRight w:val="0"/>
      <w:marTop w:val="0"/>
      <w:marBottom w:val="0"/>
      <w:divBdr>
        <w:top w:val="none" w:sz="0" w:space="0" w:color="auto"/>
        <w:left w:val="none" w:sz="0" w:space="0" w:color="auto"/>
        <w:bottom w:val="none" w:sz="0" w:space="0" w:color="auto"/>
        <w:right w:val="none" w:sz="0" w:space="0" w:color="auto"/>
      </w:divBdr>
    </w:div>
    <w:div w:id="1790202794">
      <w:bodyDiv w:val="1"/>
      <w:marLeft w:val="0"/>
      <w:marRight w:val="0"/>
      <w:marTop w:val="0"/>
      <w:marBottom w:val="0"/>
      <w:divBdr>
        <w:top w:val="none" w:sz="0" w:space="0" w:color="auto"/>
        <w:left w:val="none" w:sz="0" w:space="0" w:color="auto"/>
        <w:bottom w:val="none" w:sz="0" w:space="0" w:color="auto"/>
        <w:right w:val="none" w:sz="0" w:space="0" w:color="auto"/>
      </w:divBdr>
    </w:div>
    <w:div w:id="1823887251">
      <w:bodyDiv w:val="1"/>
      <w:marLeft w:val="0"/>
      <w:marRight w:val="0"/>
      <w:marTop w:val="0"/>
      <w:marBottom w:val="0"/>
      <w:divBdr>
        <w:top w:val="none" w:sz="0" w:space="0" w:color="auto"/>
        <w:left w:val="none" w:sz="0" w:space="0" w:color="auto"/>
        <w:bottom w:val="none" w:sz="0" w:space="0" w:color="auto"/>
        <w:right w:val="none" w:sz="0" w:space="0" w:color="auto"/>
      </w:divBdr>
    </w:div>
    <w:div w:id="1856529350">
      <w:bodyDiv w:val="1"/>
      <w:marLeft w:val="0"/>
      <w:marRight w:val="0"/>
      <w:marTop w:val="0"/>
      <w:marBottom w:val="0"/>
      <w:divBdr>
        <w:top w:val="none" w:sz="0" w:space="0" w:color="auto"/>
        <w:left w:val="none" w:sz="0" w:space="0" w:color="auto"/>
        <w:bottom w:val="none" w:sz="0" w:space="0" w:color="auto"/>
        <w:right w:val="none" w:sz="0" w:space="0" w:color="auto"/>
      </w:divBdr>
    </w:div>
    <w:div w:id="1875385354">
      <w:bodyDiv w:val="1"/>
      <w:marLeft w:val="0"/>
      <w:marRight w:val="0"/>
      <w:marTop w:val="0"/>
      <w:marBottom w:val="0"/>
      <w:divBdr>
        <w:top w:val="none" w:sz="0" w:space="0" w:color="auto"/>
        <w:left w:val="none" w:sz="0" w:space="0" w:color="auto"/>
        <w:bottom w:val="none" w:sz="0" w:space="0" w:color="auto"/>
        <w:right w:val="none" w:sz="0" w:space="0" w:color="auto"/>
      </w:divBdr>
    </w:div>
    <w:div w:id="1956402126">
      <w:bodyDiv w:val="1"/>
      <w:marLeft w:val="0"/>
      <w:marRight w:val="0"/>
      <w:marTop w:val="0"/>
      <w:marBottom w:val="0"/>
      <w:divBdr>
        <w:top w:val="none" w:sz="0" w:space="0" w:color="auto"/>
        <w:left w:val="none" w:sz="0" w:space="0" w:color="auto"/>
        <w:bottom w:val="none" w:sz="0" w:space="0" w:color="auto"/>
        <w:right w:val="none" w:sz="0" w:space="0" w:color="auto"/>
      </w:divBdr>
    </w:div>
    <w:div w:id="1960211702">
      <w:bodyDiv w:val="1"/>
      <w:marLeft w:val="0"/>
      <w:marRight w:val="0"/>
      <w:marTop w:val="0"/>
      <w:marBottom w:val="0"/>
      <w:divBdr>
        <w:top w:val="none" w:sz="0" w:space="0" w:color="auto"/>
        <w:left w:val="none" w:sz="0" w:space="0" w:color="auto"/>
        <w:bottom w:val="none" w:sz="0" w:space="0" w:color="auto"/>
        <w:right w:val="none" w:sz="0" w:space="0" w:color="auto"/>
      </w:divBdr>
    </w:div>
    <w:div w:id="1977444495">
      <w:bodyDiv w:val="1"/>
      <w:marLeft w:val="0"/>
      <w:marRight w:val="0"/>
      <w:marTop w:val="0"/>
      <w:marBottom w:val="0"/>
      <w:divBdr>
        <w:top w:val="none" w:sz="0" w:space="0" w:color="auto"/>
        <w:left w:val="none" w:sz="0" w:space="0" w:color="auto"/>
        <w:bottom w:val="none" w:sz="0" w:space="0" w:color="auto"/>
        <w:right w:val="none" w:sz="0" w:space="0" w:color="auto"/>
      </w:divBdr>
    </w:div>
    <w:div w:id="1978994023">
      <w:bodyDiv w:val="1"/>
      <w:marLeft w:val="0"/>
      <w:marRight w:val="0"/>
      <w:marTop w:val="0"/>
      <w:marBottom w:val="0"/>
      <w:divBdr>
        <w:top w:val="none" w:sz="0" w:space="0" w:color="auto"/>
        <w:left w:val="none" w:sz="0" w:space="0" w:color="auto"/>
        <w:bottom w:val="none" w:sz="0" w:space="0" w:color="auto"/>
        <w:right w:val="none" w:sz="0" w:space="0" w:color="auto"/>
      </w:divBdr>
    </w:div>
    <w:div w:id="2068869868">
      <w:bodyDiv w:val="1"/>
      <w:marLeft w:val="0"/>
      <w:marRight w:val="0"/>
      <w:marTop w:val="0"/>
      <w:marBottom w:val="0"/>
      <w:divBdr>
        <w:top w:val="none" w:sz="0" w:space="0" w:color="auto"/>
        <w:left w:val="none" w:sz="0" w:space="0" w:color="auto"/>
        <w:bottom w:val="none" w:sz="0" w:space="0" w:color="auto"/>
        <w:right w:val="none" w:sz="0" w:space="0" w:color="auto"/>
      </w:divBdr>
    </w:div>
    <w:div w:id="2069722371">
      <w:bodyDiv w:val="1"/>
      <w:marLeft w:val="0"/>
      <w:marRight w:val="0"/>
      <w:marTop w:val="0"/>
      <w:marBottom w:val="0"/>
      <w:divBdr>
        <w:top w:val="none" w:sz="0" w:space="0" w:color="auto"/>
        <w:left w:val="none" w:sz="0" w:space="0" w:color="auto"/>
        <w:bottom w:val="none" w:sz="0" w:space="0" w:color="auto"/>
        <w:right w:val="none" w:sz="0" w:space="0" w:color="auto"/>
      </w:divBdr>
    </w:div>
    <w:div w:id="2103452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sac@justice.tas.gov.a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3172</Words>
  <Characters>18085</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21215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Microsoft Office User</cp:lastModifiedBy>
  <cp:revision>2</cp:revision>
  <cp:lastPrinted>2018-06-01T06:30:00Z</cp:lastPrinted>
  <dcterms:created xsi:type="dcterms:W3CDTF">2018-06-04T22:38:00Z</dcterms:created>
  <dcterms:modified xsi:type="dcterms:W3CDTF">2018-06-04T22:38:00Z</dcterms:modified>
</cp:coreProperties>
</file>