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57538" w14:textId="77777777" w:rsidR="00CE7BEC" w:rsidRDefault="00CE7BEC" w:rsidP="00CE7BEC">
      <w:pPr>
        <w:jc w:val="center"/>
        <w:rPr>
          <w:rFonts w:ascii="Tw Cen MT Condensed" w:hAnsi="Tw Cen MT Condensed"/>
          <w:b/>
          <w:sz w:val="36"/>
          <w:szCs w:val="36"/>
        </w:rPr>
      </w:pPr>
      <w:r w:rsidRPr="000848FF">
        <w:rPr>
          <w:rFonts w:ascii="Tw Cen MT Condensed" w:hAnsi="Tw Cen MT Condensed"/>
          <w:b/>
          <w:sz w:val="36"/>
          <w:szCs w:val="36"/>
        </w:rPr>
        <w:t>TASMANIAN ASSOCIATION OF COMMUNITY LEGAL CENTRES</w:t>
      </w:r>
    </w:p>
    <w:p w14:paraId="7DEEAE8C" w14:textId="77777777" w:rsidR="00CE7BEC" w:rsidRPr="000848FF" w:rsidRDefault="00CE7BEC" w:rsidP="00CE7BEC">
      <w:pPr>
        <w:jc w:val="center"/>
        <w:rPr>
          <w:rFonts w:ascii="Tw Cen MT Condensed" w:hAnsi="Tw Cen MT Condensed"/>
          <w:b/>
          <w:sz w:val="20"/>
        </w:rPr>
      </w:pPr>
      <w:r w:rsidRPr="000848FF">
        <w:rPr>
          <w:rFonts w:ascii="Tw Cen MT Condensed" w:hAnsi="Tw Cen MT Condensed"/>
          <w:b/>
          <w:sz w:val="20"/>
        </w:rPr>
        <w:t>Animal Welfare Community Legal Centre</w:t>
      </w:r>
      <w:r>
        <w:rPr>
          <w:rFonts w:ascii="Tw Cen MT Condensed" w:hAnsi="Tw Cen MT Condensed"/>
          <w:b/>
          <w:sz w:val="20"/>
        </w:rPr>
        <w:t xml:space="preserve">  • </w:t>
      </w:r>
      <w:r w:rsidRPr="000848FF">
        <w:rPr>
          <w:rFonts w:ascii="Tw Cen MT Condensed" w:hAnsi="Tw Cen MT Condensed"/>
          <w:b/>
          <w:sz w:val="20"/>
        </w:rPr>
        <w:t>Environmental Defenders Office</w:t>
      </w:r>
      <w:r>
        <w:rPr>
          <w:rFonts w:ascii="Tw Cen MT Condensed" w:hAnsi="Tw Cen MT Condensed"/>
          <w:b/>
          <w:sz w:val="20"/>
        </w:rPr>
        <w:t xml:space="preserve">  • </w:t>
      </w:r>
      <w:r w:rsidRPr="000848FF">
        <w:rPr>
          <w:rFonts w:ascii="Tw Cen MT Condensed" w:hAnsi="Tw Cen MT Condensed"/>
          <w:b/>
          <w:sz w:val="20"/>
        </w:rPr>
        <w:t xml:space="preserve">Hobart Community Legal Service  </w:t>
      </w:r>
      <w:r>
        <w:rPr>
          <w:rFonts w:ascii="Tw Cen MT Condensed" w:hAnsi="Tw Cen MT Condensed"/>
          <w:b/>
          <w:sz w:val="20"/>
        </w:rPr>
        <w:t xml:space="preserve">• </w:t>
      </w:r>
      <w:r w:rsidRPr="000848FF">
        <w:rPr>
          <w:rFonts w:ascii="Tw Cen MT Condensed" w:hAnsi="Tw Cen MT Condensed"/>
          <w:b/>
          <w:sz w:val="20"/>
        </w:rPr>
        <w:t>Launceston Community Legal Centre</w:t>
      </w:r>
      <w:r>
        <w:rPr>
          <w:rFonts w:ascii="Tw Cen MT Condensed" w:hAnsi="Tw Cen MT Condensed"/>
          <w:b/>
          <w:sz w:val="20"/>
        </w:rPr>
        <w:t xml:space="preserve">  • </w:t>
      </w:r>
      <w:r w:rsidRPr="000848FF">
        <w:rPr>
          <w:rFonts w:ascii="Tw Cen MT Condensed" w:hAnsi="Tw Cen MT Condensed"/>
          <w:b/>
          <w:sz w:val="20"/>
        </w:rPr>
        <w:t>North West Community Legal Centre</w:t>
      </w:r>
      <w:r>
        <w:rPr>
          <w:rFonts w:ascii="Tw Cen MT Condensed" w:hAnsi="Tw Cen MT Condensed"/>
          <w:b/>
          <w:sz w:val="20"/>
        </w:rPr>
        <w:t xml:space="preserve">  • </w:t>
      </w:r>
      <w:r w:rsidRPr="000848FF">
        <w:rPr>
          <w:rFonts w:ascii="Tw Cen MT Condensed" w:hAnsi="Tw Cen MT Condensed"/>
          <w:b/>
          <w:sz w:val="20"/>
        </w:rPr>
        <w:t>Tenants’ Union</w:t>
      </w:r>
      <w:r>
        <w:rPr>
          <w:rFonts w:ascii="Tw Cen MT Condensed" w:hAnsi="Tw Cen MT Condensed"/>
          <w:b/>
          <w:sz w:val="20"/>
        </w:rPr>
        <w:t xml:space="preserve">  • </w:t>
      </w:r>
      <w:r w:rsidRPr="000848FF">
        <w:rPr>
          <w:rFonts w:ascii="Tw Cen MT Condensed" w:hAnsi="Tw Cen MT Condensed"/>
          <w:b/>
          <w:sz w:val="20"/>
        </w:rPr>
        <w:t>Women’s Legal Service</w:t>
      </w:r>
      <w:r>
        <w:rPr>
          <w:rFonts w:ascii="Tw Cen MT Condensed" w:hAnsi="Tw Cen MT Condensed"/>
          <w:b/>
          <w:sz w:val="20"/>
        </w:rPr>
        <w:t xml:space="preserve"> • </w:t>
      </w:r>
      <w:r w:rsidRPr="000848FF">
        <w:rPr>
          <w:rFonts w:ascii="Tw Cen MT Condensed" w:hAnsi="Tw Cen MT Condensed"/>
          <w:b/>
          <w:sz w:val="20"/>
        </w:rPr>
        <w:t>Wo</w:t>
      </w:r>
      <w:r>
        <w:rPr>
          <w:rFonts w:ascii="Tw Cen MT Condensed" w:hAnsi="Tw Cen MT Condensed"/>
          <w:b/>
          <w:sz w:val="20"/>
        </w:rPr>
        <w:t>rker Assist</w:t>
      </w:r>
    </w:p>
    <w:p w14:paraId="48AB3376" w14:textId="77777777" w:rsidR="00CE7BEC" w:rsidRDefault="00CE7BEC" w:rsidP="00CE7BEC">
      <w:pPr>
        <w:rPr>
          <w:rFonts w:ascii="Arial" w:hAnsi="Arial" w:cs="Arial"/>
          <w:color w:val="FF0000"/>
          <w:sz w:val="20"/>
          <w:szCs w:val="20"/>
          <w:lang w:val="en-US"/>
        </w:rPr>
      </w:pPr>
    </w:p>
    <w:p w14:paraId="6AE2006B" w14:textId="77777777" w:rsidR="00CE7BEC" w:rsidRDefault="00CE7BEC" w:rsidP="00CE7BEC">
      <w:pPr>
        <w:rPr>
          <w:rFonts w:ascii="Arial" w:hAnsi="Arial" w:cs="Arial"/>
          <w:color w:val="FF0000"/>
          <w:sz w:val="20"/>
          <w:szCs w:val="20"/>
          <w:lang w:val="en-US"/>
        </w:rPr>
      </w:pPr>
    </w:p>
    <w:p w14:paraId="7B36FECE" w14:textId="77777777" w:rsidR="00CE7BEC" w:rsidRPr="003D6B26" w:rsidRDefault="00CE7BEC" w:rsidP="00CE7BEC">
      <w:pPr>
        <w:rPr>
          <w:lang w:val="en-US"/>
        </w:rPr>
      </w:pPr>
    </w:p>
    <w:p w14:paraId="07DA2172" w14:textId="3CAD6667" w:rsidR="00CE7BEC" w:rsidRPr="003D6B26" w:rsidRDefault="00CE7BEC" w:rsidP="00CE7BEC">
      <w:pPr>
        <w:rPr>
          <w:lang w:val="en-US"/>
        </w:rPr>
      </w:pPr>
      <w:r w:rsidRPr="003D6B26">
        <w:rPr>
          <w:lang w:val="en-US"/>
        </w:rPr>
        <w:t>3 September 2012</w:t>
      </w:r>
    </w:p>
    <w:p w14:paraId="5641C896" w14:textId="77777777" w:rsidR="00CE7BEC" w:rsidRPr="003D6B26" w:rsidRDefault="00CE7BEC" w:rsidP="00CE7BEC">
      <w:pPr>
        <w:rPr>
          <w:lang w:val="en-US"/>
        </w:rPr>
      </w:pPr>
    </w:p>
    <w:p w14:paraId="34B908D8" w14:textId="77777777" w:rsidR="00CE7BEC" w:rsidRPr="003D6B26" w:rsidRDefault="00CE7BEC" w:rsidP="00CE7BEC">
      <w:pPr>
        <w:rPr>
          <w:lang w:val="en-US"/>
        </w:rPr>
      </w:pPr>
    </w:p>
    <w:p w14:paraId="399524F4" w14:textId="6CC8B4E5" w:rsidR="00CE7BEC" w:rsidRPr="003D6B26" w:rsidRDefault="003D6B26" w:rsidP="00CE7BEC">
      <w:pPr>
        <w:rPr>
          <w:lang w:val="en-US"/>
        </w:rPr>
      </w:pPr>
      <w:r w:rsidRPr="003D6B26">
        <w:rPr>
          <w:lang w:val="en-US"/>
        </w:rPr>
        <w:t xml:space="preserve">Public Consultation </w:t>
      </w:r>
      <w:r w:rsidRPr="003D6B26">
        <w:rPr>
          <w:i/>
          <w:lang w:val="en-US"/>
        </w:rPr>
        <w:t>Police Offences Act 1935</w:t>
      </w:r>
    </w:p>
    <w:p w14:paraId="37E87B23" w14:textId="614212AA" w:rsidR="003D6B26" w:rsidRPr="003D6B26" w:rsidRDefault="003D6B26" w:rsidP="00CE7BEC">
      <w:pPr>
        <w:rPr>
          <w:lang w:val="en-US"/>
        </w:rPr>
      </w:pPr>
      <w:r w:rsidRPr="003D6B26">
        <w:rPr>
          <w:lang w:val="en-US"/>
        </w:rPr>
        <w:t>Department of Police and Emergency Management</w:t>
      </w:r>
    </w:p>
    <w:p w14:paraId="6AD0A475" w14:textId="3D212A82" w:rsidR="003D6B26" w:rsidRPr="003D6B26" w:rsidRDefault="003D6B26" w:rsidP="00CE7BEC">
      <w:pPr>
        <w:rPr>
          <w:lang w:val="en-US"/>
        </w:rPr>
      </w:pPr>
      <w:r w:rsidRPr="003D6B26">
        <w:rPr>
          <w:lang w:val="en-US"/>
        </w:rPr>
        <w:t>GPO Box 308</w:t>
      </w:r>
    </w:p>
    <w:p w14:paraId="3ED2EED5" w14:textId="3C68A1DB" w:rsidR="003D6B26" w:rsidRPr="003D6B26" w:rsidRDefault="003D6B26" w:rsidP="00CE7BEC">
      <w:r w:rsidRPr="003D6B26">
        <w:rPr>
          <w:lang w:val="en-US"/>
        </w:rPr>
        <w:t>HOBART TAS 7000</w:t>
      </w:r>
    </w:p>
    <w:p w14:paraId="5767A138" w14:textId="77777777" w:rsidR="00CE7BEC" w:rsidRPr="003D6B26" w:rsidRDefault="00CE7BEC" w:rsidP="00CE7BEC">
      <w:r w:rsidRPr="003D6B26">
        <w:rPr>
          <w:lang w:val="en-US"/>
        </w:rPr>
        <w:t> </w:t>
      </w:r>
    </w:p>
    <w:p w14:paraId="3DA0D615" w14:textId="642D9421" w:rsidR="00CE7BEC" w:rsidRPr="003D6B26" w:rsidRDefault="003D6B26" w:rsidP="00CE7BEC">
      <w:r w:rsidRPr="003D6B26">
        <w:rPr>
          <w:lang w:val="en-US"/>
        </w:rPr>
        <w:t>Dear Minister</w:t>
      </w:r>
      <w:r w:rsidR="00CE7BEC" w:rsidRPr="003D6B26">
        <w:rPr>
          <w:lang w:val="en-US"/>
        </w:rPr>
        <w:t xml:space="preserve">, </w:t>
      </w:r>
    </w:p>
    <w:p w14:paraId="5E41BD51" w14:textId="00D7593D" w:rsidR="00CE7BEC" w:rsidRPr="003D6B26" w:rsidRDefault="00CE7BEC" w:rsidP="00CE7BEC">
      <w:pPr>
        <w:pBdr>
          <w:bottom w:val="single" w:sz="6" w:space="1" w:color="auto"/>
        </w:pBdr>
        <w:rPr>
          <w:b/>
          <w:bCs/>
          <w:lang w:val="en-US"/>
        </w:rPr>
      </w:pPr>
      <w:r w:rsidRPr="003D6B26">
        <w:rPr>
          <w:b/>
          <w:bCs/>
          <w:lang w:val="en-US"/>
        </w:rPr>
        <w:t xml:space="preserve">Re: </w:t>
      </w:r>
      <w:r w:rsidR="003D6B26" w:rsidRPr="003D6B26">
        <w:rPr>
          <w:b/>
          <w:bCs/>
          <w:lang w:val="en-US"/>
        </w:rPr>
        <w:t xml:space="preserve">Consultation into Potential Reforms of the </w:t>
      </w:r>
      <w:r w:rsidR="003D6B26" w:rsidRPr="003D6B26">
        <w:rPr>
          <w:b/>
          <w:bCs/>
          <w:i/>
          <w:lang w:val="en-US"/>
        </w:rPr>
        <w:t>Police Offences Act 1935</w:t>
      </w:r>
    </w:p>
    <w:p w14:paraId="1B08B687" w14:textId="77777777" w:rsidR="00CE7BEC" w:rsidRPr="003D6B26" w:rsidRDefault="00CE7BEC" w:rsidP="00CE7BEC"/>
    <w:p w14:paraId="384F1450" w14:textId="5C66365D" w:rsidR="00CE7BEC" w:rsidRPr="003D6B26" w:rsidRDefault="00AA0F87" w:rsidP="00CE7BEC">
      <w:pPr>
        <w:jc w:val="both"/>
        <w:rPr>
          <w:lang w:val="en-US"/>
        </w:rPr>
      </w:pPr>
      <w:r w:rsidRPr="00D20498">
        <w:rPr>
          <w:rFonts w:cs="Calibri"/>
        </w:rPr>
        <w:t>The Tasmanian Association of Community Legal Centres (TACLC)</w:t>
      </w:r>
      <w:r w:rsidRPr="00D20498">
        <w:rPr>
          <w:lang w:val="en-US"/>
        </w:rPr>
        <w:t xml:space="preserve"> appreciates</w:t>
      </w:r>
      <w:r>
        <w:rPr>
          <w:lang w:val="en-US"/>
        </w:rPr>
        <w:t xml:space="preserve"> the opportunity to respond to </w:t>
      </w:r>
      <w:r w:rsidR="003D6B26">
        <w:rPr>
          <w:lang w:val="en-US"/>
        </w:rPr>
        <w:t xml:space="preserve">potential reforms of the </w:t>
      </w:r>
      <w:r w:rsidR="003D6B26" w:rsidRPr="003D6B26">
        <w:rPr>
          <w:i/>
          <w:lang w:val="en-US"/>
        </w:rPr>
        <w:t>Police Offences Act 1935</w:t>
      </w:r>
      <w:r w:rsidR="003D6B26">
        <w:rPr>
          <w:lang w:val="en-US"/>
        </w:rPr>
        <w:t xml:space="preserve"> (</w:t>
      </w:r>
      <w:proofErr w:type="spellStart"/>
      <w:r w:rsidR="003D6B26">
        <w:rPr>
          <w:lang w:val="en-US"/>
        </w:rPr>
        <w:t>Tas</w:t>
      </w:r>
      <w:proofErr w:type="spellEnd"/>
      <w:r w:rsidR="003D6B26">
        <w:rPr>
          <w:lang w:val="en-US"/>
        </w:rPr>
        <w:t>)</w:t>
      </w:r>
      <w:r w:rsidR="00CE7BEC" w:rsidRPr="003D6B26">
        <w:rPr>
          <w:lang w:val="en-US"/>
        </w:rPr>
        <w:t>.</w:t>
      </w:r>
    </w:p>
    <w:p w14:paraId="4CCB0E8A" w14:textId="77777777" w:rsidR="00CE7BEC" w:rsidRPr="003D6B26" w:rsidRDefault="00CE7BEC" w:rsidP="00CE7BEC">
      <w:pPr>
        <w:jc w:val="both"/>
        <w:rPr>
          <w:lang w:val="en-US"/>
        </w:rPr>
      </w:pPr>
    </w:p>
    <w:p w14:paraId="05DF5BC5" w14:textId="77777777" w:rsidR="00AA0F87" w:rsidRPr="003D6B26" w:rsidRDefault="00AA0F87" w:rsidP="00AA0F87">
      <w:pPr>
        <w:jc w:val="both"/>
        <w:rPr>
          <w:lang w:val="en-US"/>
        </w:rPr>
      </w:pPr>
      <w:r w:rsidRPr="003D6B26">
        <w:rPr>
          <w:rFonts w:cs="Arial"/>
          <w:bCs/>
          <w:color w:val="000000"/>
          <w:lang w:val="en-US"/>
        </w:rPr>
        <w:t>TACLC</w:t>
      </w:r>
      <w:r w:rsidRPr="003D6B26">
        <w:rPr>
          <w:rFonts w:cs="Arial"/>
          <w:color w:val="000000"/>
          <w:lang w:val="en-US"/>
        </w:rPr>
        <w:t xml:space="preserve"> is an incorporated network representing the eight community legal </w:t>
      </w:r>
      <w:proofErr w:type="spellStart"/>
      <w:r w:rsidRPr="003D6B26">
        <w:rPr>
          <w:rFonts w:cs="Arial"/>
          <w:color w:val="000000"/>
          <w:lang w:val="en-US"/>
        </w:rPr>
        <w:t>centres</w:t>
      </w:r>
      <w:proofErr w:type="spellEnd"/>
      <w:r w:rsidRPr="003D6B26">
        <w:rPr>
          <w:rFonts w:cs="Arial"/>
          <w:color w:val="000000"/>
          <w:lang w:val="en-US"/>
        </w:rPr>
        <w:t xml:space="preserve"> in Tasmania.  Our member </w:t>
      </w:r>
      <w:proofErr w:type="spellStart"/>
      <w:r w:rsidRPr="003D6B26">
        <w:rPr>
          <w:rFonts w:cs="Arial"/>
          <w:color w:val="000000"/>
          <w:lang w:val="en-US"/>
        </w:rPr>
        <w:t>centres</w:t>
      </w:r>
      <w:proofErr w:type="spellEnd"/>
      <w:r w:rsidRPr="003D6B26">
        <w:rPr>
          <w:rFonts w:cs="Arial"/>
          <w:color w:val="000000"/>
          <w:lang w:val="en-US"/>
        </w:rPr>
        <w:t xml:space="preserve"> provide accessible advice, representation and legal education services to the community, and advocate for law reform on a range of public interest matters.</w:t>
      </w:r>
    </w:p>
    <w:p w14:paraId="4897E2A9" w14:textId="77777777" w:rsidR="00AA0F87" w:rsidRDefault="00AA0F87" w:rsidP="00CE7BEC">
      <w:pPr>
        <w:jc w:val="both"/>
        <w:rPr>
          <w:rFonts w:cs="Arial"/>
          <w:bCs/>
          <w:color w:val="000000"/>
          <w:lang w:val="en-US"/>
        </w:rPr>
      </w:pPr>
    </w:p>
    <w:p w14:paraId="73C7E06F" w14:textId="0EEE5F05" w:rsidR="003D6B26" w:rsidRDefault="00AA0F87" w:rsidP="00CE7BEC">
      <w:pPr>
        <w:jc w:val="both"/>
        <w:rPr>
          <w:rFonts w:cs="Arial"/>
          <w:bCs/>
          <w:color w:val="000000"/>
          <w:lang w:val="en-US"/>
        </w:rPr>
      </w:pPr>
      <w:r>
        <w:rPr>
          <w:rFonts w:cs="Arial"/>
          <w:bCs/>
          <w:color w:val="000000"/>
          <w:lang w:val="en-US"/>
        </w:rPr>
        <w:t xml:space="preserve">Whilst our submission is late we believe that the research undertaken on infringement notices and public nuisance offences will assist the Department of Police and Emergency Management with its review of these </w:t>
      </w:r>
      <w:bookmarkStart w:id="0" w:name="_GoBack"/>
      <w:bookmarkEnd w:id="0"/>
      <w:r>
        <w:rPr>
          <w:rFonts w:cs="Arial"/>
          <w:bCs/>
          <w:color w:val="000000"/>
          <w:lang w:val="en-US"/>
        </w:rPr>
        <w:t xml:space="preserve">important issues.  </w:t>
      </w:r>
    </w:p>
    <w:p w14:paraId="034D1759" w14:textId="77777777" w:rsidR="00CE7BEC" w:rsidRPr="003D6B26" w:rsidRDefault="00CE7BEC" w:rsidP="00164CCA">
      <w:pPr>
        <w:rPr>
          <w:b/>
        </w:rPr>
      </w:pPr>
    </w:p>
    <w:p w14:paraId="4816B112" w14:textId="77777777" w:rsidR="00164CCA" w:rsidRPr="003D6B26" w:rsidRDefault="00593971" w:rsidP="00164CCA">
      <w:pPr>
        <w:rPr>
          <w:b/>
        </w:rPr>
      </w:pPr>
      <w:r w:rsidRPr="003D6B26">
        <w:rPr>
          <w:b/>
        </w:rPr>
        <w:t>Infringement Notices</w:t>
      </w:r>
    </w:p>
    <w:p w14:paraId="55871735" w14:textId="048519CA" w:rsidR="00D615CA" w:rsidRPr="003D6B26" w:rsidRDefault="00B74FCE" w:rsidP="00164CCA">
      <w:pPr>
        <w:jc w:val="both"/>
      </w:pPr>
      <w:r w:rsidRPr="003D6B26">
        <w:t>Infringement notic</w:t>
      </w:r>
      <w:r w:rsidR="001C080B" w:rsidRPr="003D6B26">
        <w:t>es are an alternative method of</w:t>
      </w:r>
      <w:r w:rsidRPr="003D6B26">
        <w:t xml:space="preserve"> dealing with minor summary offences, whereby the person to whom the notice is issued is provided with the option of paying a fixed penalty rather than proceeding to a court hearing.</w:t>
      </w:r>
      <w:r w:rsidRPr="003D6B26">
        <w:rPr>
          <w:rStyle w:val="FootnoteReference"/>
        </w:rPr>
        <w:footnoteReference w:id="1"/>
      </w:r>
      <w:r w:rsidR="001C080B" w:rsidRPr="003D6B26">
        <w:t xml:space="preserve"> Currently, </w:t>
      </w:r>
      <w:r w:rsidRPr="003D6B26">
        <w:t>T</w:t>
      </w:r>
      <w:r w:rsidR="001C080B" w:rsidRPr="003D6B26">
        <w:t>asmania</w:t>
      </w:r>
      <w:r w:rsidRPr="003D6B26">
        <w:t xml:space="preserve"> issu</w:t>
      </w:r>
      <w:r w:rsidR="009571CE" w:rsidRPr="003D6B26">
        <w:t>es infringement notices for</w:t>
      </w:r>
      <w:r w:rsidRPr="003D6B26">
        <w:t xml:space="preserve"> a small number of offences</w:t>
      </w:r>
      <w:r w:rsidRPr="003D6B26">
        <w:rPr>
          <w:rStyle w:val="FootnoteReference"/>
        </w:rPr>
        <w:footnoteReference w:id="2"/>
      </w:r>
      <w:r w:rsidRPr="003D6B26">
        <w:t xml:space="preserve"> although the </w:t>
      </w:r>
      <w:r w:rsidRPr="003D6B26">
        <w:rPr>
          <w:i/>
        </w:rPr>
        <w:t>Police Offences Act 1935 Consultation Paper</w:t>
      </w:r>
      <w:r w:rsidRPr="003D6B26">
        <w:t xml:space="preserve"> seeks to </w:t>
      </w:r>
      <w:r w:rsidR="001C080B" w:rsidRPr="003D6B26">
        <w:t>broaden</w:t>
      </w:r>
      <w:r w:rsidRPr="003D6B26">
        <w:t xml:space="preserve"> the range of </w:t>
      </w:r>
      <w:r w:rsidR="001C080B" w:rsidRPr="003D6B26">
        <w:t xml:space="preserve">public nuisance </w:t>
      </w:r>
      <w:r w:rsidRPr="003D6B26">
        <w:t>offences for which infringement notices can be issued. The proposed expansion follows recent legislative change in Victoria and New South Wales where infringement notices were extended to include stealing and offensive language and behaviour offences.</w:t>
      </w:r>
      <w:r w:rsidRPr="003D6B26">
        <w:rPr>
          <w:rStyle w:val="FootnoteReference"/>
        </w:rPr>
        <w:footnoteReference w:id="3"/>
      </w:r>
      <w:r w:rsidRPr="003D6B26">
        <w:t xml:space="preserve"> </w:t>
      </w:r>
    </w:p>
    <w:p w14:paraId="1298A63B" w14:textId="77777777" w:rsidR="00D615CA" w:rsidRPr="003D6B26" w:rsidRDefault="00D615CA" w:rsidP="00164CCA">
      <w:pPr>
        <w:jc w:val="both"/>
      </w:pPr>
    </w:p>
    <w:p w14:paraId="77A6B309" w14:textId="3AF2F331" w:rsidR="0032461D" w:rsidRPr="003D6B26" w:rsidRDefault="00B74FCE" w:rsidP="00164CCA">
      <w:pPr>
        <w:jc w:val="both"/>
      </w:pPr>
      <w:r w:rsidRPr="003D6B26">
        <w:t xml:space="preserve">The Tasmanian Association of Community Legal Centres (TACLC) does not believe that there should be any expansion of the use of infringement notices because they disproportionately impact on the socially and financially disadvantaged, </w:t>
      </w:r>
      <w:r w:rsidR="00D615CA" w:rsidRPr="003D6B26">
        <w:t xml:space="preserve">often </w:t>
      </w:r>
      <w:r w:rsidR="001C080B" w:rsidRPr="003D6B26">
        <w:t xml:space="preserve">result in a harsher sentence </w:t>
      </w:r>
      <w:r w:rsidRPr="003D6B26">
        <w:t>and place pressure</w:t>
      </w:r>
      <w:r w:rsidR="00D615CA" w:rsidRPr="003D6B26">
        <w:t>s</w:t>
      </w:r>
      <w:r w:rsidRPr="003D6B26">
        <w:t xml:space="preserve"> on</w:t>
      </w:r>
      <w:r w:rsidR="00D615CA" w:rsidRPr="003D6B26">
        <w:t xml:space="preserve"> offenders to plead guilty to offences that they may not have committed or </w:t>
      </w:r>
      <w:r w:rsidR="001C080B" w:rsidRPr="003D6B26">
        <w:t xml:space="preserve">for </w:t>
      </w:r>
      <w:r w:rsidR="00D615CA" w:rsidRPr="003D6B26">
        <w:t xml:space="preserve">which </w:t>
      </w:r>
      <w:r w:rsidR="001C080B" w:rsidRPr="003D6B26">
        <w:t>a valid defence</w:t>
      </w:r>
      <w:r w:rsidR="009571CE" w:rsidRPr="003D6B26">
        <w:t xml:space="preserve"> ma</w:t>
      </w:r>
      <w:r w:rsidR="00E0147E" w:rsidRPr="003D6B26">
        <w:t>y</w:t>
      </w:r>
      <w:r w:rsidR="009571CE" w:rsidRPr="003D6B26">
        <w:t xml:space="preserve"> be pleaded</w:t>
      </w:r>
      <w:r w:rsidR="001C080B" w:rsidRPr="003D6B26">
        <w:t xml:space="preserve">. </w:t>
      </w:r>
    </w:p>
    <w:p w14:paraId="5365A302" w14:textId="77777777" w:rsidR="001008ED" w:rsidRPr="003D6B26" w:rsidRDefault="001008ED" w:rsidP="00635BD5">
      <w:pPr>
        <w:jc w:val="both"/>
        <w:rPr>
          <w:b/>
          <w:i/>
        </w:rPr>
      </w:pPr>
    </w:p>
    <w:p w14:paraId="0E5FDBB7" w14:textId="583B0EAF" w:rsidR="00635BD5" w:rsidRPr="003D6B26" w:rsidRDefault="00635BD5" w:rsidP="00635BD5">
      <w:pPr>
        <w:jc w:val="both"/>
        <w:rPr>
          <w:b/>
          <w:i/>
        </w:rPr>
      </w:pPr>
      <w:r w:rsidRPr="003D6B26">
        <w:rPr>
          <w:b/>
          <w:i/>
        </w:rPr>
        <w:t xml:space="preserve">- </w:t>
      </w:r>
      <w:r w:rsidR="00C16FEA" w:rsidRPr="003D6B26">
        <w:rPr>
          <w:b/>
          <w:i/>
        </w:rPr>
        <w:t>Disproportionate Impact on Socially and Financially Disadvantaged</w:t>
      </w:r>
    </w:p>
    <w:p w14:paraId="13EED5A6" w14:textId="7435C7C8" w:rsidR="00B74FCE" w:rsidRPr="003D6B26" w:rsidRDefault="00B74FCE" w:rsidP="00B74FCE">
      <w:pPr>
        <w:jc w:val="both"/>
        <w:rPr>
          <w:rFonts w:eastAsia="Times New Roman" w:cs="Times New Roman"/>
        </w:rPr>
      </w:pPr>
      <w:r w:rsidRPr="003D6B26">
        <w:rPr>
          <w:rFonts w:eastAsia="Times New Roman" w:cs="Times New Roman"/>
        </w:rPr>
        <w:t>The primary objection to any expansion of the range of offences available for issuing infringement notices is that particularly public nuisance type offences have a disproportionate impact on the socially and financially disadvantaged.</w:t>
      </w:r>
      <w:r w:rsidRPr="003D6B26">
        <w:rPr>
          <w:rStyle w:val="FootnoteReference"/>
          <w:rFonts w:eastAsia="Times New Roman" w:cs="Times New Roman"/>
        </w:rPr>
        <w:footnoteReference w:id="4"/>
      </w:r>
      <w:r w:rsidRPr="003D6B26">
        <w:rPr>
          <w:rFonts w:eastAsia="Times New Roman" w:cs="Times New Roman"/>
        </w:rPr>
        <w:t xml:space="preserve"> It has been consistently reported that the poor, the homeless, young people, indigenous persons and people with mental illness</w:t>
      </w:r>
      <w:r w:rsidR="0063552B" w:rsidRPr="003D6B26">
        <w:rPr>
          <w:rFonts w:eastAsia="Times New Roman" w:cs="Times New Roman"/>
        </w:rPr>
        <w:t>es</w:t>
      </w:r>
      <w:r w:rsidRPr="003D6B26">
        <w:rPr>
          <w:rFonts w:eastAsia="Times New Roman" w:cs="Times New Roman"/>
        </w:rPr>
        <w:t xml:space="preserve"> are more likely to be charged with public nuisance offences.</w:t>
      </w:r>
      <w:r w:rsidRPr="003D6B26">
        <w:rPr>
          <w:rStyle w:val="FootnoteReference"/>
          <w:rFonts w:eastAsia="Times New Roman" w:cs="Times New Roman"/>
        </w:rPr>
        <w:footnoteReference w:id="5"/>
      </w:r>
      <w:r w:rsidRPr="003D6B26">
        <w:rPr>
          <w:rFonts w:eastAsia="Times New Roman" w:cs="Times New Roman"/>
        </w:rPr>
        <w:t xml:space="preserve"> </w:t>
      </w:r>
    </w:p>
    <w:p w14:paraId="42DB4F5F" w14:textId="77777777" w:rsidR="00C16FEA" w:rsidRPr="003D6B26" w:rsidRDefault="00C16FEA" w:rsidP="00C16FEA">
      <w:pPr>
        <w:jc w:val="both"/>
        <w:rPr>
          <w:rFonts w:eastAsia="Times New Roman" w:cs="Times New Roman"/>
        </w:rPr>
      </w:pPr>
    </w:p>
    <w:p w14:paraId="4B8D1617" w14:textId="77777777" w:rsidR="00B9221A" w:rsidRPr="003D6B26" w:rsidRDefault="0045640C" w:rsidP="00B74FCE">
      <w:pPr>
        <w:jc w:val="both"/>
        <w:rPr>
          <w:rFonts w:eastAsia="Times New Roman" w:cs="Times New Roman"/>
        </w:rPr>
      </w:pPr>
      <w:r w:rsidRPr="003D6B26">
        <w:rPr>
          <w:rFonts w:eastAsia="Times New Roman" w:cs="Times New Roman"/>
        </w:rPr>
        <w:t xml:space="preserve">In </w:t>
      </w:r>
      <w:r w:rsidRPr="003D6B26">
        <w:rPr>
          <w:rFonts w:eastAsia="Times New Roman" w:cs="Times New Roman"/>
          <w:i/>
        </w:rPr>
        <w:t>Won’t Pay or Can’t Pay? Exploring the Use of Fines as a Sentencing Alternative for Public Nuisance Type Offences in Queensland</w:t>
      </w:r>
      <w:r w:rsidRPr="003D6B26">
        <w:rPr>
          <w:rFonts w:eastAsia="Times New Roman" w:cs="Times New Roman"/>
        </w:rPr>
        <w:t xml:space="preserve"> the author provides a convincing analysis of the reasons for this overrepresentation</w:t>
      </w:r>
      <w:r w:rsidR="00471B7C" w:rsidRPr="003D6B26">
        <w:rPr>
          <w:rFonts w:eastAsia="Times New Roman" w:cs="Times New Roman"/>
        </w:rPr>
        <w:t xml:space="preserve"> including that </w:t>
      </w:r>
      <w:r w:rsidR="00B74FCE" w:rsidRPr="003D6B26">
        <w:rPr>
          <w:rFonts w:eastAsia="Times New Roman" w:cs="Times New Roman"/>
        </w:rPr>
        <w:t>marginalised people spend more time in public spaces than other members of the community.</w:t>
      </w:r>
      <w:r w:rsidR="00471B7C" w:rsidRPr="003D6B26">
        <w:rPr>
          <w:rStyle w:val="FootnoteReference"/>
          <w:rFonts w:eastAsia="Times New Roman" w:cs="Times New Roman"/>
        </w:rPr>
        <w:footnoteReference w:id="6"/>
      </w:r>
      <w:r w:rsidR="00B74FCE" w:rsidRPr="003D6B26">
        <w:rPr>
          <w:rFonts w:eastAsia="Times New Roman" w:cs="Times New Roman"/>
        </w:rPr>
        <w:t xml:space="preserve"> The homeless, for example, are often unable to access private spaces whilst young people may feel restricted by the lack of freedom provided to them in private spaces such as the home or school. </w:t>
      </w:r>
    </w:p>
    <w:p w14:paraId="414C0653" w14:textId="77777777" w:rsidR="00B9221A" w:rsidRPr="003D6B26" w:rsidRDefault="00B9221A" w:rsidP="00B74FCE">
      <w:pPr>
        <w:jc w:val="both"/>
        <w:rPr>
          <w:rFonts w:eastAsia="Times New Roman" w:cs="Times New Roman"/>
        </w:rPr>
      </w:pPr>
    </w:p>
    <w:p w14:paraId="10093EE4" w14:textId="77777777" w:rsidR="00E0147E" w:rsidRPr="003D6B26" w:rsidRDefault="00B74FCE" w:rsidP="00B74FCE">
      <w:pPr>
        <w:jc w:val="both"/>
        <w:rPr>
          <w:rFonts w:eastAsia="Times New Roman" w:cs="Times New Roman"/>
        </w:rPr>
      </w:pPr>
      <w:r w:rsidRPr="003D6B26">
        <w:rPr>
          <w:rFonts w:eastAsia="Times New Roman" w:cs="Times New Roman"/>
        </w:rPr>
        <w:t xml:space="preserve">As well, the socially and financially disadvantaged are more likely to be targeted for </w:t>
      </w:r>
      <w:r w:rsidR="00B9221A" w:rsidRPr="003D6B26">
        <w:rPr>
          <w:rFonts w:eastAsia="Times New Roman" w:cs="Times New Roman"/>
        </w:rPr>
        <w:t xml:space="preserve">the selective enforcement of </w:t>
      </w:r>
      <w:r w:rsidRPr="003D6B26">
        <w:rPr>
          <w:rFonts w:eastAsia="Times New Roman" w:cs="Times New Roman"/>
        </w:rPr>
        <w:t>public nuisance offences with a large number of studies demonstrating that despite broad discretionary powers the police are more likely to target the socially and financially disadvantaged utilising public space than more ‘legitimate’ users of public space.</w:t>
      </w:r>
      <w:r w:rsidRPr="003D6B26">
        <w:rPr>
          <w:rStyle w:val="FootnoteReference"/>
          <w:rFonts w:eastAsia="Times New Roman" w:cs="Times New Roman"/>
        </w:rPr>
        <w:footnoteReference w:id="7"/>
      </w:r>
      <w:r w:rsidR="003B1A24" w:rsidRPr="003D6B26">
        <w:rPr>
          <w:rFonts w:eastAsia="Times New Roman" w:cs="Times New Roman"/>
        </w:rPr>
        <w:t xml:space="preserve"> An example is </w:t>
      </w:r>
      <w:r w:rsidRPr="003D6B26">
        <w:rPr>
          <w:rFonts w:eastAsia="Times New Roman" w:cs="Times New Roman"/>
        </w:rPr>
        <w:t xml:space="preserve">language </w:t>
      </w:r>
      <w:r w:rsidR="003B1A24" w:rsidRPr="003D6B26">
        <w:rPr>
          <w:rFonts w:eastAsia="Times New Roman" w:cs="Times New Roman"/>
        </w:rPr>
        <w:t xml:space="preserve">used </w:t>
      </w:r>
      <w:r w:rsidRPr="003D6B26">
        <w:rPr>
          <w:rFonts w:eastAsia="Times New Roman" w:cs="Times New Roman"/>
        </w:rPr>
        <w:t>by young persons, which may be socially acceptable to them but that others may consider offensive</w:t>
      </w:r>
      <w:r w:rsidR="00B9221A" w:rsidRPr="003D6B26">
        <w:rPr>
          <w:rFonts w:eastAsia="Times New Roman" w:cs="Times New Roman"/>
        </w:rPr>
        <w:t xml:space="preserve">. </w:t>
      </w:r>
    </w:p>
    <w:p w14:paraId="1F764F57" w14:textId="77777777" w:rsidR="00E0147E" w:rsidRPr="003D6B26" w:rsidRDefault="00E0147E" w:rsidP="00B74FCE">
      <w:pPr>
        <w:jc w:val="both"/>
        <w:rPr>
          <w:rFonts w:eastAsia="Times New Roman" w:cs="Times New Roman"/>
        </w:rPr>
      </w:pPr>
    </w:p>
    <w:p w14:paraId="550CAB5B" w14:textId="4DBE7AB5" w:rsidR="00B74FCE" w:rsidRPr="003D6B26" w:rsidRDefault="00B74FCE" w:rsidP="00B74FCE">
      <w:pPr>
        <w:jc w:val="both"/>
        <w:rPr>
          <w:rFonts w:eastAsia="Times New Roman" w:cs="Times New Roman"/>
        </w:rPr>
      </w:pPr>
      <w:r w:rsidRPr="003D6B26">
        <w:rPr>
          <w:rFonts w:eastAsia="Times New Roman" w:cs="Times New Roman"/>
        </w:rPr>
        <w:t>Finally, the socially and financially disadvantaged are more likely to be charged with public nuisance offences because the offence is associated with a particular status. An example is drinking alcohol in a public space with homeless people often unable to access</w:t>
      </w:r>
      <w:r w:rsidR="00B9221A" w:rsidRPr="003D6B26">
        <w:rPr>
          <w:rFonts w:eastAsia="Times New Roman" w:cs="Times New Roman"/>
        </w:rPr>
        <w:t xml:space="preserve"> licenced premises and other private spaces</w:t>
      </w:r>
      <w:r w:rsidRPr="003D6B26">
        <w:rPr>
          <w:rFonts w:eastAsia="Times New Roman" w:cs="Times New Roman"/>
        </w:rPr>
        <w:t>.</w:t>
      </w:r>
    </w:p>
    <w:p w14:paraId="420B71DF" w14:textId="77777777" w:rsidR="00475475" w:rsidRPr="003D6B26" w:rsidRDefault="00475475" w:rsidP="00C16FEA">
      <w:pPr>
        <w:jc w:val="both"/>
        <w:rPr>
          <w:rFonts w:eastAsia="Times New Roman" w:cs="Times New Roman"/>
        </w:rPr>
      </w:pPr>
    </w:p>
    <w:p w14:paraId="1832DD2E" w14:textId="3C3A8F4E" w:rsidR="00C16FEA" w:rsidRPr="003D6B26" w:rsidRDefault="00D972D6" w:rsidP="00C16FEA">
      <w:pPr>
        <w:jc w:val="both"/>
        <w:rPr>
          <w:rFonts w:eastAsia="Times New Roman" w:cs="Times New Roman"/>
        </w:rPr>
      </w:pPr>
      <w:r w:rsidRPr="003D6B26">
        <w:rPr>
          <w:rFonts w:eastAsia="Times New Roman" w:cs="Times New Roman"/>
        </w:rPr>
        <w:t xml:space="preserve">In summary </w:t>
      </w:r>
      <w:r w:rsidR="00C16FEA" w:rsidRPr="003D6B26">
        <w:rPr>
          <w:rFonts w:eastAsia="Times New Roman" w:cs="Times New Roman"/>
        </w:rPr>
        <w:t xml:space="preserve">the financially and socially disadvantaged are overrepresented in </w:t>
      </w:r>
      <w:r w:rsidR="003B1A24" w:rsidRPr="003D6B26">
        <w:rPr>
          <w:rFonts w:eastAsia="Times New Roman" w:cs="Times New Roman"/>
        </w:rPr>
        <w:t xml:space="preserve">public nuisance </w:t>
      </w:r>
      <w:r w:rsidR="00C16FEA" w:rsidRPr="003D6B26">
        <w:rPr>
          <w:rFonts w:eastAsia="Times New Roman" w:cs="Times New Roman"/>
        </w:rPr>
        <w:t xml:space="preserve">offence statistics because they are more likely to use public space, are more vulnerable to being charged and </w:t>
      </w:r>
      <w:r w:rsidR="00581C95" w:rsidRPr="003D6B26">
        <w:rPr>
          <w:rFonts w:eastAsia="Times New Roman" w:cs="Times New Roman"/>
        </w:rPr>
        <w:t>finally</w:t>
      </w:r>
      <w:r w:rsidR="003B1A24" w:rsidRPr="003D6B26">
        <w:rPr>
          <w:rFonts w:eastAsia="Times New Roman" w:cs="Times New Roman"/>
        </w:rPr>
        <w:t xml:space="preserve"> the</w:t>
      </w:r>
      <w:r w:rsidR="00C16FEA" w:rsidRPr="003D6B26">
        <w:rPr>
          <w:rFonts w:eastAsia="Times New Roman" w:cs="Times New Roman"/>
        </w:rPr>
        <w:t xml:space="preserve"> offences are more likely to criminalise behaviour associated with status.</w:t>
      </w:r>
      <w:r w:rsidR="00B53CE4" w:rsidRPr="003D6B26">
        <w:rPr>
          <w:rFonts w:eastAsia="Times New Roman" w:cs="Times New Roman"/>
        </w:rPr>
        <w:t xml:space="preserve"> </w:t>
      </w:r>
    </w:p>
    <w:p w14:paraId="7274DEE2" w14:textId="77777777" w:rsidR="005762A1" w:rsidRPr="003D6B26" w:rsidRDefault="005762A1" w:rsidP="00C16FEA">
      <w:pPr>
        <w:jc w:val="both"/>
        <w:rPr>
          <w:rFonts w:eastAsia="Times New Roman" w:cs="Times New Roman"/>
        </w:rPr>
      </w:pPr>
    </w:p>
    <w:p w14:paraId="196FD78F" w14:textId="27B8BADA" w:rsidR="00DA653B" w:rsidRPr="003D6B26" w:rsidRDefault="00DA653B" w:rsidP="00C16FEA">
      <w:pPr>
        <w:jc w:val="both"/>
        <w:rPr>
          <w:rFonts w:eastAsia="Times New Roman" w:cs="Times New Roman"/>
          <w:b/>
          <w:i/>
        </w:rPr>
      </w:pPr>
      <w:r w:rsidRPr="003D6B26">
        <w:rPr>
          <w:rFonts w:eastAsia="Times New Roman" w:cs="Times New Roman"/>
          <w:b/>
          <w:i/>
        </w:rPr>
        <w:t>- Infringement Notice</w:t>
      </w:r>
      <w:r w:rsidR="0083455F" w:rsidRPr="003D6B26">
        <w:rPr>
          <w:rFonts w:eastAsia="Times New Roman" w:cs="Times New Roman"/>
          <w:b/>
          <w:i/>
        </w:rPr>
        <w:t xml:space="preserve">s are </w:t>
      </w:r>
      <w:r w:rsidRPr="003D6B26">
        <w:rPr>
          <w:rFonts w:eastAsia="Times New Roman" w:cs="Times New Roman"/>
          <w:b/>
          <w:i/>
        </w:rPr>
        <w:t>often a harsher sentence</w:t>
      </w:r>
    </w:p>
    <w:p w14:paraId="18DA4509" w14:textId="77777777" w:rsidR="00BA32BB" w:rsidRPr="003D6B26" w:rsidRDefault="00C9397B" w:rsidP="00486B51">
      <w:pPr>
        <w:jc w:val="both"/>
        <w:rPr>
          <w:rFonts w:eastAsia="Times New Roman" w:cs="Times New Roman"/>
        </w:rPr>
      </w:pPr>
      <w:r w:rsidRPr="003D6B26">
        <w:rPr>
          <w:rFonts w:eastAsia="Times New Roman" w:cs="Times New Roman"/>
        </w:rPr>
        <w:t xml:space="preserve">Historically, support for </w:t>
      </w:r>
      <w:r w:rsidR="001151D8" w:rsidRPr="003D6B26">
        <w:rPr>
          <w:rFonts w:eastAsia="Times New Roman" w:cs="Times New Roman"/>
        </w:rPr>
        <w:t xml:space="preserve">infringement notices </w:t>
      </w:r>
      <w:r w:rsidR="003B1A24" w:rsidRPr="003D6B26">
        <w:rPr>
          <w:rFonts w:eastAsia="Times New Roman" w:cs="Times New Roman"/>
        </w:rPr>
        <w:t>has been</w:t>
      </w:r>
      <w:r w:rsidR="001151D8" w:rsidRPr="003D6B26">
        <w:rPr>
          <w:rFonts w:eastAsia="Times New Roman" w:cs="Times New Roman"/>
        </w:rPr>
        <w:t xml:space="preserve"> based on the grounds that the penalty imposed would be smaller than what would otherwise be imposed in court and that there would be less stigmatisation as a result of the off</w:t>
      </w:r>
      <w:r w:rsidRPr="003D6B26">
        <w:rPr>
          <w:rFonts w:eastAsia="Times New Roman" w:cs="Times New Roman"/>
        </w:rPr>
        <w:t>ender not having to attend court.</w:t>
      </w:r>
      <w:r w:rsidR="001151D8" w:rsidRPr="003D6B26">
        <w:rPr>
          <w:rStyle w:val="FootnoteReference"/>
          <w:rFonts w:cs="Times New Roman"/>
          <w:lang w:val="en-US"/>
        </w:rPr>
        <w:footnoteReference w:id="8"/>
      </w:r>
      <w:r w:rsidR="00B74FCE" w:rsidRPr="003D6B26">
        <w:rPr>
          <w:rFonts w:eastAsia="Times New Roman" w:cs="Times New Roman"/>
        </w:rPr>
        <w:t xml:space="preserve"> However, </w:t>
      </w:r>
      <w:r w:rsidR="001151D8" w:rsidRPr="003D6B26">
        <w:rPr>
          <w:rFonts w:eastAsia="Times New Roman" w:cs="Times New Roman"/>
        </w:rPr>
        <w:t>infringement notice</w:t>
      </w:r>
      <w:r w:rsidRPr="003D6B26">
        <w:rPr>
          <w:rFonts w:eastAsia="Times New Roman" w:cs="Times New Roman"/>
        </w:rPr>
        <w:t>s may</w:t>
      </w:r>
      <w:r w:rsidR="008F223D" w:rsidRPr="003D6B26">
        <w:rPr>
          <w:rFonts w:eastAsia="Times New Roman" w:cs="Times New Roman"/>
        </w:rPr>
        <w:t xml:space="preserve"> be disproportionate to the sentence </w:t>
      </w:r>
      <w:r w:rsidR="00C964F3" w:rsidRPr="003D6B26">
        <w:rPr>
          <w:rFonts w:eastAsia="Times New Roman" w:cs="Times New Roman"/>
        </w:rPr>
        <w:t>that would other</w:t>
      </w:r>
      <w:r w:rsidR="00AA0CEE" w:rsidRPr="003D6B26">
        <w:rPr>
          <w:rFonts w:eastAsia="Times New Roman" w:cs="Times New Roman"/>
        </w:rPr>
        <w:t xml:space="preserve">wise be imposed on an offender. </w:t>
      </w:r>
      <w:r w:rsidR="00BA32BB" w:rsidRPr="003D6B26">
        <w:rPr>
          <w:rFonts w:eastAsia="Times New Roman" w:cs="Times New Roman"/>
        </w:rPr>
        <w:t>P</w:t>
      </w:r>
      <w:r w:rsidR="00AA0CEE" w:rsidRPr="003D6B26">
        <w:rPr>
          <w:rFonts w:eastAsia="Times New Roman" w:cs="Times New Roman"/>
        </w:rPr>
        <w:t>olice officers may elect to issue an infringement notice rather than simply provide a warning or cauti</w:t>
      </w:r>
      <w:r w:rsidR="00BA32BB" w:rsidRPr="003D6B26">
        <w:rPr>
          <w:rFonts w:eastAsia="Times New Roman" w:cs="Times New Roman"/>
        </w:rPr>
        <w:t>on.</w:t>
      </w:r>
    </w:p>
    <w:p w14:paraId="2C848A36" w14:textId="77777777" w:rsidR="00BA32BB" w:rsidRPr="003D6B26" w:rsidRDefault="00BA32BB" w:rsidP="00486B51">
      <w:pPr>
        <w:jc w:val="both"/>
        <w:rPr>
          <w:rFonts w:eastAsia="Times New Roman" w:cs="Times New Roman"/>
        </w:rPr>
      </w:pPr>
    </w:p>
    <w:p w14:paraId="716895DD" w14:textId="2A441D07" w:rsidR="00AA0CEE" w:rsidRPr="003D6B26" w:rsidRDefault="00BA32BB" w:rsidP="00486B51">
      <w:pPr>
        <w:jc w:val="both"/>
        <w:rPr>
          <w:rFonts w:eastAsia="Times New Roman" w:cs="Times New Roman"/>
        </w:rPr>
      </w:pPr>
      <w:r w:rsidRPr="003D6B26">
        <w:rPr>
          <w:rFonts w:eastAsia="Times New Roman" w:cs="Times New Roman"/>
        </w:rPr>
        <w:t>R</w:t>
      </w:r>
      <w:r w:rsidR="00AA0CEE" w:rsidRPr="003D6B26">
        <w:rPr>
          <w:rFonts w:eastAsia="Times New Roman" w:cs="Times New Roman"/>
        </w:rPr>
        <w:t>esearch carried out in England</w:t>
      </w:r>
      <w:r w:rsidRPr="003D6B26">
        <w:rPr>
          <w:rFonts w:eastAsia="Times New Roman" w:cs="Times New Roman"/>
        </w:rPr>
        <w:t xml:space="preserve"> highlights this issue;</w:t>
      </w:r>
      <w:r w:rsidR="00AA0CEE" w:rsidRPr="003D6B26">
        <w:rPr>
          <w:rFonts w:eastAsia="Times New Roman" w:cs="Times New Roman"/>
        </w:rPr>
        <w:t xml:space="preserve"> where</w:t>
      </w:r>
      <w:r w:rsidRPr="003D6B26">
        <w:rPr>
          <w:rFonts w:eastAsia="Times New Roman" w:cs="Times New Roman"/>
        </w:rPr>
        <w:t>,</w:t>
      </w:r>
      <w:r w:rsidR="00AA0CEE" w:rsidRPr="003D6B26">
        <w:t xml:space="preserve"> following the introduction of infringement notices in 2001</w:t>
      </w:r>
      <w:r w:rsidRPr="003D6B26">
        <w:t>,</w:t>
      </w:r>
      <w:r w:rsidR="00AA0CEE" w:rsidRPr="003D6B26">
        <w:t xml:space="preserve"> ‘over half and maybe as much as three-quarters of those given [infringement notices] would otherwise have received no formal sanction’.</w:t>
      </w:r>
      <w:r w:rsidR="00AA0CEE" w:rsidRPr="003D6B26">
        <w:rPr>
          <w:rStyle w:val="FootnoteReference"/>
        </w:rPr>
        <w:footnoteReference w:id="9"/>
      </w:r>
      <w:r w:rsidR="00AA0CEE" w:rsidRPr="003D6B26">
        <w:t xml:space="preserve"> </w:t>
      </w:r>
    </w:p>
    <w:p w14:paraId="3DCEC30A" w14:textId="77777777" w:rsidR="00AA0CEE" w:rsidRPr="003D6B26" w:rsidRDefault="00AA0CEE" w:rsidP="00486B51">
      <w:pPr>
        <w:jc w:val="both"/>
        <w:rPr>
          <w:rFonts w:eastAsia="Times New Roman" w:cs="Times New Roman"/>
        </w:rPr>
      </w:pPr>
    </w:p>
    <w:p w14:paraId="121A717C" w14:textId="77777777" w:rsidR="00BA32BB" w:rsidRPr="003D6B26" w:rsidRDefault="00AA0CEE" w:rsidP="00486B51">
      <w:pPr>
        <w:jc w:val="both"/>
        <w:rPr>
          <w:rFonts w:eastAsia="Times New Roman" w:cs="Times New Roman"/>
        </w:rPr>
      </w:pPr>
      <w:r w:rsidRPr="003D6B26">
        <w:rPr>
          <w:rFonts w:eastAsia="Times New Roman" w:cs="Times New Roman"/>
        </w:rPr>
        <w:t xml:space="preserve">Additionally, when offenders are required to attend court the judiciary is </w:t>
      </w:r>
      <w:r w:rsidR="008F223D" w:rsidRPr="003D6B26">
        <w:rPr>
          <w:rFonts w:eastAsia="Times New Roman" w:cs="Times New Roman"/>
        </w:rPr>
        <w:t>provided with a number of sentencing options including the lesser sentences of a good behaviour bond and dismissal of the charge</w:t>
      </w:r>
      <w:r w:rsidR="001A2DA5" w:rsidRPr="003D6B26">
        <w:rPr>
          <w:rFonts w:eastAsia="Times New Roman" w:cs="Times New Roman"/>
        </w:rPr>
        <w:t>.</w:t>
      </w:r>
      <w:r w:rsidR="008F223D" w:rsidRPr="003D6B26">
        <w:rPr>
          <w:rStyle w:val="FootnoteReference"/>
          <w:rFonts w:eastAsia="Times New Roman" w:cs="Times New Roman"/>
        </w:rPr>
        <w:footnoteReference w:id="10"/>
      </w:r>
      <w:r w:rsidR="00C37E88" w:rsidRPr="003D6B26">
        <w:rPr>
          <w:rFonts w:eastAsia="Times New Roman" w:cs="Times New Roman"/>
        </w:rPr>
        <w:t xml:space="preserve"> </w:t>
      </w:r>
    </w:p>
    <w:p w14:paraId="2E1D70E4" w14:textId="1B8050A8" w:rsidR="00961CC3" w:rsidRPr="003D6B26" w:rsidRDefault="00C37E88" w:rsidP="00486B51">
      <w:pPr>
        <w:jc w:val="both"/>
        <w:rPr>
          <w:rFonts w:eastAsia="Times New Roman" w:cs="Times New Roman"/>
        </w:rPr>
      </w:pPr>
      <w:r w:rsidRPr="003D6B26">
        <w:rPr>
          <w:rFonts w:eastAsia="Times New Roman" w:cs="Times New Roman"/>
        </w:rPr>
        <w:t>A</w:t>
      </w:r>
      <w:r w:rsidR="00026300" w:rsidRPr="003D6B26">
        <w:rPr>
          <w:rFonts w:eastAsia="Times New Roman" w:cs="Times New Roman"/>
        </w:rPr>
        <w:t>lternative sentencing options provide the court with the flexibility to impose the most appropriate sentence</w:t>
      </w:r>
      <w:r w:rsidR="00937743" w:rsidRPr="003D6B26">
        <w:rPr>
          <w:rFonts w:eastAsia="Times New Roman" w:cs="Times New Roman"/>
        </w:rPr>
        <w:t xml:space="preserve"> on the offender in light of </w:t>
      </w:r>
      <w:r w:rsidR="00026300" w:rsidRPr="003D6B26">
        <w:rPr>
          <w:rFonts w:eastAsia="Times New Roman" w:cs="Times New Roman"/>
        </w:rPr>
        <w:t xml:space="preserve">the </w:t>
      </w:r>
      <w:r w:rsidR="00B74FCE" w:rsidRPr="003D6B26">
        <w:rPr>
          <w:rFonts w:eastAsia="Times New Roman" w:cs="Times New Roman"/>
        </w:rPr>
        <w:t>particular</w:t>
      </w:r>
      <w:r w:rsidR="0083455F" w:rsidRPr="003D6B26">
        <w:rPr>
          <w:rFonts w:eastAsia="Times New Roman" w:cs="Times New Roman"/>
        </w:rPr>
        <w:t xml:space="preserve"> circumstances of the offender. </w:t>
      </w:r>
      <w:r w:rsidR="00E9110E" w:rsidRPr="003D6B26">
        <w:rPr>
          <w:rFonts w:eastAsia="Times New Roman" w:cs="Times New Roman"/>
        </w:rPr>
        <w:t>Furthermore</w:t>
      </w:r>
      <w:r w:rsidR="00C357D9" w:rsidRPr="003D6B26">
        <w:rPr>
          <w:rFonts w:eastAsia="Times New Roman" w:cs="Times New Roman"/>
        </w:rPr>
        <w:t xml:space="preserve">, the courts </w:t>
      </w:r>
      <w:r w:rsidR="000A292C" w:rsidRPr="003D6B26">
        <w:rPr>
          <w:rFonts w:eastAsia="Times New Roman" w:cs="Times New Roman"/>
        </w:rPr>
        <w:t>must</w:t>
      </w:r>
      <w:r w:rsidR="00C357D9" w:rsidRPr="003D6B26">
        <w:rPr>
          <w:rFonts w:eastAsia="Times New Roman" w:cs="Times New Roman"/>
        </w:rPr>
        <w:t xml:space="preserve"> meet the important sentencing principle of proportionality</w:t>
      </w:r>
      <w:r w:rsidR="000A292C" w:rsidRPr="003D6B26">
        <w:rPr>
          <w:rFonts w:eastAsia="Times New Roman" w:cs="Times New Roman"/>
        </w:rPr>
        <w:t>, which operates to restrain excessive punishment.</w:t>
      </w:r>
      <w:r w:rsidR="000A292C" w:rsidRPr="003D6B26">
        <w:rPr>
          <w:rStyle w:val="FootnoteReference"/>
          <w:rFonts w:eastAsia="Times New Roman" w:cs="Times New Roman"/>
        </w:rPr>
        <w:footnoteReference w:id="11"/>
      </w:r>
      <w:r w:rsidR="0022151B" w:rsidRPr="003D6B26">
        <w:rPr>
          <w:rFonts w:eastAsia="Times New Roman" w:cs="Times New Roman"/>
        </w:rPr>
        <w:t xml:space="preserve"> The infringement notice system however is unable to </w:t>
      </w:r>
      <w:r w:rsidR="00961CC3" w:rsidRPr="003D6B26">
        <w:rPr>
          <w:rFonts w:eastAsia="Times New Roman" w:cs="Times New Roman"/>
        </w:rPr>
        <w:t>moderate</w:t>
      </w:r>
      <w:r w:rsidR="0022151B" w:rsidRPr="003D6B26">
        <w:rPr>
          <w:rFonts w:eastAsia="Times New Roman" w:cs="Times New Roman"/>
        </w:rPr>
        <w:t xml:space="preserve"> the punishment in circumstances where there has been multiple offending </w:t>
      </w:r>
      <w:r w:rsidR="00511AE2" w:rsidRPr="003D6B26">
        <w:rPr>
          <w:rFonts w:eastAsia="Times New Roman" w:cs="Times New Roman"/>
        </w:rPr>
        <w:t>meaning that a</w:t>
      </w:r>
      <w:r w:rsidR="00961CC3" w:rsidRPr="003D6B26">
        <w:rPr>
          <w:rFonts w:eastAsia="Times New Roman" w:cs="Times New Roman"/>
        </w:rPr>
        <w:t xml:space="preserve">n </w:t>
      </w:r>
      <w:r w:rsidR="00511AE2" w:rsidRPr="003D6B26">
        <w:rPr>
          <w:rFonts w:eastAsia="Times New Roman" w:cs="Times New Roman"/>
        </w:rPr>
        <w:t>excess</w:t>
      </w:r>
      <w:r w:rsidR="00961CC3" w:rsidRPr="003D6B26">
        <w:rPr>
          <w:rFonts w:eastAsia="Times New Roman" w:cs="Times New Roman"/>
        </w:rPr>
        <w:t xml:space="preserve">ive punishment will </w:t>
      </w:r>
      <w:r w:rsidRPr="003D6B26">
        <w:rPr>
          <w:rFonts w:eastAsia="Times New Roman" w:cs="Times New Roman"/>
        </w:rPr>
        <w:t xml:space="preserve">often </w:t>
      </w:r>
      <w:r w:rsidR="00961CC3" w:rsidRPr="003D6B26">
        <w:rPr>
          <w:rFonts w:eastAsia="Times New Roman" w:cs="Times New Roman"/>
        </w:rPr>
        <w:t>be imposed.</w:t>
      </w:r>
      <w:r w:rsidR="00547C07" w:rsidRPr="003D6B26">
        <w:rPr>
          <w:rStyle w:val="FootnoteReference"/>
          <w:rFonts w:eastAsia="Times New Roman" w:cs="Times New Roman"/>
        </w:rPr>
        <w:footnoteReference w:id="12"/>
      </w:r>
    </w:p>
    <w:p w14:paraId="7424925F" w14:textId="77777777" w:rsidR="00961CC3" w:rsidRPr="003D6B26" w:rsidRDefault="00961CC3" w:rsidP="00486B51">
      <w:pPr>
        <w:jc w:val="both"/>
        <w:rPr>
          <w:rFonts w:eastAsia="Times New Roman" w:cs="Times New Roman"/>
        </w:rPr>
      </w:pPr>
    </w:p>
    <w:p w14:paraId="2A157AA9" w14:textId="41A045A9" w:rsidR="00D615CA" w:rsidRPr="003D6B26" w:rsidRDefault="0083455F" w:rsidP="00026300">
      <w:pPr>
        <w:jc w:val="both"/>
        <w:rPr>
          <w:rFonts w:eastAsia="Times New Roman" w:cs="Times New Roman"/>
        </w:rPr>
      </w:pPr>
      <w:r w:rsidRPr="003D6B26">
        <w:rPr>
          <w:rFonts w:eastAsia="Times New Roman" w:cs="Times New Roman"/>
        </w:rPr>
        <w:t xml:space="preserve">Another difficulty with infringement notices is that no consideration is given to </w:t>
      </w:r>
      <w:r w:rsidR="003B1A24" w:rsidRPr="003D6B26">
        <w:rPr>
          <w:rFonts w:eastAsia="Times New Roman" w:cs="Times New Roman"/>
        </w:rPr>
        <w:t xml:space="preserve">the offender’s capacity to pay meaning that it may be disproportionate to the sanction imposed by a court. </w:t>
      </w:r>
      <w:r w:rsidR="002E04F8" w:rsidRPr="003D6B26">
        <w:rPr>
          <w:rFonts w:eastAsia="Times New Roman" w:cs="Times New Roman"/>
        </w:rPr>
        <w:t xml:space="preserve">This can be contrasted with the sentencing process adopted by the courts and the requirement that the financial circumstances of the offender be taken into account in determining </w:t>
      </w:r>
      <w:r w:rsidR="001A2DA5" w:rsidRPr="003D6B26">
        <w:rPr>
          <w:rFonts w:eastAsia="Times New Roman" w:cs="Times New Roman"/>
        </w:rPr>
        <w:t xml:space="preserve">both </w:t>
      </w:r>
      <w:r w:rsidR="003B1A24" w:rsidRPr="003D6B26">
        <w:rPr>
          <w:rFonts w:eastAsia="Times New Roman" w:cs="Times New Roman"/>
        </w:rPr>
        <w:t>the</w:t>
      </w:r>
      <w:r w:rsidR="00B74FCE" w:rsidRPr="003D6B26">
        <w:rPr>
          <w:rFonts w:eastAsia="Times New Roman" w:cs="Times New Roman"/>
        </w:rPr>
        <w:t xml:space="preserve"> type of </w:t>
      </w:r>
      <w:r w:rsidR="009571CE" w:rsidRPr="003D6B26">
        <w:rPr>
          <w:rFonts w:eastAsia="Times New Roman" w:cs="Times New Roman"/>
        </w:rPr>
        <w:t>sanction</w:t>
      </w:r>
      <w:r w:rsidR="001A2DA5" w:rsidRPr="003D6B26">
        <w:rPr>
          <w:rFonts w:eastAsia="Times New Roman" w:cs="Times New Roman"/>
        </w:rPr>
        <w:t xml:space="preserve"> and the appropriate amount</w:t>
      </w:r>
      <w:r w:rsidR="002E04F8" w:rsidRPr="003D6B26">
        <w:t>.</w:t>
      </w:r>
      <w:r w:rsidR="002E04F8" w:rsidRPr="003D6B26">
        <w:rPr>
          <w:rStyle w:val="FootnoteReference"/>
        </w:rPr>
        <w:footnoteReference w:id="13"/>
      </w:r>
      <w:r w:rsidR="001A2DA5" w:rsidRPr="003D6B26">
        <w:rPr>
          <w:rFonts w:eastAsia="Times New Roman" w:cs="Times New Roman"/>
        </w:rPr>
        <w:t xml:space="preserve"> </w:t>
      </w:r>
    </w:p>
    <w:p w14:paraId="2F57AAE5" w14:textId="77777777" w:rsidR="00D615CA" w:rsidRPr="003D6B26" w:rsidRDefault="00D615CA" w:rsidP="00026300">
      <w:pPr>
        <w:jc w:val="both"/>
        <w:rPr>
          <w:rFonts w:cs="Times New Roman"/>
          <w:b/>
          <w:lang w:val="en-US"/>
        </w:rPr>
      </w:pPr>
    </w:p>
    <w:p w14:paraId="3C22E741" w14:textId="5ADBC52B" w:rsidR="00330A4F" w:rsidRPr="003D6B26" w:rsidRDefault="00330A4F" w:rsidP="00026300">
      <w:pPr>
        <w:jc w:val="both"/>
        <w:rPr>
          <w:rFonts w:cs="Times New Roman"/>
          <w:b/>
          <w:i/>
          <w:lang w:val="en-US"/>
        </w:rPr>
      </w:pPr>
      <w:r w:rsidRPr="003D6B26">
        <w:rPr>
          <w:rFonts w:cs="Times New Roman"/>
          <w:b/>
          <w:i/>
          <w:lang w:val="en-US"/>
        </w:rPr>
        <w:t xml:space="preserve">- </w:t>
      </w:r>
      <w:r w:rsidR="002E67D9" w:rsidRPr="003D6B26">
        <w:rPr>
          <w:rFonts w:cs="Times New Roman"/>
          <w:b/>
          <w:i/>
          <w:lang w:val="en-US"/>
        </w:rPr>
        <w:t>Pressured into acknowledging guilt</w:t>
      </w:r>
    </w:p>
    <w:p w14:paraId="7BCDF694" w14:textId="58BCC194" w:rsidR="00823796" w:rsidRPr="003D6B26" w:rsidRDefault="00823796" w:rsidP="00635BD5">
      <w:pPr>
        <w:jc w:val="both"/>
        <w:rPr>
          <w:rFonts w:cs="Times New Roman"/>
          <w:lang w:val="en-US"/>
        </w:rPr>
      </w:pPr>
      <w:r w:rsidRPr="003D6B26">
        <w:rPr>
          <w:rFonts w:cs="Times New Roman"/>
          <w:lang w:val="en-US"/>
        </w:rPr>
        <w:t>S</w:t>
      </w:r>
      <w:r w:rsidR="00C16FEA" w:rsidRPr="003D6B26">
        <w:rPr>
          <w:rFonts w:cs="Times New Roman"/>
          <w:lang w:val="en-US"/>
        </w:rPr>
        <w:t>o</w:t>
      </w:r>
      <w:r w:rsidRPr="003D6B26">
        <w:rPr>
          <w:rFonts w:cs="Times New Roman"/>
          <w:lang w:val="en-US"/>
        </w:rPr>
        <w:t xml:space="preserve">me commentators have noted that when offered a choice between a hearing and an infringement notice, some offenders </w:t>
      </w:r>
      <w:r w:rsidR="0042651A" w:rsidRPr="003D6B26">
        <w:rPr>
          <w:rFonts w:cs="Times New Roman"/>
          <w:lang w:val="en-US"/>
        </w:rPr>
        <w:t>may feel pressured to acknowledge guilt and simply accept the infringement notice.</w:t>
      </w:r>
      <w:r w:rsidR="0042651A" w:rsidRPr="003D6B26">
        <w:rPr>
          <w:rStyle w:val="FootnoteReference"/>
        </w:rPr>
        <w:footnoteReference w:id="14"/>
      </w:r>
      <w:r w:rsidR="00547C07" w:rsidRPr="003D6B26">
        <w:rPr>
          <w:rFonts w:cs="Times New Roman"/>
          <w:lang w:val="en-US"/>
        </w:rPr>
        <w:t xml:space="preserve"> The right to</w:t>
      </w:r>
      <w:r w:rsidRPr="003D6B26">
        <w:rPr>
          <w:rFonts w:cs="Times New Roman"/>
          <w:lang w:val="en-US"/>
        </w:rPr>
        <w:t xml:space="preserve"> </w:t>
      </w:r>
      <w:r w:rsidR="008A3EBB" w:rsidRPr="003D6B26">
        <w:rPr>
          <w:rFonts w:cs="Times New Roman"/>
          <w:lang w:val="en-US"/>
        </w:rPr>
        <w:t xml:space="preserve">plead </w:t>
      </w:r>
      <w:r w:rsidRPr="003D6B26">
        <w:rPr>
          <w:rFonts w:cs="Times New Roman"/>
          <w:lang w:val="en-US"/>
        </w:rPr>
        <w:t xml:space="preserve">not guilty will be counter-weighted by the risk of </w:t>
      </w:r>
      <w:r w:rsidR="008A3EBB" w:rsidRPr="003D6B26">
        <w:rPr>
          <w:rFonts w:cs="Times New Roman"/>
          <w:lang w:val="en-US"/>
        </w:rPr>
        <w:t xml:space="preserve">challenging the notice and </w:t>
      </w:r>
      <w:r w:rsidRPr="003D6B26">
        <w:rPr>
          <w:rFonts w:cs="Times New Roman"/>
          <w:lang w:val="en-US"/>
        </w:rPr>
        <w:t>a potentially more serious sentence, a conviction and additional court fees.</w:t>
      </w:r>
      <w:r w:rsidRPr="003D6B26">
        <w:rPr>
          <w:rStyle w:val="FootnoteReference"/>
          <w:rFonts w:cs="Times New Roman"/>
          <w:lang w:val="en-US"/>
        </w:rPr>
        <w:footnoteReference w:id="15"/>
      </w:r>
      <w:r w:rsidRPr="003D6B26">
        <w:rPr>
          <w:rFonts w:cs="Times New Roman"/>
          <w:lang w:val="en-US"/>
        </w:rPr>
        <w:t xml:space="preserve"> </w:t>
      </w:r>
    </w:p>
    <w:p w14:paraId="7FAC425E" w14:textId="77777777" w:rsidR="000B1B2D" w:rsidRPr="003D6B26" w:rsidRDefault="000B1B2D" w:rsidP="000B1B2D">
      <w:pPr>
        <w:jc w:val="both"/>
        <w:rPr>
          <w:rFonts w:eastAsia="Times New Roman" w:cs="Times New Roman"/>
          <w:b/>
        </w:rPr>
      </w:pPr>
    </w:p>
    <w:p w14:paraId="0E7B03D7" w14:textId="3F20E4E2" w:rsidR="000B1B2D" w:rsidRPr="003D6B26" w:rsidRDefault="000B1B2D" w:rsidP="000B1B2D">
      <w:pPr>
        <w:jc w:val="both"/>
        <w:rPr>
          <w:rFonts w:eastAsia="Times New Roman" w:cs="Times New Roman"/>
        </w:rPr>
      </w:pPr>
      <w:r w:rsidRPr="003D6B26">
        <w:rPr>
          <w:rFonts w:eastAsia="Times New Roman" w:cs="Times New Roman"/>
        </w:rPr>
        <w:t>As well as these broader concerns about infringement notices TACLC also has specific concerns about their introduction for the offences</w:t>
      </w:r>
      <w:r w:rsidR="000B7EC4" w:rsidRPr="003D6B26">
        <w:rPr>
          <w:rFonts w:eastAsia="Times New Roman" w:cs="Times New Roman"/>
        </w:rPr>
        <w:t xml:space="preserve"> of offensive language and behaviour</w:t>
      </w:r>
      <w:r w:rsidR="00E9110E" w:rsidRPr="003D6B26">
        <w:rPr>
          <w:rFonts w:eastAsia="Times New Roman" w:cs="Times New Roman"/>
        </w:rPr>
        <w:t xml:space="preserve"> and stealing goods valued at less than $500. </w:t>
      </w:r>
      <w:r w:rsidR="000B7EC4" w:rsidRPr="003D6B26">
        <w:rPr>
          <w:rFonts w:eastAsia="Times New Roman" w:cs="Times New Roman"/>
        </w:rPr>
        <w:t xml:space="preserve">  </w:t>
      </w:r>
      <w:r w:rsidRPr="003D6B26">
        <w:rPr>
          <w:rFonts w:eastAsia="Times New Roman" w:cs="Times New Roman"/>
        </w:rPr>
        <w:t xml:space="preserve">  </w:t>
      </w:r>
    </w:p>
    <w:p w14:paraId="204F13F8" w14:textId="77777777" w:rsidR="000B1B2D" w:rsidRPr="003D6B26" w:rsidRDefault="000B1B2D" w:rsidP="000B1B2D">
      <w:pPr>
        <w:jc w:val="both"/>
        <w:rPr>
          <w:rFonts w:eastAsia="Times New Roman" w:cs="Times New Roman"/>
          <w:b/>
        </w:rPr>
      </w:pPr>
    </w:p>
    <w:p w14:paraId="5061ED20" w14:textId="77777777" w:rsidR="000B1B2D" w:rsidRPr="003D6B26" w:rsidRDefault="000B1B2D" w:rsidP="000B1B2D">
      <w:pPr>
        <w:jc w:val="both"/>
        <w:rPr>
          <w:b/>
        </w:rPr>
      </w:pPr>
      <w:r w:rsidRPr="003D6B26">
        <w:rPr>
          <w:b/>
        </w:rPr>
        <w:t>The Evidence from Tasmania</w:t>
      </w:r>
    </w:p>
    <w:p w14:paraId="24A2EFC2" w14:textId="77777777" w:rsidR="00BA32BB" w:rsidRPr="003D6B26" w:rsidRDefault="00E9110E" w:rsidP="000B1B2D">
      <w:pPr>
        <w:jc w:val="both"/>
      </w:pPr>
      <w:r w:rsidRPr="003D6B26">
        <w:t>Providing police with the power to issu</w:t>
      </w:r>
      <w:r w:rsidR="00C64EE0" w:rsidRPr="003D6B26">
        <w:t>e</w:t>
      </w:r>
      <w:r w:rsidR="000B1B2D" w:rsidRPr="003D6B26">
        <w:t xml:space="preserve"> infringement notices is often seen as a win-win in which an offender receives a </w:t>
      </w:r>
      <w:r w:rsidR="00C64EE0" w:rsidRPr="003D6B26">
        <w:t>discounted</w:t>
      </w:r>
      <w:r w:rsidR="000B1B2D" w:rsidRPr="003D6B26">
        <w:t xml:space="preserve"> sentence and the State deals with the offence in a more cost efficient manner. The Consultation Paper however fails to provide any statistical data of the likely effect of the introduction of infringement notices in Tasmania. </w:t>
      </w:r>
    </w:p>
    <w:p w14:paraId="11913A0A" w14:textId="77777777" w:rsidR="00BA32BB" w:rsidRPr="003D6B26" w:rsidRDefault="00BA32BB" w:rsidP="000B1B2D">
      <w:pPr>
        <w:jc w:val="both"/>
      </w:pPr>
    </w:p>
    <w:p w14:paraId="57D2D7A4" w14:textId="57168D24" w:rsidR="000B1B2D" w:rsidRPr="003D6B26" w:rsidRDefault="00BA32BB" w:rsidP="000B1B2D">
      <w:pPr>
        <w:jc w:val="both"/>
      </w:pPr>
      <w:r w:rsidRPr="003D6B26">
        <w:t>I</w:t>
      </w:r>
      <w:r w:rsidR="000B1B2D" w:rsidRPr="003D6B26">
        <w:t>n May 2012 TACLC submitted a Freedom of Information request to the Department of Justice requesting records of all adults charged with offensive language and behaviour as well as stealing less than $500 of property during the 2010-2011 financial year.</w:t>
      </w:r>
      <w:r w:rsidR="000B1B2D" w:rsidRPr="003D6B26">
        <w:rPr>
          <w:rStyle w:val="FootnoteReference"/>
        </w:rPr>
        <w:footnoteReference w:id="16"/>
      </w:r>
      <w:r w:rsidR="000B1B2D" w:rsidRPr="003D6B26">
        <w:t xml:space="preserve"> Offensive language and behaviour offences were chosen for investigation because they capture the largest number of offenders likely to be affected by any change in the law and because the offences rely to large extent on the discretion of individual police officers. The offence of stealing less than $500 worth of goods was chosen because it is arguably the most serious of the offences that may be subject to the issuance of an infringement notice.   </w:t>
      </w:r>
    </w:p>
    <w:p w14:paraId="4EA78173" w14:textId="77777777" w:rsidR="000B1B2D" w:rsidRPr="003D6B26" w:rsidRDefault="000B1B2D" w:rsidP="000B1B2D">
      <w:pPr>
        <w:jc w:val="both"/>
      </w:pPr>
    </w:p>
    <w:p w14:paraId="0B1DEE93" w14:textId="77777777" w:rsidR="000B1B2D" w:rsidRPr="003D6B26" w:rsidRDefault="000B1B2D" w:rsidP="000B1B2D">
      <w:pPr>
        <w:jc w:val="both"/>
        <w:rPr>
          <w:b/>
        </w:rPr>
      </w:pPr>
      <w:r w:rsidRPr="003D6B26">
        <w:rPr>
          <w:b/>
        </w:rPr>
        <w:t xml:space="preserve"> - Stealing goods of less than $500</w:t>
      </w:r>
    </w:p>
    <w:p w14:paraId="699093E8" w14:textId="5F824A73" w:rsidR="00C64EE0" w:rsidRPr="003D6B26" w:rsidRDefault="00C64EE0" w:rsidP="000B1B2D">
      <w:pPr>
        <w:jc w:val="both"/>
      </w:pPr>
      <w:r w:rsidRPr="003D6B26">
        <w:t>The data made available by the Department of Justice demonstrates that d</w:t>
      </w:r>
      <w:r w:rsidR="000B1B2D" w:rsidRPr="003D6B26">
        <w:t>uring 2010-2011 there were 881 adults charged with stealing goods o</w:t>
      </w:r>
      <w:r w:rsidR="009C755D" w:rsidRPr="003D6B26">
        <w:t>f less than $500.00 under</w:t>
      </w:r>
      <w:r w:rsidR="000B1B2D" w:rsidRPr="003D6B26">
        <w:t xml:space="preserve"> section 38A of the </w:t>
      </w:r>
      <w:r w:rsidR="000B1B2D" w:rsidRPr="003D6B26">
        <w:rPr>
          <w:i/>
        </w:rPr>
        <w:t>Police Offences Act 1935</w:t>
      </w:r>
      <w:r w:rsidR="000B1B2D" w:rsidRPr="003D6B26">
        <w:t xml:space="preserve"> (</w:t>
      </w:r>
      <w:proofErr w:type="spellStart"/>
      <w:r w:rsidR="000B1B2D" w:rsidRPr="003D6B26">
        <w:t>Tas</w:t>
      </w:r>
      <w:proofErr w:type="spellEnd"/>
      <w:r w:rsidR="000B1B2D" w:rsidRPr="003D6B26">
        <w:t xml:space="preserve">) or section 234 of the </w:t>
      </w:r>
      <w:r w:rsidR="000B1B2D" w:rsidRPr="003D6B26">
        <w:rPr>
          <w:i/>
        </w:rPr>
        <w:t>Criminal Code 1924</w:t>
      </w:r>
      <w:r w:rsidR="000B1B2D" w:rsidRPr="003D6B26">
        <w:t xml:space="preserve"> (</w:t>
      </w:r>
      <w:proofErr w:type="spellStart"/>
      <w:r w:rsidR="000B1B2D" w:rsidRPr="003D6B26">
        <w:t>Tas</w:t>
      </w:r>
      <w:proofErr w:type="spellEnd"/>
      <w:r w:rsidR="000B1B2D" w:rsidRPr="003D6B26">
        <w:t>). Almost two-thirds of offenders were male (61%) and the l</w:t>
      </w:r>
      <w:r w:rsidRPr="003D6B26">
        <w:t xml:space="preserve">argest </w:t>
      </w:r>
      <w:proofErr w:type="gramStart"/>
      <w:r w:rsidRPr="003D6B26">
        <w:t>grouping of offenders were</w:t>
      </w:r>
      <w:proofErr w:type="gramEnd"/>
      <w:r w:rsidR="000B1B2D" w:rsidRPr="003D6B26">
        <w:t xml:space="preserve"> young p</w:t>
      </w:r>
      <w:r w:rsidRPr="003D6B26">
        <w:t xml:space="preserve">ersons aged between 18-25 (38%). The Consultation Paper recommends that infringement notices only be issued to offenders acknowledging guilt. The following statistics are therefore based only on those offenders who pleaded guilty before the Magistrates Court. </w:t>
      </w:r>
    </w:p>
    <w:p w14:paraId="5CD01A69" w14:textId="77777777" w:rsidR="00C64EE0" w:rsidRPr="003D6B26" w:rsidRDefault="00C64EE0" w:rsidP="000B1B2D">
      <w:pPr>
        <w:jc w:val="both"/>
      </w:pPr>
    </w:p>
    <w:p w14:paraId="66137C54" w14:textId="2B091984" w:rsidR="006F4D36" w:rsidRPr="003D6B26" w:rsidRDefault="006F4D36" w:rsidP="000B1B2D">
      <w:pPr>
        <w:jc w:val="both"/>
      </w:pPr>
      <w:r w:rsidRPr="003D6B26">
        <w:t>Importantly, of the 70 per cent of offenders who pleaded guilty, the o</w:t>
      </w:r>
      <w:r w:rsidR="00C64EE0" w:rsidRPr="003D6B26">
        <w:t xml:space="preserve">verwhelming majority received a </w:t>
      </w:r>
      <w:r w:rsidRPr="003D6B26">
        <w:t xml:space="preserve">less </w:t>
      </w:r>
      <w:r w:rsidR="00C64EE0" w:rsidRPr="003D6B26">
        <w:t>severe sentence than</w:t>
      </w:r>
      <w:r w:rsidRPr="003D6B26">
        <w:t xml:space="preserve"> the fine as proposed in the Consultation Paper.</w:t>
      </w:r>
      <w:r w:rsidR="00C64EE0" w:rsidRPr="003D6B26">
        <w:t xml:space="preserve">  </w:t>
      </w:r>
      <w:r w:rsidRPr="003D6B26">
        <w:t xml:space="preserve"> </w:t>
      </w:r>
    </w:p>
    <w:p w14:paraId="27D2C83E" w14:textId="77777777" w:rsidR="006F4D36" w:rsidRPr="003D6B26" w:rsidRDefault="006F4D36" w:rsidP="000B1B2D">
      <w:pPr>
        <w:jc w:val="both"/>
      </w:pPr>
    </w:p>
    <w:p w14:paraId="11367845" w14:textId="77777777" w:rsidR="00F121EF" w:rsidRPr="003D6B26" w:rsidRDefault="006F4D36" w:rsidP="00F121EF">
      <w:pPr>
        <w:ind w:left="-1134" w:right="-1198"/>
        <w:jc w:val="both"/>
      </w:pPr>
      <w:r w:rsidRPr="003D6B26">
        <w:rPr>
          <w:noProof/>
          <w:lang w:val="en-US"/>
        </w:rPr>
        <w:drawing>
          <wp:inline distT="0" distB="0" distL="0" distR="0" wp14:anchorId="4E2381F9" wp14:editId="7E7C154E">
            <wp:extent cx="6667500" cy="4364990"/>
            <wp:effectExtent l="0" t="0" r="12700" b="292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88BB86" w14:textId="77777777" w:rsidR="00605849" w:rsidRPr="003D6B26" w:rsidRDefault="00605849" w:rsidP="00F121EF">
      <w:pPr>
        <w:ind w:right="-64"/>
        <w:jc w:val="both"/>
      </w:pPr>
    </w:p>
    <w:p w14:paraId="32A44A8B" w14:textId="71B0B2B9" w:rsidR="00044987" w:rsidRPr="003D6B26" w:rsidRDefault="00044987" w:rsidP="00F121EF">
      <w:pPr>
        <w:ind w:right="-64"/>
        <w:jc w:val="both"/>
      </w:pPr>
      <w:r w:rsidRPr="003D6B26">
        <w:t>In other words, 52 per cent of all offenders sentenced to stealing goods of less than $500 received either a Good Behaviour Bond/Recognisance Order; an order to recompense the offender; a nominal penalty or no sentence was recorded.</w:t>
      </w:r>
      <w:r w:rsidRPr="003D6B26">
        <w:rPr>
          <w:rStyle w:val="FootnoteReference"/>
        </w:rPr>
        <w:footnoteReference w:id="17"/>
      </w:r>
    </w:p>
    <w:p w14:paraId="63CC9714" w14:textId="77777777" w:rsidR="00044987" w:rsidRPr="003D6B26" w:rsidRDefault="00044987" w:rsidP="006F4D36">
      <w:pPr>
        <w:jc w:val="both"/>
      </w:pPr>
    </w:p>
    <w:p w14:paraId="5C58CCF6" w14:textId="77777777" w:rsidR="006F4D36" w:rsidRPr="003D6B26" w:rsidRDefault="006F4D36" w:rsidP="006F4D36">
      <w:pPr>
        <w:jc w:val="both"/>
      </w:pPr>
      <w:r w:rsidRPr="003D6B26">
        <w:t xml:space="preserve">Finally, when only those offenders sentenced to a fine are considered the data demonstrates that an extraordinary 92 per cent received a fine of less than $500.00. </w:t>
      </w:r>
    </w:p>
    <w:p w14:paraId="14959156" w14:textId="77777777" w:rsidR="006F4D36" w:rsidRPr="003D6B26" w:rsidRDefault="006F4D36" w:rsidP="000B1B2D">
      <w:pPr>
        <w:jc w:val="both"/>
        <w:rPr>
          <w:rFonts w:eastAsia="Times New Roman" w:cs="Times New Roman"/>
          <w:b/>
        </w:rPr>
      </w:pPr>
    </w:p>
    <w:p w14:paraId="73CE6768" w14:textId="219B53A6" w:rsidR="000B1B2D" w:rsidRPr="003D6B26" w:rsidRDefault="00186834" w:rsidP="000B1B2D">
      <w:pPr>
        <w:jc w:val="both"/>
        <w:rPr>
          <w:rFonts w:eastAsia="Times New Roman" w:cs="Times New Roman"/>
          <w:b/>
        </w:rPr>
      </w:pPr>
      <w:r w:rsidRPr="003D6B26">
        <w:rPr>
          <w:noProof/>
          <w:lang w:val="en-US"/>
        </w:rPr>
        <w:drawing>
          <wp:inline distT="0" distB="0" distL="0" distR="0" wp14:anchorId="5EE4CE09" wp14:editId="54C47064">
            <wp:extent cx="5715000" cy="3314700"/>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A56F87" w14:textId="77777777" w:rsidR="00044987" w:rsidRPr="003D6B26" w:rsidRDefault="00044987" w:rsidP="00044987">
      <w:pPr>
        <w:jc w:val="both"/>
      </w:pPr>
    </w:p>
    <w:p w14:paraId="0D5EB3EB" w14:textId="6D1D81DA" w:rsidR="00044987" w:rsidRPr="003D6B26" w:rsidRDefault="00044987" w:rsidP="00044987">
      <w:pPr>
        <w:jc w:val="both"/>
      </w:pPr>
      <w:r w:rsidRPr="003D6B26">
        <w:t>These figu</w:t>
      </w:r>
      <w:r w:rsidR="009B671D" w:rsidRPr="003D6B26">
        <w:t>res demonstrate</w:t>
      </w:r>
      <w:r w:rsidRPr="003D6B26">
        <w:t xml:space="preserve"> </w:t>
      </w:r>
      <w:r w:rsidR="009B671D" w:rsidRPr="003D6B26">
        <w:t>that the likely effect of</w:t>
      </w:r>
      <w:r w:rsidRPr="003D6B26">
        <w:t xml:space="preserve"> the Consultation Paper’s proposed amendments to stealing charges </w:t>
      </w:r>
      <w:r w:rsidR="009B671D" w:rsidRPr="003D6B26">
        <w:t xml:space="preserve">will be infringement notices that </w:t>
      </w:r>
      <w:r w:rsidR="00911136" w:rsidRPr="003D6B26">
        <w:t xml:space="preserve">result in </w:t>
      </w:r>
      <w:r w:rsidRPr="003D6B26">
        <w:t xml:space="preserve">harsher </w:t>
      </w:r>
      <w:r w:rsidR="00911136" w:rsidRPr="003D6B26">
        <w:t xml:space="preserve">penalties in most cases than </w:t>
      </w:r>
      <w:r w:rsidR="009B671D" w:rsidRPr="003D6B26">
        <w:t xml:space="preserve">being sentenced in court. </w:t>
      </w:r>
      <w:r w:rsidRPr="003D6B26">
        <w:t xml:space="preserve">  </w:t>
      </w:r>
    </w:p>
    <w:p w14:paraId="0F3C0A2A" w14:textId="77777777" w:rsidR="00044987" w:rsidRPr="003D6B26" w:rsidRDefault="00044987" w:rsidP="000B1B2D">
      <w:pPr>
        <w:jc w:val="both"/>
        <w:rPr>
          <w:rFonts w:eastAsia="Times New Roman" w:cs="Times New Roman"/>
          <w:b/>
        </w:rPr>
      </w:pPr>
    </w:p>
    <w:p w14:paraId="5591DE14" w14:textId="706340DB" w:rsidR="000B1B2D" w:rsidRPr="003D6B26" w:rsidRDefault="00F2602F" w:rsidP="000B1B2D">
      <w:pPr>
        <w:jc w:val="both"/>
        <w:rPr>
          <w:rFonts w:eastAsia="Times New Roman" w:cs="Times New Roman"/>
        </w:rPr>
      </w:pPr>
      <w:r w:rsidRPr="003D6B26">
        <w:rPr>
          <w:rFonts w:eastAsia="Times New Roman" w:cs="Times New Roman"/>
          <w:b/>
        </w:rPr>
        <w:t xml:space="preserve">- </w:t>
      </w:r>
      <w:r w:rsidR="000B1B2D" w:rsidRPr="003D6B26">
        <w:rPr>
          <w:rFonts w:eastAsia="Times New Roman" w:cs="Times New Roman"/>
          <w:b/>
        </w:rPr>
        <w:t>Offensive Language and Behaviour</w:t>
      </w:r>
    </w:p>
    <w:p w14:paraId="58019A3A" w14:textId="77777777" w:rsidR="000B1B2D" w:rsidRPr="003D6B26" w:rsidRDefault="000B1B2D" w:rsidP="000B1B2D">
      <w:pPr>
        <w:jc w:val="both"/>
        <w:rPr>
          <w:rFonts w:cs="Times New Roman"/>
          <w:lang w:val="en-US"/>
        </w:rPr>
      </w:pPr>
      <w:r w:rsidRPr="003D6B26">
        <w:rPr>
          <w:rFonts w:cs="Times New Roman"/>
          <w:lang w:val="en-US"/>
        </w:rPr>
        <w:t xml:space="preserve">Laws in every state and territory prohibit offensive language and </w:t>
      </w:r>
      <w:proofErr w:type="spellStart"/>
      <w:r w:rsidRPr="003D6B26">
        <w:rPr>
          <w:rFonts w:cs="Times New Roman"/>
          <w:lang w:val="en-US"/>
        </w:rPr>
        <w:t>behaviour</w:t>
      </w:r>
      <w:proofErr w:type="spellEnd"/>
      <w:r w:rsidRPr="003D6B26">
        <w:rPr>
          <w:rFonts w:cs="Times New Roman"/>
          <w:lang w:val="en-US"/>
        </w:rPr>
        <w:t xml:space="preserve">. Examples include section 6 of the </w:t>
      </w:r>
      <w:r w:rsidRPr="003D6B26">
        <w:rPr>
          <w:rFonts w:cs="Times New Roman"/>
          <w:i/>
          <w:lang w:val="en-US"/>
        </w:rPr>
        <w:t xml:space="preserve">Summary Offences Act 2005 </w:t>
      </w:r>
      <w:r w:rsidRPr="003D6B26">
        <w:rPr>
          <w:rFonts w:cs="Times New Roman"/>
          <w:lang w:val="en-US"/>
        </w:rPr>
        <w:t>(</w:t>
      </w:r>
      <w:proofErr w:type="spellStart"/>
      <w:r w:rsidRPr="003D6B26">
        <w:rPr>
          <w:rFonts w:cs="Times New Roman"/>
          <w:lang w:val="en-US"/>
        </w:rPr>
        <w:t>Qld</w:t>
      </w:r>
      <w:proofErr w:type="spellEnd"/>
      <w:r w:rsidRPr="003D6B26">
        <w:rPr>
          <w:rFonts w:cs="Times New Roman"/>
          <w:lang w:val="en-US"/>
        </w:rPr>
        <w:t>) which makes it an offence to behave in a disorderly, offensive, threatening or violent way</w:t>
      </w:r>
      <w:r w:rsidRPr="003D6B26">
        <w:rPr>
          <w:rStyle w:val="FootnoteReference"/>
          <w:rFonts w:cs="Times New Roman"/>
          <w:lang w:val="en-US"/>
        </w:rPr>
        <w:footnoteReference w:id="18"/>
      </w:r>
      <w:r w:rsidRPr="003D6B26">
        <w:rPr>
          <w:rFonts w:cs="Times New Roman"/>
          <w:lang w:val="en-US"/>
        </w:rPr>
        <w:t xml:space="preserve"> and the Australian Capital Territory which prohibits riotous, indecent, offensive or insulting behavior.</w:t>
      </w:r>
      <w:r w:rsidRPr="003D6B26">
        <w:rPr>
          <w:rStyle w:val="FootnoteReference"/>
          <w:rFonts w:cs="Times New Roman"/>
          <w:lang w:val="en-US"/>
        </w:rPr>
        <w:footnoteReference w:id="19"/>
      </w:r>
      <w:r w:rsidRPr="003D6B26">
        <w:rPr>
          <w:rFonts w:cs="Times New Roman"/>
          <w:lang w:val="en-US"/>
        </w:rPr>
        <w:t xml:space="preserve"> </w:t>
      </w:r>
    </w:p>
    <w:p w14:paraId="508691AA" w14:textId="77777777" w:rsidR="000B1B2D" w:rsidRPr="003D6B26" w:rsidRDefault="000B1B2D" w:rsidP="000B1B2D">
      <w:pPr>
        <w:jc w:val="both"/>
        <w:rPr>
          <w:rFonts w:cs="Times New Roman"/>
          <w:lang w:val="en-US"/>
        </w:rPr>
      </w:pPr>
    </w:p>
    <w:p w14:paraId="558F047E" w14:textId="77777777" w:rsidR="000B1B2D" w:rsidRPr="003D6B26" w:rsidRDefault="000B1B2D" w:rsidP="000B1B2D">
      <w:pPr>
        <w:jc w:val="both"/>
        <w:rPr>
          <w:rFonts w:cs="Times New Roman"/>
          <w:lang w:val="en-US"/>
        </w:rPr>
      </w:pPr>
      <w:r w:rsidRPr="003D6B26">
        <w:rPr>
          <w:rFonts w:cs="Times New Roman"/>
          <w:lang w:val="en-US"/>
        </w:rPr>
        <w:t xml:space="preserve">In Tasmania, section 12 of the </w:t>
      </w:r>
      <w:r w:rsidRPr="003D6B26">
        <w:rPr>
          <w:rFonts w:cs="Times New Roman"/>
          <w:i/>
          <w:lang w:val="en-US"/>
        </w:rPr>
        <w:t>Police Offences Act 1935</w:t>
      </w:r>
      <w:r w:rsidRPr="003D6B26">
        <w:rPr>
          <w:rFonts w:cs="Times New Roman"/>
          <w:lang w:val="en-US"/>
        </w:rPr>
        <w:t xml:space="preserve"> (</w:t>
      </w:r>
      <w:proofErr w:type="spellStart"/>
      <w:r w:rsidRPr="003D6B26">
        <w:rPr>
          <w:rFonts w:cs="Times New Roman"/>
          <w:lang w:val="en-US"/>
        </w:rPr>
        <w:t>Tas</w:t>
      </w:r>
      <w:proofErr w:type="spellEnd"/>
      <w:r w:rsidRPr="003D6B26">
        <w:rPr>
          <w:rFonts w:cs="Times New Roman"/>
          <w:lang w:val="en-US"/>
        </w:rPr>
        <w:t>) provides:</w:t>
      </w:r>
    </w:p>
    <w:p w14:paraId="6AAC3887" w14:textId="77777777" w:rsidR="000B1B2D" w:rsidRPr="003D6B26" w:rsidRDefault="000B1B2D" w:rsidP="000B1B2D">
      <w:pPr>
        <w:jc w:val="both"/>
        <w:rPr>
          <w:rFonts w:cs="Times New Roman"/>
          <w:lang w:val="en-US"/>
        </w:rPr>
      </w:pPr>
    </w:p>
    <w:p w14:paraId="6C017C51" w14:textId="77777777" w:rsidR="000B1B2D" w:rsidRPr="003D6B26" w:rsidRDefault="000B1B2D" w:rsidP="000B1B2D">
      <w:pPr>
        <w:ind w:left="993" w:right="1354"/>
        <w:jc w:val="both"/>
        <w:rPr>
          <w:rFonts w:cs="Times New Roman"/>
          <w:color w:val="000000" w:themeColor="text1"/>
          <w:lang w:val="en-US"/>
        </w:rPr>
      </w:pPr>
      <w:r w:rsidRPr="003D6B26">
        <w:rPr>
          <w:rFonts w:cs="Times New Roman"/>
          <w:b/>
          <w:bCs/>
          <w:color w:val="000000" w:themeColor="text1"/>
          <w:sz w:val="22"/>
          <w:szCs w:val="22"/>
        </w:rPr>
        <w:t>12. Prohibited language and behaviour</w:t>
      </w:r>
    </w:p>
    <w:p w14:paraId="100B1123" w14:textId="77777777" w:rsidR="000B1B2D" w:rsidRPr="003D6B26" w:rsidRDefault="000B1B2D" w:rsidP="000B1B2D">
      <w:pPr>
        <w:ind w:left="993" w:right="1354"/>
        <w:jc w:val="both"/>
        <w:rPr>
          <w:rFonts w:cs="Times New Roman"/>
          <w:color w:val="000000" w:themeColor="text1"/>
          <w:lang w:val="en-US"/>
        </w:rPr>
      </w:pPr>
      <w:r w:rsidRPr="003D6B26">
        <w:rPr>
          <w:rFonts w:cs="Times New Roman"/>
          <w:b/>
          <w:bCs/>
          <w:color w:val="000000" w:themeColor="text1"/>
          <w:sz w:val="22"/>
          <w:szCs w:val="22"/>
        </w:rPr>
        <w:t>(1)</w:t>
      </w:r>
      <w:r w:rsidRPr="003D6B26">
        <w:rPr>
          <w:rFonts w:cs="Times New Roman"/>
          <w:color w:val="000000" w:themeColor="text1"/>
          <w:sz w:val="22"/>
          <w:szCs w:val="22"/>
        </w:rPr>
        <w:t xml:space="preserve"> A person shall not, in any public place, or within the hearing of any person in that place –</w:t>
      </w:r>
    </w:p>
    <w:p w14:paraId="139D19CC" w14:textId="77777777" w:rsidR="000B1B2D" w:rsidRPr="003D6B26" w:rsidRDefault="000B1B2D" w:rsidP="000B1B2D">
      <w:pPr>
        <w:ind w:left="993" w:right="1354"/>
        <w:jc w:val="both"/>
        <w:rPr>
          <w:rFonts w:cs="Times New Roman"/>
          <w:b/>
          <w:bCs/>
          <w:color w:val="000000" w:themeColor="text1"/>
          <w:sz w:val="22"/>
          <w:szCs w:val="22"/>
        </w:rPr>
      </w:pPr>
    </w:p>
    <w:p w14:paraId="0CF375CA" w14:textId="77777777" w:rsidR="000B1B2D" w:rsidRPr="003D6B26" w:rsidRDefault="000B1B2D" w:rsidP="000B1B2D">
      <w:pPr>
        <w:ind w:left="993" w:right="1354" w:firstLine="447"/>
        <w:jc w:val="both"/>
        <w:rPr>
          <w:rFonts w:cs="Times New Roman"/>
          <w:color w:val="000000" w:themeColor="text1"/>
          <w:lang w:val="en-US"/>
        </w:rPr>
      </w:pPr>
      <w:r w:rsidRPr="003D6B26">
        <w:rPr>
          <w:rFonts w:cs="Times New Roman"/>
          <w:b/>
          <w:bCs/>
          <w:color w:val="000000" w:themeColor="text1"/>
          <w:sz w:val="22"/>
          <w:szCs w:val="22"/>
        </w:rPr>
        <w:t>(a)</w:t>
      </w:r>
      <w:r w:rsidRPr="003D6B26">
        <w:rPr>
          <w:rFonts w:cs="Times New Roman"/>
          <w:color w:val="000000" w:themeColor="text1"/>
          <w:sz w:val="22"/>
          <w:szCs w:val="22"/>
        </w:rPr>
        <w:t xml:space="preserve"> </w:t>
      </w:r>
      <w:proofErr w:type="gramStart"/>
      <w:r w:rsidRPr="003D6B26">
        <w:rPr>
          <w:rFonts w:cs="Times New Roman"/>
          <w:color w:val="000000" w:themeColor="text1"/>
          <w:sz w:val="22"/>
          <w:szCs w:val="22"/>
        </w:rPr>
        <w:t>curse</w:t>
      </w:r>
      <w:proofErr w:type="gramEnd"/>
      <w:r w:rsidRPr="003D6B26">
        <w:rPr>
          <w:rFonts w:cs="Times New Roman"/>
          <w:color w:val="000000" w:themeColor="text1"/>
          <w:sz w:val="22"/>
          <w:szCs w:val="22"/>
        </w:rPr>
        <w:t xml:space="preserve"> or swear;</w:t>
      </w:r>
    </w:p>
    <w:p w14:paraId="72FA6F37" w14:textId="77777777" w:rsidR="000B1B2D" w:rsidRPr="003D6B26" w:rsidRDefault="000B1B2D" w:rsidP="000B1B2D">
      <w:pPr>
        <w:ind w:left="993" w:right="1354"/>
        <w:jc w:val="both"/>
        <w:rPr>
          <w:rFonts w:cs="Times New Roman"/>
          <w:b/>
          <w:bCs/>
          <w:color w:val="000000" w:themeColor="text1"/>
          <w:sz w:val="22"/>
          <w:szCs w:val="22"/>
        </w:rPr>
      </w:pPr>
    </w:p>
    <w:p w14:paraId="0C8990F6" w14:textId="77777777" w:rsidR="000B1B2D" w:rsidRPr="003D6B26" w:rsidRDefault="000B1B2D" w:rsidP="000B1B2D">
      <w:pPr>
        <w:ind w:left="993" w:right="1354" w:firstLine="447"/>
        <w:jc w:val="both"/>
        <w:rPr>
          <w:rFonts w:cs="Times New Roman"/>
          <w:color w:val="000000" w:themeColor="text1"/>
          <w:lang w:val="en-US"/>
        </w:rPr>
      </w:pPr>
      <w:r w:rsidRPr="003D6B26">
        <w:rPr>
          <w:rFonts w:cs="Times New Roman"/>
          <w:b/>
          <w:bCs/>
          <w:color w:val="000000" w:themeColor="text1"/>
          <w:sz w:val="22"/>
          <w:szCs w:val="22"/>
        </w:rPr>
        <w:t>(b)</w:t>
      </w:r>
      <w:r w:rsidRPr="003D6B26">
        <w:rPr>
          <w:rFonts w:cs="Times New Roman"/>
          <w:color w:val="000000" w:themeColor="text1"/>
          <w:sz w:val="22"/>
          <w:szCs w:val="22"/>
        </w:rPr>
        <w:t xml:space="preserve"> </w:t>
      </w:r>
      <w:proofErr w:type="gramStart"/>
      <w:r w:rsidRPr="003D6B26">
        <w:rPr>
          <w:rFonts w:cs="Times New Roman"/>
          <w:color w:val="000000" w:themeColor="text1"/>
          <w:sz w:val="22"/>
          <w:szCs w:val="22"/>
        </w:rPr>
        <w:t>sing</w:t>
      </w:r>
      <w:proofErr w:type="gramEnd"/>
      <w:r w:rsidRPr="003D6B26">
        <w:rPr>
          <w:rFonts w:cs="Times New Roman"/>
          <w:color w:val="000000" w:themeColor="text1"/>
          <w:sz w:val="22"/>
          <w:szCs w:val="22"/>
        </w:rPr>
        <w:t xml:space="preserve"> any profane or obscene song;</w:t>
      </w:r>
    </w:p>
    <w:p w14:paraId="148AEA23" w14:textId="77777777" w:rsidR="000B1B2D" w:rsidRPr="003D6B26" w:rsidRDefault="000B1B2D" w:rsidP="000B1B2D">
      <w:pPr>
        <w:ind w:left="993" w:right="1354"/>
        <w:jc w:val="both"/>
        <w:rPr>
          <w:rFonts w:cs="Times New Roman"/>
          <w:b/>
          <w:bCs/>
          <w:color w:val="000000" w:themeColor="text1"/>
          <w:sz w:val="22"/>
          <w:szCs w:val="22"/>
        </w:rPr>
      </w:pPr>
    </w:p>
    <w:p w14:paraId="3045001B" w14:textId="77777777" w:rsidR="000B1B2D" w:rsidRPr="003D6B26" w:rsidRDefault="000B1B2D" w:rsidP="000B1B2D">
      <w:pPr>
        <w:ind w:left="1440" w:right="1354"/>
        <w:jc w:val="both"/>
        <w:rPr>
          <w:rFonts w:cs="Times New Roman"/>
          <w:color w:val="000000" w:themeColor="text1"/>
          <w:lang w:val="en-US"/>
        </w:rPr>
      </w:pPr>
      <w:r w:rsidRPr="003D6B26">
        <w:rPr>
          <w:rFonts w:cs="Times New Roman"/>
          <w:b/>
          <w:bCs/>
          <w:color w:val="000000" w:themeColor="text1"/>
          <w:sz w:val="22"/>
          <w:szCs w:val="22"/>
        </w:rPr>
        <w:t>(c)</w:t>
      </w:r>
      <w:r w:rsidRPr="003D6B26">
        <w:rPr>
          <w:rFonts w:cs="Times New Roman"/>
          <w:color w:val="000000" w:themeColor="text1"/>
          <w:sz w:val="22"/>
          <w:szCs w:val="22"/>
        </w:rPr>
        <w:t xml:space="preserve"> </w:t>
      </w:r>
      <w:proofErr w:type="gramStart"/>
      <w:r w:rsidRPr="003D6B26">
        <w:rPr>
          <w:rFonts w:cs="Times New Roman"/>
          <w:color w:val="000000" w:themeColor="text1"/>
          <w:sz w:val="22"/>
          <w:szCs w:val="22"/>
        </w:rPr>
        <w:t>use</w:t>
      </w:r>
      <w:proofErr w:type="gramEnd"/>
      <w:r w:rsidRPr="003D6B26">
        <w:rPr>
          <w:rFonts w:cs="Times New Roman"/>
          <w:color w:val="000000" w:themeColor="text1"/>
          <w:sz w:val="22"/>
          <w:szCs w:val="22"/>
        </w:rPr>
        <w:t xml:space="preserve"> any profane, indecent, obscene, offensive, or blasphemous language; or</w:t>
      </w:r>
    </w:p>
    <w:p w14:paraId="6221D8E8" w14:textId="77777777" w:rsidR="000B1B2D" w:rsidRPr="003D6B26" w:rsidRDefault="000B1B2D" w:rsidP="000B1B2D">
      <w:pPr>
        <w:ind w:left="993" w:right="1354"/>
        <w:jc w:val="both"/>
        <w:rPr>
          <w:rFonts w:cs="Times New Roman"/>
          <w:b/>
          <w:bCs/>
          <w:color w:val="000000" w:themeColor="text1"/>
          <w:sz w:val="22"/>
          <w:szCs w:val="22"/>
        </w:rPr>
      </w:pPr>
    </w:p>
    <w:p w14:paraId="478B38F6" w14:textId="77777777" w:rsidR="000B1B2D" w:rsidRPr="003D6B26" w:rsidRDefault="000B1B2D" w:rsidP="000B1B2D">
      <w:pPr>
        <w:ind w:left="1440" w:right="1354"/>
        <w:jc w:val="both"/>
        <w:rPr>
          <w:rFonts w:cs="Times New Roman"/>
          <w:color w:val="000000" w:themeColor="text1"/>
          <w:lang w:val="en-US"/>
        </w:rPr>
      </w:pPr>
      <w:r w:rsidRPr="003D6B26">
        <w:rPr>
          <w:rFonts w:cs="Times New Roman"/>
          <w:b/>
          <w:bCs/>
          <w:color w:val="000000" w:themeColor="text1"/>
          <w:sz w:val="22"/>
          <w:szCs w:val="22"/>
        </w:rPr>
        <w:t>(d)</w:t>
      </w:r>
      <w:r w:rsidRPr="003D6B26">
        <w:rPr>
          <w:rFonts w:cs="Times New Roman"/>
          <w:color w:val="000000" w:themeColor="text1"/>
          <w:sz w:val="22"/>
          <w:szCs w:val="22"/>
        </w:rPr>
        <w:t xml:space="preserve"> </w:t>
      </w:r>
      <w:proofErr w:type="gramStart"/>
      <w:r w:rsidRPr="003D6B26">
        <w:rPr>
          <w:rFonts w:cs="Times New Roman"/>
          <w:color w:val="000000" w:themeColor="text1"/>
          <w:sz w:val="22"/>
          <w:szCs w:val="22"/>
        </w:rPr>
        <w:t>use</w:t>
      </w:r>
      <w:proofErr w:type="gramEnd"/>
      <w:r w:rsidRPr="003D6B26">
        <w:rPr>
          <w:rFonts w:cs="Times New Roman"/>
          <w:color w:val="000000" w:themeColor="text1"/>
          <w:sz w:val="22"/>
          <w:szCs w:val="22"/>
        </w:rPr>
        <w:t xml:space="preserve"> any threatening, abusive, or insulting words or behaviour with intent or calculated to provoke a breach of the peace or whereby a breach of the peace may be occasioned.</w:t>
      </w:r>
    </w:p>
    <w:p w14:paraId="431518CC" w14:textId="77777777" w:rsidR="000B1B2D" w:rsidRPr="003D6B26" w:rsidRDefault="000B1B2D" w:rsidP="000B1B2D">
      <w:pPr>
        <w:ind w:left="993" w:right="1354"/>
        <w:jc w:val="both"/>
        <w:rPr>
          <w:rFonts w:cs="Times New Roman"/>
          <w:b/>
          <w:bCs/>
          <w:color w:val="000000" w:themeColor="text1"/>
          <w:sz w:val="22"/>
          <w:szCs w:val="22"/>
        </w:rPr>
      </w:pPr>
    </w:p>
    <w:p w14:paraId="1B652560" w14:textId="77777777" w:rsidR="000B1B2D" w:rsidRPr="003D6B26" w:rsidRDefault="000B1B2D" w:rsidP="000B1B2D">
      <w:pPr>
        <w:ind w:left="993" w:right="1354"/>
        <w:jc w:val="both"/>
        <w:rPr>
          <w:rFonts w:cs="Times New Roman"/>
          <w:color w:val="000000" w:themeColor="text1"/>
          <w:lang w:val="en-US"/>
        </w:rPr>
      </w:pPr>
      <w:r w:rsidRPr="003D6B26">
        <w:rPr>
          <w:rFonts w:cs="Times New Roman"/>
          <w:b/>
          <w:bCs/>
          <w:color w:val="000000" w:themeColor="text1"/>
          <w:sz w:val="22"/>
          <w:szCs w:val="22"/>
        </w:rPr>
        <w:t>(1A)</w:t>
      </w:r>
      <w:r w:rsidRPr="003D6B26">
        <w:rPr>
          <w:rFonts w:cs="Times New Roman"/>
          <w:color w:val="000000" w:themeColor="text1"/>
          <w:sz w:val="22"/>
          <w:szCs w:val="22"/>
        </w:rPr>
        <w:t xml:space="preserve"> A person who contravenes a provision of </w:t>
      </w:r>
      <w:r w:rsidRPr="003D6B26">
        <w:rPr>
          <w:rFonts w:cs="Times New Roman"/>
          <w:color w:val="000000" w:themeColor="text1"/>
          <w:sz w:val="22"/>
          <w:szCs w:val="22"/>
        </w:rPr>
        <w:fldChar w:fldCharType="begin"/>
      </w:r>
      <w:r w:rsidRPr="003D6B26">
        <w:rPr>
          <w:rFonts w:cs="Times New Roman"/>
          <w:color w:val="000000" w:themeColor="text1"/>
          <w:sz w:val="22"/>
          <w:szCs w:val="22"/>
        </w:rPr>
        <w:instrText xml:space="preserve"> HYPERLINK "http://www.thelaw.tas.gov.au/tocview/content.w3p;cond=;doc_id=44%2B%2B1935%2BGS12%40Gs1%40EN%2B20120604120000;histon=;prompt=;rec=19;term=" \l "GS12@Gs1@EN" \t "1" </w:instrText>
      </w:r>
      <w:r w:rsidRPr="003D6B26">
        <w:rPr>
          <w:rFonts w:cs="Times New Roman"/>
          <w:color w:val="000000" w:themeColor="text1"/>
          <w:sz w:val="22"/>
          <w:szCs w:val="22"/>
        </w:rPr>
        <w:fldChar w:fldCharType="separate"/>
      </w:r>
      <w:r w:rsidRPr="003D6B26">
        <w:rPr>
          <w:rStyle w:val="Hyperlink"/>
          <w:rFonts w:cs="Times New Roman"/>
          <w:color w:val="000000" w:themeColor="text1"/>
          <w:sz w:val="22"/>
          <w:szCs w:val="22"/>
          <w:u w:val="none"/>
        </w:rPr>
        <w:t>subsection (1)</w:t>
      </w:r>
      <w:r w:rsidRPr="003D6B26">
        <w:rPr>
          <w:rFonts w:cs="Times New Roman"/>
          <w:color w:val="000000" w:themeColor="text1"/>
          <w:sz w:val="22"/>
          <w:szCs w:val="22"/>
        </w:rPr>
        <w:fldChar w:fldCharType="end"/>
      </w:r>
      <w:r w:rsidRPr="003D6B26">
        <w:rPr>
          <w:rFonts w:cs="Times New Roman"/>
          <w:color w:val="000000" w:themeColor="text1"/>
          <w:sz w:val="22"/>
          <w:szCs w:val="22"/>
        </w:rPr>
        <w:t xml:space="preserve"> is guilty of an offence and is liable on summary conviction to a penalty not exceeding 3 penalty units or to imprisonment for a term not exceeding 3 months.</w:t>
      </w:r>
    </w:p>
    <w:p w14:paraId="1257907F" w14:textId="77777777" w:rsidR="000B1B2D" w:rsidRPr="003D6B26" w:rsidRDefault="000B1B2D" w:rsidP="000B1B2D">
      <w:pPr>
        <w:ind w:left="993" w:right="1354"/>
        <w:jc w:val="both"/>
        <w:rPr>
          <w:rFonts w:cs="Times New Roman"/>
          <w:b/>
          <w:bCs/>
          <w:color w:val="000000" w:themeColor="text1"/>
          <w:sz w:val="22"/>
          <w:szCs w:val="22"/>
        </w:rPr>
      </w:pPr>
    </w:p>
    <w:p w14:paraId="444F0997" w14:textId="77777777" w:rsidR="000B1B2D" w:rsidRPr="003D6B26" w:rsidRDefault="000B1B2D" w:rsidP="000B1B2D">
      <w:pPr>
        <w:ind w:left="993" w:right="1354"/>
        <w:jc w:val="both"/>
        <w:rPr>
          <w:rFonts w:cs="Times New Roman"/>
          <w:color w:val="000000" w:themeColor="text1"/>
          <w:lang w:val="en-US"/>
        </w:rPr>
      </w:pPr>
      <w:r w:rsidRPr="003D6B26">
        <w:rPr>
          <w:rFonts w:cs="Times New Roman"/>
          <w:b/>
          <w:bCs/>
          <w:color w:val="000000" w:themeColor="text1"/>
          <w:sz w:val="22"/>
          <w:szCs w:val="22"/>
        </w:rPr>
        <w:t>(2)</w:t>
      </w:r>
      <w:r w:rsidRPr="003D6B26">
        <w:rPr>
          <w:rFonts w:cs="Times New Roman"/>
          <w:color w:val="000000" w:themeColor="text1"/>
          <w:sz w:val="22"/>
          <w:szCs w:val="22"/>
        </w:rPr>
        <w:t xml:space="preserve"> A person convicted in respect of an offence under this section committed within 6 months after he has been convicted of that or any other offence thereunder is liable to double the penalty prescribed in </w:t>
      </w:r>
      <w:r w:rsidRPr="003D6B26">
        <w:rPr>
          <w:rFonts w:cs="Times New Roman"/>
          <w:color w:val="000000" w:themeColor="text1"/>
          <w:sz w:val="22"/>
          <w:szCs w:val="22"/>
        </w:rPr>
        <w:fldChar w:fldCharType="begin"/>
      </w:r>
      <w:r w:rsidRPr="003D6B26">
        <w:rPr>
          <w:rFonts w:cs="Times New Roman"/>
          <w:color w:val="000000" w:themeColor="text1"/>
          <w:sz w:val="22"/>
          <w:szCs w:val="22"/>
        </w:rPr>
        <w:instrText xml:space="preserve"> HYPERLINK "http://www.thelaw.tas.gov.au/tocview/content.w3p;cond=;doc_id=44%2B%2B1935%2BGS12%40Gs1%40EN%2B20120604120000;histon=;prompt=;rec=19;term=" \l "GS12@Gs1@EN" \t "1" </w:instrText>
      </w:r>
      <w:r w:rsidRPr="003D6B26">
        <w:rPr>
          <w:rFonts w:cs="Times New Roman"/>
          <w:color w:val="000000" w:themeColor="text1"/>
          <w:sz w:val="22"/>
          <w:szCs w:val="22"/>
        </w:rPr>
        <w:fldChar w:fldCharType="separate"/>
      </w:r>
      <w:r w:rsidRPr="003D6B26">
        <w:rPr>
          <w:rStyle w:val="Hyperlink"/>
          <w:rFonts w:cs="Times New Roman"/>
          <w:color w:val="000000" w:themeColor="text1"/>
          <w:sz w:val="22"/>
          <w:szCs w:val="22"/>
          <w:u w:val="none"/>
        </w:rPr>
        <w:t>subsection (1)</w:t>
      </w:r>
      <w:r w:rsidRPr="003D6B26">
        <w:rPr>
          <w:rFonts w:cs="Times New Roman"/>
          <w:color w:val="000000" w:themeColor="text1"/>
          <w:sz w:val="22"/>
          <w:szCs w:val="22"/>
        </w:rPr>
        <w:fldChar w:fldCharType="end"/>
      </w:r>
      <w:r w:rsidRPr="003D6B26">
        <w:rPr>
          <w:rFonts w:cs="Times New Roman"/>
          <w:color w:val="000000" w:themeColor="text1"/>
          <w:sz w:val="22"/>
          <w:szCs w:val="22"/>
        </w:rPr>
        <w:t xml:space="preserve"> in respect of the offence in respect of which he is so convicted.  </w:t>
      </w:r>
    </w:p>
    <w:p w14:paraId="200B83AE" w14:textId="77777777" w:rsidR="00911136" w:rsidRPr="003D6B26" w:rsidRDefault="000B1B2D" w:rsidP="000B1B2D">
      <w:pPr>
        <w:spacing w:before="100" w:beforeAutospacing="1" w:after="100" w:afterAutospacing="1"/>
        <w:jc w:val="both"/>
        <w:rPr>
          <w:rFonts w:cs="Times New Roman"/>
        </w:rPr>
      </w:pPr>
      <w:r w:rsidRPr="003D6B26">
        <w:rPr>
          <w:rFonts w:cs="Times New Roman"/>
        </w:rPr>
        <w:t xml:space="preserve">Similar to recent amendments introduced in </w:t>
      </w:r>
      <w:r w:rsidR="009B671D" w:rsidRPr="003D6B26">
        <w:rPr>
          <w:rFonts w:cs="Times New Roman"/>
        </w:rPr>
        <w:t>other Australian states</w:t>
      </w:r>
      <w:r w:rsidRPr="003D6B26">
        <w:rPr>
          <w:rStyle w:val="FootnoteReference"/>
          <w:rFonts w:cs="Times New Roman"/>
        </w:rPr>
        <w:footnoteReference w:id="20"/>
      </w:r>
      <w:r w:rsidRPr="003D6B26">
        <w:rPr>
          <w:rFonts w:cs="Times New Roman"/>
        </w:rPr>
        <w:t xml:space="preserve"> the Consultation Paper proposes that infringement notices be issued for offensive language and behaviour. </w:t>
      </w:r>
    </w:p>
    <w:p w14:paraId="272FBB33" w14:textId="74C76ADF" w:rsidR="000B1B2D" w:rsidRPr="003D6B26" w:rsidRDefault="000B1B2D" w:rsidP="000B1B2D">
      <w:pPr>
        <w:spacing w:before="100" w:beforeAutospacing="1" w:after="100" w:afterAutospacing="1"/>
        <w:jc w:val="both"/>
        <w:rPr>
          <w:rFonts w:cs="Times New Roman"/>
        </w:rPr>
      </w:pPr>
      <w:r w:rsidRPr="003D6B26">
        <w:rPr>
          <w:rFonts w:cs="Times New Roman"/>
        </w:rPr>
        <w:t xml:space="preserve">TACLC strongly believes that offensive </w:t>
      </w:r>
      <w:r w:rsidRPr="003D6B26">
        <w:rPr>
          <w:rFonts w:cs="Times New Roman"/>
          <w:color w:val="000000" w:themeColor="text1"/>
        </w:rPr>
        <w:t>language</w:t>
      </w:r>
      <w:r w:rsidRPr="003D6B26">
        <w:rPr>
          <w:rFonts w:cs="Times New Roman"/>
        </w:rPr>
        <w:t xml:space="preserve"> and behaviour offences should be determined solely before the courts, particularly given the hig</w:t>
      </w:r>
      <w:r w:rsidR="00C97885" w:rsidRPr="003D6B26">
        <w:rPr>
          <w:rFonts w:cs="Times New Roman"/>
        </w:rPr>
        <w:t xml:space="preserve">h evidentiary standard that appellate </w:t>
      </w:r>
      <w:r w:rsidRPr="003D6B26">
        <w:rPr>
          <w:rFonts w:cs="Times New Roman"/>
        </w:rPr>
        <w:t>courts have held must be met in establishing that the language was offensive.</w:t>
      </w:r>
    </w:p>
    <w:p w14:paraId="26EA801D" w14:textId="608739AC" w:rsidR="00911136" w:rsidRPr="003D6B26" w:rsidRDefault="000B1B2D" w:rsidP="000B1B2D">
      <w:pPr>
        <w:spacing w:before="100" w:beforeAutospacing="1" w:after="100" w:afterAutospacing="1"/>
        <w:jc w:val="both"/>
        <w:rPr>
          <w:rFonts w:cs="Times New Roman"/>
        </w:rPr>
      </w:pPr>
      <w:r w:rsidRPr="003D6B26">
        <w:rPr>
          <w:rFonts w:cs="Times New Roman"/>
          <w:bCs/>
          <w:lang w:val="en-US"/>
        </w:rPr>
        <w:t xml:space="preserve">It is clear from the case law that </w:t>
      </w:r>
      <w:r w:rsidRPr="003D6B26">
        <w:rPr>
          <w:rFonts w:cs="Times New Roman"/>
        </w:rPr>
        <w:t>the test for whether behaviour or language is offensive is an objective one;</w:t>
      </w:r>
      <w:r w:rsidRPr="003D6B26">
        <w:rPr>
          <w:rStyle w:val="FootnoteReference"/>
          <w:rFonts w:cs="Times New Roman"/>
        </w:rPr>
        <w:footnoteReference w:id="21"/>
      </w:r>
      <w:r w:rsidRPr="003D6B26">
        <w:rPr>
          <w:rFonts w:cs="Times New Roman"/>
        </w:rPr>
        <w:t xml:space="preserve"> that is, the behaviour or language in question must attract the disapproval of the reasonable person. </w:t>
      </w:r>
    </w:p>
    <w:p w14:paraId="6D2D6918" w14:textId="1BD07378" w:rsidR="000B1B2D" w:rsidRPr="003D6B26" w:rsidRDefault="000B1B2D" w:rsidP="000B1B2D">
      <w:pPr>
        <w:spacing w:before="100" w:beforeAutospacing="1" w:after="100" w:afterAutospacing="1"/>
        <w:jc w:val="both"/>
        <w:rPr>
          <w:rFonts w:cs="Times New Roman"/>
          <w:b/>
          <w:bCs/>
          <w:lang w:val="en-US"/>
        </w:rPr>
      </w:pPr>
      <w:r w:rsidRPr="003D6B26">
        <w:rPr>
          <w:rFonts w:cs="Times New Roman"/>
        </w:rPr>
        <w:t>It is not sufficient as Kerr J observed in the decision of</w:t>
      </w:r>
      <w:r w:rsidRPr="003D6B26">
        <w:rPr>
          <w:rFonts w:cs="Times New Roman"/>
          <w:i/>
          <w:iCs/>
        </w:rPr>
        <w:t xml:space="preserve"> Ball v McIntyre </w:t>
      </w:r>
      <w:r w:rsidRPr="003D6B26">
        <w:rPr>
          <w:rFonts w:cs="Times New Roman"/>
        </w:rPr>
        <w:t>for such behaviour to be merely 'hurtful, blameworthy or improper',</w:t>
      </w:r>
      <w:r w:rsidRPr="003D6B26">
        <w:rPr>
          <w:rStyle w:val="FootnoteReference"/>
          <w:rFonts w:cs="Times New Roman"/>
        </w:rPr>
        <w:footnoteReference w:id="22"/>
      </w:r>
      <w:r w:rsidRPr="003D6B26">
        <w:rPr>
          <w:rFonts w:cs="Times New Roman"/>
        </w:rPr>
        <w:t xml:space="preserve"> 'foolish or misguided'</w:t>
      </w:r>
      <w:r w:rsidRPr="003D6B26">
        <w:rPr>
          <w:rStyle w:val="FootnoteReference"/>
          <w:rFonts w:cs="Times New Roman"/>
        </w:rPr>
        <w:footnoteReference w:id="23"/>
      </w:r>
      <w:r w:rsidRPr="003D6B26">
        <w:rPr>
          <w:rFonts w:cs="Times New Roman"/>
        </w:rPr>
        <w:t xml:space="preserve"> or 'a breach of the rules of courtesy or good manners'.</w:t>
      </w:r>
      <w:r w:rsidRPr="003D6B26">
        <w:rPr>
          <w:rStyle w:val="FootnoteReference"/>
          <w:rFonts w:cs="Times New Roman"/>
        </w:rPr>
        <w:footnoteReference w:id="24"/>
      </w:r>
      <w:r w:rsidRPr="003D6B26">
        <w:rPr>
          <w:rFonts w:cs="Times New Roman"/>
        </w:rPr>
        <w:t xml:space="preserve"> But rather be ‘calculated to wound the feeling, arouse anger or resentment or disgust or outrage in the mind of the reasonable person’.</w:t>
      </w:r>
      <w:r w:rsidRPr="003D6B26">
        <w:rPr>
          <w:rStyle w:val="FootnoteReference"/>
          <w:rFonts w:cs="Times New Roman"/>
        </w:rPr>
        <w:t xml:space="preserve"> </w:t>
      </w:r>
      <w:r w:rsidRPr="003D6B26">
        <w:rPr>
          <w:rStyle w:val="FootnoteReference"/>
          <w:rFonts w:cs="Times New Roman"/>
        </w:rPr>
        <w:footnoteReference w:id="25"/>
      </w:r>
      <w:r w:rsidRPr="003D6B26">
        <w:rPr>
          <w:rFonts w:cs="Times New Roman"/>
        </w:rPr>
        <w:t xml:space="preserve"> In short, offensive language or behaviour must arouse a 'significant emotional reaction' to amount to an offence.</w:t>
      </w:r>
      <w:r w:rsidRPr="003D6B26">
        <w:rPr>
          <w:rStyle w:val="FootnoteReference"/>
          <w:rFonts w:cs="Times New Roman"/>
        </w:rPr>
        <w:footnoteReference w:id="26"/>
      </w:r>
      <w:r w:rsidRPr="003D6B26">
        <w:rPr>
          <w:rFonts w:cs="Times New Roman"/>
          <w:b/>
          <w:bCs/>
          <w:lang w:val="en-US"/>
        </w:rPr>
        <w:t xml:space="preserve"> </w:t>
      </w:r>
    </w:p>
    <w:p w14:paraId="0D4190E2" w14:textId="77777777" w:rsidR="00911136" w:rsidRPr="003D6B26" w:rsidRDefault="000B1B2D" w:rsidP="000B1B2D">
      <w:pPr>
        <w:spacing w:before="100" w:beforeAutospacing="1" w:after="100" w:afterAutospacing="1"/>
        <w:jc w:val="both"/>
        <w:rPr>
          <w:rFonts w:cs="Times New Roman"/>
        </w:rPr>
      </w:pPr>
      <w:r w:rsidRPr="003D6B26">
        <w:rPr>
          <w:rFonts w:cs="Times New Roman"/>
        </w:rPr>
        <w:t>As well as being satisfied beyond a reasonable doubt that the language used was offensive, the courts have also made very clear that it is not possible to proscribe a list of words which are always offensive regardless of their context;</w:t>
      </w:r>
      <w:r w:rsidR="00C72085" w:rsidRPr="003D6B26">
        <w:rPr>
          <w:rFonts w:cs="Times New Roman"/>
          <w:sz w:val="16"/>
          <w:szCs w:val="16"/>
        </w:rPr>
        <w:t xml:space="preserve"> </w:t>
      </w:r>
      <w:r w:rsidRPr="003D6B26">
        <w:rPr>
          <w:rFonts w:cs="Times New Roman"/>
        </w:rPr>
        <w:t>rather, all the circumstances -including changing community standards- will need to be taken into account.</w:t>
      </w:r>
      <w:r w:rsidRPr="003D6B26">
        <w:rPr>
          <w:rStyle w:val="FootnoteReference"/>
          <w:rFonts w:cs="Times New Roman"/>
        </w:rPr>
        <w:footnoteReference w:id="27"/>
      </w:r>
      <w:r w:rsidRPr="003D6B26">
        <w:rPr>
          <w:rFonts w:cs="Times New Roman"/>
        </w:rPr>
        <w:t xml:space="preserve"> </w:t>
      </w:r>
    </w:p>
    <w:p w14:paraId="0225A832" w14:textId="275FF85B" w:rsidR="000B1B2D" w:rsidRPr="003D6B26" w:rsidRDefault="000B1B2D" w:rsidP="000B1B2D">
      <w:pPr>
        <w:spacing w:before="100" w:beforeAutospacing="1" w:after="100" w:afterAutospacing="1"/>
        <w:jc w:val="both"/>
        <w:rPr>
          <w:rFonts w:cs="Times New Roman"/>
        </w:rPr>
      </w:pPr>
      <w:r w:rsidRPr="003D6B26">
        <w:rPr>
          <w:rFonts w:cs="Times New Roman"/>
        </w:rPr>
        <w:t xml:space="preserve">For example in </w:t>
      </w:r>
      <w:r w:rsidRPr="003D6B26">
        <w:rPr>
          <w:rFonts w:cs="Times New Roman"/>
          <w:i/>
          <w:lang w:val="en-US"/>
        </w:rPr>
        <w:t>Police v Butler</w:t>
      </w:r>
      <w:r w:rsidRPr="003D6B26">
        <w:rPr>
          <w:rFonts w:cs="Times New Roman"/>
          <w:lang w:val="en-US"/>
        </w:rPr>
        <w:t xml:space="preserve"> [2003] NSWLC 2 the police were called to a </w:t>
      </w:r>
      <w:proofErr w:type="spellStart"/>
      <w:r w:rsidRPr="003D6B26">
        <w:rPr>
          <w:rFonts w:cs="Times New Roman"/>
          <w:lang w:val="en-US"/>
        </w:rPr>
        <w:t>neighbourhood</w:t>
      </w:r>
      <w:proofErr w:type="spellEnd"/>
      <w:r w:rsidRPr="003D6B26">
        <w:rPr>
          <w:rFonts w:cs="Times New Roman"/>
          <w:lang w:val="en-US"/>
        </w:rPr>
        <w:t xml:space="preserve"> dispute. </w:t>
      </w:r>
      <w:r w:rsidRPr="003D6B26">
        <w:rPr>
          <w:rFonts w:eastAsia="Times New Roman" w:cs="Times New Roman"/>
        </w:rPr>
        <w:t>While police were there a number of young people came out the front of the house and began to yell and shout at the occupants of the house next door. The defendant came out on the front porch and shouted at the police and also at the neighbours:</w:t>
      </w:r>
    </w:p>
    <w:p w14:paraId="79B23DFC" w14:textId="77777777" w:rsidR="000B1B2D" w:rsidRPr="003D6B26" w:rsidRDefault="000B1B2D" w:rsidP="000B1B2D">
      <w:pPr>
        <w:spacing w:before="100" w:beforeAutospacing="1" w:after="100" w:afterAutospacing="1"/>
        <w:ind w:left="851" w:right="787"/>
        <w:jc w:val="both"/>
        <w:rPr>
          <w:rFonts w:cs="Times New Roman"/>
          <w:sz w:val="22"/>
          <w:szCs w:val="22"/>
        </w:rPr>
      </w:pPr>
      <w:r w:rsidRPr="003D6B26">
        <w:rPr>
          <w:rFonts w:eastAsia="Times New Roman" w:cs="Times New Roman"/>
          <w:sz w:val="22"/>
          <w:szCs w:val="22"/>
        </w:rPr>
        <w:t xml:space="preserve">“What the </w:t>
      </w:r>
      <w:proofErr w:type="gramStart"/>
      <w:r w:rsidRPr="003D6B26">
        <w:rPr>
          <w:rFonts w:eastAsia="Times New Roman" w:cs="Times New Roman"/>
          <w:sz w:val="22"/>
          <w:szCs w:val="22"/>
        </w:rPr>
        <w:t>fuck are</w:t>
      </w:r>
      <w:proofErr w:type="gramEnd"/>
      <w:r w:rsidRPr="003D6B26">
        <w:rPr>
          <w:rFonts w:eastAsia="Times New Roman" w:cs="Times New Roman"/>
          <w:sz w:val="22"/>
          <w:szCs w:val="22"/>
        </w:rPr>
        <w:t xml:space="preserve"> youse doing here. My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xml:space="preserve">’ son had to get me out of bed. I can’t believe youse are here. What the </w:t>
      </w:r>
      <w:proofErr w:type="gramStart"/>
      <w:r w:rsidRPr="003D6B26">
        <w:rPr>
          <w:rFonts w:eastAsia="Times New Roman" w:cs="Times New Roman"/>
          <w:sz w:val="22"/>
          <w:szCs w:val="22"/>
        </w:rPr>
        <w:t>fuck are</w:t>
      </w:r>
      <w:proofErr w:type="gramEnd"/>
      <w:r w:rsidRPr="003D6B26">
        <w:rPr>
          <w:rFonts w:eastAsia="Times New Roman" w:cs="Times New Roman"/>
          <w:sz w:val="22"/>
          <w:szCs w:val="22"/>
        </w:rPr>
        <w:t xml:space="preserve"> youse doing here” (to the police)</w:t>
      </w:r>
      <w:r w:rsidRPr="003D6B26">
        <w:rPr>
          <w:rFonts w:cs="Times New Roman"/>
          <w:sz w:val="22"/>
          <w:szCs w:val="22"/>
        </w:rPr>
        <w:t xml:space="preserve"> </w:t>
      </w:r>
    </w:p>
    <w:p w14:paraId="4600D2C0" w14:textId="77777777" w:rsidR="000B1B2D" w:rsidRPr="003D6B26" w:rsidRDefault="000B1B2D" w:rsidP="000B1B2D">
      <w:pPr>
        <w:spacing w:before="100" w:beforeAutospacing="1" w:after="100" w:afterAutospacing="1"/>
        <w:ind w:left="851" w:right="787"/>
        <w:jc w:val="both"/>
        <w:rPr>
          <w:rFonts w:cs="Times New Roman"/>
          <w:sz w:val="22"/>
          <w:szCs w:val="22"/>
        </w:rPr>
      </w:pPr>
      <w:r w:rsidRPr="003D6B26">
        <w:rPr>
          <w:rFonts w:eastAsia="Times New Roman" w:cs="Times New Roman"/>
          <w:sz w:val="22"/>
          <w:szCs w:val="22"/>
        </w:rPr>
        <w:t xml:space="preserve">“I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xml:space="preserve">’ know what this is about. Its about that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xml:space="preserve">’ gas bottle. They can get </w:t>
      </w:r>
      <w:proofErr w:type="gramStart"/>
      <w:r w:rsidRPr="003D6B26">
        <w:rPr>
          <w:rFonts w:eastAsia="Times New Roman" w:cs="Times New Roman"/>
          <w:sz w:val="22"/>
          <w:szCs w:val="22"/>
        </w:rPr>
        <w:t>fucked,</w:t>
      </w:r>
      <w:proofErr w:type="gramEnd"/>
      <w:r w:rsidRPr="003D6B26">
        <w:rPr>
          <w:rFonts w:eastAsia="Times New Roman" w:cs="Times New Roman"/>
          <w:sz w:val="22"/>
          <w:szCs w:val="22"/>
        </w:rPr>
        <w:t xml:space="preserve"> I’m not paying them fucking nothing. They can get me our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bottle back” (to the police about the neighbours)</w:t>
      </w:r>
      <w:r w:rsidRPr="003D6B26">
        <w:rPr>
          <w:rFonts w:cs="Times New Roman"/>
          <w:sz w:val="22"/>
          <w:szCs w:val="22"/>
        </w:rPr>
        <w:t xml:space="preserve"> </w:t>
      </w:r>
    </w:p>
    <w:p w14:paraId="28A1F761" w14:textId="77777777" w:rsidR="000B1B2D" w:rsidRPr="003D6B26" w:rsidRDefault="000B1B2D" w:rsidP="000B1B2D">
      <w:pPr>
        <w:spacing w:before="100" w:beforeAutospacing="1" w:after="100" w:afterAutospacing="1"/>
        <w:ind w:left="851" w:right="787"/>
        <w:jc w:val="both"/>
        <w:rPr>
          <w:rFonts w:cs="Times New Roman"/>
          <w:sz w:val="22"/>
          <w:szCs w:val="22"/>
        </w:rPr>
      </w:pPr>
      <w:r w:rsidRPr="003D6B26">
        <w:rPr>
          <w:rFonts w:eastAsia="Times New Roman" w:cs="Times New Roman"/>
          <w:sz w:val="22"/>
          <w:szCs w:val="22"/>
        </w:rPr>
        <w:t xml:space="preserve">“We never had any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xml:space="preserve">’ trouble till youse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xml:space="preserve">’ moved here. Youse have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xml:space="preserve">’ caused this trouble and called the </w:t>
      </w:r>
      <w:proofErr w:type="spellStart"/>
      <w:r w:rsidRPr="003D6B26">
        <w:rPr>
          <w:rFonts w:eastAsia="Times New Roman" w:cs="Times New Roman"/>
          <w:sz w:val="22"/>
          <w:szCs w:val="22"/>
        </w:rPr>
        <w:t>fuckin</w:t>
      </w:r>
      <w:proofErr w:type="spellEnd"/>
      <w:r w:rsidRPr="003D6B26">
        <w:rPr>
          <w:rFonts w:eastAsia="Times New Roman" w:cs="Times New Roman"/>
          <w:sz w:val="22"/>
          <w:szCs w:val="22"/>
        </w:rPr>
        <w:t>’ police on me” (to the neighbours)</w:t>
      </w:r>
    </w:p>
    <w:p w14:paraId="689BFFBB" w14:textId="77777777" w:rsidR="000B1B2D" w:rsidRPr="003D6B26" w:rsidRDefault="000B1B2D" w:rsidP="000B1B2D">
      <w:pPr>
        <w:jc w:val="both"/>
        <w:rPr>
          <w:rFonts w:eastAsia="Times New Roman" w:cs="Times New Roman"/>
          <w:lang w:val="en-US"/>
        </w:rPr>
      </w:pPr>
      <w:r w:rsidRPr="003D6B26">
        <w:rPr>
          <w:rFonts w:eastAsia="Times New Roman" w:cs="Times New Roman"/>
          <w:lang w:val="en-US"/>
        </w:rPr>
        <w:t>Whilst the Magistrate agreed that the language used ‘was ill-advised, rude, and improper conduct’ he was not satisfied beyond a reasonable doubt that it was offensive.</w:t>
      </w:r>
    </w:p>
    <w:p w14:paraId="43AE8B51" w14:textId="77777777" w:rsidR="000B1B2D" w:rsidRPr="003D6B26" w:rsidRDefault="000B1B2D" w:rsidP="000B1B2D">
      <w:pPr>
        <w:rPr>
          <w:rFonts w:eastAsia="Times New Roman" w:cs="Times New Roman"/>
          <w:lang w:val="en-US"/>
        </w:rPr>
      </w:pPr>
    </w:p>
    <w:p w14:paraId="1A2368DC" w14:textId="77777777" w:rsidR="000B1B2D" w:rsidRPr="003D6B26" w:rsidRDefault="000B1B2D" w:rsidP="000B1B2D">
      <w:pPr>
        <w:jc w:val="both"/>
        <w:rPr>
          <w:rFonts w:eastAsia="Times New Roman" w:cs="Times New Roman"/>
          <w:lang w:val="en-US"/>
        </w:rPr>
      </w:pPr>
      <w:r w:rsidRPr="003D6B26">
        <w:rPr>
          <w:rFonts w:cs="Times New Roman"/>
        </w:rPr>
        <w:t xml:space="preserve">The importance of context was also emphasised </w:t>
      </w:r>
      <w:r w:rsidRPr="003D6B26">
        <w:rPr>
          <w:rFonts w:eastAsia="Times New Roman" w:cs="Times New Roman"/>
        </w:rPr>
        <w:t xml:space="preserve">in the ACT Supreme Court decision of </w:t>
      </w:r>
      <w:r w:rsidRPr="003D6B26">
        <w:rPr>
          <w:rFonts w:eastAsia="Times New Roman" w:cs="Times New Roman"/>
          <w:i/>
        </w:rPr>
        <w:t xml:space="preserve">Saunders v </w:t>
      </w:r>
      <w:proofErr w:type="spellStart"/>
      <w:r w:rsidRPr="003D6B26">
        <w:rPr>
          <w:rFonts w:eastAsia="Times New Roman" w:cs="Times New Roman"/>
          <w:i/>
        </w:rPr>
        <w:t>Herold</w:t>
      </w:r>
      <w:proofErr w:type="spellEnd"/>
      <w:r w:rsidRPr="003D6B26">
        <w:rPr>
          <w:rFonts w:eastAsia="Times New Roman" w:cs="Times New Roman"/>
        </w:rPr>
        <w:t xml:space="preserve"> (1991) 105 FLR 1. The accused, an Aboriginal man, and his friends were asked to leave the Canberra Worker’s Club, which they did. Outside, the accused was approached by police, and was alleged to have </w:t>
      </w:r>
      <w:proofErr w:type="gramStart"/>
      <w:r w:rsidRPr="003D6B26">
        <w:rPr>
          <w:rFonts w:eastAsia="Times New Roman" w:cs="Times New Roman"/>
        </w:rPr>
        <w:t>said</w:t>
      </w:r>
      <w:proofErr w:type="gramEnd"/>
      <w:r w:rsidRPr="003D6B26">
        <w:rPr>
          <w:rFonts w:eastAsia="Times New Roman" w:cs="Times New Roman"/>
        </w:rPr>
        <w:t xml:space="preserve"> “Why don’t you cunts just fuck off and leave us alone?” Higgins J quashed the conviction for offensive conduct on the grounds that when all the circumstances of the case were taken into account it did not amount to offensive language:</w:t>
      </w:r>
      <w:r w:rsidRPr="003D6B26">
        <w:rPr>
          <w:rStyle w:val="FootnoteReference"/>
          <w:rFonts w:eastAsia="Times New Roman" w:cs="Times New Roman"/>
        </w:rPr>
        <w:footnoteReference w:id="28"/>
      </w:r>
    </w:p>
    <w:p w14:paraId="5B7A8FDE" w14:textId="77777777" w:rsidR="000B1B2D" w:rsidRPr="003D6B26" w:rsidRDefault="000B1B2D" w:rsidP="000B1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ind w:left="851" w:right="787"/>
        <w:jc w:val="both"/>
        <w:rPr>
          <w:rFonts w:eastAsia="Times New Roman" w:cs="Times New Roman"/>
          <w:sz w:val="22"/>
          <w:szCs w:val="22"/>
        </w:rPr>
      </w:pPr>
      <w:r w:rsidRPr="003D6B26">
        <w:rPr>
          <w:rFonts w:eastAsia="Times New Roman" w:cs="Times New Roman"/>
          <w:sz w:val="22"/>
          <w:szCs w:val="22"/>
        </w:rPr>
        <w:t xml:space="preserve">In this case, the words were vulgar and crude, but understood in the context of a verbal disagreement with the police at 3 am in a deserted street, the </w:t>
      </w:r>
      <w:proofErr w:type="gramStart"/>
      <w:r w:rsidRPr="003D6B26">
        <w:rPr>
          <w:rFonts w:eastAsia="Times New Roman" w:cs="Times New Roman"/>
          <w:sz w:val="22"/>
          <w:szCs w:val="22"/>
        </w:rPr>
        <w:t>conduct could not be regarded by the reasonable bystander as offensive</w:t>
      </w:r>
      <w:proofErr w:type="gramEnd"/>
      <w:r w:rsidRPr="003D6B26">
        <w:rPr>
          <w:rFonts w:eastAsia="Times New Roman" w:cs="Times New Roman"/>
          <w:sz w:val="22"/>
          <w:szCs w:val="22"/>
        </w:rPr>
        <w:t>.</w:t>
      </w:r>
    </w:p>
    <w:p w14:paraId="07EE3096" w14:textId="77777777" w:rsidR="000B1B2D" w:rsidRPr="003D6B26" w:rsidRDefault="000B1B2D" w:rsidP="000B1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ind w:left="851" w:right="787"/>
        <w:rPr>
          <w:rFonts w:eastAsia="Times New Roman" w:cs="Times New Roman"/>
          <w:sz w:val="22"/>
          <w:szCs w:val="22"/>
        </w:rPr>
      </w:pPr>
      <w:r w:rsidRPr="003D6B26">
        <w:rPr>
          <w:rFonts w:eastAsia="Times New Roman" w:cs="Times New Roman"/>
          <w:sz w:val="22"/>
          <w:szCs w:val="22"/>
        </w:rPr>
        <w:t>…</w:t>
      </w:r>
    </w:p>
    <w:p w14:paraId="57CAA469" w14:textId="77777777" w:rsidR="000B1B2D" w:rsidRPr="003D6B26" w:rsidRDefault="000B1B2D" w:rsidP="000B1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ind w:left="851" w:right="787"/>
        <w:jc w:val="both"/>
        <w:rPr>
          <w:rFonts w:eastAsia="Times New Roman" w:cs="Times New Roman"/>
          <w:sz w:val="22"/>
          <w:szCs w:val="22"/>
        </w:rPr>
      </w:pPr>
      <w:r w:rsidRPr="003D6B26">
        <w:rPr>
          <w:rFonts w:cs="Courier"/>
          <w:sz w:val="22"/>
          <w:szCs w:val="22"/>
          <w:lang w:val="en-US"/>
        </w:rPr>
        <w:t>It is enough for present purposes to note that, in the absence of a group of school children, aged pensioners or a congregation of worshippers gathered outside the Canberra Worker's Club, there was not likely to be anyone present who would, rightly or not, be considered by the reasonable bystander to be offended so as to indirectly offend that bystander.  The reasonable bystander would not in the absence of such a person be offended.</w:t>
      </w:r>
    </w:p>
    <w:p w14:paraId="27C79520" w14:textId="77777777" w:rsidR="00911136" w:rsidRPr="003D6B26" w:rsidRDefault="000B1B2D" w:rsidP="000B1B2D">
      <w:pPr>
        <w:spacing w:before="100" w:beforeAutospacing="1" w:after="100" w:afterAutospacing="1"/>
        <w:jc w:val="both"/>
        <w:rPr>
          <w:rFonts w:cs="Times New Roman"/>
        </w:rPr>
      </w:pPr>
      <w:r w:rsidRPr="003D6B26">
        <w:rPr>
          <w:rFonts w:cs="Times New Roman"/>
        </w:rPr>
        <w:t>Additionally, the purpose of offensive language and behaviour offences is to protect the public from unlawful interference not to protect police from insults.</w:t>
      </w:r>
      <w:r w:rsidRPr="003D6B26">
        <w:rPr>
          <w:rStyle w:val="FootnoteReference"/>
          <w:rFonts w:cs="Times New Roman"/>
        </w:rPr>
        <w:footnoteReference w:id="29"/>
      </w:r>
      <w:r w:rsidRPr="003D6B26">
        <w:rPr>
          <w:rFonts w:cs="Times New Roman"/>
        </w:rPr>
        <w:t xml:space="preserve"> </w:t>
      </w:r>
    </w:p>
    <w:p w14:paraId="69E546C7" w14:textId="77777777" w:rsidR="00911136" w:rsidRPr="003D6B26" w:rsidRDefault="000B1B2D" w:rsidP="000B1B2D">
      <w:pPr>
        <w:spacing w:before="100" w:beforeAutospacing="1" w:after="100" w:afterAutospacing="1"/>
        <w:jc w:val="both"/>
        <w:rPr>
          <w:rFonts w:cs="Times New Roman"/>
        </w:rPr>
      </w:pPr>
      <w:r w:rsidRPr="003D6B26">
        <w:rPr>
          <w:rFonts w:cs="Times New Roman"/>
        </w:rPr>
        <w:t>Whilst police officers may argue that as members of the public their enjoyment of public space may have been interfered with, it has often been held that offensive language or behaviour is likely to be 'wearily familiar' to police officers to the extent that it 'will have little emotional impact save that of boredom’.</w:t>
      </w:r>
      <w:r w:rsidRPr="003D6B26">
        <w:rPr>
          <w:rStyle w:val="FootnoteReference"/>
          <w:rFonts w:cs="Times New Roman"/>
        </w:rPr>
        <w:footnoteReference w:id="30"/>
      </w:r>
      <w:r w:rsidRPr="003D6B26">
        <w:rPr>
          <w:rFonts w:cs="Times New Roman"/>
        </w:rPr>
        <w:t xml:space="preserve"> </w:t>
      </w:r>
    </w:p>
    <w:p w14:paraId="735C158E" w14:textId="77777777" w:rsidR="00911136" w:rsidRPr="003D6B26" w:rsidRDefault="000B1B2D" w:rsidP="000B1B2D">
      <w:pPr>
        <w:spacing w:before="100" w:beforeAutospacing="1" w:after="100" w:afterAutospacing="1"/>
        <w:jc w:val="both"/>
        <w:rPr>
          <w:rFonts w:cs="Times New Roman"/>
        </w:rPr>
      </w:pPr>
      <w:r w:rsidRPr="003D6B26">
        <w:rPr>
          <w:rFonts w:cs="Times New Roman"/>
        </w:rPr>
        <w:t>In the case of in</w:t>
      </w:r>
      <w:r w:rsidRPr="003D6B26">
        <w:rPr>
          <w:rFonts w:cs="Times New Roman"/>
          <w:i/>
          <w:iCs/>
        </w:rPr>
        <w:t xml:space="preserve"> Coleman v Power</w:t>
      </w:r>
      <w:r w:rsidRPr="003D6B26">
        <w:rPr>
          <w:rFonts w:cs="Times New Roman"/>
          <w:iCs/>
        </w:rPr>
        <w:t xml:space="preserve"> </w:t>
      </w:r>
      <w:proofErr w:type="spellStart"/>
      <w:r w:rsidRPr="003D6B26">
        <w:rPr>
          <w:rFonts w:cs="Times New Roman"/>
        </w:rPr>
        <w:t>Gummow</w:t>
      </w:r>
      <w:proofErr w:type="spellEnd"/>
      <w:r w:rsidRPr="003D6B26">
        <w:rPr>
          <w:rFonts w:cs="Times New Roman"/>
        </w:rPr>
        <w:t>, Hayne and Kirby JJ agreed that only ‘fighting words’, or words which are intended or likely to provoke unlawful physical retaliation, should amount to an offence</w:t>
      </w:r>
      <w:r w:rsidRPr="003D6B26">
        <w:rPr>
          <w:rStyle w:val="FootnoteReference"/>
          <w:rFonts w:cs="Times New Roman"/>
        </w:rPr>
        <w:footnoteReference w:id="31"/>
      </w:r>
      <w:r w:rsidRPr="003D6B26">
        <w:rPr>
          <w:rFonts w:cs="Times New Roman"/>
        </w:rPr>
        <w:t xml:space="preserve"> </w:t>
      </w:r>
      <w:r w:rsidR="00534908" w:rsidRPr="003D6B26">
        <w:rPr>
          <w:rFonts w:cs="Times New Roman"/>
        </w:rPr>
        <w:t>with a</w:t>
      </w:r>
      <w:r w:rsidRPr="003D6B26">
        <w:rPr>
          <w:rFonts w:cs="Times New Roman"/>
        </w:rPr>
        <w:t xml:space="preserve"> majority of the High Court </w:t>
      </w:r>
      <w:r w:rsidR="00534908" w:rsidRPr="003D6B26">
        <w:rPr>
          <w:rFonts w:cs="Times New Roman"/>
        </w:rPr>
        <w:t xml:space="preserve">finding </w:t>
      </w:r>
      <w:r w:rsidRPr="003D6B26">
        <w:rPr>
          <w:rFonts w:cs="Times New Roman"/>
        </w:rPr>
        <w:t>that merely directing an insult at a police officer will not amount to a criminal offence because such conduct is unlikely to result in a breach of the peace or provoke unlawful physical retaliation</w:t>
      </w:r>
      <w:r w:rsidRPr="003D6B26">
        <w:rPr>
          <w:rFonts w:cs="Times New Roman"/>
          <w:sz w:val="16"/>
          <w:szCs w:val="16"/>
        </w:rPr>
        <w:t>.</w:t>
      </w:r>
      <w:r w:rsidRPr="003D6B26">
        <w:rPr>
          <w:rStyle w:val="FootnoteReference"/>
          <w:rFonts w:cs="Times New Roman"/>
        </w:rPr>
        <w:footnoteReference w:id="32"/>
      </w:r>
      <w:r w:rsidRPr="003D6B26">
        <w:rPr>
          <w:rFonts w:cs="Times New Roman"/>
        </w:rPr>
        <w:t xml:space="preserve"> </w:t>
      </w:r>
    </w:p>
    <w:p w14:paraId="141239A6" w14:textId="2EB3DA1B" w:rsidR="000B1B2D" w:rsidRPr="003D6B26" w:rsidRDefault="000B1B2D" w:rsidP="000B1B2D">
      <w:pPr>
        <w:spacing w:before="100" w:beforeAutospacing="1" w:after="100" w:afterAutospacing="1"/>
        <w:jc w:val="both"/>
        <w:rPr>
          <w:rFonts w:cs="Times New Roman"/>
        </w:rPr>
      </w:pPr>
      <w:r w:rsidRPr="003D6B26">
        <w:rPr>
          <w:rFonts w:cs="Times New Roman"/>
        </w:rPr>
        <w:t>While the judges agreed that police officers must not be expected to be impervious to insult,</w:t>
      </w:r>
      <w:r w:rsidRPr="003D6B26">
        <w:rPr>
          <w:rStyle w:val="FootnoteReference"/>
          <w:rFonts w:cs="Times New Roman"/>
        </w:rPr>
        <w:footnoteReference w:id="33"/>
      </w:r>
      <w:r w:rsidRPr="003D6B26">
        <w:rPr>
          <w:rFonts w:cs="Times New Roman"/>
        </w:rPr>
        <w:t xml:space="preserve"> they remarked that police officers should be 'thick-skinned and broad shouldered in the performance of their duties'</w:t>
      </w:r>
      <w:r w:rsidRPr="003D6B26">
        <w:rPr>
          <w:rStyle w:val="FootnoteReference"/>
          <w:rFonts w:cs="Times New Roman"/>
        </w:rPr>
        <w:footnoteReference w:id="34"/>
      </w:r>
      <w:r w:rsidRPr="003D6B26">
        <w:rPr>
          <w:rFonts w:cs="Times New Roman"/>
          <w:sz w:val="18"/>
          <w:szCs w:val="18"/>
        </w:rPr>
        <w:t xml:space="preserve"> </w:t>
      </w:r>
      <w:r w:rsidRPr="003D6B26">
        <w:rPr>
          <w:rFonts w:cs="Times New Roman"/>
        </w:rPr>
        <w:t>and that they should be expected to 'resist the sting of insults directed to them'.</w:t>
      </w:r>
      <w:r w:rsidRPr="003D6B26">
        <w:rPr>
          <w:rStyle w:val="FootnoteReference"/>
          <w:rFonts w:cs="Times New Roman"/>
        </w:rPr>
        <w:footnoteReference w:id="35"/>
      </w:r>
      <w:r w:rsidRPr="003D6B26">
        <w:rPr>
          <w:rFonts w:cs="Times New Roman"/>
        </w:rPr>
        <w:t xml:space="preserve"> </w:t>
      </w:r>
    </w:p>
    <w:p w14:paraId="44C2F87A" w14:textId="77777777" w:rsidR="00911136" w:rsidRPr="003D6B26" w:rsidRDefault="000B1B2D" w:rsidP="000B1B2D">
      <w:pPr>
        <w:spacing w:before="100" w:beforeAutospacing="1" w:after="100" w:afterAutospacing="1"/>
        <w:jc w:val="both"/>
        <w:rPr>
          <w:rFonts w:cs="Times New Roman"/>
        </w:rPr>
      </w:pPr>
      <w:r w:rsidRPr="003D6B26">
        <w:rPr>
          <w:rFonts w:cs="Times New Roman"/>
        </w:rPr>
        <w:t xml:space="preserve">Despite the high evidentiary standard in proving that language or behaviour is ‘offensive’ and the difficulty police have in demonstrating that insults directed at them amounted to a breach of the peace or provoke unlawful physical retaliation a </w:t>
      </w:r>
      <w:r w:rsidR="00534908" w:rsidRPr="003D6B26">
        <w:rPr>
          <w:rFonts w:cs="Times New Roman"/>
        </w:rPr>
        <w:t xml:space="preserve">significant </w:t>
      </w:r>
      <w:r w:rsidRPr="003D6B26">
        <w:rPr>
          <w:rFonts w:cs="Times New Roman"/>
        </w:rPr>
        <w:t xml:space="preserve">number of offenders continue to be prosecuted in Magistrates Courts throughout Australia. </w:t>
      </w:r>
    </w:p>
    <w:p w14:paraId="1A3A3F31" w14:textId="06C342C8" w:rsidR="000B1B2D" w:rsidRPr="003D6B26" w:rsidRDefault="000B1B2D" w:rsidP="000B1B2D">
      <w:pPr>
        <w:spacing w:before="100" w:beforeAutospacing="1" w:after="100" w:afterAutospacing="1"/>
        <w:jc w:val="both"/>
        <w:rPr>
          <w:rFonts w:cs="Times New Roman"/>
        </w:rPr>
      </w:pPr>
      <w:r w:rsidRPr="003D6B26">
        <w:rPr>
          <w:rFonts w:cs="Times New Roman"/>
        </w:rPr>
        <w:t>Research carried out in Queensland for example demonstrates that a large number of offenders were being prosecuted based solely on language or behaviour directed at police officers leading the author to conclude that ‘enforcement and interpretation of these offences by police and magistrates is not in line with higher court authority’.</w:t>
      </w:r>
      <w:r w:rsidRPr="003D6B26">
        <w:rPr>
          <w:rStyle w:val="FootnoteReference"/>
          <w:rFonts w:cs="Times New Roman"/>
        </w:rPr>
        <w:footnoteReference w:id="36"/>
      </w:r>
      <w:r w:rsidRPr="003D6B26">
        <w:rPr>
          <w:rFonts w:cs="Times New Roman"/>
        </w:rPr>
        <w:t xml:space="preserve"> </w:t>
      </w:r>
    </w:p>
    <w:p w14:paraId="479702E2" w14:textId="639E3B82" w:rsidR="000B1B2D" w:rsidRPr="003D6B26" w:rsidRDefault="000B1B2D" w:rsidP="000B1B2D">
      <w:pPr>
        <w:spacing w:before="100" w:beforeAutospacing="1" w:after="100" w:afterAutospacing="1"/>
        <w:jc w:val="both"/>
        <w:rPr>
          <w:rFonts w:cs="Times New Roman"/>
        </w:rPr>
      </w:pPr>
      <w:r w:rsidRPr="003D6B26">
        <w:rPr>
          <w:rFonts w:cs="Times New Roman"/>
        </w:rPr>
        <w:t>This is supported by TACLC own observations of the Magistrates Court over a tw</w:t>
      </w:r>
      <w:r w:rsidR="0008756E" w:rsidRPr="003D6B26">
        <w:rPr>
          <w:rFonts w:cs="Times New Roman"/>
        </w:rPr>
        <w:t xml:space="preserve">o week period earlier this year, where </w:t>
      </w:r>
      <w:r w:rsidRPr="003D6B26">
        <w:rPr>
          <w:rFonts w:cs="Times New Roman"/>
        </w:rPr>
        <w:t>on a number of occasions it was noted that unrepresented accused were convicted of offensive language offences directed at police officers in circumstances contrary to Australian precedent:</w:t>
      </w:r>
      <w:r w:rsidRPr="003D6B26">
        <w:rPr>
          <w:rStyle w:val="FootnoteReference"/>
          <w:rFonts w:cs="Times New Roman"/>
        </w:rPr>
        <w:footnoteReference w:id="37"/>
      </w:r>
    </w:p>
    <w:p w14:paraId="075667E7" w14:textId="6AC09A72" w:rsidR="000B1B2D" w:rsidRPr="003D6B26" w:rsidRDefault="000B1B2D" w:rsidP="000B1B2D">
      <w:pPr>
        <w:spacing w:before="100" w:beforeAutospacing="1" w:after="100" w:afterAutospacing="1"/>
        <w:ind w:left="851" w:right="787"/>
        <w:jc w:val="both"/>
        <w:rPr>
          <w:rFonts w:cs="Times New Roman"/>
        </w:rPr>
      </w:pPr>
      <w:r w:rsidRPr="003D6B26">
        <w:rPr>
          <w:rFonts w:eastAsia="Times New Roman" w:cs="Times New Roman"/>
          <w:sz w:val="22"/>
          <w:szCs w:val="22"/>
        </w:rPr>
        <w:t xml:space="preserve">In Hobart to celebrate an end-of-year work dinner John and his friends decided to head to a Salamanca nightclub where they intended to continue celebrations. </w:t>
      </w:r>
      <w:r w:rsidR="00E940E1" w:rsidRPr="003D6B26">
        <w:rPr>
          <w:rFonts w:eastAsia="Times New Roman" w:cs="Times New Roman"/>
          <w:sz w:val="22"/>
          <w:szCs w:val="22"/>
        </w:rPr>
        <w:t>After being</w:t>
      </w:r>
      <w:r w:rsidRPr="003D6B26">
        <w:rPr>
          <w:rFonts w:eastAsia="Times New Roman" w:cs="Times New Roman"/>
          <w:sz w:val="22"/>
          <w:szCs w:val="22"/>
        </w:rPr>
        <w:t xml:space="preserve"> refused entry on the grounds that he was too drunk </w:t>
      </w:r>
      <w:r w:rsidR="00E940E1" w:rsidRPr="003D6B26">
        <w:rPr>
          <w:rFonts w:eastAsia="Times New Roman" w:cs="Times New Roman"/>
          <w:sz w:val="22"/>
          <w:szCs w:val="22"/>
        </w:rPr>
        <w:t>John</w:t>
      </w:r>
      <w:r w:rsidRPr="003D6B26">
        <w:rPr>
          <w:rFonts w:eastAsia="Times New Roman" w:cs="Times New Roman"/>
          <w:sz w:val="22"/>
          <w:szCs w:val="22"/>
        </w:rPr>
        <w:t xml:space="preserve"> heatedly sought to plead his case for admittance. A policeman who was in the area asked John to leave</w:t>
      </w:r>
      <w:r w:rsidR="00E940E1" w:rsidRPr="003D6B26">
        <w:rPr>
          <w:rFonts w:eastAsia="Times New Roman" w:cs="Times New Roman"/>
          <w:sz w:val="22"/>
          <w:szCs w:val="22"/>
        </w:rPr>
        <w:t>,</w:t>
      </w:r>
      <w:r w:rsidRPr="003D6B26">
        <w:rPr>
          <w:rFonts w:eastAsia="Times New Roman" w:cs="Times New Roman"/>
          <w:sz w:val="22"/>
          <w:szCs w:val="22"/>
        </w:rPr>
        <w:t xml:space="preserve"> who responded by yelling that he was a “fucking dickhead”. John was arrested and charged with offensive language</w:t>
      </w:r>
      <w:r w:rsidRPr="003D6B26">
        <w:rPr>
          <w:rFonts w:cs="Times New Roman"/>
          <w:sz w:val="22"/>
          <w:szCs w:val="22"/>
          <w:lang w:val="en-US"/>
        </w:rPr>
        <w:t xml:space="preserve">. John </w:t>
      </w:r>
      <w:r w:rsidR="00DB4BE0" w:rsidRPr="003D6B26">
        <w:rPr>
          <w:rFonts w:cs="Times New Roman"/>
          <w:sz w:val="22"/>
          <w:szCs w:val="22"/>
          <w:lang w:val="en-US"/>
        </w:rPr>
        <w:t>was un</w:t>
      </w:r>
      <w:r w:rsidRPr="003D6B26">
        <w:rPr>
          <w:rFonts w:cs="Times New Roman"/>
          <w:sz w:val="22"/>
          <w:szCs w:val="22"/>
          <w:lang w:val="en-US"/>
        </w:rPr>
        <w:t xml:space="preserve">represented at the hearing, pleaded guilty, was convicted and fined $150 plus court costs of $49. </w:t>
      </w:r>
    </w:p>
    <w:p w14:paraId="18DCCD8E" w14:textId="51C02A87" w:rsidR="000B1B2D" w:rsidRPr="003D6B26" w:rsidRDefault="000B1B2D" w:rsidP="000B1B2D">
      <w:pPr>
        <w:spacing w:before="100" w:beforeAutospacing="1" w:after="100" w:afterAutospacing="1"/>
        <w:ind w:left="851" w:right="787"/>
        <w:jc w:val="both"/>
        <w:rPr>
          <w:rFonts w:cs="Times New Roman"/>
          <w:sz w:val="22"/>
          <w:szCs w:val="22"/>
        </w:rPr>
      </w:pPr>
      <w:r w:rsidRPr="003D6B26">
        <w:rPr>
          <w:rFonts w:cs="Times New Roman"/>
          <w:sz w:val="22"/>
          <w:szCs w:val="22"/>
          <w:lang w:val="en-US"/>
        </w:rPr>
        <w:t xml:space="preserve">Michael was walking through Salamanca alone at around 2:00a.m. </w:t>
      </w:r>
      <w:proofErr w:type="gramStart"/>
      <w:r w:rsidRPr="003D6B26">
        <w:rPr>
          <w:rFonts w:cs="Times New Roman"/>
          <w:sz w:val="22"/>
          <w:szCs w:val="22"/>
          <w:lang w:val="en-US"/>
        </w:rPr>
        <w:t>after</w:t>
      </w:r>
      <w:proofErr w:type="gramEnd"/>
      <w:r w:rsidRPr="003D6B26">
        <w:rPr>
          <w:rFonts w:cs="Times New Roman"/>
          <w:sz w:val="22"/>
          <w:szCs w:val="22"/>
          <w:lang w:val="en-US"/>
        </w:rPr>
        <w:t xml:space="preserve"> a night out with friends. He was in high spirits after drinking around ten rum and cokes. On the spur of the moment he yelled out “Fuck the Police” as a group of policemen walked past on the other side of the street. Michael was chased, arrested and charged with offensive language. Michael </w:t>
      </w:r>
      <w:r w:rsidR="00DB4BE0" w:rsidRPr="003D6B26">
        <w:rPr>
          <w:rFonts w:cs="Times New Roman"/>
          <w:sz w:val="22"/>
          <w:szCs w:val="22"/>
          <w:lang w:val="en-US"/>
        </w:rPr>
        <w:t>was un</w:t>
      </w:r>
      <w:r w:rsidRPr="003D6B26">
        <w:rPr>
          <w:rFonts w:cs="Times New Roman"/>
          <w:sz w:val="22"/>
          <w:szCs w:val="22"/>
          <w:lang w:val="en-US"/>
        </w:rPr>
        <w:t>represented at the hearing, pleaded guilty, was convicted and fined $150 plus court costs of $33.60</w:t>
      </w:r>
    </w:p>
    <w:p w14:paraId="69C682BF" w14:textId="14096597" w:rsidR="000B1B2D" w:rsidRPr="003D6B26" w:rsidRDefault="000B1B2D" w:rsidP="000B1B2D">
      <w:pPr>
        <w:spacing w:before="100" w:beforeAutospacing="1" w:after="100" w:afterAutospacing="1"/>
        <w:jc w:val="both"/>
        <w:rPr>
          <w:rFonts w:cs="Times New Roman"/>
        </w:rPr>
      </w:pPr>
      <w:r w:rsidRPr="003D6B26">
        <w:rPr>
          <w:rFonts w:cs="Times New Roman"/>
        </w:rPr>
        <w:t xml:space="preserve">As these two examples highlight, it is difficult to reconcile the offender’s </w:t>
      </w:r>
      <w:r w:rsidR="00E940E1" w:rsidRPr="003D6B26">
        <w:rPr>
          <w:rFonts w:cs="Times New Roman"/>
        </w:rPr>
        <w:t>sentence</w:t>
      </w:r>
      <w:r w:rsidRPr="003D6B26">
        <w:rPr>
          <w:rFonts w:cs="Times New Roman"/>
        </w:rPr>
        <w:t xml:space="preserve"> with the authority of Australia’s appellate courts. Nevertheless, TACLC recommends that the judiciary continue to scrutinise offensive language provisions. This is because whilst matters before the courts are able to be reviewed by judicial officers, defence lawyers and the public </w:t>
      </w:r>
      <w:r w:rsidR="00E940E1" w:rsidRPr="003D6B26">
        <w:rPr>
          <w:rFonts w:cs="Times New Roman"/>
        </w:rPr>
        <w:t xml:space="preserve">it is likely that </w:t>
      </w:r>
      <w:r w:rsidRPr="003D6B26">
        <w:rPr>
          <w:rFonts w:cs="Times New Roman"/>
        </w:rPr>
        <w:t>the introduction of infringement notices will see arbitrariness creep into police decision-makin</w:t>
      </w:r>
      <w:r w:rsidR="0008756E" w:rsidRPr="003D6B26">
        <w:rPr>
          <w:rFonts w:cs="Times New Roman"/>
        </w:rPr>
        <w:t>g with a strong possibility of</w:t>
      </w:r>
      <w:r w:rsidRPr="003D6B26">
        <w:rPr>
          <w:rFonts w:cs="Times New Roman"/>
        </w:rPr>
        <w:t xml:space="preserve"> a more sever sentence. </w:t>
      </w:r>
    </w:p>
    <w:p w14:paraId="123F73D2" w14:textId="38F28599" w:rsidR="00607E2A" w:rsidRPr="003D6B26" w:rsidRDefault="00607E2A" w:rsidP="00607E2A">
      <w:pPr>
        <w:jc w:val="both"/>
      </w:pPr>
      <w:r w:rsidRPr="003D6B26">
        <w:t xml:space="preserve">Again, the data made available by the Department of Justice demonstrates the </w:t>
      </w:r>
      <w:r w:rsidR="0008756E" w:rsidRPr="003D6B26">
        <w:t xml:space="preserve">likelihood </w:t>
      </w:r>
      <w:r w:rsidRPr="003D6B26">
        <w:t xml:space="preserve">of increased harshness with 40 per cent of offenders charged with offensive behaviour and 33 per cent per cent of offenders charged with offensive language during 2010-2011 receiving either a Good Behaviour Bond, a nominal penalty, a recompense order or having no sentence recorded.       </w:t>
      </w:r>
    </w:p>
    <w:p w14:paraId="07003263" w14:textId="7C944D91" w:rsidR="001C634D" w:rsidRPr="003D6B26" w:rsidRDefault="000B1B2D" w:rsidP="00607E2A">
      <w:pPr>
        <w:spacing w:before="100" w:beforeAutospacing="1" w:after="100" w:afterAutospacing="1"/>
        <w:jc w:val="both"/>
        <w:rPr>
          <w:rFonts w:cs="Helvetica"/>
          <w:color w:val="1A1818"/>
          <w:lang w:val="en-US"/>
        </w:rPr>
      </w:pPr>
      <w:r w:rsidRPr="003D6B26">
        <w:rPr>
          <w:rFonts w:cs="Times New Roman"/>
        </w:rPr>
        <w:t>If the evidence from New South Wales is any guide it is likely that the issuance of infringement notices by the police will significantly increase the number of offenders being punished for offensive language or behaviour offences. T</w:t>
      </w:r>
      <w:r w:rsidRPr="003D6B26">
        <w:rPr>
          <w:rFonts w:cs="Helvetica"/>
          <w:color w:val="1A1818"/>
          <w:lang w:val="en-US"/>
        </w:rPr>
        <w:t xml:space="preserve">he introduction of infringement notices in November 2007 resulted in a significant reduction in the number of offenders receiving a warning and a correlating increase in the number of offenders receiving an infringement notice with the </w:t>
      </w:r>
      <w:r w:rsidRPr="003D6B26">
        <w:rPr>
          <w:rFonts w:cs="Helvetica"/>
          <w:i/>
          <w:color w:val="1A1818"/>
          <w:lang w:val="en-US"/>
        </w:rPr>
        <w:t>NSW Bureau of Crime Statistics and Research</w:t>
      </w:r>
      <w:r w:rsidRPr="003D6B26">
        <w:rPr>
          <w:rFonts w:cs="Helvetica"/>
          <w:color w:val="1A1818"/>
          <w:lang w:val="en-US"/>
        </w:rPr>
        <w:t xml:space="preserve"> finding that the number of warnings issued dropped from 15 percent shortly after the infringement notice was introduced to 0.1 percent less than a year later.</w:t>
      </w:r>
      <w:r w:rsidRPr="003D6B26">
        <w:rPr>
          <w:rStyle w:val="FootnoteReference"/>
          <w:rFonts w:cs="Helvetica"/>
          <w:color w:val="1A1818"/>
          <w:lang w:val="en-US"/>
        </w:rPr>
        <w:footnoteReference w:id="38"/>
      </w:r>
    </w:p>
    <w:p w14:paraId="3EBC6463" w14:textId="77777777" w:rsidR="003D6B26" w:rsidRDefault="003D6B26" w:rsidP="00481240">
      <w:pPr>
        <w:jc w:val="both"/>
        <w:rPr>
          <w:b/>
        </w:rPr>
      </w:pPr>
    </w:p>
    <w:p w14:paraId="259EBE00" w14:textId="02460D7F" w:rsidR="00481240" w:rsidRPr="003D6B26" w:rsidRDefault="00911136" w:rsidP="00481240">
      <w:pPr>
        <w:jc w:val="both"/>
        <w:rPr>
          <w:b/>
        </w:rPr>
      </w:pPr>
      <w:r w:rsidRPr="003D6B26">
        <w:rPr>
          <w:b/>
        </w:rPr>
        <w:t>Conclusion</w:t>
      </w:r>
    </w:p>
    <w:p w14:paraId="5DFE089B" w14:textId="77777777" w:rsidR="00911136" w:rsidRPr="003D6B26" w:rsidRDefault="00481240" w:rsidP="00481240">
      <w:pPr>
        <w:jc w:val="both"/>
        <w:rPr>
          <w:rFonts w:eastAsia="Times New Roman" w:cs="Times New Roman"/>
        </w:rPr>
      </w:pPr>
      <w:r w:rsidRPr="003D6B26">
        <w:rPr>
          <w:rFonts w:eastAsia="Times New Roman" w:cs="Times New Roman"/>
        </w:rPr>
        <w:t>This submission has sought to demonstrate that that there should be no extension of the small number of offences currently able to be is</w:t>
      </w:r>
      <w:r w:rsidR="0008756E" w:rsidRPr="003D6B26">
        <w:rPr>
          <w:rFonts w:eastAsia="Times New Roman" w:cs="Times New Roman"/>
        </w:rPr>
        <w:t>sued with an infringement notice in Tasmania</w:t>
      </w:r>
      <w:r w:rsidR="00911136" w:rsidRPr="003D6B26">
        <w:rPr>
          <w:rFonts w:eastAsia="Times New Roman" w:cs="Times New Roman"/>
        </w:rPr>
        <w:t>.</w:t>
      </w:r>
    </w:p>
    <w:p w14:paraId="2536D050" w14:textId="77777777" w:rsidR="00911136" w:rsidRPr="003D6B26" w:rsidRDefault="00911136" w:rsidP="00481240">
      <w:pPr>
        <w:jc w:val="both"/>
        <w:rPr>
          <w:rFonts w:eastAsia="Times New Roman" w:cs="Times New Roman"/>
        </w:rPr>
      </w:pPr>
    </w:p>
    <w:p w14:paraId="7D683914" w14:textId="77777777" w:rsidR="00911136" w:rsidRPr="003D6B26" w:rsidRDefault="00911136" w:rsidP="00481240">
      <w:pPr>
        <w:jc w:val="both"/>
        <w:rPr>
          <w:rFonts w:eastAsia="Times New Roman" w:cs="Times New Roman"/>
        </w:rPr>
      </w:pPr>
      <w:r w:rsidRPr="003D6B26">
        <w:rPr>
          <w:rFonts w:eastAsia="Times New Roman" w:cs="Times New Roman"/>
        </w:rPr>
        <w:t>I</w:t>
      </w:r>
      <w:r w:rsidR="00481240" w:rsidRPr="003D6B26">
        <w:rPr>
          <w:rFonts w:eastAsia="Times New Roman" w:cs="Times New Roman"/>
        </w:rPr>
        <w:t xml:space="preserve">nfringement notices </w:t>
      </w:r>
      <w:r w:rsidR="0063552B" w:rsidRPr="003D6B26">
        <w:rPr>
          <w:rFonts w:eastAsia="Times New Roman" w:cs="Times New Roman"/>
        </w:rPr>
        <w:t xml:space="preserve">have a disproportionate impact on the socially and financially disadvantaged including the poor, the homeless, young people, indigenous persons and people with mental illnesses. Infringement notices also result in a </w:t>
      </w:r>
      <w:r w:rsidR="00481240" w:rsidRPr="003D6B26">
        <w:rPr>
          <w:rFonts w:eastAsia="Times New Roman" w:cs="Times New Roman"/>
        </w:rPr>
        <w:t>lack of judicial and public scrutiny meaning that arbitrary dec</w:t>
      </w:r>
      <w:r w:rsidR="0063552B" w:rsidRPr="003D6B26">
        <w:rPr>
          <w:rFonts w:eastAsia="Times New Roman" w:cs="Times New Roman"/>
        </w:rPr>
        <w:t xml:space="preserve">isions may be made. </w:t>
      </w:r>
    </w:p>
    <w:p w14:paraId="3C4298EA" w14:textId="77777777" w:rsidR="00911136" w:rsidRPr="003D6B26" w:rsidRDefault="00911136" w:rsidP="00481240">
      <w:pPr>
        <w:jc w:val="both"/>
        <w:rPr>
          <w:rFonts w:eastAsia="Times New Roman" w:cs="Times New Roman"/>
        </w:rPr>
      </w:pPr>
    </w:p>
    <w:p w14:paraId="788F41DD" w14:textId="5C443FA7" w:rsidR="00E87411" w:rsidRDefault="00911136" w:rsidP="00AD4B5D">
      <w:pPr>
        <w:jc w:val="both"/>
        <w:rPr>
          <w:rFonts w:eastAsia="Times New Roman" w:cs="Times New Roman"/>
        </w:rPr>
      </w:pPr>
      <w:r w:rsidRPr="003D6B26">
        <w:rPr>
          <w:rFonts w:eastAsia="Times New Roman" w:cs="Times New Roman"/>
        </w:rPr>
        <w:t>A</w:t>
      </w:r>
      <w:r w:rsidR="00481240" w:rsidRPr="003D6B26">
        <w:rPr>
          <w:rFonts w:eastAsia="Times New Roman" w:cs="Times New Roman"/>
        </w:rPr>
        <w:t>ny expansion of the range of offences for which infringement notices may be issued will mean even less consideration is afforded to an offender’s personal circumstances or capacity to pay</w:t>
      </w:r>
      <w:r w:rsidRPr="003D6B26">
        <w:rPr>
          <w:rFonts w:eastAsia="Times New Roman" w:cs="Times New Roman"/>
        </w:rPr>
        <w:t>. As such, the proposed amendments may reduce court time and costs however, will disproportionally increase the financial difficulties of the socially and financially</w:t>
      </w:r>
      <w:r>
        <w:rPr>
          <w:rFonts w:eastAsia="Times New Roman" w:cs="Times New Roman"/>
        </w:rPr>
        <w:t xml:space="preserve"> disadvantaged.</w:t>
      </w:r>
    </w:p>
    <w:p w14:paraId="21C58644" w14:textId="77777777" w:rsidR="00AA0F87" w:rsidRDefault="00AA0F87" w:rsidP="00AD4B5D">
      <w:pPr>
        <w:jc w:val="both"/>
        <w:rPr>
          <w:rFonts w:eastAsia="Times New Roman" w:cs="Times New Roman"/>
        </w:rPr>
      </w:pPr>
    </w:p>
    <w:p w14:paraId="2B4374BF" w14:textId="77777777" w:rsidR="00AA0F87" w:rsidRDefault="00AA0F87" w:rsidP="00AA0F87">
      <w:r w:rsidRPr="00B45FA9">
        <w:t xml:space="preserve">We thank you for your time in considering this submission. </w:t>
      </w:r>
    </w:p>
    <w:p w14:paraId="55E28326" w14:textId="77777777" w:rsidR="00AA0F87" w:rsidRDefault="00AA0F87" w:rsidP="00AA0F87"/>
    <w:p w14:paraId="6DCE38BF" w14:textId="77777777" w:rsidR="00AA0F87" w:rsidRPr="00B45FA9" w:rsidRDefault="00AA0F87" w:rsidP="00AA0F87">
      <w:r w:rsidRPr="00B45FA9">
        <w:t xml:space="preserve">Please do not hesitate to contact us if you have any queries or would like to discuss our submission further. </w:t>
      </w:r>
    </w:p>
    <w:p w14:paraId="1B63DF77" w14:textId="77777777" w:rsidR="00AA0F87" w:rsidRDefault="00AA0F87" w:rsidP="00AA0F87"/>
    <w:p w14:paraId="6180973E" w14:textId="77777777" w:rsidR="00AA0F87" w:rsidRDefault="00AA0F87" w:rsidP="00AA0F87">
      <w:r>
        <w:t>Yours Faithfully,</w:t>
      </w:r>
    </w:p>
    <w:p w14:paraId="1D371C83" w14:textId="77777777" w:rsidR="00AA0F87" w:rsidRDefault="00AA0F87" w:rsidP="00AA0F87"/>
    <w:p w14:paraId="664D9226" w14:textId="77777777" w:rsidR="00AA0F87" w:rsidRDefault="00AA0F87" w:rsidP="00AA0F87"/>
    <w:p w14:paraId="48EC9D5C" w14:textId="77777777" w:rsidR="00AA0F87" w:rsidRDefault="00AA0F87" w:rsidP="00AA0F87"/>
    <w:p w14:paraId="385DBF4B" w14:textId="77777777" w:rsidR="00AA0F87" w:rsidRDefault="00AA0F87" w:rsidP="00AA0F87">
      <w:r>
        <w:t>Benedict Bartl</w:t>
      </w:r>
    </w:p>
    <w:p w14:paraId="7F807729" w14:textId="77777777" w:rsidR="00AA0F87" w:rsidRDefault="00AA0F87" w:rsidP="00AA0F87">
      <w:r>
        <w:t>Policy Officer</w:t>
      </w:r>
    </w:p>
    <w:p w14:paraId="7E6854B4" w14:textId="77777777" w:rsidR="00AA0F87" w:rsidRDefault="00AA0F87" w:rsidP="00AA0F87">
      <w:pPr>
        <w:pBdr>
          <w:bottom w:val="single" w:sz="6" w:space="1" w:color="auto"/>
        </w:pBdr>
      </w:pPr>
      <w:r>
        <w:t>Tasmanian Association of Community Legal Centres</w:t>
      </w:r>
    </w:p>
    <w:p w14:paraId="31BC98EC" w14:textId="77777777" w:rsidR="00AA0F87" w:rsidRPr="00911136" w:rsidRDefault="00AA0F87" w:rsidP="00AD4B5D">
      <w:pPr>
        <w:jc w:val="both"/>
        <w:rPr>
          <w:rFonts w:eastAsia="Times New Roman" w:cs="Times New Roman"/>
        </w:rPr>
      </w:pPr>
    </w:p>
    <w:sectPr w:rsidR="00AA0F87" w:rsidRPr="00911136" w:rsidSect="00E85B02">
      <w:pgSz w:w="11900" w:h="16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36DBD" w14:textId="77777777" w:rsidR="00CE7BEC" w:rsidRDefault="00CE7BEC" w:rsidP="005414AB">
      <w:r>
        <w:separator/>
      </w:r>
    </w:p>
  </w:endnote>
  <w:endnote w:type="continuationSeparator" w:id="0">
    <w:p w14:paraId="23A54E1B" w14:textId="77777777" w:rsidR="00CE7BEC" w:rsidRDefault="00CE7BEC" w:rsidP="0054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w Cen MT Condensed">
    <w:altName w:val="Cochin"/>
    <w:charset w:val="00"/>
    <w:family w:val="swiss"/>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1D908" w14:textId="77777777" w:rsidR="00CE7BEC" w:rsidRDefault="00CE7BEC" w:rsidP="005414AB">
      <w:r>
        <w:separator/>
      </w:r>
    </w:p>
  </w:footnote>
  <w:footnote w:type="continuationSeparator" w:id="0">
    <w:p w14:paraId="17AC78AA" w14:textId="77777777" w:rsidR="00CE7BEC" w:rsidRDefault="00CE7BEC" w:rsidP="005414AB">
      <w:r>
        <w:continuationSeparator/>
      </w:r>
    </w:p>
  </w:footnote>
  <w:footnote w:id="1">
    <w:p w14:paraId="6DBAF1D6" w14:textId="4F1407BE" w:rsidR="00CE7BEC" w:rsidRPr="0008756E" w:rsidRDefault="00CE7BEC" w:rsidP="00B74FCE">
      <w:r w:rsidRPr="0008756E">
        <w:rPr>
          <w:rStyle w:val="FootnoteReference"/>
        </w:rPr>
        <w:footnoteRef/>
      </w:r>
      <w:r w:rsidRPr="0008756E">
        <w:t xml:space="preserve"> </w:t>
      </w:r>
      <w:r w:rsidRPr="0008756E">
        <w:rPr>
          <w:sz w:val="20"/>
          <w:szCs w:val="20"/>
        </w:rPr>
        <w:t xml:space="preserve">See for example section 3 of the </w:t>
      </w:r>
      <w:r w:rsidRPr="0008756E">
        <w:rPr>
          <w:i/>
          <w:sz w:val="20"/>
          <w:szCs w:val="20"/>
        </w:rPr>
        <w:t>Monetary Penalties Enforcement Act 2005</w:t>
      </w:r>
      <w:r w:rsidRPr="0008756E">
        <w:rPr>
          <w:sz w:val="20"/>
          <w:szCs w:val="20"/>
        </w:rPr>
        <w:t xml:space="preserve"> (</w:t>
      </w:r>
      <w:proofErr w:type="spellStart"/>
      <w:r w:rsidRPr="0008756E">
        <w:rPr>
          <w:sz w:val="20"/>
          <w:szCs w:val="20"/>
        </w:rPr>
        <w:t>Tas</w:t>
      </w:r>
      <w:proofErr w:type="spellEnd"/>
      <w:r w:rsidRPr="0008756E">
        <w:rPr>
          <w:sz w:val="20"/>
          <w:szCs w:val="20"/>
        </w:rPr>
        <w:t>).</w:t>
      </w:r>
    </w:p>
  </w:footnote>
  <w:footnote w:id="2">
    <w:p w14:paraId="37DC9E92" w14:textId="77777777" w:rsidR="00CE7BEC" w:rsidRPr="0008756E" w:rsidRDefault="00CE7BEC" w:rsidP="00B74FCE">
      <w:pPr>
        <w:pStyle w:val="FootnoteText"/>
        <w:rPr>
          <w:sz w:val="20"/>
          <w:szCs w:val="20"/>
          <w:lang w:val="en-US"/>
        </w:rPr>
      </w:pPr>
      <w:r w:rsidRPr="0008756E">
        <w:rPr>
          <w:rStyle w:val="FootnoteReference"/>
        </w:rPr>
        <w:footnoteRef/>
      </w:r>
      <w:r w:rsidRPr="0008756E">
        <w:t xml:space="preserve"> </w:t>
      </w:r>
      <w:proofErr w:type="gramStart"/>
      <w:r w:rsidRPr="0008756E">
        <w:rPr>
          <w:sz w:val="20"/>
          <w:szCs w:val="20"/>
          <w:lang w:val="en-US"/>
        </w:rPr>
        <w:t xml:space="preserve">Sections 25, 26 and 61 of the </w:t>
      </w:r>
      <w:r w:rsidRPr="0008756E">
        <w:rPr>
          <w:i/>
          <w:sz w:val="20"/>
          <w:szCs w:val="20"/>
          <w:lang w:val="en-US"/>
        </w:rPr>
        <w:t>Police Offences Act 1935</w:t>
      </w:r>
      <w:r w:rsidRPr="0008756E">
        <w:rPr>
          <w:sz w:val="20"/>
          <w:szCs w:val="20"/>
          <w:lang w:val="en-US"/>
        </w:rPr>
        <w:t xml:space="preserve"> (</w:t>
      </w:r>
      <w:proofErr w:type="spellStart"/>
      <w:r w:rsidRPr="0008756E">
        <w:rPr>
          <w:sz w:val="20"/>
          <w:szCs w:val="20"/>
          <w:lang w:val="en-US"/>
        </w:rPr>
        <w:t>Tas</w:t>
      </w:r>
      <w:proofErr w:type="spellEnd"/>
      <w:r w:rsidRPr="0008756E">
        <w:rPr>
          <w:sz w:val="20"/>
          <w:szCs w:val="20"/>
          <w:lang w:val="en-US"/>
        </w:rPr>
        <w:t>).</w:t>
      </w:r>
      <w:proofErr w:type="gramEnd"/>
      <w:r w:rsidRPr="0008756E">
        <w:rPr>
          <w:lang w:val="en-US"/>
        </w:rPr>
        <w:t xml:space="preserve"> </w:t>
      </w:r>
    </w:p>
  </w:footnote>
  <w:footnote w:id="3">
    <w:p w14:paraId="0258BA38" w14:textId="20ECA6AD" w:rsidR="00CE7BEC" w:rsidRPr="0008756E" w:rsidRDefault="00CE7BEC" w:rsidP="00B74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lang w:val="en-US"/>
        </w:rPr>
      </w:pPr>
      <w:r w:rsidRPr="0008756E">
        <w:rPr>
          <w:rStyle w:val="FootnoteReference"/>
        </w:rPr>
        <w:footnoteRef/>
      </w:r>
      <w:r w:rsidRPr="0008756E">
        <w:t xml:space="preserve"> </w:t>
      </w:r>
      <w:r w:rsidRPr="0008756E">
        <w:rPr>
          <w:sz w:val="20"/>
          <w:szCs w:val="20"/>
        </w:rPr>
        <w:t xml:space="preserve">In New South Wales laws were extended to allow infringement notices to be issued for a number of offences including stealing less than $300 (fine of $300); offensive language ($150) and; offensive behaviour ($200). In Victoria </w:t>
      </w:r>
      <w:r w:rsidRPr="0008756E">
        <w:rPr>
          <w:rFonts w:cs="Times"/>
          <w:color w:val="000000"/>
          <w:sz w:val="20"/>
          <w:szCs w:val="20"/>
          <w:lang w:val="en-US"/>
        </w:rPr>
        <w:t>police are able to issue infringement notices for a number of offences including stealing and weapons possession.</w:t>
      </w:r>
    </w:p>
  </w:footnote>
  <w:footnote w:id="4">
    <w:p w14:paraId="4C86FDB2" w14:textId="7DE9DFDD" w:rsidR="00CE7BEC" w:rsidRPr="0008756E" w:rsidRDefault="00CE7BEC" w:rsidP="00B74FCE">
      <w:pPr>
        <w:rPr>
          <w:sz w:val="20"/>
          <w:szCs w:val="20"/>
        </w:rPr>
      </w:pPr>
      <w:r w:rsidRPr="0008756E">
        <w:rPr>
          <w:rStyle w:val="FootnoteReference"/>
        </w:rPr>
        <w:footnoteRef/>
      </w:r>
      <w:r w:rsidRPr="0008756E">
        <w:t xml:space="preserve"> </w:t>
      </w:r>
      <w:r w:rsidRPr="0008756E">
        <w:rPr>
          <w:sz w:val="20"/>
          <w:szCs w:val="20"/>
        </w:rPr>
        <w:t>Public nuisance offences are generally described as those offences in which a person behaves in a manner that is disorderly, offensive or threatening. Offences may include offensive language or behaviour and drinking in a public space.</w:t>
      </w:r>
    </w:p>
  </w:footnote>
  <w:footnote w:id="5">
    <w:p w14:paraId="71BF7EF0" w14:textId="6372C0DD" w:rsidR="00CE7BEC" w:rsidRPr="0008756E" w:rsidRDefault="00CE7BEC" w:rsidP="00B74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sz w:val="20"/>
          <w:szCs w:val="20"/>
        </w:rPr>
      </w:pPr>
      <w:r w:rsidRPr="0008756E">
        <w:rPr>
          <w:rStyle w:val="FootnoteReference"/>
        </w:rPr>
        <w:footnoteRef/>
      </w:r>
      <w:r w:rsidRPr="0008756E">
        <w:t xml:space="preserve"> </w:t>
      </w:r>
      <w:r w:rsidRPr="0008756E">
        <w:rPr>
          <w:sz w:val="20"/>
          <w:szCs w:val="20"/>
        </w:rPr>
        <w:t>See for example</w:t>
      </w:r>
      <w:r w:rsidRPr="0008756E">
        <w:rPr>
          <w:rFonts w:eastAsia="Times New Roman" w:cs="Times New Roman"/>
          <w:sz w:val="20"/>
          <w:szCs w:val="20"/>
        </w:rPr>
        <w:t xml:space="preserve"> New South Wales Sentencing Council, The Effectiveness of Fines as a Sentencing Option: Court-imposed fines and penalty notices (October 2006); Tamara Walsh, ‘Poverty, Police and the Offence of Public </w:t>
      </w:r>
      <w:proofErr w:type="gramStart"/>
      <w:r w:rsidRPr="0008756E">
        <w:rPr>
          <w:rFonts w:eastAsia="Times New Roman" w:cs="Times New Roman"/>
          <w:sz w:val="20"/>
          <w:szCs w:val="20"/>
        </w:rPr>
        <w:t>Nuisance’(</w:t>
      </w:r>
      <w:proofErr w:type="gramEnd"/>
      <w:r w:rsidRPr="0008756E">
        <w:rPr>
          <w:rFonts w:eastAsia="Times New Roman" w:cs="Times New Roman"/>
          <w:sz w:val="20"/>
          <w:szCs w:val="20"/>
        </w:rPr>
        <w:t xml:space="preserve">2008) 20(2) </w:t>
      </w:r>
      <w:r w:rsidRPr="0008756E">
        <w:rPr>
          <w:rFonts w:eastAsia="Times New Roman" w:cs="Times New Roman"/>
          <w:i/>
          <w:sz w:val="20"/>
          <w:szCs w:val="20"/>
        </w:rPr>
        <w:t>Bond Law Review</w:t>
      </w:r>
      <w:r w:rsidRPr="0008756E">
        <w:rPr>
          <w:rFonts w:eastAsia="Times New Roman" w:cs="Times New Roman"/>
          <w:sz w:val="20"/>
          <w:szCs w:val="20"/>
        </w:rPr>
        <w:t xml:space="preserve"> 1; </w:t>
      </w:r>
      <w:r w:rsidRPr="0008756E">
        <w:rPr>
          <w:rFonts w:cs="Times"/>
          <w:color w:val="000000"/>
          <w:sz w:val="20"/>
          <w:szCs w:val="20"/>
          <w:lang w:val="en-US"/>
        </w:rPr>
        <w:t xml:space="preserve">Tamara Walsh. 'Who is the public in public space?' </w:t>
      </w:r>
      <w:proofErr w:type="gramStart"/>
      <w:r w:rsidRPr="0008756E">
        <w:rPr>
          <w:rFonts w:cs="Times"/>
          <w:color w:val="000000"/>
          <w:sz w:val="20"/>
          <w:szCs w:val="20"/>
          <w:lang w:val="en-US"/>
        </w:rPr>
        <w:t xml:space="preserve">(2004) 29(2) </w:t>
      </w:r>
      <w:r w:rsidRPr="0008756E">
        <w:rPr>
          <w:rFonts w:cs="Times"/>
          <w:i/>
          <w:iCs/>
          <w:color w:val="000000"/>
          <w:sz w:val="20"/>
          <w:szCs w:val="20"/>
          <w:lang w:val="en-US"/>
        </w:rPr>
        <w:t xml:space="preserve">Alternative Law Journal </w:t>
      </w:r>
      <w:r w:rsidRPr="0008756E">
        <w:rPr>
          <w:rFonts w:cs="Times"/>
          <w:color w:val="000000"/>
          <w:sz w:val="20"/>
          <w:szCs w:val="20"/>
          <w:lang w:val="en-US"/>
        </w:rPr>
        <w:t>82</w:t>
      </w:r>
      <w:r w:rsidRPr="0008756E">
        <w:rPr>
          <w:sz w:val="20"/>
          <w:szCs w:val="20"/>
        </w:rPr>
        <w:t>.</w:t>
      </w:r>
      <w:proofErr w:type="gramEnd"/>
      <w:r w:rsidRPr="0008756E">
        <w:rPr>
          <w:sz w:val="20"/>
          <w:szCs w:val="20"/>
        </w:rPr>
        <w:t xml:space="preserve"> </w:t>
      </w:r>
    </w:p>
  </w:footnote>
  <w:footnote w:id="6">
    <w:p w14:paraId="2A09318A" w14:textId="22B5ECBD" w:rsidR="00CE7BEC" w:rsidRPr="0008756E" w:rsidRDefault="00CE7BEC" w:rsidP="00471B7C">
      <w:pPr>
        <w:pStyle w:val="FootnoteText"/>
        <w:rPr>
          <w:lang w:val="en-US"/>
        </w:rPr>
      </w:pPr>
      <w:r w:rsidRPr="0008756E">
        <w:rPr>
          <w:rStyle w:val="FootnoteReference"/>
        </w:rPr>
        <w:footnoteRef/>
      </w:r>
      <w:r w:rsidRPr="0008756E">
        <w:t xml:space="preserve"> </w:t>
      </w:r>
      <w:r w:rsidRPr="0008756E">
        <w:rPr>
          <w:rFonts w:eastAsia="Times New Roman" w:cs="Times New Roman"/>
          <w:sz w:val="20"/>
          <w:szCs w:val="20"/>
        </w:rPr>
        <w:t xml:space="preserve">Tamara Walsh, 'Won't Pay or Can't Pay? Exploring the Use of Fines as a Sentencing Alternative for Public Nuisance Type Offences in Queensland' (2005) 17(2) </w:t>
      </w:r>
      <w:r w:rsidRPr="0008756E">
        <w:rPr>
          <w:rFonts w:eastAsia="Times New Roman" w:cs="Times New Roman"/>
          <w:i/>
          <w:sz w:val="20"/>
          <w:szCs w:val="20"/>
        </w:rPr>
        <w:t>Current Issues in Criminal Justice</w:t>
      </w:r>
      <w:r w:rsidRPr="0008756E">
        <w:rPr>
          <w:rFonts w:eastAsia="Times New Roman" w:cs="Times New Roman"/>
          <w:sz w:val="20"/>
          <w:szCs w:val="20"/>
        </w:rPr>
        <w:t xml:space="preserve"> 217 at 219-221.</w:t>
      </w:r>
    </w:p>
  </w:footnote>
  <w:footnote w:id="7">
    <w:p w14:paraId="46F29AD1" w14:textId="5DD46E1C" w:rsidR="00CE7BEC" w:rsidRPr="0008756E" w:rsidRDefault="00CE7BEC" w:rsidP="00B9221A">
      <w:pPr>
        <w:pStyle w:val="HTMLPreformatted"/>
        <w:rPr>
          <w:rFonts w:asciiTheme="minorHAnsi" w:hAnsiTheme="minorHAnsi"/>
        </w:rPr>
      </w:pPr>
      <w:r w:rsidRPr="0008756E">
        <w:rPr>
          <w:rStyle w:val="FootnoteReference"/>
          <w:rFonts w:asciiTheme="minorHAnsi" w:hAnsiTheme="minorHAnsi"/>
        </w:rPr>
        <w:footnoteRef/>
      </w:r>
      <w:r w:rsidRPr="0008756E">
        <w:rPr>
          <w:rFonts w:asciiTheme="minorHAnsi" w:hAnsiTheme="minorHAnsi"/>
        </w:rPr>
        <w:t xml:space="preserve"> </w:t>
      </w:r>
      <w:r w:rsidRPr="0008756E">
        <w:rPr>
          <w:rFonts w:asciiTheme="minorHAnsi" w:hAnsiTheme="minorHAnsi" w:cs="Times New Roman"/>
          <w:bCs/>
        </w:rPr>
        <w:t xml:space="preserve">Tamara Walsh, ‘Offensive Language, Offensive </w:t>
      </w:r>
      <w:proofErr w:type="spellStart"/>
      <w:r w:rsidRPr="0008756E">
        <w:rPr>
          <w:rFonts w:asciiTheme="minorHAnsi" w:hAnsiTheme="minorHAnsi" w:cs="Times New Roman"/>
          <w:bCs/>
        </w:rPr>
        <w:t>Behaviour</w:t>
      </w:r>
      <w:proofErr w:type="spellEnd"/>
      <w:r w:rsidRPr="0008756E">
        <w:rPr>
          <w:rFonts w:asciiTheme="minorHAnsi" w:hAnsiTheme="minorHAnsi" w:cs="Times New Roman"/>
          <w:bCs/>
        </w:rPr>
        <w:t xml:space="preserve"> and Public Nuisance: Empirical and Theoretical Analyses (2005) 24 </w:t>
      </w:r>
      <w:r w:rsidRPr="0008756E">
        <w:rPr>
          <w:rFonts w:asciiTheme="minorHAnsi" w:hAnsiTheme="minorHAnsi" w:cs="Times New Roman"/>
          <w:bCs/>
          <w:i/>
        </w:rPr>
        <w:t>University of Queensland Law Journal</w:t>
      </w:r>
      <w:r w:rsidRPr="0008756E">
        <w:rPr>
          <w:rFonts w:asciiTheme="minorHAnsi" w:hAnsiTheme="minorHAnsi" w:cs="Times New Roman"/>
          <w:bCs/>
        </w:rPr>
        <w:t xml:space="preserve"> 123, 129-131</w:t>
      </w:r>
      <w:r w:rsidRPr="0008756E">
        <w:rPr>
          <w:rFonts w:asciiTheme="minorHAnsi" w:hAnsiTheme="minorHAnsi" w:cs="Times New Roman"/>
        </w:rPr>
        <w:t xml:space="preserve">; </w:t>
      </w:r>
      <w:r w:rsidRPr="0008756E">
        <w:rPr>
          <w:rFonts w:asciiTheme="minorHAnsi" w:hAnsiTheme="minorHAnsi"/>
        </w:rPr>
        <w:t xml:space="preserve">New South Wales Bureau of Crime Statistics and Research 'Race and Offensive Language Charges', Crime and Justice Statistics (August 1999); </w:t>
      </w:r>
      <w:r w:rsidRPr="0008756E">
        <w:rPr>
          <w:rFonts w:asciiTheme="minorHAnsi" w:hAnsiTheme="minorHAnsi" w:cs="Times"/>
          <w:color w:val="000000"/>
        </w:rPr>
        <w:t xml:space="preserve">Tamara Walsh. 'Who is the public in public space?' </w:t>
      </w:r>
      <w:proofErr w:type="gramStart"/>
      <w:r w:rsidRPr="0008756E">
        <w:rPr>
          <w:rFonts w:asciiTheme="minorHAnsi" w:hAnsiTheme="minorHAnsi" w:cs="Times"/>
          <w:color w:val="000000"/>
        </w:rPr>
        <w:t xml:space="preserve">(2004) 29(2) </w:t>
      </w:r>
      <w:r w:rsidRPr="0008756E">
        <w:rPr>
          <w:rFonts w:asciiTheme="minorHAnsi" w:hAnsiTheme="minorHAnsi" w:cs="Times"/>
          <w:i/>
          <w:iCs/>
          <w:color w:val="000000"/>
        </w:rPr>
        <w:t xml:space="preserve">Alternative Law Journal </w:t>
      </w:r>
      <w:r w:rsidRPr="0008756E">
        <w:rPr>
          <w:rFonts w:asciiTheme="minorHAnsi" w:hAnsiTheme="minorHAnsi" w:cs="Times"/>
          <w:color w:val="000000"/>
        </w:rPr>
        <w:t>82</w:t>
      </w:r>
      <w:r w:rsidRPr="0008756E">
        <w:rPr>
          <w:rFonts w:asciiTheme="minorHAnsi" w:hAnsiTheme="minorHAnsi"/>
        </w:rPr>
        <w:t>.</w:t>
      </w:r>
      <w:proofErr w:type="gramEnd"/>
    </w:p>
  </w:footnote>
  <w:footnote w:id="8">
    <w:p w14:paraId="36CA258E" w14:textId="54C3722C" w:rsidR="00CE7BEC" w:rsidRPr="0008756E" w:rsidRDefault="00CE7BEC" w:rsidP="001151D8">
      <w:pPr>
        <w:pStyle w:val="FootnoteText"/>
        <w:rPr>
          <w:lang w:val="en-US"/>
        </w:rPr>
      </w:pPr>
      <w:r w:rsidRPr="0008756E">
        <w:rPr>
          <w:rStyle w:val="FootnoteReference"/>
        </w:rPr>
        <w:footnoteRef/>
      </w:r>
      <w:r w:rsidRPr="0008756E">
        <w:t xml:space="preserve"> </w:t>
      </w:r>
      <w:r w:rsidRPr="0008756E">
        <w:rPr>
          <w:rFonts w:cs="Times New Roman"/>
          <w:bCs/>
          <w:sz w:val="20"/>
          <w:szCs w:val="20"/>
          <w:lang w:val="en-US"/>
        </w:rPr>
        <w:t xml:space="preserve">Martin </w:t>
      </w:r>
      <w:proofErr w:type="spellStart"/>
      <w:r w:rsidRPr="0008756E">
        <w:rPr>
          <w:rFonts w:cs="Times New Roman"/>
          <w:bCs/>
          <w:sz w:val="20"/>
          <w:szCs w:val="20"/>
          <w:lang w:val="en-US"/>
        </w:rPr>
        <w:t>Friedland</w:t>
      </w:r>
      <w:proofErr w:type="spellEnd"/>
      <w:r w:rsidRPr="0008756E">
        <w:rPr>
          <w:rFonts w:cs="Times New Roman"/>
          <w:bCs/>
          <w:sz w:val="20"/>
          <w:szCs w:val="20"/>
          <w:lang w:val="en-US"/>
        </w:rPr>
        <w:t>, Securing Compliance: Seven Case Studies (University of Toronto Press: 1990) 8</w:t>
      </w:r>
      <w:r w:rsidRPr="0008756E">
        <w:rPr>
          <w:rFonts w:cs="Times New Roman"/>
          <w:sz w:val="20"/>
          <w:szCs w:val="20"/>
          <w:lang w:val="en-US"/>
        </w:rPr>
        <w:t>.</w:t>
      </w:r>
    </w:p>
  </w:footnote>
  <w:footnote w:id="9">
    <w:p w14:paraId="3E5EE61C" w14:textId="7F7CAF7D" w:rsidR="00CE7BEC" w:rsidRPr="0008756E" w:rsidRDefault="00CE7BEC" w:rsidP="00AA0CEE">
      <w:pPr>
        <w:pStyle w:val="FootnoteText"/>
        <w:rPr>
          <w:lang w:val="en-US"/>
        </w:rPr>
      </w:pPr>
      <w:r w:rsidRPr="0008756E">
        <w:rPr>
          <w:rStyle w:val="FootnoteReference"/>
        </w:rPr>
        <w:footnoteRef/>
      </w:r>
      <w:r w:rsidRPr="0008756E">
        <w:t xml:space="preserve"> </w:t>
      </w:r>
      <w:r w:rsidRPr="0008756E">
        <w:rPr>
          <w:sz w:val="20"/>
          <w:szCs w:val="20"/>
        </w:rPr>
        <w:t xml:space="preserve">Adam Crawford, ‘Governing through anti-social behaviour: Regulatory challenges to criminal justice’ (2009) 49 </w:t>
      </w:r>
      <w:r w:rsidRPr="0008756E">
        <w:rPr>
          <w:i/>
          <w:sz w:val="20"/>
          <w:szCs w:val="20"/>
        </w:rPr>
        <w:t>British Journal of Criminology</w:t>
      </w:r>
      <w:r w:rsidRPr="0008756E">
        <w:rPr>
          <w:sz w:val="20"/>
          <w:szCs w:val="20"/>
        </w:rPr>
        <w:t xml:space="preserve"> 810-831, 821. Similarly, a review carried out of the infringement system in Scotland between April 2007 and March 2009 concluded that the issuing of infringement notices led to an increased number of offenders being formally sanctioned including ‘occasions when police would have previously dealt with the offence informally, by warning the offender’: Ben Cavanagh, ‘A Review of Fixed Penalty Notices (FPNs) for Anti-Social Behaviour’ (Scottish Government Social Research, 2009) 6. </w:t>
      </w:r>
      <w:r w:rsidRPr="0008756E">
        <w:t xml:space="preserve"> </w:t>
      </w:r>
      <w:r w:rsidRPr="0008756E">
        <w:rPr>
          <w:sz w:val="20"/>
          <w:szCs w:val="20"/>
        </w:rPr>
        <w:t xml:space="preserve">  </w:t>
      </w:r>
    </w:p>
  </w:footnote>
  <w:footnote w:id="10">
    <w:p w14:paraId="69462B02" w14:textId="77777777" w:rsidR="00CE7BEC" w:rsidRPr="0008756E" w:rsidRDefault="00CE7BEC" w:rsidP="008F223D">
      <w:pPr>
        <w:pStyle w:val="FootnoteText"/>
        <w:rPr>
          <w:lang w:val="en-US"/>
        </w:rPr>
      </w:pPr>
      <w:r w:rsidRPr="0008756E">
        <w:rPr>
          <w:rStyle w:val="FootnoteReference"/>
        </w:rPr>
        <w:footnoteRef/>
      </w:r>
      <w:r w:rsidRPr="0008756E">
        <w:t xml:space="preserve"> </w:t>
      </w:r>
      <w:proofErr w:type="gramStart"/>
      <w:r w:rsidRPr="0008756E">
        <w:rPr>
          <w:sz w:val="20"/>
          <w:szCs w:val="20"/>
          <w:lang w:val="en-US"/>
        </w:rPr>
        <w:t xml:space="preserve">Section 7 of the </w:t>
      </w:r>
      <w:r w:rsidRPr="0008756E">
        <w:rPr>
          <w:i/>
          <w:sz w:val="20"/>
          <w:szCs w:val="20"/>
          <w:lang w:val="en-US"/>
        </w:rPr>
        <w:t>Sentencing Act 1997</w:t>
      </w:r>
      <w:r w:rsidRPr="0008756E">
        <w:rPr>
          <w:sz w:val="20"/>
          <w:szCs w:val="20"/>
          <w:lang w:val="en-US"/>
        </w:rPr>
        <w:t xml:space="preserve"> (</w:t>
      </w:r>
      <w:proofErr w:type="spellStart"/>
      <w:r w:rsidRPr="0008756E">
        <w:rPr>
          <w:sz w:val="20"/>
          <w:szCs w:val="20"/>
          <w:lang w:val="en-US"/>
        </w:rPr>
        <w:t>Tas</w:t>
      </w:r>
      <w:proofErr w:type="spellEnd"/>
      <w:r w:rsidRPr="0008756E">
        <w:rPr>
          <w:sz w:val="20"/>
          <w:szCs w:val="20"/>
          <w:lang w:val="en-US"/>
        </w:rPr>
        <w:t>).</w:t>
      </w:r>
      <w:proofErr w:type="gramEnd"/>
    </w:p>
  </w:footnote>
  <w:footnote w:id="11">
    <w:p w14:paraId="5A26EA66" w14:textId="3925AF5F" w:rsidR="00CE7BEC" w:rsidRPr="0008756E" w:rsidRDefault="00CE7BEC" w:rsidP="00511AE2">
      <w:pPr>
        <w:rPr>
          <w:sz w:val="20"/>
          <w:szCs w:val="20"/>
          <w:lang w:val="en-US"/>
        </w:rPr>
      </w:pPr>
      <w:r w:rsidRPr="0008756E">
        <w:rPr>
          <w:rStyle w:val="FootnoteReference"/>
        </w:rPr>
        <w:footnoteRef/>
      </w:r>
      <w:r w:rsidRPr="0008756E">
        <w:t xml:space="preserve"> </w:t>
      </w:r>
      <w:r w:rsidRPr="0008756E">
        <w:rPr>
          <w:rFonts w:eastAsia="Times New Roman" w:cs="Arial"/>
          <w:color w:val="000000"/>
          <w:sz w:val="20"/>
          <w:szCs w:val="20"/>
        </w:rPr>
        <w:t xml:space="preserve">See for example </w:t>
      </w:r>
      <w:proofErr w:type="spellStart"/>
      <w:r w:rsidRPr="0008756E">
        <w:rPr>
          <w:rFonts w:eastAsia="Times New Roman"/>
          <w:i/>
          <w:iCs/>
          <w:sz w:val="20"/>
          <w:szCs w:val="20"/>
        </w:rPr>
        <w:t>Veen</w:t>
      </w:r>
      <w:proofErr w:type="spellEnd"/>
      <w:r w:rsidRPr="0008756E">
        <w:rPr>
          <w:rFonts w:eastAsia="Times New Roman"/>
          <w:i/>
          <w:iCs/>
          <w:sz w:val="20"/>
          <w:szCs w:val="20"/>
        </w:rPr>
        <w:t xml:space="preserve"> v The Queen </w:t>
      </w:r>
      <w:r w:rsidRPr="0008756E">
        <w:rPr>
          <w:sz w:val="20"/>
          <w:szCs w:val="20"/>
          <w:lang w:val="en-US"/>
        </w:rPr>
        <w:t xml:space="preserve"> (1979) 143 CLR 458; </w:t>
      </w:r>
      <w:proofErr w:type="spellStart"/>
      <w:r w:rsidRPr="0008756E">
        <w:rPr>
          <w:rFonts w:eastAsia="Times New Roman"/>
          <w:i/>
          <w:iCs/>
          <w:sz w:val="20"/>
          <w:szCs w:val="20"/>
        </w:rPr>
        <w:t>Veen</w:t>
      </w:r>
      <w:proofErr w:type="spellEnd"/>
      <w:r w:rsidRPr="0008756E">
        <w:rPr>
          <w:rFonts w:eastAsia="Times New Roman"/>
          <w:i/>
          <w:iCs/>
          <w:sz w:val="20"/>
          <w:szCs w:val="20"/>
        </w:rPr>
        <w:t xml:space="preserve"> v The Queen</w:t>
      </w:r>
      <w:r w:rsidRPr="0008756E">
        <w:rPr>
          <w:rFonts w:eastAsia="Times New Roman"/>
          <w:sz w:val="20"/>
          <w:szCs w:val="20"/>
        </w:rPr>
        <w:t xml:space="preserve"> </w:t>
      </w:r>
      <w:r w:rsidRPr="0008756E">
        <w:rPr>
          <w:rFonts w:eastAsia="Times New Roman"/>
          <w:i/>
          <w:iCs/>
          <w:sz w:val="20"/>
          <w:szCs w:val="20"/>
        </w:rPr>
        <w:t>(No 2)</w:t>
      </w:r>
      <w:r w:rsidRPr="0008756E">
        <w:rPr>
          <w:sz w:val="20"/>
          <w:szCs w:val="20"/>
          <w:lang w:val="en-US"/>
        </w:rPr>
        <w:t xml:space="preserve"> (1988) 164 CLR 465; </w:t>
      </w:r>
      <w:r w:rsidRPr="0008756E">
        <w:rPr>
          <w:rFonts w:eastAsia="Times New Roman" w:cs="Arial"/>
          <w:color w:val="000000"/>
          <w:sz w:val="20"/>
          <w:szCs w:val="20"/>
        </w:rPr>
        <w:t xml:space="preserve">R Fox, ‘The Meaning of Proportionality in Sentencing’ (1994) 19 </w:t>
      </w:r>
      <w:r w:rsidRPr="0008756E">
        <w:rPr>
          <w:rFonts w:eastAsia="Times New Roman" w:cs="Arial"/>
          <w:i/>
          <w:iCs/>
          <w:color w:val="000000"/>
          <w:sz w:val="20"/>
          <w:szCs w:val="20"/>
        </w:rPr>
        <w:t>Melbourne University Law Review</w:t>
      </w:r>
      <w:r w:rsidRPr="0008756E">
        <w:rPr>
          <w:rFonts w:eastAsia="Times New Roman" w:cs="Arial"/>
          <w:color w:val="000000"/>
          <w:sz w:val="20"/>
          <w:szCs w:val="20"/>
        </w:rPr>
        <w:t xml:space="preserve"> 489.</w:t>
      </w:r>
    </w:p>
  </w:footnote>
  <w:footnote w:id="12">
    <w:p w14:paraId="1C1F69A4" w14:textId="3D6972B4" w:rsidR="00CE7BEC" w:rsidRPr="0008756E" w:rsidRDefault="00CE7BEC" w:rsidP="00547C07">
      <w:pPr>
        <w:pStyle w:val="FootnoteText"/>
      </w:pPr>
      <w:r w:rsidRPr="0008756E">
        <w:rPr>
          <w:rStyle w:val="FootnoteReference"/>
        </w:rPr>
        <w:footnoteRef/>
      </w:r>
      <w:r w:rsidRPr="0008756E">
        <w:t xml:space="preserve"> </w:t>
      </w:r>
      <w:r w:rsidRPr="0008756E">
        <w:rPr>
          <w:sz w:val="20"/>
          <w:szCs w:val="20"/>
        </w:rPr>
        <w:t>And in circumstances where the offender is unable to pay the infringement notice/s costs will accumulate with Tasmania’s Monetary Penalties Enforcement Service adding an extra $65 to the original notice.</w:t>
      </w:r>
      <w:r w:rsidRPr="0008756E">
        <w:t xml:space="preserve"> </w:t>
      </w:r>
    </w:p>
  </w:footnote>
  <w:footnote w:id="13">
    <w:p w14:paraId="25E6C7D5" w14:textId="24144428" w:rsidR="00CE7BEC" w:rsidRPr="0008756E" w:rsidRDefault="00CE7BEC" w:rsidP="002E04F8">
      <w:pPr>
        <w:pStyle w:val="FootnoteText"/>
        <w:ind w:right="-772"/>
        <w:rPr>
          <w:sz w:val="20"/>
        </w:rPr>
      </w:pPr>
      <w:r w:rsidRPr="0008756E">
        <w:rPr>
          <w:rStyle w:val="FootnoteReference"/>
        </w:rPr>
        <w:footnoteRef/>
      </w:r>
      <w:r w:rsidRPr="0008756E">
        <w:rPr>
          <w:sz w:val="20"/>
        </w:rPr>
        <w:t xml:space="preserve"> </w:t>
      </w:r>
      <w:proofErr w:type="gramStart"/>
      <w:r w:rsidRPr="0008756E">
        <w:rPr>
          <w:i/>
          <w:sz w:val="20"/>
        </w:rPr>
        <w:t>Broughton v Lowe</w:t>
      </w:r>
      <w:r w:rsidRPr="0008756E">
        <w:rPr>
          <w:sz w:val="20"/>
        </w:rPr>
        <w:t xml:space="preserve"> [1979] </w:t>
      </w:r>
      <w:proofErr w:type="spellStart"/>
      <w:r w:rsidRPr="0008756E">
        <w:rPr>
          <w:sz w:val="20"/>
        </w:rPr>
        <w:t>Tas</w:t>
      </w:r>
      <w:proofErr w:type="spellEnd"/>
      <w:r w:rsidRPr="0008756E">
        <w:rPr>
          <w:sz w:val="20"/>
        </w:rPr>
        <w:t xml:space="preserve"> R (NC 7) Serial No 7/1979.</w:t>
      </w:r>
      <w:proofErr w:type="gramEnd"/>
    </w:p>
  </w:footnote>
  <w:footnote w:id="14">
    <w:p w14:paraId="223A154E" w14:textId="77777777" w:rsidR="00CE7BEC" w:rsidRPr="0008756E" w:rsidRDefault="00CE7BEC" w:rsidP="0042651A">
      <w:r w:rsidRPr="0008756E">
        <w:rPr>
          <w:rStyle w:val="FootnoteReference"/>
        </w:rPr>
        <w:footnoteRef/>
      </w:r>
      <w:r w:rsidRPr="0008756E">
        <w:t xml:space="preserve"> </w:t>
      </w:r>
      <w:r w:rsidRPr="0008756E">
        <w:rPr>
          <w:sz w:val="20"/>
          <w:szCs w:val="20"/>
        </w:rPr>
        <w:t xml:space="preserve">See for example Gary Slapper, ‘Pay-as-you-Go Street Justice’ (2010) 74(1) </w:t>
      </w:r>
      <w:r w:rsidRPr="0008756E">
        <w:rPr>
          <w:i/>
          <w:sz w:val="20"/>
          <w:szCs w:val="20"/>
        </w:rPr>
        <w:t>Journal of Criminal Law</w:t>
      </w:r>
      <w:r w:rsidRPr="0008756E">
        <w:rPr>
          <w:sz w:val="20"/>
          <w:szCs w:val="20"/>
        </w:rPr>
        <w:t xml:space="preserve"> 1, 1.</w:t>
      </w:r>
      <w:r w:rsidRPr="0008756E">
        <w:t xml:space="preserve"> </w:t>
      </w:r>
    </w:p>
  </w:footnote>
  <w:footnote w:id="15">
    <w:p w14:paraId="7E3A1669" w14:textId="47EE8197" w:rsidR="00CE7BEC" w:rsidRPr="0008756E" w:rsidRDefault="00CE7BEC" w:rsidP="00823796">
      <w:pPr>
        <w:pStyle w:val="FootnoteText"/>
        <w:rPr>
          <w:lang w:val="en-US"/>
        </w:rPr>
      </w:pPr>
      <w:r w:rsidRPr="0008756E">
        <w:rPr>
          <w:rStyle w:val="FootnoteReference"/>
        </w:rPr>
        <w:footnoteRef/>
      </w:r>
      <w:r w:rsidRPr="0008756E">
        <w:t xml:space="preserve"> </w:t>
      </w:r>
      <w:r w:rsidRPr="0008756E">
        <w:rPr>
          <w:rFonts w:cs="Times New Roman"/>
          <w:bCs/>
          <w:sz w:val="20"/>
          <w:szCs w:val="20"/>
          <w:lang w:val="en-US"/>
        </w:rPr>
        <w:t xml:space="preserve">Pat O’Malley, ‘Anonymity of electronic fines is liberating for some’ (2010) 48(4) </w:t>
      </w:r>
      <w:r w:rsidRPr="0008756E">
        <w:rPr>
          <w:rFonts w:cs="Times New Roman"/>
          <w:bCs/>
          <w:i/>
          <w:sz w:val="20"/>
          <w:szCs w:val="20"/>
          <w:lang w:val="en-US"/>
        </w:rPr>
        <w:t>Law Society Journal</w:t>
      </w:r>
      <w:r w:rsidRPr="0008756E">
        <w:rPr>
          <w:rFonts w:cs="Times New Roman"/>
          <w:bCs/>
          <w:sz w:val="20"/>
          <w:szCs w:val="20"/>
          <w:lang w:val="en-US"/>
        </w:rPr>
        <w:t xml:space="preserve"> 16-17.</w:t>
      </w:r>
    </w:p>
  </w:footnote>
  <w:footnote w:id="16">
    <w:p w14:paraId="037E5AD6" w14:textId="328DB789" w:rsidR="00CE7BEC" w:rsidRPr="0008756E" w:rsidRDefault="00CE7BEC" w:rsidP="000B1B2D">
      <w:pPr>
        <w:pStyle w:val="FootnoteText"/>
        <w:rPr>
          <w:lang w:val="en-US"/>
        </w:rPr>
      </w:pPr>
      <w:r w:rsidRPr="0008756E">
        <w:rPr>
          <w:rStyle w:val="FootnoteReference"/>
        </w:rPr>
        <w:footnoteRef/>
      </w:r>
      <w:r w:rsidRPr="0008756E">
        <w:t xml:space="preserve"> </w:t>
      </w:r>
      <w:r w:rsidRPr="0008756E">
        <w:rPr>
          <w:sz w:val="20"/>
          <w:szCs w:val="20"/>
        </w:rPr>
        <w:t xml:space="preserve">Offenders aged less than 18 years of age were intentionally not requested. This is because </w:t>
      </w:r>
      <w:r w:rsidRPr="0008756E">
        <w:rPr>
          <w:sz w:val="20"/>
          <w:szCs w:val="20"/>
          <w:lang w:val="en-US"/>
        </w:rPr>
        <w:t>whilst proportionally more likely to have committed the offence of stealing and public nuisance type offences, the Consultation Paper rules them out as persons able to be issued with an infringement notice.</w:t>
      </w:r>
      <w:r w:rsidRPr="0008756E">
        <w:rPr>
          <w:lang w:val="en-US"/>
        </w:rPr>
        <w:t xml:space="preserve"> </w:t>
      </w:r>
    </w:p>
  </w:footnote>
  <w:footnote w:id="17">
    <w:p w14:paraId="5AEC988E" w14:textId="48DA67EC" w:rsidR="00CE7BEC" w:rsidRPr="0008756E" w:rsidRDefault="00CE7BEC" w:rsidP="00044987">
      <w:pPr>
        <w:pStyle w:val="FootnoteText"/>
        <w:rPr>
          <w:lang w:val="en-US"/>
        </w:rPr>
      </w:pPr>
      <w:r w:rsidRPr="0008756E">
        <w:rPr>
          <w:rStyle w:val="FootnoteReference"/>
        </w:rPr>
        <w:footnoteRef/>
      </w:r>
      <w:r w:rsidRPr="0008756E">
        <w:t xml:space="preserve"> </w:t>
      </w:r>
      <w:r w:rsidRPr="0008756E">
        <w:rPr>
          <w:sz w:val="20"/>
          <w:szCs w:val="20"/>
        </w:rPr>
        <w:t xml:space="preserve">Given that 19 per cent of offenders received either a suspended sentence or a term of imprisonment it is suggested that an even larger percentage of offenders received either a Good Behaviour Bond, an order of recompense, a nominal penalty or had no sentence recorded. This is because the Consultation Paper recommends that infringement </w:t>
      </w:r>
      <w:proofErr w:type="gramStart"/>
      <w:r w:rsidRPr="0008756E">
        <w:rPr>
          <w:sz w:val="20"/>
          <w:szCs w:val="20"/>
        </w:rPr>
        <w:t>notices</w:t>
      </w:r>
      <w:proofErr w:type="gramEnd"/>
      <w:r w:rsidRPr="0008756E">
        <w:rPr>
          <w:sz w:val="20"/>
          <w:szCs w:val="20"/>
        </w:rPr>
        <w:t xml:space="preserve"> not be available to offenders who have committed an offence on three separate occasions. Whilst unclear from the statistical data provided to us, it is suggested that those offenders sentenced to imprisonment or a suspended sentence probably had a criminal history.</w:t>
      </w:r>
    </w:p>
  </w:footnote>
  <w:footnote w:id="18">
    <w:p w14:paraId="3C2E9002" w14:textId="77777777"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sz w:val="20"/>
          <w:szCs w:val="20"/>
          <w:lang w:val="en-US"/>
        </w:rPr>
        <w:t>This offence is punishable by a fine of up to ten penalty units, and/or six months’ jail.</w:t>
      </w:r>
    </w:p>
  </w:footnote>
  <w:footnote w:id="19">
    <w:p w14:paraId="615767BA" w14:textId="77777777" w:rsidR="00CE7BEC" w:rsidRPr="0008756E" w:rsidRDefault="00CE7BEC" w:rsidP="000B1B2D">
      <w:pPr>
        <w:pStyle w:val="FootnoteText"/>
        <w:rPr>
          <w:lang w:val="en-US"/>
        </w:rPr>
      </w:pPr>
      <w:r w:rsidRPr="0008756E">
        <w:rPr>
          <w:rStyle w:val="FootnoteReference"/>
        </w:rPr>
        <w:footnoteRef/>
      </w:r>
      <w:r w:rsidRPr="0008756E">
        <w:t xml:space="preserve"> </w:t>
      </w:r>
      <w:r w:rsidRPr="0008756E">
        <w:rPr>
          <w:sz w:val="20"/>
          <w:szCs w:val="20"/>
        </w:rPr>
        <w:t xml:space="preserve">Section 392 of the </w:t>
      </w:r>
      <w:r w:rsidRPr="0008756E">
        <w:rPr>
          <w:rFonts w:cs="Times New Roman"/>
          <w:i/>
          <w:sz w:val="20"/>
          <w:szCs w:val="20"/>
          <w:lang w:val="en-US"/>
        </w:rPr>
        <w:t>Crimes Act 1900</w:t>
      </w:r>
      <w:r w:rsidRPr="0008756E">
        <w:rPr>
          <w:rFonts w:cs="Times New Roman"/>
          <w:sz w:val="20"/>
          <w:szCs w:val="20"/>
          <w:lang w:val="en-US"/>
        </w:rPr>
        <w:t xml:space="preserve"> (ACT); see also section 4A of the </w:t>
      </w:r>
      <w:r w:rsidRPr="0008756E">
        <w:rPr>
          <w:rFonts w:cs="Times New Roman"/>
          <w:i/>
          <w:sz w:val="20"/>
          <w:szCs w:val="20"/>
          <w:lang w:val="en-US"/>
        </w:rPr>
        <w:t>Summary Offences Act 1988</w:t>
      </w:r>
      <w:r w:rsidRPr="0008756E">
        <w:rPr>
          <w:rFonts w:cs="Times New Roman"/>
          <w:sz w:val="20"/>
          <w:szCs w:val="20"/>
          <w:lang w:val="en-US"/>
        </w:rPr>
        <w:t xml:space="preserve"> (NSW); section 17 of the </w:t>
      </w:r>
      <w:r w:rsidRPr="0008756E">
        <w:rPr>
          <w:rFonts w:cs="Times New Roman"/>
          <w:i/>
          <w:sz w:val="20"/>
          <w:szCs w:val="20"/>
          <w:lang w:val="en-US"/>
        </w:rPr>
        <w:t xml:space="preserve">Summary Offences Act 1966 </w:t>
      </w:r>
      <w:r w:rsidRPr="0008756E">
        <w:rPr>
          <w:rFonts w:cs="Times New Roman"/>
          <w:sz w:val="20"/>
          <w:szCs w:val="20"/>
          <w:lang w:val="en-US"/>
        </w:rPr>
        <w:t xml:space="preserve">(Vic); section 74A of the </w:t>
      </w:r>
      <w:r w:rsidRPr="0008756E">
        <w:rPr>
          <w:rFonts w:cs="Times New Roman"/>
          <w:i/>
          <w:sz w:val="20"/>
          <w:szCs w:val="20"/>
          <w:lang w:val="en-US"/>
        </w:rPr>
        <w:t>Criminal Code Act Compilation Act 1913</w:t>
      </w:r>
      <w:r w:rsidRPr="0008756E">
        <w:rPr>
          <w:rFonts w:cs="Times New Roman"/>
          <w:sz w:val="20"/>
          <w:szCs w:val="20"/>
          <w:lang w:val="en-US"/>
        </w:rPr>
        <w:t xml:space="preserve"> (WA); sections 7 and 22 of the </w:t>
      </w:r>
      <w:r w:rsidRPr="0008756E">
        <w:rPr>
          <w:rFonts w:cs="Times New Roman"/>
          <w:i/>
          <w:sz w:val="20"/>
          <w:szCs w:val="20"/>
          <w:lang w:val="en-US"/>
        </w:rPr>
        <w:t>Summary Offences Act 1953</w:t>
      </w:r>
      <w:r w:rsidRPr="0008756E">
        <w:rPr>
          <w:rFonts w:cs="Times New Roman"/>
          <w:sz w:val="20"/>
          <w:szCs w:val="20"/>
          <w:lang w:val="en-US"/>
        </w:rPr>
        <w:t xml:space="preserve"> (SA); and section 47 of the </w:t>
      </w:r>
      <w:r w:rsidRPr="0008756E">
        <w:rPr>
          <w:rFonts w:cs="Times New Roman"/>
          <w:i/>
          <w:sz w:val="20"/>
          <w:szCs w:val="20"/>
          <w:lang w:val="en-US"/>
        </w:rPr>
        <w:t>Summary Offences Act 1923</w:t>
      </w:r>
      <w:r w:rsidRPr="0008756E">
        <w:rPr>
          <w:rFonts w:cs="Times New Roman"/>
          <w:sz w:val="20"/>
          <w:szCs w:val="20"/>
          <w:lang w:val="en-US"/>
        </w:rPr>
        <w:t xml:space="preserve"> (NT).</w:t>
      </w:r>
    </w:p>
  </w:footnote>
  <w:footnote w:id="20">
    <w:p w14:paraId="713343F4" w14:textId="0285DFB4" w:rsidR="00CE7BEC" w:rsidRPr="0008756E" w:rsidRDefault="00CE7BEC" w:rsidP="000B1B2D">
      <w:pPr>
        <w:pStyle w:val="FootnoteText"/>
        <w:rPr>
          <w:lang w:val="en-US"/>
        </w:rPr>
      </w:pPr>
      <w:r w:rsidRPr="0008756E">
        <w:rPr>
          <w:rStyle w:val="FootnoteReference"/>
        </w:rPr>
        <w:footnoteRef/>
      </w:r>
      <w:r w:rsidRPr="0008756E">
        <w:t xml:space="preserve"> </w:t>
      </w:r>
      <w:r w:rsidRPr="0008756E">
        <w:rPr>
          <w:sz w:val="20"/>
          <w:szCs w:val="20"/>
        </w:rPr>
        <w:t>I</w:t>
      </w:r>
      <w:r w:rsidRPr="0008756E">
        <w:rPr>
          <w:rFonts w:cs="Times New Roman"/>
          <w:sz w:val="20"/>
          <w:szCs w:val="20"/>
          <w:lang w:val="en-US"/>
        </w:rPr>
        <w:t xml:space="preserve">n New South Wales a $200 infringement notice may be imposed for offensive conduct and a $150 infringement notice imposed for offensive language under sections 4 and 4A of the </w:t>
      </w:r>
      <w:r w:rsidRPr="0008756E">
        <w:rPr>
          <w:rFonts w:cs="Times New Roman"/>
          <w:i/>
          <w:sz w:val="20"/>
          <w:szCs w:val="20"/>
          <w:lang w:val="en-US"/>
        </w:rPr>
        <w:t>Summary Offences Act 1988</w:t>
      </w:r>
      <w:r w:rsidRPr="0008756E">
        <w:rPr>
          <w:rFonts w:cs="Times New Roman"/>
          <w:sz w:val="20"/>
          <w:szCs w:val="20"/>
          <w:lang w:val="en-US"/>
        </w:rPr>
        <w:t xml:space="preserve"> (NSW); section 333 of the </w:t>
      </w:r>
      <w:r w:rsidRPr="0008756E">
        <w:rPr>
          <w:rFonts w:cs="Times New Roman"/>
          <w:i/>
          <w:sz w:val="20"/>
          <w:szCs w:val="20"/>
          <w:lang w:val="en-US"/>
        </w:rPr>
        <w:t>Criminal Procedure Act 1986</w:t>
      </w:r>
      <w:r w:rsidRPr="0008756E">
        <w:rPr>
          <w:rFonts w:cs="Times New Roman"/>
          <w:sz w:val="20"/>
          <w:szCs w:val="20"/>
          <w:lang w:val="en-US"/>
        </w:rPr>
        <w:t xml:space="preserve"> (NSW). </w:t>
      </w:r>
      <w:r w:rsidRPr="0008756E">
        <w:rPr>
          <w:sz w:val="20"/>
          <w:szCs w:val="20"/>
        </w:rPr>
        <w:t>Whilst in Victoria a $600 infringement notice may be issued under s</w:t>
      </w:r>
      <w:proofErr w:type="spellStart"/>
      <w:r w:rsidRPr="0008756E">
        <w:rPr>
          <w:rFonts w:cs="Times New Roman"/>
          <w:sz w:val="20"/>
          <w:szCs w:val="20"/>
          <w:lang w:val="en-US"/>
        </w:rPr>
        <w:t>ections</w:t>
      </w:r>
      <w:proofErr w:type="spellEnd"/>
      <w:r w:rsidRPr="0008756E">
        <w:rPr>
          <w:rFonts w:cs="Times New Roman"/>
          <w:sz w:val="20"/>
          <w:szCs w:val="20"/>
          <w:lang w:val="en-US"/>
        </w:rPr>
        <w:t xml:space="preserve"> 17 and 60AA of the </w:t>
      </w:r>
      <w:r w:rsidRPr="0008756E">
        <w:rPr>
          <w:rFonts w:cs="Times New Roman"/>
          <w:i/>
          <w:sz w:val="20"/>
          <w:szCs w:val="20"/>
          <w:lang w:val="en-US"/>
        </w:rPr>
        <w:t xml:space="preserve">Summary Offences Act 1966 </w:t>
      </w:r>
      <w:r w:rsidRPr="0008756E">
        <w:rPr>
          <w:rFonts w:cs="Times New Roman"/>
          <w:sz w:val="20"/>
          <w:szCs w:val="20"/>
          <w:lang w:val="en-US"/>
        </w:rPr>
        <w:t>(Vic).</w:t>
      </w:r>
    </w:p>
  </w:footnote>
  <w:footnote w:id="21">
    <w:p w14:paraId="0A00CC5D" w14:textId="5249D444"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i/>
          <w:iCs/>
          <w:sz w:val="20"/>
          <w:szCs w:val="20"/>
        </w:rPr>
        <w:t>Connolly v Willis</w:t>
      </w:r>
      <w:r w:rsidRPr="0008756E">
        <w:rPr>
          <w:rFonts w:cs="Times New Roman"/>
          <w:sz w:val="20"/>
          <w:szCs w:val="20"/>
        </w:rPr>
        <w:t xml:space="preserve"> [1984] 1 NSWLR 373, 378:</w:t>
      </w:r>
      <w:r w:rsidRPr="0008756E">
        <w:rPr>
          <w:rFonts w:cs="Times New Roman"/>
          <w:i/>
          <w:iCs/>
          <w:sz w:val="20"/>
          <w:szCs w:val="20"/>
        </w:rPr>
        <w:t xml:space="preserve"> Coleman v Power</w:t>
      </w:r>
      <w:r w:rsidRPr="0008756E">
        <w:rPr>
          <w:rFonts w:cs="Times New Roman"/>
          <w:sz w:val="20"/>
          <w:szCs w:val="20"/>
        </w:rPr>
        <w:t xml:space="preserve"> (2004) 209 ALR 182 at 262 per </w:t>
      </w:r>
      <w:proofErr w:type="spellStart"/>
      <w:r w:rsidRPr="0008756E">
        <w:rPr>
          <w:rFonts w:cs="Times New Roman"/>
          <w:sz w:val="20"/>
          <w:szCs w:val="20"/>
        </w:rPr>
        <w:t>Heydon</w:t>
      </w:r>
      <w:proofErr w:type="spellEnd"/>
      <w:r w:rsidRPr="0008756E">
        <w:rPr>
          <w:rFonts w:cs="Times New Roman"/>
          <w:sz w:val="20"/>
          <w:szCs w:val="20"/>
        </w:rPr>
        <w:t xml:space="preserve"> J. The question of whether certain language or behaviour is offensive is a question of fact to be determined by the magistrate: see</w:t>
      </w:r>
      <w:r w:rsidRPr="0008756E">
        <w:rPr>
          <w:rFonts w:cs="Times New Roman"/>
          <w:i/>
          <w:iCs/>
          <w:sz w:val="20"/>
          <w:szCs w:val="20"/>
        </w:rPr>
        <w:t xml:space="preserve"> Barrington v Austin &amp; Others</w:t>
      </w:r>
      <w:r w:rsidRPr="0008756E">
        <w:rPr>
          <w:rFonts w:cs="Times New Roman"/>
          <w:sz w:val="20"/>
          <w:szCs w:val="20"/>
        </w:rPr>
        <w:t xml:space="preserve"> [1939] SASR 130</w:t>
      </w:r>
      <w:proofErr w:type="gramStart"/>
      <w:r w:rsidRPr="0008756E">
        <w:rPr>
          <w:rFonts w:cs="Times New Roman"/>
          <w:sz w:val="20"/>
          <w:szCs w:val="20"/>
        </w:rPr>
        <w:t>;</w:t>
      </w:r>
      <w:proofErr w:type="gramEnd"/>
      <w:r w:rsidRPr="0008756E">
        <w:rPr>
          <w:rFonts w:cs="Times New Roman"/>
          <w:i/>
          <w:iCs/>
          <w:sz w:val="20"/>
          <w:szCs w:val="20"/>
        </w:rPr>
        <w:t xml:space="preserve"> Humphries v Smith</w:t>
      </w:r>
      <w:r w:rsidRPr="0008756E">
        <w:rPr>
          <w:rFonts w:cs="Times New Roman"/>
          <w:sz w:val="20"/>
          <w:szCs w:val="20"/>
        </w:rPr>
        <w:t xml:space="preserve"> [1963] Qd R 67 per Mansfield CJ.</w:t>
      </w:r>
    </w:p>
  </w:footnote>
  <w:footnote w:id="22">
    <w:p w14:paraId="5BACBEE3" w14:textId="5DCE1A97"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sz w:val="20"/>
          <w:szCs w:val="20"/>
        </w:rPr>
        <w:t xml:space="preserve">[1966] </w:t>
      </w:r>
      <w:proofErr w:type="gramStart"/>
      <w:r w:rsidRPr="0008756E">
        <w:rPr>
          <w:rFonts w:cs="Times New Roman"/>
          <w:sz w:val="20"/>
          <w:szCs w:val="20"/>
        </w:rPr>
        <w:t>9 FLR 237at 241 per Kerr J.</w:t>
      </w:r>
      <w:proofErr w:type="gramEnd"/>
    </w:p>
  </w:footnote>
  <w:footnote w:id="23">
    <w:p w14:paraId="0D23DFA9" w14:textId="7922D91C" w:rsidR="00CE7BEC" w:rsidRPr="0008756E" w:rsidRDefault="00CE7BEC" w:rsidP="000B1B2D">
      <w:pPr>
        <w:pStyle w:val="FootnoteText"/>
        <w:rPr>
          <w:lang w:val="en-US"/>
        </w:rPr>
      </w:pPr>
      <w:r w:rsidRPr="0008756E">
        <w:rPr>
          <w:rStyle w:val="FootnoteReference"/>
        </w:rPr>
        <w:footnoteRef/>
      </w:r>
      <w:r w:rsidRPr="0008756E">
        <w:t xml:space="preserve"> </w:t>
      </w:r>
      <w:proofErr w:type="gramStart"/>
      <w:r w:rsidRPr="0008756E">
        <w:rPr>
          <w:rFonts w:cs="Times New Roman"/>
          <w:sz w:val="20"/>
          <w:szCs w:val="20"/>
        </w:rPr>
        <w:t>[1966] 9 FLR 237 at 244 per Kerr J.</w:t>
      </w:r>
      <w:proofErr w:type="gramEnd"/>
    </w:p>
  </w:footnote>
  <w:footnote w:id="24">
    <w:p w14:paraId="34481E07" w14:textId="2A2DF681" w:rsidR="00CE7BEC" w:rsidRPr="0008756E" w:rsidRDefault="00CE7BEC" w:rsidP="000B1B2D">
      <w:pPr>
        <w:pStyle w:val="FootnoteText"/>
        <w:rPr>
          <w:lang w:val="en-US"/>
        </w:rPr>
      </w:pPr>
      <w:r w:rsidRPr="0008756E">
        <w:rPr>
          <w:rStyle w:val="FootnoteReference"/>
        </w:rPr>
        <w:footnoteRef/>
      </w:r>
      <w:r w:rsidRPr="0008756E">
        <w:t xml:space="preserve"> </w:t>
      </w:r>
      <w:proofErr w:type="gramStart"/>
      <w:r w:rsidRPr="0008756E">
        <w:rPr>
          <w:rFonts w:cs="Times New Roman"/>
          <w:sz w:val="20"/>
          <w:szCs w:val="20"/>
        </w:rPr>
        <w:t>[1966] 9 FLR 237 at 241 per Kerr J.</w:t>
      </w:r>
      <w:proofErr w:type="gramEnd"/>
    </w:p>
  </w:footnote>
  <w:footnote w:id="25">
    <w:p w14:paraId="4DB4BEE5" w14:textId="0F95DA08" w:rsidR="00CE7BEC" w:rsidRPr="0008756E" w:rsidRDefault="00CE7BEC" w:rsidP="000B1B2D">
      <w:pPr>
        <w:pStyle w:val="FootnoteText"/>
        <w:rPr>
          <w:lang w:val="en-US"/>
        </w:rPr>
      </w:pPr>
      <w:r w:rsidRPr="0008756E">
        <w:rPr>
          <w:rStyle w:val="FootnoteReference"/>
        </w:rPr>
        <w:footnoteRef/>
      </w:r>
      <w:r w:rsidRPr="0008756E">
        <w:t xml:space="preserve"> </w:t>
      </w:r>
      <w:proofErr w:type="gramStart"/>
      <w:r w:rsidRPr="0008756E">
        <w:rPr>
          <w:rFonts w:cs="Times New Roman"/>
          <w:sz w:val="20"/>
          <w:szCs w:val="20"/>
        </w:rPr>
        <w:t>[1966] 9 FLR 237 at 237 per Kerr J.</w:t>
      </w:r>
      <w:proofErr w:type="gramEnd"/>
    </w:p>
  </w:footnote>
  <w:footnote w:id="26">
    <w:p w14:paraId="2A0C348E" w14:textId="45D085FF" w:rsidR="00CE7BEC" w:rsidRPr="0008756E" w:rsidRDefault="00CE7BEC" w:rsidP="000B1B2D">
      <w:pPr>
        <w:pStyle w:val="FootnoteText"/>
        <w:rPr>
          <w:lang w:val="en-US"/>
        </w:rPr>
      </w:pPr>
      <w:r w:rsidRPr="0008756E">
        <w:rPr>
          <w:rStyle w:val="FootnoteReference"/>
        </w:rPr>
        <w:footnoteRef/>
      </w:r>
      <w:r w:rsidRPr="0008756E">
        <w:t xml:space="preserve"> </w:t>
      </w:r>
      <w:proofErr w:type="gramStart"/>
      <w:r w:rsidRPr="0008756E">
        <w:rPr>
          <w:rFonts w:cs="Times New Roman"/>
          <w:sz w:val="20"/>
          <w:szCs w:val="20"/>
        </w:rPr>
        <w:t>[1966] 9 FLR 237 at 243 per Kerr J.</w:t>
      </w:r>
      <w:proofErr w:type="gramEnd"/>
    </w:p>
  </w:footnote>
  <w:footnote w:id="27">
    <w:p w14:paraId="557F6504" w14:textId="0B700BB5" w:rsidR="00CE7BEC" w:rsidRPr="0008756E" w:rsidRDefault="00CE7BEC" w:rsidP="000B1B2D">
      <w:pPr>
        <w:pStyle w:val="FootnoteText"/>
        <w:rPr>
          <w:lang w:val="en-US"/>
        </w:rPr>
      </w:pPr>
      <w:r w:rsidRPr="0008756E">
        <w:rPr>
          <w:rStyle w:val="FootnoteReference"/>
        </w:rPr>
        <w:footnoteRef/>
      </w:r>
      <w:r w:rsidRPr="0008756E">
        <w:t xml:space="preserve"> </w:t>
      </w:r>
      <w:r w:rsidRPr="0008756E">
        <w:rPr>
          <w:sz w:val="20"/>
          <w:szCs w:val="20"/>
        </w:rPr>
        <w:t>The circumstances i</w:t>
      </w:r>
      <w:r w:rsidRPr="0008756E">
        <w:rPr>
          <w:rFonts w:cs="Times New Roman"/>
          <w:sz w:val="20"/>
          <w:szCs w:val="20"/>
        </w:rPr>
        <w:t xml:space="preserve">ncluding date, time, verbal context, intonation and even intention: see </w:t>
      </w:r>
      <w:r w:rsidRPr="0008756E">
        <w:rPr>
          <w:rFonts w:cs="Times New Roman"/>
          <w:i/>
          <w:iCs/>
          <w:sz w:val="20"/>
          <w:szCs w:val="20"/>
        </w:rPr>
        <w:t>Bradbury v Staines</w:t>
      </w:r>
      <w:r w:rsidRPr="0008756E">
        <w:rPr>
          <w:rFonts w:cs="Times New Roman"/>
          <w:sz w:val="20"/>
          <w:szCs w:val="20"/>
        </w:rPr>
        <w:t xml:space="preserve"> [1970] Qd R 76 at 89 per Matthews J;</w:t>
      </w:r>
      <w:r w:rsidRPr="0008756E">
        <w:rPr>
          <w:rFonts w:cs="Times New Roman"/>
          <w:i/>
          <w:iCs/>
          <w:sz w:val="20"/>
          <w:szCs w:val="20"/>
        </w:rPr>
        <w:t xml:space="preserve"> </w:t>
      </w:r>
      <w:proofErr w:type="spellStart"/>
      <w:r w:rsidRPr="0008756E">
        <w:rPr>
          <w:rFonts w:cs="Times New Roman"/>
          <w:i/>
          <w:iCs/>
          <w:sz w:val="20"/>
          <w:szCs w:val="20"/>
        </w:rPr>
        <w:t>Pregelj</w:t>
      </w:r>
      <w:proofErr w:type="spellEnd"/>
      <w:r w:rsidRPr="0008756E">
        <w:rPr>
          <w:rFonts w:cs="Times New Roman"/>
          <w:sz w:val="20"/>
          <w:szCs w:val="20"/>
        </w:rPr>
        <w:t xml:space="preserve"> </w:t>
      </w:r>
      <w:r w:rsidRPr="0008756E">
        <w:rPr>
          <w:rFonts w:cs="Times New Roman"/>
          <w:i/>
          <w:iCs/>
          <w:sz w:val="20"/>
          <w:szCs w:val="20"/>
        </w:rPr>
        <w:t xml:space="preserve">and </w:t>
      </w:r>
      <w:proofErr w:type="spellStart"/>
      <w:r w:rsidRPr="0008756E">
        <w:rPr>
          <w:rFonts w:cs="Times New Roman"/>
          <w:i/>
          <w:iCs/>
          <w:sz w:val="20"/>
          <w:szCs w:val="20"/>
        </w:rPr>
        <w:t>Wurramurra</w:t>
      </w:r>
      <w:proofErr w:type="spellEnd"/>
      <w:r w:rsidRPr="0008756E">
        <w:rPr>
          <w:rFonts w:cs="Times New Roman"/>
          <w:i/>
          <w:iCs/>
          <w:sz w:val="20"/>
          <w:szCs w:val="20"/>
        </w:rPr>
        <w:t xml:space="preserve"> v </w:t>
      </w:r>
      <w:proofErr w:type="spellStart"/>
      <w:r w:rsidRPr="0008756E">
        <w:rPr>
          <w:rFonts w:cs="Times New Roman"/>
          <w:i/>
          <w:iCs/>
          <w:sz w:val="20"/>
          <w:szCs w:val="20"/>
        </w:rPr>
        <w:t>Manison</w:t>
      </w:r>
      <w:proofErr w:type="spellEnd"/>
      <w:r w:rsidRPr="0008756E">
        <w:rPr>
          <w:rFonts w:cs="Times New Roman"/>
          <w:sz w:val="20"/>
          <w:szCs w:val="20"/>
        </w:rPr>
        <w:t xml:space="preserve"> (1987) 51 NTR 1 at 17 per Nader J, 24 per Rice J;</w:t>
      </w:r>
      <w:r w:rsidRPr="0008756E">
        <w:rPr>
          <w:rFonts w:cs="Times New Roman"/>
          <w:i/>
          <w:iCs/>
          <w:sz w:val="20"/>
          <w:szCs w:val="20"/>
        </w:rPr>
        <w:t xml:space="preserve"> Nelson v Mathieson</w:t>
      </w:r>
      <w:r w:rsidRPr="0008756E">
        <w:rPr>
          <w:rFonts w:cs="Times New Roman"/>
          <w:sz w:val="20"/>
          <w:szCs w:val="20"/>
        </w:rPr>
        <w:t xml:space="preserve"> [2003] VSC 451;</w:t>
      </w:r>
      <w:r w:rsidRPr="0008756E">
        <w:rPr>
          <w:rFonts w:cs="Times New Roman"/>
          <w:i/>
          <w:iCs/>
          <w:sz w:val="20"/>
          <w:szCs w:val="20"/>
        </w:rPr>
        <w:t xml:space="preserve"> Coleman v Power</w:t>
      </w:r>
      <w:r w:rsidRPr="0008756E">
        <w:rPr>
          <w:rFonts w:cs="Times New Roman"/>
          <w:sz w:val="20"/>
          <w:szCs w:val="20"/>
        </w:rPr>
        <w:t xml:space="preserve"> (2004) 209 ALR 182 at 188 per Gleeson CJ.</w:t>
      </w:r>
    </w:p>
  </w:footnote>
  <w:footnote w:id="28">
    <w:p w14:paraId="13532A4A" w14:textId="77777777" w:rsidR="00CE7BEC" w:rsidRPr="0008756E" w:rsidRDefault="00CE7BEC" w:rsidP="000B1B2D">
      <w:pPr>
        <w:pStyle w:val="FootnoteText"/>
        <w:rPr>
          <w:lang w:val="en-US"/>
        </w:rPr>
      </w:pPr>
      <w:r w:rsidRPr="0008756E">
        <w:rPr>
          <w:rStyle w:val="FootnoteReference"/>
        </w:rPr>
        <w:footnoteRef/>
      </w:r>
      <w:r w:rsidRPr="0008756E">
        <w:t xml:space="preserve"> </w:t>
      </w:r>
      <w:proofErr w:type="gramStart"/>
      <w:r w:rsidRPr="0008756E">
        <w:rPr>
          <w:rFonts w:eastAsia="Times New Roman" w:cs="Times New Roman"/>
          <w:sz w:val="20"/>
          <w:szCs w:val="20"/>
        </w:rPr>
        <w:t>(1991) 105 FLR 1 at 6-8.</w:t>
      </w:r>
      <w:proofErr w:type="gramEnd"/>
      <w:r w:rsidRPr="0008756E">
        <w:rPr>
          <w:lang w:val="en-US"/>
        </w:rPr>
        <w:t xml:space="preserve"> </w:t>
      </w:r>
    </w:p>
  </w:footnote>
  <w:footnote w:id="29">
    <w:p w14:paraId="788A1892" w14:textId="19D01590" w:rsidR="00CE7BEC" w:rsidRPr="0008756E" w:rsidRDefault="00CE7BEC" w:rsidP="000B1B2D">
      <w:pPr>
        <w:pStyle w:val="FootnoteText"/>
        <w:rPr>
          <w:lang w:val="en-US"/>
        </w:rPr>
      </w:pPr>
      <w:r w:rsidRPr="0008756E">
        <w:rPr>
          <w:rStyle w:val="FootnoteReference"/>
        </w:rPr>
        <w:footnoteRef/>
      </w:r>
      <w:r w:rsidRPr="0008756E">
        <w:t xml:space="preserve"> </w:t>
      </w:r>
      <w:proofErr w:type="spellStart"/>
      <w:r w:rsidRPr="0008756E">
        <w:rPr>
          <w:rFonts w:cs="Times New Roman"/>
          <w:i/>
          <w:iCs/>
          <w:sz w:val="20"/>
          <w:szCs w:val="20"/>
        </w:rPr>
        <w:t>Stutsel</w:t>
      </w:r>
      <w:proofErr w:type="spellEnd"/>
      <w:r w:rsidRPr="0008756E">
        <w:rPr>
          <w:rFonts w:cs="Times New Roman"/>
          <w:i/>
          <w:iCs/>
          <w:sz w:val="20"/>
          <w:szCs w:val="20"/>
        </w:rPr>
        <w:t xml:space="preserve"> v Reid</w:t>
      </w:r>
      <w:r w:rsidRPr="0008756E">
        <w:rPr>
          <w:rFonts w:cs="Times New Roman"/>
          <w:sz w:val="20"/>
          <w:szCs w:val="20"/>
        </w:rPr>
        <w:t xml:space="preserve"> (1990) 20 NSWLR 661 at 663-4</w:t>
      </w:r>
      <w:proofErr w:type="gramStart"/>
      <w:r w:rsidRPr="0008756E">
        <w:rPr>
          <w:rFonts w:cs="Times New Roman"/>
          <w:sz w:val="20"/>
          <w:szCs w:val="20"/>
        </w:rPr>
        <w:t>;</w:t>
      </w:r>
      <w:proofErr w:type="gramEnd"/>
      <w:r w:rsidRPr="0008756E">
        <w:rPr>
          <w:rFonts w:cs="Times New Roman"/>
          <w:sz w:val="20"/>
          <w:szCs w:val="20"/>
        </w:rPr>
        <w:t xml:space="preserve"> see also</w:t>
      </w:r>
      <w:r w:rsidRPr="0008756E">
        <w:rPr>
          <w:rFonts w:cs="Times New Roman"/>
          <w:i/>
          <w:iCs/>
          <w:sz w:val="20"/>
          <w:szCs w:val="20"/>
        </w:rPr>
        <w:t xml:space="preserve"> Coleman v Power </w:t>
      </w:r>
      <w:r w:rsidRPr="0008756E">
        <w:rPr>
          <w:rFonts w:cs="Times New Roman"/>
          <w:iCs/>
          <w:sz w:val="20"/>
          <w:szCs w:val="20"/>
        </w:rPr>
        <w:t>(2004)</w:t>
      </w:r>
      <w:r w:rsidRPr="0008756E">
        <w:rPr>
          <w:rFonts w:cs="Times New Roman"/>
          <w:sz w:val="20"/>
          <w:szCs w:val="20"/>
        </w:rPr>
        <w:t xml:space="preserve"> 209 ALR 182 at 247-8 per Kirby J.</w:t>
      </w:r>
    </w:p>
  </w:footnote>
  <w:footnote w:id="30">
    <w:p w14:paraId="64DD8203" w14:textId="77777777" w:rsidR="00CE7BEC" w:rsidRPr="0008756E" w:rsidRDefault="00CE7BEC" w:rsidP="000B1B2D">
      <w:pPr>
        <w:pStyle w:val="FootnoteText"/>
        <w:rPr>
          <w:lang w:val="en-US"/>
        </w:rPr>
      </w:pPr>
      <w:r w:rsidRPr="0008756E">
        <w:rPr>
          <w:rStyle w:val="FootnoteReference"/>
        </w:rPr>
        <w:footnoteRef/>
      </w:r>
      <w:r w:rsidRPr="0008756E">
        <w:t xml:space="preserve"> </w:t>
      </w:r>
      <w:proofErr w:type="gramStart"/>
      <w:r w:rsidRPr="0008756E">
        <w:rPr>
          <w:rFonts w:cs="Times New Roman"/>
          <w:i/>
          <w:iCs/>
          <w:sz w:val="20"/>
          <w:szCs w:val="20"/>
        </w:rPr>
        <w:t xml:space="preserve">DPP v </w:t>
      </w:r>
      <w:proofErr w:type="spellStart"/>
      <w:r w:rsidRPr="0008756E">
        <w:rPr>
          <w:rFonts w:cs="Times New Roman"/>
          <w:i/>
          <w:iCs/>
          <w:sz w:val="20"/>
          <w:szCs w:val="20"/>
        </w:rPr>
        <w:t>Orum</w:t>
      </w:r>
      <w:proofErr w:type="spellEnd"/>
      <w:r w:rsidRPr="0008756E">
        <w:rPr>
          <w:rFonts w:cs="Times New Roman"/>
          <w:sz w:val="20"/>
          <w:szCs w:val="20"/>
        </w:rPr>
        <w:t xml:space="preserve"> [1988] 3 All ER 449, 451-2.</w:t>
      </w:r>
      <w:proofErr w:type="gramEnd"/>
    </w:p>
  </w:footnote>
  <w:footnote w:id="31">
    <w:p w14:paraId="20D1995D" w14:textId="77777777"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sz w:val="20"/>
          <w:szCs w:val="20"/>
        </w:rPr>
        <w:t xml:space="preserve">(2004) </w:t>
      </w:r>
      <w:proofErr w:type="gramStart"/>
      <w:r w:rsidRPr="0008756E">
        <w:rPr>
          <w:rFonts w:cs="Times New Roman"/>
          <w:sz w:val="20"/>
          <w:szCs w:val="20"/>
        </w:rPr>
        <w:t xml:space="preserve">209 ALR 182 at 227 per </w:t>
      </w:r>
      <w:proofErr w:type="spellStart"/>
      <w:r w:rsidRPr="0008756E">
        <w:rPr>
          <w:rFonts w:cs="Times New Roman"/>
          <w:sz w:val="20"/>
          <w:szCs w:val="20"/>
        </w:rPr>
        <w:t>Gummow</w:t>
      </w:r>
      <w:proofErr w:type="spellEnd"/>
      <w:r w:rsidRPr="0008756E">
        <w:rPr>
          <w:rFonts w:cs="Times New Roman"/>
          <w:sz w:val="20"/>
          <w:szCs w:val="20"/>
        </w:rPr>
        <w:t xml:space="preserve"> and Hayne JJ; at 246-7 per Kirby J.</w:t>
      </w:r>
      <w:proofErr w:type="gramEnd"/>
    </w:p>
  </w:footnote>
  <w:footnote w:id="32">
    <w:p w14:paraId="23F54A52" w14:textId="77777777"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sz w:val="20"/>
          <w:szCs w:val="20"/>
        </w:rPr>
        <w:t xml:space="preserve">(2004) </w:t>
      </w:r>
      <w:proofErr w:type="gramStart"/>
      <w:r w:rsidRPr="0008756E">
        <w:rPr>
          <w:rFonts w:cs="Times New Roman"/>
          <w:sz w:val="20"/>
          <w:szCs w:val="20"/>
        </w:rPr>
        <w:t xml:space="preserve">209 ALR 182 at 188 per Gleeson CJ; at 231 per </w:t>
      </w:r>
      <w:proofErr w:type="spellStart"/>
      <w:r w:rsidRPr="0008756E">
        <w:rPr>
          <w:rFonts w:cs="Times New Roman"/>
          <w:sz w:val="20"/>
          <w:szCs w:val="20"/>
        </w:rPr>
        <w:t>Gummow</w:t>
      </w:r>
      <w:proofErr w:type="spellEnd"/>
      <w:r w:rsidRPr="0008756E">
        <w:rPr>
          <w:rFonts w:cs="Times New Roman"/>
          <w:sz w:val="20"/>
          <w:szCs w:val="20"/>
        </w:rPr>
        <w:t xml:space="preserve"> and Hayne JJ; at 247-8 per Kirby J.</w:t>
      </w:r>
      <w:proofErr w:type="gramEnd"/>
      <w:r w:rsidRPr="0008756E">
        <w:rPr>
          <w:rFonts w:cs="Times New Roman"/>
          <w:sz w:val="20"/>
          <w:szCs w:val="20"/>
        </w:rPr>
        <w:t xml:space="preserve"> </w:t>
      </w:r>
      <w:r w:rsidRPr="0008756E">
        <w:rPr>
          <w:rFonts w:cs="Times New Roman"/>
          <w:sz w:val="16"/>
          <w:szCs w:val="16"/>
        </w:rPr>
        <w:t xml:space="preserve"> </w:t>
      </w:r>
    </w:p>
  </w:footnote>
  <w:footnote w:id="33">
    <w:p w14:paraId="1430F4D9" w14:textId="77777777"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sz w:val="20"/>
          <w:szCs w:val="20"/>
        </w:rPr>
        <w:t xml:space="preserve">(2004) </w:t>
      </w:r>
      <w:proofErr w:type="gramStart"/>
      <w:r w:rsidRPr="0008756E">
        <w:rPr>
          <w:rFonts w:cs="Times New Roman"/>
          <w:sz w:val="20"/>
          <w:szCs w:val="20"/>
        </w:rPr>
        <w:t>209 ALR 182, 188 per Gleeson CJ;</w:t>
      </w:r>
      <w:r w:rsidRPr="0008756E">
        <w:rPr>
          <w:rFonts w:cs="Times New Roman"/>
          <w:i/>
          <w:iCs/>
          <w:sz w:val="20"/>
          <w:szCs w:val="20"/>
        </w:rPr>
        <w:t xml:space="preserve"> </w:t>
      </w:r>
      <w:proofErr w:type="spellStart"/>
      <w:r w:rsidRPr="0008756E">
        <w:rPr>
          <w:rFonts w:cs="Times New Roman"/>
          <w:i/>
          <w:iCs/>
          <w:sz w:val="20"/>
          <w:szCs w:val="20"/>
        </w:rPr>
        <w:t>Stutsel</w:t>
      </w:r>
      <w:proofErr w:type="spellEnd"/>
      <w:r w:rsidRPr="0008756E">
        <w:rPr>
          <w:rFonts w:cs="Times New Roman"/>
          <w:i/>
          <w:iCs/>
          <w:sz w:val="20"/>
          <w:szCs w:val="20"/>
        </w:rPr>
        <w:t xml:space="preserve"> v Reid</w:t>
      </w:r>
      <w:r w:rsidRPr="0008756E">
        <w:rPr>
          <w:rFonts w:cs="Times New Roman"/>
          <w:sz w:val="20"/>
          <w:szCs w:val="20"/>
        </w:rPr>
        <w:t xml:space="preserve"> (1990) 20 NSWLR 661, 663.</w:t>
      </w:r>
      <w:proofErr w:type="gramEnd"/>
    </w:p>
  </w:footnote>
  <w:footnote w:id="34">
    <w:p w14:paraId="352DE021" w14:textId="77777777"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i/>
          <w:iCs/>
          <w:sz w:val="20"/>
          <w:szCs w:val="20"/>
        </w:rPr>
        <w:t>Coleman v Power</w:t>
      </w:r>
      <w:r w:rsidRPr="0008756E">
        <w:rPr>
          <w:rFonts w:cs="Times New Roman"/>
          <w:sz w:val="20"/>
          <w:szCs w:val="20"/>
        </w:rPr>
        <w:t xml:space="preserve"> (2004) 209 ALR 182, 247 per Kirby J.</w:t>
      </w:r>
    </w:p>
  </w:footnote>
  <w:footnote w:id="35">
    <w:p w14:paraId="3BFC2DC7" w14:textId="20688CC0" w:rsidR="00CE7BEC" w:rsidRPr="0008756E" w:rsidRDefault="00CE7BEC" w:rsidP="000B1B2D">
      <w:pPr>
        <w:pStyle w:val="FootnoteText"/>
        <w:rPr>
          <w:lang w:val="en-US"/>
        </w:rPr>
      </w:pPr>
      <w:r w:rsidRPr="0008756E">
        <w:rPr>
          <w:rStyle w:val="FootnoteReference"/>
        </w:rPr>
        <w:footnoteRef/>
      </w:r>
      <w:r w:rsidRPr="0008756E">
        <w:t xml:space="preserve"> </w:t>
      </w:r>
      <w:r w:rsidRPr="0008756E">
        <w:rPr>
          <w:rFonts w:cs="Times New Roman"/>
          <w:i/>
          <w:iCs/>
          <w:sz w:val="20"/>
          <w:szCs w:val="20"/>
        </w:rPr>
        <w:t>Coleman v Power</w:t>
      </w:r>
      <w:r w:rsidRPr="0008756E">
        <w:rPr>
          <w:rFonts w:cs="Times New Roman"/>
          <w:sz w:val="20"/>
          <w:szCs w:val="20"/>
        </w:rPr>
        <w:t xml:space="preserve"> (2004) 209 ALR 182, 256 per </w:t>
      </w:r>
      <w:proofErr w:type="spellStart"/>
      <w:r w:rsidRPr="0008756E">
        <w:rPr>
          <w:rFonts w:cs="Times New Roman"/>
          <w:sz w:val="20"/>
          <w:szCs w:val="20"/>
        </w:rPr>
        <w:t>Gummow</w:t>
      </w:r>
      <w:proofErr w:type="spellEnd"/>
      <w:r w:rsidRPr="0008756E">
        <w:rPr>
          <w:rFonts w:cs="Times New Roman"/>
          <w:sz w:val="20"/>
          <w:szCs w:val="20"/>
        </w:rPr>
        <w:t xml:space="preserve"> and Hayne JJ. </w:t>
      </w:r>
    </w:p>
  </w:footnote>
  <w:footnote w:id="36">
    <w:p w14:paraId="5474F253" w14:textId="04364F52" w:rsidR="00CE7BEC" w:rsidRPr="0008756E" w:rsidRDefault="00CE7BEC" w:rsidP="000B1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A1818"/>
          <w:sz w:val="15"/>
          <w:szCs w:val="15"/>
          <w:lang w:val="en-US"/>
        </w:rPr>
      </w:pPr>
      <w:r w:rsidRPr="0008756E">
        <w:rPr>
          <w:rStyle w:val="FootnoteReference"/>
        </w:rPr>
        <w:footnoteRef/>
      </w:r>
      <w:r w:rsidRPr="0008756E">
        <w:t xml:space="preserve"> </w:t>
      </w:r>
      <w:r w:rsidRPr="0008756E">
        <w:rPr>
          <w:rFonts w:cs="Times New Roman"/>
          <w:bCs/>
          <w:sz w:val="20"/>
          <w:szCs w:val="20"/>
          <w:lang w:val="en-US"/>
        </w:rPr>
        <w:t xml:space="preserve">Tamara Walsh, ‘Offensive Language, Offensive </w:t>
      </w:r>
      <w:proofErr w:type="spellStart"/>
      <w:r w:rsidRPr="0008756E">
        <w:rPr>
          <w:rFonts w:cs="Times New Roman"/>
          <w:bCs/>
          <w:sz w:val="20"/>
          <w:szCs w:val="20"/>
          <w:lang w:val="en-US"/>
        </w:rPr>
        <w:t>Behaviour</w:t>
      </w:r>
      <w:proofErr w:type="spellEnd"/>
      <w:r w:rsidRPr="0008756E">
        <w:rPr>
          <w:rFonts w:cs="Times New Roman"/>
          <w:bCs/>
          <w:sz w:val="20"/>
          <w:szCs w:val="20"/>
          <w:lang w:val="en-US"/>
        </w:rPr>
        <w:t xml:space="preserve"> and Public Nuisance: </w:t>
      </w:r>
      <w:proofErr w:type="gramStart"/>
      <w:r w:rsidRPr="0008756E">
        <w:rPr>
          <w:rFonts w:cs="Times New Roman"/>
          <w:bCs/>
          <w:sz w:val="20"/>
          <w:szCs w:val="20"/>
          <w:lang w:val="en-US"/>
        </w:rPr>
        <w:t xml:space="preserve">Empirical and Theoretical Analyses’ (2005) 24 </w:t>
      </w:r>
      <w:r w:rsidRPr="0008756E">
        <w:rPr>
          <w:rFonts w:cs="Times New Roman"/>
          <w:bCs/>
          <w:i/>
          <w:sz w:val="20"/>
          <w:szCs w:val="20"/>
          <w:lang w:val="en-US"/>
        </w:rPr>
        <w:t>University of Queensland Law Journal</w:t>
      </w:r>
      <w:proofErr w:type="gramEnd"/>
      <w:r w:rsidRPr="0008756E">
        <w:rPr>
          <w:rFonts w:cs="Times New Roman"/>
          <w:bCs/>
          <w:sz w:val="20"/>
          <w:szCs w:val="20"/>
          <w:lang w:val="en-US"/>
        </w:rPr>
        <w:t xml:space="preserve"> 123</w:t>
      </w:r>
      <w:r w:rsidRPr="0008756E">
        <w:rPr>
          <w:rFonts w:cs="Times New Roman"/>
          <w:sz w:val="20"/>
          <w:szCs w:val="20"/>
          <w:lang w:val="en-US"/>
        </w:rPr>
        <w:t xml:space="preserve"> at 142. See also </w:t>
      </w:r>
      <w:r w:rsidRPr="0008756E">
        <w:rPr>
          <w:rFonts w:cs="Helvetica"/>
          <w:color w:val="1A1818"/>
          <w:sz w:val="20"/>
          <w:szCs w:val="20"/>
          <w:lang w:val="en-US"/>
        </w:rPr>
        <w:t>NSW Ombudsman, Review of the impact of Criminal Infringement Notices on Aboriginal communities (August 2009) at 57.</w:t>
      </w:r>
      <w:r w:rsidRPr="0008756E">
        <w:rPr>
          <w:rFonts w:cs="Helvetica"/>
          <w:color w:val="1A1818"/>
          <w:sz w:val="15"/>
          <w:szCs w:val="15"/>
          <w:lang w:val="en-US"/>
        </w:rPr>
        <w:t xml:space="preserve"> </w:t>
      </w:r>
    </w:p>
  </w:footnote>
  <w:footnote w:id="37">
    <w:p w14:paraId="25813B7C" w14:textId="63AF4300" w:rsidR="00CE7BEC" w:rsidRPr="0008756E" w:rsidRDefault="00CE7BEC" w:rsidP="000B1B2D">
      <w:pPr>
        <w:pStyle w:val="FootnoteText"/>
        <w:rPr>
          <w:lang w:val="en-US"/>
        </w:rPr>
      </w:pPr>
      <w:r w:rsidRPr="0008756E">
        <w:rPr>
          <w:rStyle w:val="FootnoteReference"/>
        </w:rPr>
        <w:footnoteRef/>
      </w:r>
      <w:r w:rsidRPr="0008756E">
        <w:t xml:space="preserve"> </w:t>
      </w:r>
      <w:r w:rsidRPr="0008756E">
        <w:rPr>
          <w:sz w:val="20"/>
          <w:szCs w:val="20"/>
        </w:rPr>
        <w:t xml:space="preserve">The case studies were witnessed </w:t>
      </w:r>
      <w:r w:rsidRPr="0008756E">
        <w:rPr>
          <w:sz w:val="20"/>
          <w:szCs w:val="20"/>
          <w:lang w:val="en-US"/>
        </w:rPr>
        <w:t>on Monday 16</w:t>
      </w:r>
      <w:r w:rsidRPr="0008756E">
        <w:rPr>
          <w:sz w:val="20"/>
          <w:szCs w:val="20"/>
          <w:vertAlign w:val="superscript"/>
          <w:lang w:val="en-US"/>
        </w:rPr>
        <w:t xml:space="preserve"> </w:t>
      </w:r>
      <w:r w:rsidRPr="0008756E">
        <w:rPr>
          <w:sz w:val="20"/>
          <w:szCs w:val="20"/>
          <w:lang w:val="en-US"/>
        </w:rPr>
        <w:t>January 2012 and Monday 30 January 2012 when TACLC sat in on proceedings before the Magistrates Court in Hobart.</w:t>
      </w:r>
      <w:r w:rsidRPr="0008756E">
        <w:rPr>
          <w:lang w:val="en-US"/>
        </w:rPr>
        <w:t xml:space="preserve">  </w:t>
      </w:r>
    </w:p>
  </w:footnote>
  <w:footnote w:id="38">
    <w:p w14:paraId="69D3DC03" w14:textId="6071FC4F" w:rsidR="00CE7BEC" w:rsidRPr="0008756E" w:rsidRDefault="00CE7BEC" w:rsidP="000B1B2D">
      <w:pPr>
        <w:pStyle w:val="FootnoteText"/>
        <w:rPr>
          <w:lang w:val="en-US"/>
        </w:rPr>
      </w:pPr>
      <w:r w:rsidRPr="0008756E">
        <w:rPr>
          <w:rStyle w:val="FootnoteReference"/>
        </w:rPr>
        <w:footnoteRef/>
      </w:r>
      <w:r w:rsidRPr="0008756E">
        <w:t xml:space="preserve"> </w:t>
      </w:r>
      <w:r w:rsidRPr="0008756E">
        <w:rPr>
          <w:sz w:val="20"/>
          <w:szCs w:val="20"/>
        </w:rPr>
        <w:t xml:space="preserve">Interestingly, at the same time the number of persons charged increased slightly from 42 per cent to 43 per cent. </w:t>
      </w:r>
      <w:r w:rsidRPr="0008756E">
        <w:rPr>
          <w:rFonts w:cs="Helvetica"/>
          <w:color w:val="1A1818"/>
          <w:sz w:val="20"/>
          <w:szCs w:val="20"/>
          <w:lang w:val="en-US"/>
        </w:rPr>
        <w:t xml:space="preserve">As found in NSW Ombudsman, Review of the impact of Criminal Infringement Notices on Aboriginal communities (August 2009) at </w:t>
      </w:r>
      <w:proofErr w:type="gramStart"/>
      <w:r w:rsidRPr="0008756E">
        <w:rPr>
          <w:rFonts w:cs="Helvetica"/>
          <w:color w:val="1A1818"/>
          <w:sz w:val="20"/>
          <w:szCs w:val="20"/>
          <w:lang w:val="en-US"/>
        </w:rPr>
        <w:t>iv</w:t>
      </w:r>
      <w:proofErr w:type="gramEnd"/>
      <w:r w:rsidRPr="0008756E">
        <w:rPr>
          <w:rFonts w:cs="Helvetica"/>
          <w:color w:val="1A1818"/>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01B89"/>
    <w:multiLevelType w:val="hybridMultilevel"/>
    <w:tmpl w:val="F6C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9577D"/>
    <w:multiLevelType w:val="hybridMultilevel"/>
    <w:tmpl w:val="A8C2CBEE"/>
    <w:lvl w:ilvl="0" w:tplc="881AC874">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0B0245"/>
    <w:multiLevelType w:val="hybridMultilevel"/>
    <w:tmpl w:val="84AA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9D4813"/>
    <w:multiLevelType w:val="hybridMultilevel"/>
    <w:tmpl w:val="8A602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F95FB2"/>
    <w:multiLevelType w:val="hybridMultilevel"/>
    <w:tmpl w:val="172C71E2"/>
    <w:lvl w:ilvl="0" w:tplc="1898CF16">
      <w:start w:val="30"/>
      <w:numFmt w:val="bullet"/>
      <w:lvlText w:val=""/>
      <w:lvlJc w:val="left"/>
      <w:pPr>
        <w:ind w:left="720" w:hanging="360"/>
      </w:pPr>
      <w:rPr>
        <w:rFonts w:ascii="Symbol" w:eastAsiaTheme="minorEastAsia" w:hAnsi="Symbol" w:cs="Times New Roman"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D62BA"/>
    <w:multiLevelType w:val="hybridMultilevel"/>
    <w:tmpl w:val="5BC88734"/>
    <w:lvl w:ilvl="0" w:tplc="CCC67ACC">
      <w:numFmt w:val="bullet"/>
      <w:lvlText w:val="-"/>
      <w:lvlJc w:val="left"/>
      <w:pPr>
        <w:ind w:left="720" w:hanging="360"/>
      </w:pPr>
      <w:rPr>
        <w:rFonts w:ascii="Cambria" w:eastAsiaTheme="minorEastAsia" w:hAnsi="Cambria" w:cstheme="minorBidi"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71"/>
    <w:rsid w:val="0000501D"/>
    <w:rsid w:val="00005FCB"/>
    <w:rsid w:val="00017965"/>
    <w:rsid w:val="00026300"/>
    <w:rsid w:val="000323C6"/>
    <w:rsid w:val="000359CE"/>
    <w:rsid w:val="00043163"/>
    <w:rsid w:val="00044987"/>
    <w:rsid w:val="00044B9E"/>
    <w:rsid w:val="00046E85"/>
    <w:rsid w:val="000478B2"/>
    <w:rsid w:val="000504D0"/>
    <w:rsid w:val="00050A95"/>
    <w:rsid w:val="000555B8"/>
    <w:rsid w:val="0006272B"/>
    <w:rsid w:val="00067632"/>
    <w:rsid w:val="00077BCD"/>
    <w:rsid w:val="00082D22"/>
    <w:rsid w:val="00085AEF"/>
    <w:rsid w:val="00085F04"/>
    <w:rsid w:val="0008756E"/>
    <w:rsid w:val="00090178"/>
    <w:rsid w:val="00093B04"/>
    <w:rsid w:val="000A2431"/>
    <w:rsid w:val="000A292C"/>
    <w:rsid w:val="000A2AA3"/>
    <w:rsid w:val="000A4C50"/>
    <w:rsid w:val="000B1B2D"/>
    <w:rsid w:val="000B7548"/>
    <w:rsid w:val="000B7EC4"/>
    <w:rsid w:val="000C2B54"/>
    <w:rsid w:val="000C65CB"/>
    <w:rsid w:val="000C69D7"/>
    <w:rsid w:val="000D3C58"/>
    <w:rsid w:val="000E42E1"/>
    <w:rsid w:val="000F60C9"/>
    <w:rsid w:val="000F7D43"/>
    <w:rsid w:val="001008ED"/>
    <w:rsid w:val="001110E8"/>
    <w:rsid w:val="00111B66"/>
    <w:rsid w:val="001151D8"/>
    <w:rsid w:val="00117140"/>
    <w:rsid w:val="00123A5C"/>
    <w:rsid w:val="00130B48"/>
    <w:rsid w:val="0013324F"/>
    <w:rsid w:val="00133CE4"/>
    <w:rsid w:val="00135C71"/>
    <w:rsid w:val="00142A2C"/>
    <w:rsid w:val="001453C3"/>
    <w:rsid w:val="00164537"/>
    <w:rsid w:val="00164CCA"/>
    <w:rsid w:val="0016703A"/>
    <w:rsid w:val="00172802"/>
    <w:rsid w:val="00176B5B"/>
    <w:rsid w:val="00181141"/>
    <w:rsid w:val="001831A4"/>
    <w:rsid w:val="00183E33"/>
    <w:rsid w:val="00186834"/>
    <w:rsid w:val="001924E2"/>
    <w:rsid w:val="00197F71"/>
    <w:rsid w:val="001A0F4C"/>
    <w:rsid w:val="001A231C"/>
    <w:rsid w:val="001A2DA5"/>
    <w:rsid w:val="001A3089"/>
    <w:rsid w:val="001B52E8"/>
    <w:rsid w:val="001C080B"/>
    <w:rsid w:val="001C1527"/>
    <w:rsid w:val="001C279F"/>
    <w:rsid w:val="001C634D"/>
    <w:rsid w:val="001D4222"/>
    <w:rsid w:val="001E248F"/>
    <w:rsid w:val="001E62E0"/>
    <w:rsid w:val="001F0D92"/>
    <w:rsid w:val="002002A1"/>
    <w:rsid w:val="0020774D"/>
    <w:rsid w:val="002139F8"/>
    <w:rsid w:val="00217A82"/>
    <w:rsid w:val="0022151B"/>
    <w:rsid w:val="00223BD8"/>
    <w:rsid w:val="00235E3A"/>
    <w:rsid w:val="0024159D"/>
    <w:rsid w:val="00247648"/>
    <w:rsid w:val="002505D6"/>
    <w:rsid w:val="002544B2"/>
    <w:rsid w:val="002545DA"/>
    <w:rsid w:val="002558BB"/>
    <w:rsid w:val="002612A5"/>
    <w:rsid w:val="00261FBA"/>
    <w:rsid w:val="00277602"/>
    <w:rsid w:val="00285582"/>
    <w:rsid w:val="00291D45"/>
    <w:rsid w:val="00293B92"/>
    <w:rsid w:val="002A299A"/>
    <w:rsid w:val="002B3BFE"/>
    <w:rsid w:val="002C5CAA"/>
    <w:rsid w:val="002C5FAD"/>
    <w:rsid w:val="002D6D96"/>
    <w:rsid w:val="002E04F8"/>
    <w:rsid w:val="002E28BD"/>
    <w:rsid w:val="002E41BF"/>
    <w:rsid w:val="002E4D7F"/>
    <w:rsid w:val="002E67D9"/>
    <w:rsid w:val="002E6852"/>
    <w:rsid w:val="002F02EA"/>
    <w:rsid w:val="002F035B"/>
    <w:rsid w:val="00303075"/>
    <w:rsid w:val="00311A44"/>
    <w:rsid w:val="00312075"/>
    <w:rsid w:val="0032461D"/>
    <w:rsid w:val="00330A4F"/>
    <w:rsid w:val="0033607E"/>
    <w:rsid w:val="00340566"/>
    <w:rsid w:val="00347E27"/>
    <w:rsid w:val="00351AFD"/>
    <w:rsid w:val="00351E82"/>
    <w:rsid w:val="00353045"/>
    <w:rsid w:val="003544EB"/>
    <w:rsid w:val="003574A3"/>
    <w:rsid w:val="003634FB"/>
    <w:rsid w:val="00365B1F"/>
    <w:rsid w:val="00370D5A"/>
    <w:rsid w:val="003710F3"/>
    <w:rsid w:val="00371E9C"/>
    <w:rsid w:val="003748AB"/>
    <w:rsid w:val="003820FB"/>
    <w:rsid w:val="00383FE8"/>
    <w:rsid w:val="00387BD8"/>
    <w:rsid w:val="00393AF8"/>
    <w:rsid w:val="00394EAF"/>
    <w:rsid w:val="003959C0"/>
    <w:rsid w:val="00397C68"/>
    <w:rsid w:val="003A4C45"/>
    <w:rsid w:val="003A7DB6"/>
    <w:rsid w:val="003A7F44"/>
    <w:rsid w:val="003B1A24"/>
    <w:rsid w:val="003B3BA2"/>
    <w:rsid w:val="003B54ED"/>
    <w:rsid w:val="003B68C1"/>
    <w:rsid w:val="003B702D"/>
    <w:rsid w:val="003C0581"/>
    <w:rsid w:val="003C4A24"/>
    <w:rsid w:val="003D4DD9"/>
    <w:rsid w:val="003D6B26"/>
    <w:rsid w:val="003E6A54"/>
    <w:rsid w:val="003F49D7"/>
    <w:rsid w:val="00404031"/>
    <w:rsid w:val="00405B57"/>
    <w:rsid w:val="00411F5E"/>
    <w:rsid w:val="00423533"/>
    <w:rsid w:val="0042651A"/>
    <w:rsid w:val="00427CE5"/>
    <w:rsid w:val="0044271A"/>
    <w:rsid w:val="00442B4C"/>
    <w:rsid w:val="0044473B"/>
    <w:rsid w:val="004464CC"/>
    <w:rsid w:val="00447336"/>
    <w:rsid w:val="00447395"/>
    <w:rsid w:val="0045640C"/>
    <w:rsid w:val="00463F24"/>
    <w:rsid w:val="00471B7C"/>
    <w:rsid w:val="004753DC"/>
    <w:rsid w:val="00475475"/>
    <w:rsid w:val="00475829"/>
    <w:rsid w:val="00475FBC"/>
    <w:rsid w:val="00477BBE"/>
    <w:rsid w:val="00481240"/>
    <w:rsid w:val="00484B72"/>
    <w:rsid w:val="00486B51"/>
    <w:rsid w:val="004A0A68"/>
    <w:rsid w:val="004B1B09"/>
    <w:rsid w:val="004B211C"/>
    <w:rsid w:val="004B5676"/>
    <w:rsid w:val="004B77A6"/>
    <w:rsid w:val="004C13C7"/>
    <w:rsid w:val="004C4648"/>
    <w:rsid w:val="004D0EF6"/>
    <w:rsid w:val="004D5627"/>
    <w:rsid w:val="004D5AD1"/>
    <w:rsid w:val="004E12F7"/>
    <w:rsid w:val="004F1031"/>
    <w:rsid w:val="00506E8B"/>
    <w:rsid w:val="00511AE2"/>
    <w:rsid w:val="00513066"/>
    <w:rsid w:val="00514CDC"/>
    <w:rsid w:val="00516178"/>
    <w:rsid w:val="00523D97"/>
    <w:rsid w:val="00534908"/>
    <w:rsid w:val="00537EA1"/>
    <w:rsid w:val="005414AB"/>
    <w:rsid w:val="00541A7A"/>
    <w:rsid w:val="00545F35"/>
    <w:rsid w:val="00546B88"/>
    <w:rsid w:val="00547C07"/>
    <w:rsid w:val="00556D43"/>
    <w:rsid w:val="00562F79"/>
    <w:rsid w:val="00564617"/>
    <w:rsid w:val="00566F5B"/>
    <w:rsid w:val="00567406"/>
    <w:rsid w:val="00571C09"/>
    <w:rsid w:val="00573C78"/>
    <w:rsid w:val="005762A1"/>
    <w:rsid w:val="00581C95"/>
    <w:rsid w:val="00583957"/>
    <w:rsid w:val="00593971"/>
    <w:rsid w:val="005A2DEA"/>
    <w:rsid w:val="005A4031"/>
    <w:rsid w:val="005B5728"/>
    <w:rsid w:val="005B6355"/>
    <w:rsid w:val="005E7CA9"/>
    <w:rsid w:val="005F2729"/>
    <w:rsid w:val="00605849"/>
    <w:rsid w:val="00607E2A"/>
    <w:rsid w:val="00630A37"/>
    <w:rsid w:val="0063552B"/>
    <w:rsid w:val="00635BD5"/>
    <w:rsid w:val="00641083"/>
    <w:rsid w:val="006457D7"/>
    <w:rsid w:val="006647F7"/>
    <w:rsid w:val="00666B78"/>
    <w:rsid w:val="0067235B"/>
    <w:rsid w:val="00681765"/>
    <w:rsid w:val="006866AF"/>
    <w:rsid w:val="00686B7A"/>
    <w:rsid w:val="00687421"/>
    <w:rsid w:val="00690144"/>
    <w:rsid w:val="0069481F"/>
    <w:rsid w:val="00694A67"/>
    <w:rsid w:val="006A439E"/>
    <w:rsid w:val="006A5FE3"/>
    <w:rsid w:val="006B1CE7"/>
    <w:rsid w:val="006B3649"/>
    <w:rsid w:val="006B6F9E"/>
    <w:rsid w:val="006C0A09"/>
    <w:rsid w:val="006C35FD"/>
    <w:rsid w:val="006D3091"/>
    <w:rsid w:val="006E12F0"/>
    <w:rsid w:val="006E2CA8"/>
    <w:rsid w:val="006F4D36"/>
    <w:rsid w:val="006F5F08"/>
    <w:rsid w:val="006F5FCC"/>
    <w:rsid w:val="007062B6"/>
    <w:rsid w:val="007225FA"/>
    <w:rsid w:val="00724C5C"/>
    <w:rsid w:val="007421AA"/>
    <w:rsid w:val="007446F7"/>
    <w:rsid w:val="00766292"/>
    <w:rsid w:val="00767488"/>
    <w:rsid w:val="00770F90"/>
    <w:rsid w:val="00771162"/>
    <w:rsid w:val="0078193B"/>
    <w:rsid w:val="00791191"/>
    <w:rsid w:val="00792D7E"/>
    <w:rsid w:val="007947E2"/>
    <w:rsid w:val="0079715B"/>
    <w:rsid w:val="007A7DB5"/>
    <w:rsid w:val="007B0BF7"/>
    <w:rsid w:val="007B577E"/>
    <w:rsid w:val="007B5DD9"/>
    <w:rsid w:val="007B7A3F"/>
    <w:rsid w:val="007C661D"/>
    <w:rsid w:val="007C6FE4"/>
    <w:rsid w:val="007E0AC9"/>
    <w:rsid w:val="007E1E52"/>
    <w:rsid w:val="007F1EE5"/>
    <w:rsid w:val="008079FB"/>
    <w:rsid w:val="008120B7"/>
    <w:rsid w:val="00816866"/>
    <w:rsid w:val="008235E2"/>
    <w:rsid w:val="00823796"/>
    <w:rsid w:val="00830FE8"/>
    <w:rsid w:val="0083455F"/>
    <w:rsid w:val="00835C6C"/>
    <w:rsid w:val="008476E5"/>
    <w:rsid w:val="00847894"/>
    <w:rsid w:val="00856AEC"/>
    <w:rsid w:val="008676F4"/>
    <w:rsid w:val="008700C9"/>
    <w:rsid w:val="00883A14"/>
    <w:rsid w:val="008869DB"/>
    <w:rsid w:val="0088721F"/>
    <w:rsid w:val="0089554D"/>
    <w:rsid w:val="008970FE"/>
    <w:rsid w:val="008A0660"/>
    <w:rsid w:val="008A1136"/>
    <w:rsid w:val="008A198C"/>
    <w:rsid w:val="008A3EBB"/>
    <w:rsid w:val="008B5F21"/>
    <w:rsid w:val="008C09D5"/>
    <w:rsid w:val="008C0E35"/>
    <w:rsid w:val="008D0A13"/>
    <w:rsid w:val="008D71F5"/>
    <w:rsid w:val="008E4250"/>
    <w:rsid w:val="008F0435"/>
    <w:rsid w:val="008F223D"/>
    <w:rsid w:val="008F6CB3"/>
    <w:rsid w:val="00904106"/>
    <w:rsid w:val="00904112"/>
    <w:rsid w:val="00910755"/>
    <w:rsid w:val="00911136"/>
    <w:rsid w:val="009137DA"/>
    <w:rsid w:val="00920F43"/>
    <w:rsid w:val="00923DC8"/>
    <w:rsid w:val="00937743"/>
    <w:rsid w:val="00941880"/>
    <w:rsid w:val="00941C92"/>
    <w:rsid w:val="009444CF"/>
    <w:rsid w:val="00945C78"/>
    <w:rsid w:val="009571CE"/>
    <w:rsid w:val="00961CC3"/>
    <w:rsid w:val="00971517"/>
    <w:rsid w:val="009746B9"/>
    <w:rsid w:val="0097594F"/>
    <w:rsid w:val="009767C0"/>
    <w:rsid w:val="00982029"/>
    <w:rsid w:val="009843AB"/>
    <w:rsid w:val="00990A99"/>
    <w:rsid w:val="00994857"/>
    <w:rsid w:val="00994B89"/>
    <w:rsid w:val="009A78CF"/>
    <w:rsid w:val="009B04E2"/>
    <w:rsid w:val="009B671D"/>
    <w:rsid w:val="009C755D"/>
    <w:rsid w:val="009D28E3"/>
    <w:rsid w:val="009D6E04"/>
    <w:rsid w:val="009E6D11"/>
    <w:rsid w:val="009F0623"/>
    <w:rsid w:val="009F06DE"/>
    <w:rsid w:val="009F099C"/>
    <w:rsid w:val="009F6FD1"/>
    <w:rsid w:val="009F760D"/>
    <w:rsid w:val="00A02A80"/>
    <w:rsid w:val="00A04A88"/>
    <w:rsid w:val="00A110ED"/>
    <w:rsid w:val="00A17C45"/>
    <w:rsid w:val="00A225F7"/>
    <w:rsid w:val="00A2524E"/>
    <w:rsid w:val="00A32E84"/>
    <w:rsid w:val="00A342BF"/>
    <w:rsid w:val="00A411B2"/>
    <w:rsid w:val="00A4154F"/>
    <w:rsid w:val="00A41EEC"/>
    <w:rsid w:val="00A44C73"/>
    <w:rsid w:val="00A520DE"/>
    <w:rsid w:val="00A5536D"/>
    <w:rsid w:val="00A60F62"/>
    <w:rsid w:val="00A80B7B"/>
    <w:rsid w:val="00A82DCA"/>
    <w:rsid w:val="00A831DF"/>
    <w:rsid w:val="00A866B0"/>
    <w:rsid w:val="00A8678A"/>
    <w:rsid w:val="00A939BE"/>
    <w:rsid w:val="00AA0CEE"/>
    <w:rsid w:val="00AA0F87"/>
    <w:rsid w:val="00AA15AF"/>
    <w:rsid w:val="00AA23BA"/>
    <w:rsid w:val="00AA578E"/>
    <w:rsid w:val="00AB0BCA"/>
    <w:rsid w:val="00AB53F8"/>
    <w:rsid w:val="00AB6765"/>
    <w:rsid w:val="00AB6DE5"/>
    <w:rsid w:val="00AC0E6D"/>
    <w:rsid w:val="00AD1792"/>
    <w:rsid w:val="00AD1BA1"/>
    <w:rsid w:val="00AD1E9F"/>
    <w:rsid w:val="00AD36D3"/>
    <w:rsid w:val="00AD4B5D"/>
    <w:rsid w:val="00AD5A1B"/>
    <w:rsid w:val="00AD5B12"/>
    <w:rsid w:val="00AE3D8B"/>
    <w:rsid w:val="00AE4826"/>
    <w:rsid w:val="00B045E8"/>
    <w:rsid w:val="00B11BA1"/>
    <w:rsid w:val="00B123B0"/>
    <w:rsid w:val="00B1553B"/>
    <w:rsid w:val="00B35639"/>
    <w:rsid w:val="00B44BB9"/>
    <w:rsid w:val="00B47073"/>
    <w:rsid w:val="00B53CE4"/>
    <w:rsid w:val="00B7074E"/>
    <w:rsid w:val="00B7201D"/>
    <w:rsid w:val="00B73051"/>
    <w:rsid w:val="00B74FCE"/>
    <w:rsid w:val="00B80C8E"/>
    <w:rsid w:val="00B828D3"/>
    <w:rsid w:val="00B877E0"/>
    <w:rsid w:val="00B9115F"/>
    <w:rsid w:val="00B9221A"/>
    <w:rsid w:val="00B957FE"/>
    <w:rsid w:val="00BA32BB"/>
    <w:rsid w:val="00BB6CF6"/>
    <w:rsid w:val="00BB7A08"/>
    <w:rsid w:val="00BC085B"/>
    <w:rsid w:val="00BC49C8"/>
    <w:rsid w:val="00BC5958"/>
    <w:rsid w:val="00BC7EB7"/>
    <w:rsid w:val="00BD5418"/>
    <w:rsid w:val="00BE0DD3"/>
    <w:rsid w:val="00BE63E0"/>
    <w:rsid w:val="00BF2D53"/>
    <w:rsid w:val="00BF42B9"/>
    <w:rsid w:val="00C124F7"/>
    <w:rsid w:val="00C16FEA"/>
    <w:rsid w:val="00C223CB"/>
    <w:rsid w:val="00C267B0"/>
    <w:rsid w:val="00C273AF"/>
    <w:rsid w:val="00C31005"/>
    <w:rsid w:val="00C357D9"/>
    <w:rsid w:val="00C3593A"/>
    <w:rsid w:val="00C35D88"/>
    <w:rsid w:val="00C360E9"/>
    <w:rsid w:val="00C37E88"/>
    <w:rsid w:val="00C44151"/>
    <w:rsid w:val="00C54C47"/>
    <w:rsid w:val="00C553EB"/>
    <w:rsid w:val="00C64EE0"/>
    <w:rsid w:val="00C72085"/>
    <w:rsid w:val="00C72A31"/>
    <w:rsid w:val="00C74F96"/>
    <w:rsid w:val="00C91E81"/>
    <w:rsid w:val="00C9397B"/>
    <w:rsid w:val="00C964F3"/>
    <w:rsid w:val="00C97885"/>
    <w:rsid w:val="00C97B14"/>
    <w:rsid w:val="00CB443B"/>
    <w:rsid w:val="00CC15F3"/>
    <w:rsid w:val="00CC32CD"/>
    <w:rsid w:val="00CD2829"/>
    <w:rsid w:val="00CD597C"/>
    <w:rsid w:val="00CD69FD"/>
    <w:rsid w:val="00CD7CDF"/>
    <w:rsid w:val="00CE4ED6"/>
    <w:rsid w:val="00CE7BEC"/>
    <w:rsid w:val="00D027D4"/>
    <w:rsid w:val="00D1445D"/>
    <w:rsid w:val="00D16E66"/>
    <w:rsid w:val="00D30B6F"/>
    <w:rsid w:val="00D54FE4"/>
    <w:rsid w:val="00D615CA"/>
    <w:rsid w:val="00D6747D"/>
    <w:rsid w:val="00D72AC0"/>
    <w:rsid w:val="00D84E9D"/>
    <w:rsid w:val="00D91129"/>
    <w:rsid w:val="00D972D6"/>
    <w:rsid w:val="00D97F79"/>
    <w:rsid w:val="00DA0FBA"/>
    <w:rsid w:val="00DA1C0B"/>
    <w:rsid w:val="00DA653B"/>
    <w:rsid w:val="00DB1376"/>
    <w:rsid w:val="00DB4BE0"/>
    <w:rsid w:val="00DB63BC"/>
    <w:rsid w:val="00DC21C2"/>
    <w:rsid w:val="00DD565F"/>
    <w:rsid w:val="00DD667A"/>
    <w:rsid w:val="00DE1505"/>
    <w:rsid w:val="00DE246F"/>
    <w:rsid w:val="00DE34EE"/>
    <w:rsid w:val="00DE39F9"/>
    <w:rsid w:val="00DE677C"/>
    <w:rsid w:val="00DF04B6"/>
    <w:rsid w:val="00DF31AB"/>
    <w:rsid w:val="00DF4D58"/>
    <w:rsid w:val="00E0147E"/>
    <w:rsid w:val="00E05640"/>
    <w:rsid w:val="00E07388"/>
    <w:rsid w:val="00E14E61"/>
    <w:rsid w:val="00E16353"/>
    <w:rsid w:val="00E4224D"/>
    <w:rsid w:val="00E46F1A"/>
    <w:rsid w:val="00E52F07"/>
    <w:rsid w:val="00E55C13"/>
    <w:rsid w:val="00E603EB"/>
    <w:rsid w:val="00E613D9"/>
    <w:rsid w:val="00E85B02"/>
    <w:rsid w:val="00E87411"/>
    <w:rsid w:val="00E9110E"/>
    <w:rsid w:val="00E92C2F"/>
    <w:rsid w:val="00E940E1"/>
    <w:rsid w:val="00EA344A"/>
    <w:rsid w:val="00EB0E17"/>
    <w:rsid w:val="00EB1836"/>
    <w:rsid w:val="00EB1F26"/>
    <w:rsid w:val="00EC55C2"/>
    <w:rsid w:val="00EC623F"/>
    <w:rsid w:val="00EE3F1A"/>
    <w:rsid w:val="00EF0D6B"/>
    <w:rsid w:val="00EF7B71"/>
    <w:rsid w:val="00F02986"/>
    <w:rsid w:val="00F10C29"/>
    <w:rsid w:val="00F121EF"/>
    <w:rsid w:val="00F14D91"/>
    <w:rsid w:val="00F15429"/>
    <w:rsid w:val="00F20290"/>
    <w:rsid w:val="00F23BB9"/>
    <w:rsid w:val="00F2602F"/>
    <w:rsid w:val="00F35D37"/>
    <w:rsid w:val="00F40103"/>
    <w:rsid w:val="00F40B8F"/>
    <w:rsid w:val="00F41E49"/>
    <w:rsid w:val="00F424D8"/>
    <w:rsid w:val="00F42759"/>
    <w:rsid w:val="00F45339"/>
    <w:rsid w:val="00F6008E"/>
    <w:rsid w:val="00F82653"/>
    <w:rsid w:val="00F84F7F"/>
    <w:rsid w:val="00F93D92"/>
    <w:rsid w:val="00FA71C7"/>
    <w:rsid w:val="00FB234C"/>
    <w:rsid w:val="00FD49A4"/>
    <w:rsid w:val="00FD79D4"/>
    <w:rsid w:val="00FE2C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429B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C71"/>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link w:val="Heading2Char"/>
    <w:uiPriority w:val="9"/>
    <w:qFormat/>
    <w:rsid w:val="00135C71"/>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E04"/>
    <w:rPr>
      <w:color w:val="0000FF" w:themeColor="hyperlink"/>
      <w:u w:val="single"/>
    </w:rPr>
  </w:style>
  <w:style w:type="paragraph" w:styleId="HTMLPreformatted">
    <w:name w:val="HTML Preformatted"/>
    <w:basedOn w:val="Normal"/>
    <w:link w:val="HTMLPreformattedChar"/>
    <w:uiPriority w:val="99"/>
    <w:unhideWhenUsed/>
    <w:rsid w:val="0066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666B78"/>
    <w:rPr>
      <w:rFonts w:ascii="Courier" w:hAnsi="Courier" w:cs="Courier"/>
      <w:sz w:val="20"/>
      <w:szCs w:val="20"/>
      <w:lang w:val="en-US"/>
    </w:rPr>
  </w:style>
  <w:style w:type="paragraph" w:styleId="ListParagraph">
    <w:name w:val="List Paragraph"/>
    <w:basedOn w:val="Normal"/>
    <w:uiPriority w:val="34"/>
    <w:qFormat/>
    <w:rsid w:val="00904106"/>
    <w:pPr>
      <w:ind w:left="720"/>
      <w:contextualSpacing/>
    </w:pPr>
  </w:style>
  <w:style w:type="paragraph" w:styleId="FootnoteText">
    <w:name w:val="footnote text"/>
    <w:basedOn w:val="Normal"/>
    <w:link w:val="FootnoteTextChar"/>
    <w:unhideWhenUsed/>
    <w:rsid w:val="005414AB"/>
  </w:style>
  <w:style w:type="character" w:customStyle="1" w:styleId="FootnoteTextChar">
    <w:name w:val="Footnote Text Char"/>
    <w:basedOn w:val="DefaultParagraphFont"/>
    <w:link w:val="FootnoteText"/>
    <w:rsid w:val="005414AB"/>
  </w:style>
  <w:style w:type="character" w:styleId="FootnoteReference">
    <w:name w:val="footnote reference"/>
    <w:basedOn w:val="DefaultParagraphFont"/>
    <w:uiPriority w:val="99"/>
    <w:unhideWhenUsed/>
    <w:rsid w:val="005414AB"/>
    <w:rPr>
      <w:vertAlign w:val="superscript"/>
    </w:rPr>
  </w:style>
  <w:style w:type="paragraph" w:styleId="NormalWeb">
    <w:name w:val="Normal (Web)"/>
    <w:basedOn w:val="Normal"/>
    <w:uiPriority w:val="99"/>
    <w:semiHidden/>
    <w:unhideWhenUsed/>
    <w:rsid w:val="008A066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64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CCA"/>
    <w:rPr>
      <w:rFonts w:ascii="Lucida Grande" w:hAnsi="Lucida Grande" w:cs="Lucida Grande"/>
      <w:sz w:val="18"/>
      <w:szCs w:val="18"/>
    </w:rPr>
  </w:style>
  <w:style w:type="character" w:styleId="Emphasis">
    <w:name w:val="Emphasis"/>
    <w:basedOn w:val="DefaultParagraphFont"/>
    <w:uiPriority w:val="20"/>
    <w:qFormat/>
    <w:rsid w:val="00E92C2F"/>
    <w:rPr>
      <w:i/>
      <w:iCs/>
    </w:rPr>
  </w:style>
  <w:style w:type="character" w:customStyle="1" w:styleId="Heading1Char">
    <w:name w:val="Heading 1 Char"/>
    <w:basedOn w:val="DefaultParagraphFont"/>
    <w:link w:val="Heading1"/>
    <w:uiPriority w:val="9"/>
    <w:rsid w:val="00135C71"/>
    <w:rPr>
      <w:rFonts w:ascii="Times" w:hAnsi="Times"/>
      <w:b/>
      <w:bCs/>
      <w:kern w:val="36"/>
      <w:sz w:val="48"/>
      <w:szCs w:val="48"/>
      <w:lang w:val="en-US"/>
    </w:rPr>
  </w:style>
  <w:style w:type="character" w:customStyle="1" w:styleId="Heading2Char">
    <w:name w:val="Heading 2 Char"/>
    <w:basedOn w:val="DefaultParagraphFont"/>
    <w:link w:val="Heading2"/>
    <w:uiPriority w:val="9"/>
    <w:rsid w:val="00135C71"/>
    <w:rPr>
      <w:rFonts w:ascii="Times" w:hAnsi="Times"/>
      <w:b/>
      <w:bCs/>
      <w:sz w:val="36"/>
      <w:szCs w:val="36"/>
      <w:lang w:val="en-US"/>
    </w:rPr>
  </w:style>
  <w:style w:type="paragraph" w:customStyle="1" w:styleId="publisheddate">
    <w:name w:val="publisheddate"/>
    <w:basedOn w:val="Normal"/>
    <w:rsid w:val="00135C71"/>
    <w:pPr>
      <w:spacing w:before="100" w:beforeAutospacing="1" w:after="100" w:afterAutospacing="1"/>
    </w:pPr>
    <w:rPr>
      <w:rFonts w:ascii="Times"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C71"/>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link w:val="Heading2Char"/>
    <w:uiPriority w:val="9"/>
    <w:qFormat/>
    <w:rsid w:val="00135C71"/>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E04"/>
    <w:rPr>
      <w:color w:val="0000FF" w:themeColor="hyperlink"/>
      <w:u w:val="single"/>
    </w:rPr>
  </w:style>
  <w:style w:type="paragraph" w:styleId="HTMLPreformatted">
    <w:name w:val="HTML Preformatted"/>
    <w:basedOn w:val="Normal"/>
    <w:link w:val="HTMLPreformattedChar"/>
    <w:uiPriority w:val="99"/>
    <w:unhideWhenUsed/>
    <w:rsid w:val="0066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666B78"/>
    <w:rPr>
      <w:rFonts w:ascii="Courier" w:hAnsi="Courier" w:cs="Courier"/>
      <w:sz w:val="20"/>
      <w:szCs w:val="20"/>
      <w:lang w:val="en-US"/>
    </w:rPr>
  </w:style>
  <w:style w:type="paragraph" w:styleId="ListParagraph">
    <w:name w:val="List Paragraph"/>
    <w:basedOn w:val="Normal"/>
    <w:uiPriority w:val="34"/>
    <w:qFormat/>
    <w:rsid w:val="00904106"/>
    <w:pPr>
      <w:ind w:left="720"/>
      <w:contextualSpacing/>
    </w:pPr>
  </w:style>
  <w:style w:type="paragraph" w:styleId="FootnoteText">
    <w:name w:val="footnote text"/>
    <w:basedOn w:val="Normal"/>
    <w:link w:val="FootnoteTextChar"/>
    <w:unhideWhenUsed/>
    <w:rsid w:val="005414AB"/>
  </w:style>
  <w:style w:type="character" w:customStyle="1" w:styleId="FootnoteTextChar">
    <w:name w:val="Footnote Text Char"/>
    <w:basedOn w:val="DefaultParagraphFont"/>
    <w:link w:val="FootnoteText"/>
    <w:rsid w:val="005414AB"/>
  </w:style>
  <w:style w:type="character" w:styleId="FootnoteReference">
    <w:name w:val="footnote reference"/>
    <w:basedOn w:val="DefaultParagraphFont"/>
    <w:uiPriority w:val="99"/>
    <w:unhideWhenUsed/>
    <w:rsid w:val="005414AB"/>
    <w:rPr>
      <w:vertAlign w:val="superscript"/>
    </w:rPr>
  </w:style>
  <w:style w:type="paragraph" w:styleId="NormalWeb">
    <w:name w:val="Normal (Web)"/>
    <w:basedOn w:val="Normal"/>
    <w:uiPriority w:val="99"/>
    <w:semiHidden/>
    <w:unhideWhenUsed/>
    <w:rsid w:val="008A066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64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CCA"/>
    <w:rPr>
      <w:rFonts w:ascii="Lucida Grande" w:hAnsi="Lucida Grande" w:cs="Lucida Grande"/>
      <w:sz w:val="18"/>
      <w:szCs w:val="18"/>
    </w:rPr>
  </w:style>
  <w:style w:type="character" w:styleId="Emphasis">
    <w:name w:val="Emphasis"/>
    <w:basedOn w:val="DefaultParagraphFont"/>
    <w:uiPriority w:val="20"/>
    <w:qFormat/>
    <w:rsid w:val="00E92C2F"/>
    <w:rPr>
      <w:i/>
      <w:iCs/>
    </w:rPr>
  </w:style>
  <w:style w:type="character" w:customStyle="1" w:styleId="Heading1Char">
    <w:name w:val="Heading 1 Char"/>
    <w:basedOn w:val="DefaultParagraphFont"/>
    <w:link w:val="Heading1"/>
    <w:uiPriority w:val="9"/>
    <w:rsid w:val="00135C71"/>
    <w:rPr>
      <w:rFonts w:ascii="Times" w:hAnsi="Times"/>
      <w:b/>
      <w:bCs/>
      <w:kern w:val="36"/>
      <w:sz w:val="48"/>
      <w:szCs w:val="48"/>
      <w:lang w:val="en-US"/>
    </w:rPr>
  </w:style>
  <w:style w:type="character" w:customStyle="1" w:styleId="Heading2Char">
    <w:name w:val="Heading 2 Char"/>
    <w:basedOn w:val="DefaultParagraphFont"/>
    <w:link w:val="Heading2"/>
    <w:uiPriority w:val="9"/>
    <w:rsid w:val="00135C71"/>
    <w:rPr>
      <w:rFonts w:ascii="Times" w:hAnsi="Times"/>
      <w:b/>
      <w:bCs/>
      <w:sz w:val="36"/>
      <w:szCs w:val="36"/>
      <w:lang w:val="en-US"/>
    </w:rPr>
  </w:style>
  <w:style w:type="paragraph" w:customStyle="1" w:styleId="publisheddate">
    <w:name w:val="publisheddate"/>
    <w:basedOn w:val="Normal"/>
    <w:rsid w:val="00135C71"/>
    <w:pPr>
      <w:spacing w:before="100" w:beforeAutospacing="1" w:after="100" w:afterAutospacing="1"/>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827">
      <w:bodyDiv w:val="1"/>
      <w:marLeft w:val="0"/>
      <w:marRight w:val="0"/>
      <w:marTop w:val="0"/>
      <w:marBottom w:val="0"/>
      <w:divBdr>
        <w:top w:val="none" w:sz="0" w:space="0" w:color="auto"/>
        <w:left w:val="none" w:sz="0" w:space="0" w:color="auto"/>
        <w:bottom w:val="none" w:sz="0" w:space="0" w:color="auto"/>
        <w:right w:val="none" w:sz="0" w:space="0" w:color="auto"/>
      </w:divBdr>
    </w:div>
    <w:div w:id="96609609">
      <w:bodyDiv w:val="1"/>
      <w:marLeft w:val="0"/>
      <w:marRight w:val="0"/>
      <w:marTop w:val="0"/>
      <w:marBottom w:val="0"/>
      <w:divBdr>
        <w:top w:val="none" w:sz="0" w:space="0" w:color="auto"/>
        <w:left w:val="none" w:sz="0" w:space="0" w:color="auto"/>
        <w:bottom w:val="none" w:sz="0" w:space="0" w:color="auto"/>
        <w:right w:val="none" w:sz="0" w:space="0" w:color="auto"/>
      </w:divBdr>
      <w:divsChild>
        <w:div w:id="1068962397">
          <w:marLeft w:val="0"/>
          <w:marRight w:val="0"/>
          <w:marTop w:val="0"/>
          <w:marBottom w:val="0"/>
          <w:divBdr>
            <w:top w:val="none" w:sz="0" w:space="0" w:color="auto"/>
            <w:left w:val="none" w:sz="0" w:space="0" w:color="auto"/>
            <w:bottom w:val="none" w:sz="0" w:space="0" w:color="auto"/>
            <w:right w:val="none" w:sz="0" w:space="0" w:color="auto"/>
          </w:divBdr>
        </w:div>
        <w:div w:id="1021859629">
          <w:marLeft w:val="0"/>
          <w:marRight w:val="0"/>
          <w:marTop w:val="0"/>
          <w:marBottom w:val="0"/>
          <w:divBdr>
            <w:top w:val="none" w:sz="0" w:space="0" w:color="auto"/>
            <w:left w:val="none" w:sz="0" w:space="0" w:color="auto"/>
            <w:bottom w:val="none" w:sz="0" w:space="0" w:color="auto"/>
            <w:right w:val="none" w:sz="0" w:space="0" w:color="auto"/>
          </w:divBdr>
          <w:divsChild>
            <w:div w:id="121459536">
              <w:marLeft w:val="0"/>
              <w:marRight w:val="0"/>
              <w:marTop w:val="0"/>
              <w:marBottom w:val="0"/>
              <w:divBdr>
                <w:top w:val="none" w:sz="0" w:space="0" w:color="auto"/>
                <w:left w:val="none" w:sz="0" w:space="0" w:color="auto"/>
                <w:bottom w:val="none" w:sz="0" w:space="0" w:color="auto"/>
                <w:right w:val="none" w:sz="0" w:space="0" w:color="auto"/>
              </w:divBdr>
              <w:divsChild>
                <w:div w:id="1954242892">
                  <w:marLeft w:val="0"/>
                  <w:marRight w:val="0"/>
                  <w:marTop w:val="0"/>
                  <w:marBottom w:val="0"/>
                  <w:divBdr>
                    <w:top w:val="none" w:sz="0" w:space="0" w:color="auto"/>
                    <w:left w:val="none" w:sz="0" w:space="0" w:color="auto"/>
                    <w:bottom w:val="none" w:sz="0" w:space="0" w:color="auto"/>
                    <w:right w:val="none" w:sz="0" w:space="0" w:color="auto"/>
                  </w:divBdr>
                </w:div>
                <w:div w:id="587077367">
                  <w:marLeft w:val="0"/>
                  <w:marRight w:val="0"/>
                  <w:marTop w:val="0"/>
                  <w:marBottom w:val="0"/>
                  <w:divBdr>
                    <w:top w:val="none" w:sz="0" w:space="0" w:color="auto"/>
                    <w:left w:val="none" w:sz="0" w:space="0" w:color="auto"/>
                    <w:bottom w:val="none" w:sz="0" w:space="0" w:color="auto"/>
                    <w:right w:val="none" w:sz="0" w:space="0" w:color="auto"/>
                  </w:divBdr>
                  <w:divsChild>
                    <w:div w:id="1378746838">
                      <w:marLeft w:val="0"/>
                      <w:marRight w:val="0"/>
                      <w:marTop w:val="0"/>
                      <w:marBottom w:val="0"/>
                      <w:divBdr>
                        <w:top w:val="none" w:sz="0" w:space="0" w:color="auto"/>
                        <w:left w:val="none" w:sz="0" w:space="0" w:color="auto"/>
                        <w:bottom w:val="none" w:sz="0" w:space="0" w:color="auto"/>
                        <w:right w:val="none" w:sz="0" w:space="0" w:color="auto"/>
                      </w:divBdr>
                    </w:div>
                    <w:div w:id="1814327854">
                      <w:marLeft w:val="0"/>
                      <w:marRight w:val="0"/>
                      <w:marTop w:val="0"/>
                      <w:marBottom w:val="0"/>
                      <w:divBdr>
                        <w:top w:val="none" w:sz="0" w:space="0" w:color="auto"/>
                        <w:left w:val="none" w:sz="0" w:space="0" w:color="auto"/>
                        <w:bottom w:val="none" w:sz="0" w:space="0" w:color="auto"/>
                        <w:right w:val="none" w:sz="0" w:space="0" w:color="auto"/>
                      </w:divBdr>
                    </w:div>
                    <w:div w:id="2071340635">
                      <w:marLeft w:val="0"/>
                      <w:marRight w:val="0"/>
                      <w:marTop w:val="0"/>
                      <w:marBottom w:val="0"/>
                      <w:divBdr>
                        <w:top w:val="none" w:sz="0" w:space="0" w:color="auto"/>
                        <w:left w:val="none" w:sz="0" w:space="0" w:color="auto"/>
                        <w:bottom w:val="none" w:sz="0" w:space="0" w:color="auto"/>
                        <w:right w:val="none" w:sz="0" w:space="0" w:color="auto"/>
                      </w:divBdr>
                    </w:div>
                    <w:div w:id="2082945743">
                      <w:marLeft w:val="0"/>
                      <w:marRight w:val="0"/>
                      <w:marTop w:val="0"/>
                      <w:marBottom w:val="0"/>
                      <w:divBdr>
                        <w:top w:val="none" w:sz="0" w:space="0" w:color="auto"/>
                        <w:left w:val="none" w:sz="0" w:space="0" w:color="auto"/>
                        <w:bottom w:val="none" w:sz="0" w:space="0" w:color="auto"/>
                        <w:right w:val="none" w:sz="0" w:space="0" w:color="auto"/>
                      </w:divBdr>
                    </w:div>
                    <w:div w:id="922026499">
                      <w:marLeft w:val="0"/>
                      <w:marRight w:val="0"/>
                      <w:marTop w:val="0"/>
                      <w:marBottom w:val="0"/>
                      <w:divBdr>
                        <w:top w:val="none" w:sz="0" w:space="0" w:color="auto"/>
                        <w:left w:val="none" w:sz="0" w:space="0" w:color="auto"/>
                        <w:bottom w:val="none" w:sz="0" w:space="0" w:color="auto"/>
                        <w:right w:val="none" w:sz="0" w:space="0" w:color="auto"/>
                      </w:divBdr>
                    </w:div>
                    <w:div w:id="11978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1554">
      <w:bodyDiv w:val="1"/>
      <w:marLeft w:val="0"/>
      <w:marRight w:val="0"/>
      <w:marTop w:val="0"/>
      <w:marBottom w:val="0"/>
      <w:divBdr>
        <w:top w:val="none" w:sz="0" w:space="0" w:color="auto"/>
        <w:left w:val="none" w:sz="0" w:space="0" w:color="auto"/>
        <w:bottom w:val="none" w:sz="0" w:space="0" w:color="auto"/>
        <w:right w:val="none" w:sz="0" w:space="0" w:color="auto"/>
      </w:divBdr>
    </w:div>
    <w:div w:id="115952882">
      <w:bodyDiv w:val="1"/>
      <w:marLeft w:val="0"/>
      <w:marRight w:val="0"/>
      <w:marTop w:val="0"/>
      <w:marBottom w:val="0"/>
      <w:divBdr>
        <w:top w:val="none" w:sz="0" w:space="0" w:color="auto"/>
        <w:left w:val="none" w:sz="0" w:space="0" w:color="auto"/>
        <w:bottom w:val="none" w:sz="0" w:space="0" w:color="auto"/>
        <w:right w:val="none" w:sz="0" w:space="0" w:color="auto"/>
      </w:divBdr>
    </w:div>
    <w:div w:id="118964182">
      <w:bodyDiv w:val="1"/>
      <w:marLeft w:val="0"/>
      <w:marRight w:val="0"/>
      <w:marTop w:val="0"/>
      <w:marBottom w:val="0"/>
      <w:divBdr>
        <w:top w:val="none" w:sz="0" w:space="0" w:color="auto"/>
        <w:left w:val="none" w:sz="0" w:space="0" w:color="auto"/>
        <w:bottom w:val="none" w:sz="0" w:space="0" w:color="auto"/>
        <w:right w:val="none" w:sz="0" w:space="0" w:color="auto"/>
      </w:divBdr>
    </w:div>
    <w:div w:id="147484994">
      <w:bodyDiv w:val="1"/>
      <w:marLeft w:val="0"/>
      <w:marRight w:val="0"/>
      <w:marTop w:val="0"/>
      <w:marBottom w:val="0"/>
      <w:divBdr>
        <w:top w:val="none" w:sz="0" w:space="0" w:color="auto"/>
        <w:left w:val="none" w:sz="0" w:space="0" w:color="auto"/>
        <w:bottom w:val="none" w:sz="0" w:space="0" w:color="auto"/>
        <w:right w:val="none" w:sz="0" w:space="0" w:color="auto"/>
      </w:divBdr>
    </w:div>
    <w:div w:id="230386356">
      <w:bodyDiv w:val="1"/>
      <w:marLeft w:val="0"/>
      <w:marRight w:val="0"/>
      <w:marTop w:val="0"/>
      <w:marBottom w:val="0"/>
      <w:divBdr>
        <w:top w:val="none" w:sz="0" w:space="0" w:color="auto"/>
        <w:left w:val="none" w:sz="0" w:space="0" w:color="auto"/>
        <w:bottom w:val="none" w:sz="0" w:space="0" w:color="auto"/>
        <w:right w:val="none" w:sz="0" w:space="0" w:color="auto"/>
      </w:divBdr>
    </w:div>
    <w:div w:id="278680538">
      <w:bodyDiv w:val="1"/>
      <w:marLeft w:val="0"/>
      <w:marRight w:val="0"/>
      <w:marTop w:val="0"/>
      <w:marBottom w:val="0"/>
      <w:divBdr>
        <w:top w:val="none" w:sz="0" w:space="0" w:color="auto"/>
        <w:left w:val="none" w:sz="0" w:space="0" w:color="auto"/>
        <w:bottom w:val="none" w:sz="0" w:space="0" w:color="auto"/>
        <w:right w:val="none" w:sz="0" w:space="0" w:color="auto"/>
      </w:divBdr>
    </w:div>
    <w:div w:id="344524523">
      <w:bodyDiv w:val="1"/>
      <w:marLeft w:val="0"/>
      <w:marRight w:val="0"/>
      <w:marTop w:val="0"/>
      <w:marBottom w:val="0"/>
      <w:divBdr>
        <w:top w:val="none" w:sz="0" w:space="0" w:color="auto"/>
        <w:left w:val="none" w:sz="0" w:space="0" w:color="auto"/>
        <w:bottom w:val="none" w:sz="0" w:space="0" w:color="auto"/>
        <w:right w:val="none" w:sz="0" w:space="0" w:color="auto"/>
      </w:divBdr>
    </w:div>
    <w:div w:id="350449002">
      <w:bodyDiv w:val="1"/>
      <w:marLeft w:val="0"/>
      <w:marRight w:val="0"/>
      <w:marTop w:val="0"/>
      <w:marBottom w:val="0"/>
      <w:divBdr>
        <w:top w:val="none" w:sz="0" w:space="0" w:color="auto"/>
        <w:left w:val="none" w:sz="0" w:space="0" w:color="auto"/>
        <w:bottom w:val="none" w:sz="0" w:space="0" w:color="auto"/>
        <w:right w:val="none" w:sz="0" w:space="0" w:color="auto"/>
      </w:divBdr>
    </w:div>
    <w:div w:id="490372457">
      <w:bodyDiv w:val="1"/>
      <w:marLeft w:val="0"/>
      <w:marRight w:val="0"/>
      <w:marTop w:val="0"/>
      <w:marBottom w:val="0"/>
      <w:divBdr>
        <w:top w:val="none" w:sz="0" w:space="0" w:color="auto"/>
        <w:left w:val="none" w:sz="0" w:space="0" w:color="auto"/>
        <w:bottom w:val="none" w:sz="0" w:space="0" w:color="auto"/>
        <w:right w:val="none" w:sz="0" w:space="0" w:color="auto"/>
      </w:divBdr>
    </w:div>
    <w:div w:id="511340570">
      <w:bodyDiv w:val="1"/>
      <w:marLeft w:val="0"/>
      <w:marRight w:val="0"/>
      <w:marTop w:val="0"/>
      <w:marBottom w:val="0"/>
      <w:divBdr>
        <w:top w:val="none" w:sz="0" w:space="0" w:color="auto"/>
        <w:left w:val="none" w:sz="0" w:space="0" w:color="auto"/>
        <w:bottom w:val="none" w:sz="0" w:space="0" w:color="auto"/>
        <w:right w:val="none" w:sz="0" w:space="0" w:color="auto"/>
      </w:divBdr>
    </w:div>
    <w:div w:id="584269878">
      <w:bodyDiv w:val="1"/>
      <w:marLeft w:val="0"/>
      <w:marRight w:val="0"/>
      <w:marTop w:val="0"/>
      <w:marBottom w:val="0"/>
      <w:divBdr>
        <w:top w:val="none" w:sz="0" w:space="0" w:color="auto"/>
        <w:left w:val="none" w:sz="0" w:space="0" w:color="auto"/>
        <w:bottom w:val="none" w:sz="0" w:space="0" w:color="auto"/>
        <w:right w:val="none" w:sz="0" w:space="0" w:color="auto"/>
      </w:divBdr>
    </w:div>
    <w:div w:id="607547617">
      <w:bodyDiv w:val="1"/>
      <w:marLeft w:val="0"/>
      <w:marRight w:val="0"/>
      <w:marTop w:val="0"/>
      <w:marBottom w:val="0"/>
      <w:divBdr>
        <w:top w:val="none" w:sz="0" w:space="0" w:color="auto"/>
        <w:left w:val="none" w:sz="0" w:space="0" w:color="auto"/>
        <w:bottom w:val="none" w:sz="0" w:space="0" w:color="auto"/>
        <w:right w:val="none" w:sz="0" w:space="0" w:color="auto"/>
      </w:divBdr>
    </w:div>
    <w:div w:id="611207280">
      <w:bodyDiv w:val="1"/>
      <w:marLeft w:val="0"/>
      <w:marRight w:val="0"/>
      <w:marTop w:val="0"/>
      <w:marBottom w:val="0"/>
      <w:divBdr>
        <w:top w:val="none" w:sz="0" w:space="0" w:color="auto"/>
        <w:left w:val="none" w:sz="0" w:space="0" w:color="auto"/>
        <w:bottom w:val="none" w:sz="0" w:space="0" w:color="auto"/>
        <w:right w:val="none" w:sz="0" w:space="0" w:color="auto"/>
      </w:divBdr>
    </w:div>
    <w:div w:id="733315025">
      <w:bodyDiv w:val="1"/>
      <w:marLeft w:val="0"/>
      <w:marRight w:val="0"/>
      <w:marTop w:val="0"/>
      <w:marBottom w:val="0"/>
      <w:divBdr>
        <w:top w:val="none" w:sz="0" w:space="0" w:color="auto"/>
        <w:left w:val="none" w:sz="0" w:space="0" w:color="auto"/>
        <w:bottom w:val="none" w:sz="0" w:space="0" w:color="auto"/>
        <w:right w:val="none" w:sz="0" w:space="0" w:color="auto"/>
      </w:divBdr>
    </w:div>
    <w:div w:id="749933373">
      <w:bodyDiv w:val="1"/>
      <w:marLeft w:val="0"/>
      <w:marRight w:val="0"/>
      <w:marTop w:val="0"/>
      <w:marBottom w:val="0"/>
      <w:divBdr>
        <w:top w:val="none" w:sz="0" w:space="0" w:color="auto"/>
        <w:left w:val="none" w:sz="0" w:space="0" w:color="auto"/>
        <w:bottom w:val="none" w:sz="0" w:space="0" w:color="auto"/>
        <w:right w:val="none" w:sz="0" w:space="0" w:color="auto"/>
      </w:divBdr>
    </w:div>
    <w:div w:id="758327395">
      <w:bodyDiv w:val="1"/>
      <w:marLeft w:val="0"/>
      <w:marRight w:val="0"/>
      <w:marTop w:val="0"/>
      <w:marBottom w:val="0"/>
      <w:divBdr>
        <w:top w:val="none" w:sz="0" w:space="0" w:color="auto"/>
        <w:left w:val="none" w:sz="0" w:space="0" w:color="auto"/>
        <w:bottom w:val="none" w:sz="0" w:space="0" w:color="auto"/>
        <w:right w:val="none" w:sz="0" w:space="0" w:color="auto"/>
      </w:divBdr>
    </w:div>
    <w:div w:id="791024456">
      <w:bodyDiv w:val="1"/>
      <w:marLeft w:val="0"/>
      <w:marRight w:val="0"/>
      <w:marTop w:val="0"/>
      <w:marBottom w:val="0"/>
      <w:divBdr>
        <w:top w:val="none" w:sz="0" w:space="0" w:color="auto"/>
        <w:left w:val="none" w:sz="0" w:space="0" w:color="auto"/>
        <w:bottom w:val="none" w:sz="0" w:space="0" w:color="auto"/>
        <w:right w:val="none" w:sz="0" w:space="0" w:color="auto"/>
      </w:divBdr>
    </w:div>
    <w:div w:id="839546999">
      <w:bodyDiv w:val="1"/>
      <w:marLeft w:val="0"/>
      <w:marRight w:val="0"/>
      <w:marTop w:val="0"/>
      <w:marBottom w:val="0"/>
      <w:divBdr>
        <w:top w:val="none" w:sz="0" w:space="0" w:color="auto"/>
        <w:left w:val="none" w:sz="0" w:space="0" w:color="auto"/>
        <w:bottom w:val="none" w:sz="0" w:space="0" w:color="auto"/>
        <w:right w:val="none" w:sz="0" w:space="0" w:color="auto"/>
      </w:divBdr>
    </w:div>
    <w:div w:id="850414090">
      <w:bodyDiv w:val="1"/>
      <w:marLeft w:val="0"/>
      <w:marRight w:val="0"/>
      <w:marTop w:val="0"/>
      <w:marBottom w:val="0"/>
      <w:divBdr>
        <w:top w:val="none" w:sz="0" w:space="0" w:color="auto"/>
        <w:left w:val="none" w:sz="0" w:space="0" w:color="auto"/>
        <w:bottom w:val="none" w:sz="0" w:space="0" w:color="auto"/>
        <w:right w:val="none" w:sz="0" w:space="0" w:color="auto"/>
      </w:divBdr>
      <w:divsChild>
        <w:div w:id="127043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845926">
      <w:bodyDiv w:val="1"/>
      <w:marLeft w:val="0"/>
      <w:marRight w:val="0"/>
      <w:marTop w:val="0"/>
      <w:marBottom w:val="0"/>
      <w:divBdr>
        <w:top w:val="none" w:sz="0" w:space="0" w:color="auto"/>
        <w:left w:val="none" w:sz="0" w:space="0" w:color="auto"/>
        <w:bottom w:val="none" w:sz="0" w:space="0" w:color="auto"/>
        <w:right w:val="none" w:sz="0" w:space="0" w:color="auto"/>
      </w:divBdr>
      <w:divsChild>
        <w:div w:id="128033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834245">
      <w:bodyDiv w:val="1"/>
      <w:marLeft w:val="0"/>
      <w:marRight w:val="0"/>
      <w:marTop w:val="0"/>
      <w:marBottom w:val="0"/>
      <w:divBdr>
        <w:top w:val="none" w:sz="0" w:space="0" w:color="auto"/>
        <w:left w:val="none" w:sz="0" w:space="0" w:color="auto"/>
        <w:bottom w:val="none" w:sz="0" w:space="0" w:color="auto"/>
        <w:right w:val="none" w:sz="0" w:space="0" w:color="auto"/>
      </w:divBdr>
    </w:div>
    <w:div w:id="1038820542">
      <w:bodyDiv w:val="1"/>
      <w:marLeft w:val="0"/>
      <w:marRight w:val="0"/>
      <w:marTop w:val="0"/>
      <w:marBottom w:val="0"/>
      <w:divBdr>
        <w:top w:val="none" w:sz="0" w:space="0" w:color="auto"/>
        <w:left w:val="none" w:sz="0" w:space="0" w:color="auto"/>
        <w:bottom w:val="none" w:sz="0" w:space="0" w:color="auto"/>
        <w:right w:val="none" w:sz="0" w:space="0" w:color="auto"/>
      </w:divBdr>
    </w:div>
    <w:div w:id="1061439567">
      <w:bodyDiv w:val="1"/>
      <w:marLeft w:val="0"/>
      <w:marRight w:val="0"/>
      <w:marTop w:val="0"/>
      <w:marBottom w:val="0"/>
      <w:divBdr>
        <w:top w:val="none" w:sz="0" w:space="0" w:color="auto"/>
        <w:left w:val="none" w:sz="0" w:space="0" w:color="auto"/>
        <w:bottom w:val="none" w:sz="0" w:space="0" w:color="auto"/>
        <w:right w:val="none" w:sz="0" w:space="0" w:color="auto"/>
      </w:divBdr>
    </w:div>
    <w:div w:id="1211724108">
      <w:bodyDiv w:val="1"/>
      <w:marLeft w:val="0"/>
      <w:marRight w:val="0"/>
      <w:marTop w:val="0"/>
      <w:marBottom w:val="0"/>
      <w:divBdr>
        <w:top w:val="none" w:sz="0" w:space="0" w:color="auto"/>
        <w:left w:val="none" w:sz="0" w:space="0" w:color="auto"/>
        <w:bottom w:val="none" w:sz="0" w:space="0" w:color="auto"/>
        <w:right w:val="none" w:sz="0" w:space="0" w:color="auto"/>
      </w:divBdr>
    </w:div>
    <w:div w:id="1313144882">
      <w:bodyDiv w:val="1"/>
      <w:marLeft w:val="0"/>
      <w:marRight w:val="0"/>
      <w:marTop w:val="0"/>
      <w:marBottom w:val="0"/>
      <w:divBdr>
        <w:top w:val="none" w:sz="0" w:space="0" w:color="auto"/>
        <w:left w:val="none" w:sz="0" w:space="0" w:color="auto"/>
        <w:bottom w:val="none" w:sz="0" w:space="0" w:color="auto"/>
        <w:right w:val="none" w:sz="0" w:space="0" w:color="auto"/>
      </w:divBdr>
    </w:div>
    <w:div w:id="1409889003">
      <w:bodyDiv w:val="1"/>
      <w:marLeft w:val="0"/>
      <w:marRight w:val="0"/>
      <w:marTop w:val="0"/>
      <w:marBottom w:val="0"/>
      <w:divBdr>
        <w:top w:val="none" w:sz="0" w:space="0" w:color="auto"/>
        <w:left w:val="none" w:sz="0" w:space="0" w:color="auto"/>
        <w:bottom w:val="none" w:sz="0" w:space="0" w:color="auto"/>
        <w:right w:val="none" w:sz="0" w:space="0" w:color="auto"/>
      </w:divBdr>
    </w:div>
    <w:div w:id="1540311917">
      <w:bodyDiv w:val="1"/>
      <w:marLeft w:val="0"/>
      <w:marRight w:val="0"/>
      <w:marTop w:val="0"/>
      <w:marBottom w:val="0"/>
      <w:divBdr>
        <w:top w:val="none" w:sz="0" w:space="0" w:color="auto"/>
        <w:left w:val="none" w:sz="0" w:space="0" w:color="auto"/>
        <w:bottom w:val="none" w:sz="0" w:space="0" w:color="auto"/>
        <w:right w:val="none" w:sz="0" w:space="0" w:color="auto"/>
      </w:divBdr>
    </w:div>
    <w:div w:id="1605847806">
      <w:bodyDiv w:val="1"/>
      <w:marLeft w:val="0"/>
      <w:marRight w:val="0"/>
      <w:marTop w:val="0"/>
      <w:marBottom w:val="0"/>
      <w:divBdr>
        <w:top w:val="none" w:sz="0" w:space="0" w:color="auto"/>
        <w:left w:val="none" w:sz="0" w:space="0" w:color="auto"/>
        <w:bottom w:val="none" w:sz="0" w:space="0" w:color="auto"/>
        <w:right w:val="none" w:sz="0" w:space="0" w:color="auto"/>
      </w:divBdr>
    </w:div>
    <w:div w:id="1639410026">
      <w:bodyDiv w:val="1"/>
      <w:marLeft w:val="0"/>
      <w:marRight w:val="0"/>
      <w:marTop w:val="0"/>
      <w:marBottom w:val="0"/>
      <w:divBdr>
        <w:top w:val="none" w:sz="0" w:space="0" w:color="auto"/>
        <w:left w:val="none" w:sz="0" w:space="0" w:color="auto"/>
        <w:bottom w:val="none" w:sz="0" w:space="0" w:color="auto"/>
        <w:right w:val="none" w:sz="0" w:space="0" w:color="auto"/>
      </w:divBdr>
    </w:div>
    <w:div w:id="1671104289">
      <w:bodyDiv w:val="1"/>
      <w:marLeft w:val="0"/>
      <w:marRight w:val="0"/>
      <w:marTop w:val="0"/>
      <w:marBottom w:val="0"/>
      <w:divBdr>
        <w:top w:val="none" w:sz="0" w:space="0" w:color="auto"/>
        <w:left w:val="none" w:sz="0" w:space="0" w:color="auto"/>
        <w:bottom w:val="none" w:sz="0" w:space="0" w:color="auto"/>
        <w:right w:val="none" w:sz="0" w:space="0" w:color="auto"/>
      </w:divBdr>
    </w:div>
    <w:div w:id="1673726632">
      <w:bodyDiv w:val="1"/>
      <w:marLeft w:val="0"/>
      <w:marRight w:val="0"/>
      <w:marTop w:val="0"/>
      <w:marBottom w:val="0"/>
      <w:divBdr>
        <w:top w:val="none" w:sz="0" w:space="0" w:color="auto"/>
        <w:left w:val="none" w:sz="0" w:space="0" w:color="auto"/>
        <w:bottom w:val="none" w:sz="0" w:space="0" w:color="auto"/>
        <w:right w:val="none" w:sz="0" w:space="0" w:color="auto"/>
      </w:divBdr>
    </w:div>
    <w:div w:id="1683556406">
      <w:bodyDiv w:val="1"/>
      <w:marLeft w:val="0"/>
      <w:marRight w:val="0"/>
      <w:marTop w:val="0"/>
      <w:marBottom w:val="0"/>
      <w:divBdr>
        <w:top w:val="none" w:sz="0" w:space="0" w:color="auto"/>
        <w:left w:val="none" w:sz="0" w:space="0" w:color="auto"/>
        <w:bottom w:val="none" w:sz="0" w:space="0" w:color="auto"/>
        <w:right w:val="none" w:sz="0" w:space="0" w:color="auto"/>
      </w:divBdr>
    </w:div>
    <w:div w:id="1711294829">
      <w:bodyDiv w:val="1"/>
      <w:marLeft w:val="0"/>
      <w:marRight w:val="0"/>
      <w:marTop w:val="0"/>
      <w:marBottom w:val="0"/>
      <w:divBdr>
        <w:top w:val="none" w:sz="0" w:space="0" w:color="auto"/>
        <w:left w:val="none" w:sz="0" w:space="0" w:color="auto"/>
        <w:bottom w:val="none" w:sz="0" w:space="0" w:color="auto"/>
        <w:right w:val="none" w:sz="0" w:space="0" w:color="auto"/>
      </w:divBdr>
    </w:div>
    <w:div w:id="1738935175">
      <w:bodyDiv w:val="1"/>
      <w:marLeft w:val="0"/>
      <w:marRight w:val="0"/>
      <w:marTop w:val="0"/>
      <w:marBottom w:val="0"/>
      <w:divBdr>
        <w:top w:val="none" w:sz="0" w:space="0" w:color="auto"/>
        <w:left w:val="none" w:sz="0" w:space="0" w:color="auto"/>
        <w:bottom w:val="none" w:sz="0" w:space="0" w:color="auto"/>
        <w:right w:val="none" w:sz="0" w:space="0" w:color="auto"/>
      </w:divBdr>
    </w:div>
    <w:div w:id="1776748543">
      <w:bodyDiv w:val="1"/>
      <w:marLeft w:val="0"/>
      <w:marRight w:val="0"/>
      <w:marTop w:val="0"/>
      <w:marBottom w:val="0"/>
      <w:divBdr>
        <w:top w:val="none" w:sz="0" w:space="0" w:color="auto"/>
        <w:left w:val="none" w:sz="0" w:space="0" w:color="auto"/>
        <w:bottom w:val="none" w:sz="0" w:space="0" w:color="auto"/>
        <w:right w:val="none" w:sz="0" w:space="0" w:color="auto"/>
      </w:divBdr>
    </w:div>
    <w:div w:id="1842156538">
      <w:bodyDiv w:val="1"/>
      <w:marLeft w:val="0"/>
      <w:marRight w:val="0"/>
      <w:marTop w:val="0"/>
      <w:marBottom w:val="0"/>
      <w:divBdr>
        <w:top w:val="none" w:sz="0" w:space="0" w:color="auto"/>
        <w:left w:val="none" w:sz="0" w:space="0" w:color="auto"/>
        <w:bottom w:val="none" w:sz="0" w:space="0" w:color="auto"/>
        <w:right w:val="none" w:sz="0" w:space="0" w:color="auto"/>
      </w:divBdr>
    </w:div>
    <w:div w:id="1871065170">
      <w:bodyDiv w:val="1"/>
      <w:marLeft w:val="0"/>
      <w:marRight w:val="0"/>
      <w:marTop w:val="0"/>
      <w:marBottom w:val="0"/>
      <w:divBdr>
        <w:top w:val="none" w:sz="0" w:space="0" w:color="auto"/>
        <w:left w:val="none" w:sz="0" w:space="0" w:color="auto"/>
        <w:bottom w:val="none" w:sz="0" w:space="0" w:color="auto"/>
        <w:right w:val="none" w:sz="0" w:space="0" w:color="auto"/>
      </w:divBdr>
    </w:div>
    <w:div w:id="1908109956">
      <w:bodyDiv w:val="1"/>
      <w:marLeft w:val="0"/>
      <w:marRight w:val="0"/>
      <w:marTop w:val="0"/>
      <w:marBottom w:val="0"/>
      <w:divBdr>
        <w:top w:val="none" w:sz="0" w:space="0" w:color="auto"/>
        <w:left w:val="none" w:sz="0" w:space="0" w:color="auto"/>
        <w:bottom w:val="none" w:sz="0" w:space="0" w:color="auto"/>
        <w:right w:val="none" w:sz="0" w:space="0" w:color="auto"/>
      </w:divBdr>
    </w:div>
    <w:div w:id="2031449738">
      <w:bodyDiv w:val="1"/>
      <w:marLeft w:val="0"/>
      <w:marRight w:val="0"/>
      <w:marTop w:val="0"/>
      <w:marBottom w:val="0"/>
      <w:divBdr>
        <w:top w:val="none" w:sz="0" w:space="0" w:color="auto"/>
        <w:left w:val="none" w:sz="0" w:space="0" w:color="auto"/>
        <w:bottom w:val="none" w:sz="0" w:space="0" w:color="auto"/>
        <w:right w:val="none" w:sz="0" w:space="0" w:color="auto"/>
      </w:divBdr>
    </w:div>
    <w:div w:id="2137874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Shared%20Docs:Public:Sister%20Organisations:TACLC:Stealing%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hared%20Docs:Public:Sister%20Organisations:TACLC:Stealing%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Sentence for guilty pleas to minor thefts</a:t>
            </a:r>
          </a:p>
        </c:rich>
      </c:tx>
      <c:layout>
        <c:manualLayout>
          <c:xMode val="edge"/>
          <c:yMode val="edge"/>
          <c:x val="0.232730009684618"/>
          <c:y val="0.0158258361269198"/>
        </c:manualLayout>
      </c:layout>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Lbl>
              <c:idx val="7"/>
              <c:layout/>
              <c:tx>
                <c:rich>
                  <a:bodyPr/>
                  <a:lstStyle/>
                  <a:p>
                    <a:r>
                      <a:rPr lang="en-US"/>
                      <a:t>Good Behaviour Bond/Recognisance Orders
37%</a:t>
                    </a:r>
                  </a:p>
                </c:rich>
              </c:tx>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Sheet2!$H$940:$H$949</c:f>
              <c:strCache>
                <c:ptCount val="10"/>
                <c:pt idx="0">
                  <c:v>Imprisonment with Determined Term</c:v>
                </c:pt>
                <c:pt idx="1">
                  <c:v>Imprisonment with partially suspended term</c:v>
                </c:pt>
                <c:pt idx="2">
                  <c:v>Fully suspended adult sentence</c:v>
                </c:pt>
                <c:pt idx="3">
                  <c:v>Community Service Orders</c:v>
                </c:pt>
                <c:pt idx="4">
                  <c:v>Probation Orders</c:v>
                </c:pt>
                <c:pt idx="5">
                  <c:v>Fine</c:v>
                </c:pt>
                <c:pt idx="6">
                  <c:v> Orders as Recompense to Victim</c:v>
                </c:pt>
                <c:pt idx="7">
                  <c:v>Good Behaviour Bond/Reconisance Orders</c:v>
                </c:pt>
                <c:pt idx="8">
                  <c:v> Nominal Penalty</c:v>
                </c:pt>
                <c:pt idx="9">
                  <c:v>No sentence recorded</c:v>
                </c:pt>
              </c:strCache>
            </c:strRef>
          </c:cat>
          <c:val>
            <c:numRef>
              <c:f>Sheet2!$I$940:$I$949</c:f>
              <c:numCache>
                <c:formatCode>General</c:formatCode>
                <c:ptCount val="10"/>
                <c:pt idx="0">
                  <c:v>34.0</c:v>
                </c:pt>
                <c:pt idx="1">
                  <c:v>8.0</c:v>
                </c:pt>
                <c:pt idx="2">
                  <c:v>76.0</c:v>
                </c:pt>
                <c:pt idx="3">
                  <c:v>47.0</c:v>
                </c:pt>
                <c:pt idx="4">
                  <c:v>14.0</c:v>
                </c:pt>
                <c:pt idx="5">
                  <c:v>117.0</c:v>
                </c:pt>
                <c:pt idx="6">
                  <c:v>46.0</c:v>
                </c:pt>
                <c:pt idx="7">
                  <c:v>224.0</c:v>
                </c:pt>
                <c:pt idx="8">
                  <c:v>28.0</c:v>
                </c:pt>
                <c:pt idx="9">
                  <c:v>18.0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Fines for guilty pleas minor thefts</a:t>
            </a:r>
          </a:p>
        </c:rich>
      </c:tx>
      <c:layout/>
      <c:overlay val="0"/>
    </c:title>
    <c:autoTitleDeleted val="0"/>
    <c:plotArea>
      <c:layout/>
      <c:pieChart>
        <c:varyColors val="1"/>
        <c:ser>
          <c:idx val="0"/>
          <c:order val="0"/>
          <c:tx>
            <c:strRef>
              <c:f>Sheet2!$H$993</c:f>
              <c:strCache>
                <c:ptCount val="1"/>
                <c:pt idx="0">
                  <c:v>Total</c:v>
                </c:pt>
              </c:strCache>
            </c:strRef>
          </c:tx>
          <c:dPt>
            <c:idx val="0"/>
            <c:bubble3D val="0"/>
          </c:dPt>
          <c:dPt>
            <c:idx val="1"/>
            <c:bubble3D val="0"/>
          </c:dPt>
          <c:dPt>
            <c:idx val="2"/>
            <c:bubble3D val="0"/>
          </c:dPt>
          <c:dPt>
            <c:idx val="3"/>
            <c:bubble3D val="0"/>
          </c:dPt>
          <c:dPt>
            <c:idx val="4"/>
            <c:bubble3D val="0"/>
          </c:dPt>
          <c:dPt>
            <c:idx val="5"/>
            <c:bubble3D val="0"/>
          </c:dPt>
          <c:dLbls>
            <c:txPr>
              <a:bodyPr/>
              <a:lstStyle/>
              <a:p>
                <a:pPr>
                  <a:defRPr b="1"/>
                </a:pPr>
                <a:endParaRPr lang="en-US"/>
              </a:p>
            </c:txPr>
            <c:showLegendKey val="0"/>
            <c:showVal val="0"/>
            <c:showCatName val="1"/>
            <c:showSerName val="0"/>
            <c:showPercent val="1"/>
            <c:showBubbleSize val="0"/>
            <c:showLeaderLines val="1"/>
          </c:dLbls>
          <c:cat>
            <c:strRef>
              <c:f>Sheet2!$G$994:$G$999</c:f>
              <c:strCache>
                <c:ptCount val="6"/>
                <c:pt idx="0">
                  <c:v>$0-$99</c:v>
                </c:pt>
                <c:pt idx="1">
                  <c:v>$100-$199</c:v>
                </c:pt>
                <c:pt idx="2">
                  <c:v>$200-$299</c:v>
                </c:pt>
                <c:pt idx="3">
                  <c:v>$300-$399</c:v>
                </c:pt>
                <c:pt idx="4">
                  <c:v>$400-$499</c:v>
                </c:pt>
                <c:pt idx="5">
                  <c:v>$500+</c:v>
                </c:pt>
              </c:strCache>
            </c:strRef>
          </c:cat>
          <c:val>
            <c:numRef>
              <c:f>Sheet2!$H$994:$H$999</c:f>
              <c:numCache>
                <c:formatCode>General</c:formatCode>
                <c:ptCount val="6"/>
                <c:pt idx="0">
                  <c:v>12.0</c:v>
                </c:pt>
                <c:pt idx="1">
                  <c:v>51.0</c:v>
                </c:pt>
                <c:pt idx="2">
                  <c:v>29.0</c:v>
                </c:pt>
                <c:pt idx="3">
                  <c:v>14.0</c:v>
                </c:pt>
                <c:pt idx="4">
                  <c:v>2.0</c:v>
                </c:pt>
                <c:pt idx="5">
                  <c:v>9.0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4489-92F1-2E48-AACD-9DAFA6DD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11</Pages>
  <Words>3353</Words>
  <Characters>17710</Characters>
  <Application>Microsoft Macintosh Word</Application>
  <DocSecurity>0</DocSecurity>
  <Lines>340</Lines>
  <Paragraphs>73</Paragraphs>
  <ScaleCrop>false</ScaleCrop>
  <Company>tenants union</Company>
  <LinksUpToDate>false</LinksUpToDate>
  <CharactersWithSpaces>20990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95</cp:revision>
  <cp:lastPrinted>2012-08-05T21:17:00Z</cp:lastPrinted>
  <dcterms:created xsi:type="dcterms:W3CDTF">2012-07-29T22:54:00Z</dcterms:created>
  <dcterms:modified xsi:type="dcterms:W3CDTF">2012-09-03T01:03:00Z</dcterms:modified>
</cp:coreProperties>
</file>