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6FBAD" w14:textId="77777777" w:rsidR="0011139C" w:rsidRDefault="0011139C" w:rsidP="0011139C">
      <w:pPr>
        <w:ind w:right="-347"/>
        <w:jc w:val="center"/>
      </w:pPr>
      <w:r>
        <w:rPr>
          <w:noProof/>
          <w:sz w:val="20"/>
          <w:szCs w:val="20"/>
          <w:lang w:val="en-AU" w:eastAsia="en-AU"/>
        </w:rPr>
        <w:drawing>
          <wp:inline distT="0" distB="0" distL="0" distR="0" wp14:anchorId="23A28CD4" wp14:editId="2E016008">
            <wp:extent cx="3235960" cy="1099476"/>
            <wp:effectExtent l="0" t="0" r="0" b="0"/>
            <wp:docPr id="5" name="Picture 1" descr="Shared Docs:Public:Sister Organisations:CLC Tas:CLCLogos:CLCTas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ed Docs:Public:Sister Organisations:CLC Tas:CLCLogos:CLCTascolou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972" cy="110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2172D" w14:textId="77777777" w:rsidR="0011139C" w:rsidRPr="00A7231F" w:rsidRDefault="0011139C" w:rsidP="0011139C">
      <w:pPr>
        <w:ind w:right="-347"/>
      </w:pPr>
    </w:p>
    <w:p w14:paraId="751018F3" w14:textId="77777777" w:rsidR="0011139C" w:rsidRDefault="0011139C" w:rsidP="0011139C">
      <w:pPr>
        <w:ind w:right="-347"/>
      </w:pPr>
    </w:p>
    <w:p w14:paraId="059A0902" w14:textId="77777777" w:rsidR="0011139C" w:rsidRDefault="0011139C" w:rsidP="0011139C">
      <w:pPr>
        <w:ind w:right="-347"/>
      </w:pPr>
    </w:p>
    <w:p w14:paraId="01584668" w14:textId="0EA2FDFD" w:rsidR="0011139C" w:rsidRPr="00A7231F" w:rsidRDefault="00A45421" w:rsidP="0011139C">
      <w:pPr>
        <w:ind w:right="-347"/>
      </w:pPr>
      <w:r>
        <w:t>7</w:t>
      </w:r>
      <w:r w:rsidR="0011139C">
        <w:t xml:space="preserve"> June 2018</w:t>
      </w:r>
    </w:p>
    <w:p w14:paraId="3291AB7F" w14:textId="77777777" w:rsidR="0011139C" w:rsidRPr="00A7231F" w:rsidRDefault="0011139C" w:rsidP="0011139C">
      <w:pPr>
        <w:ind w:right="-347"/>
      </w:pPr>
    </w:p>
    <w:p w14:paraId="196CE4F5" w14:textId="77777777" w:rsidR="0011139C" w:rsidRDefault="0011139C" w:rsidP="0011139C">
      <w:pPr>
        <w:ind w:right="-347"/>
      </w:pPr>
      <w:r>
        <w:t>Department of Justice</w:t>
      </w:r>
    </w:p>
    <w:p w14:paraId="0198445E" w14:textId="77777777" w:rsidR="0011139C" w:rsidRDefault="0011139C" w:rsidP="0011139C">
      <w:pPr>
        <w:ind w:right="-347"/>
      </w:pPr>
      <w:r>
        <w:t>Office of the Secretary</w:t>
      </w:r>
    </w:p>
    <w:p w14:paraId="49836C34" w14:textId="77777777" w:rsidR="0011139C" w:rsidRDefault="0011139C" w:rsidP="0011139C">
      <w:pPr>
        <w:ind w:right="-347"/>
      </w:pPr>
      <w:r>
        <w:t xml:space="preserve">GPO Box 825 </w:t>
      </w:r>
    </w:p>
    <w:p w14:paraId="51DAE2DE" w14:textId="77777777" w:rsidR="0011139C" w:rsidRDefault="0011139C" w:rsidP="0011139C">
      <w:pPr>
        <w:ind w:right="-347"/>
      </w:pPr>
      <w:r>
        <w:t>Hobart TAS 7001</w:t>
      </w:r>
    </w:p>
    <w:p w14:paraId="553E2F6C" w14:textId="77777777" w:rsidR="0011139C" w:rsidRDefault="0011139C" w:rsidP="0011139C">
      <w:pPr>
        <w:ind w:right="-347"/>
      </w:pPr>
      <w:r>
        <w:t>attn: Director</w:t>
      </w:r>
    </w:p>
    <w:p w14:paraId="4DAE14BB" w14:textId="77777777" w:rsidR="0011139C" w:rsidRDefault="0011139C" w:rsidP="0011139C">
      <w:pPr>
        <w:ind w:right="-347"/>
      </w:pPr>
    </w:p>
    <w:p w14:paraId="2A5E2340" w14:textId="77777777" w:rsidR="0011139C" w:rsidRDefault="0011139C" w:rsidP="0011139C">
      <w:pPr>
        <w:ind w:right="-347"/>
      </w:pPr>
      <w:r w:rsidRPr="0022614F">
        <w:rPr>
          <w:b/>
          <w:bCs/>
        </w:rPr>
        <w:t>via email</w:t>
      </w:r>
      <w:r>
        <w:t xml:space="preserve">: </w:t>
      </w:r>
      <w:hyperlink r:id="rId8" w:history="1">
        <w:r>
          <w:rPr>
            <w:rStyle w:val="Hyperlink"/>
          </w:rPr>
          <w:t>HaveYourSay@justice.tas.gov.au</w:t>
        </w:r>
      </w:hyperlink>
      <w:r>
        <w:t xml:space="preserve"> </w:t>
      </w:r>
    </w:p>
    <w:p w14:paraId="787B1581" w14:textId="77777777" w:rsidR="0011139C" w:rsidRDefault="0011139C" w:rsidP="0011139C">
      <w:pPr>
        <w:ind w:right="-347"/>
      </w:pPr>
    </w:p>
    <w:p w14:paraId="24F4EC1A" w14:textId="77777777" w:rsidR="0011139C" w:rsidRDefault="0011139C" w:rsidP="0011139C">
      <w:pPr>
        <w:ind w:right="-347"/>
      </w:pPr>
      <w:r>
        <w:t>To Brooke Craven,</w:t>
      </w:r>
    </w:p>
    <w:p w14:paraId="63126D32" w14:textId="77777777" w:rsidR="0011139C" w:rsidRDefault="0011139C" w:rsidP="0011139C">
      <w:pPr>
        <w:pBdr>
          <w:bottom w:val="single" w:sz="6" w:space="1" w:color="auto"/>
        </w:pBdr>
        <w:ind w:right="-347"/>
        <w:rPr>
          <w:rFonts w:cs="Arial"/>
        </w:rPr>
      </w:pPr>
      <w:r w:rsidRPr="00C95395">
        <w:rPr>
          <w:b/>
        </w:rPr>
        <w:t xml:space="preserve">Re: </w:t>
      </w:r>
      <w:r>
        <w:rPr>
          <w:b/>
          <w:i/>
        </w:rPr>
        <w:t>Mental Health Amendment Bill 2018</w:t>
      </w:r>
    </w:p>
    <w:p w14:paraId="54F40981" w14:textId="77777777" w:rsidR="0011139C" w:rsidRDefault="0011139C" w:rsidP="0011139C">
      <w:pPr>
        <w:ind w:right="-347"/>
        <w:jc w:val="both"/>
        <w:rPr>
          <w:rFonts w:cs="Calibri"/>
        </w:rPr>
      </w:pPr>
    </w:p>
    <w:p w14:paraId="311D7ABF" w14:textId="77777777" w:rsidR="0011139C" w:rsidRDefault="0011139C" w:rsidP="003324E2">
      <w:pPr>
        <w:ind w:right="-347"/>
        <w:jc w:val="both"/>
      </w:pPr>
      <w:r w:rsidRPr="008A004F">
        <w:rPr>
          <w:rFonts w:cs="Calibri"/>
        </w:rPr>
        <w:t>Community Legal Centres Tasmania (CLC Tas)</w:t>
      </w:r>
      <w:r w:rsidRPr="008A004F">
        <w:t xml:space="preserve"> </w:t>
      </w:r>
      <w:r>
        <w:t>welcomes</w:t>
      </w:r>
      <w:r w:rsidRPr="008A004F">
        <w:t xml:space="preserve"> the opportunity to </w:t>
      </w:r>
      <w:r>
        <w:t xml:space="preserve">provide </w:t>
      </w:r>
      <w:r w:rsidRPr="00C1176A">
        <w:t xml:space="preserve">comment on the </w:t>
      </w:r>
      <w:r>
        <w:rPr>
          <w:i/>
        </w:rPr>
        <w:t>Mental Health Amendment Bill 2018</w:t>
      </w:r>
      <w:r w:rsidRPr="00C1176A">
        <w:t>.</w:t>
      </w:r>
      <w:r w:rsidRPr="00C1176A">
        <w:rPr>
          <w:rStyle w:val="FootnoteReference"/>
        </w:rPr>
        <w:footnoteReference w:id="1"/>
      </w:r>
    </w:p>
    <w:p w14:paraId="52FAC5E8" w14:textId="77777777" w:rsidR="0011139C" w:rsidRDefault="0011139C" w:rsidP="003324E2">
      <w:pPr>
        <w:ind w:right="-347"/>
        <w:jc w:val="both"/>
      </w:pPr>
    </w:p>
    <w:p w14:paraId="4C69231A" w14:textId="77777777" w:rsidR="006A5453" w:rsidRDefault="0011139C" w:rsidP="003324E2">
      <w:pPr>
        <w:ind w:right="-347"/>
        <w:jc w:val="both"/>
        <w:rPr>
          <w:rFonts w:cs="Arial"/>
          <w:color w:val="000000"/>
        </w:rPr>
      </w:pPr>
      <w:r w:rsidRPr="008A004F">
        <w:rPr>
          <w:rFonts w:eastAsia="Times New Roman" w:cs="Arial"/>
          <w:lang w:eastAsia="en-AU"/>
        </w:rPr>
        <w:t xml:space="preserve">CLC Tas </w:t>
      </w:r>
      <w:r w:rsidRPr="008A004F">
        <w:rPr>
          <w:rFonts w:cs="Arial"/>
        </w:rPr>
        <w:t xml:space="preserve">is the peak body representing the interests of </w:t>
      </w:r>
      <w:r>
        <w:rPr>
          <w:rFonts w:cs="Arial"/>
        </w:rPr>
        <w:t>nine</w:t>
      </w:r>
      <w:r w:rsidRPr="008A004F">
        <w:rPr>
          <w:rFonts w:cs="Arial"/>
        </w:rPr>
        <w:t xml:space="preserve"> community legal centres (CLCs) located throu</w:t>
      </w:r>
      <w:r>
        <w:rPr>
          <w:rFonts w:cs="Arial"/>
        </w:rPr>
        <w:t>ghout Tasmania. We are a member-</w:t>
      </w:r>
      <w:r w:rsidRPr="008A004F">
        <w:rPr>
          <w:rFonts w:cs="Arial"/>
        </w:rPr>
        <w:t>based, independent, no</w:t>
      </w:r>
      <w:r>
        <w:rPr>
          <w:rFonts w:cs="Arial"/>
        </w:rPr>
        <w:t>t</w:t>
      </w:r>
      <w:r w:rsidRPr="008A004F">
        <w:rPr>
          <w:rFonts w:cs="Arial"/>
        </w:rPr>
        <w:t>-for-profit and incorporated organisation that</w:t>
      </w:r>
      <w:r w:rsidRPr="008A004F">
        <w:rPr>
          <w:rFonts w:cs="Arial"/>
          <w:color w:val="000000"/>
        </w:rPr>
        <w:t xml:space="preserve"> advocates for law reform on a range of public interest matters aimed at improving access to justice, reducing discrimination and protecting and promoting human rights. </w:t>
      </w:r>
    </w:p>
    <w:p w14:paraId="27E1D512" w14:textId="77777777" w:rsidR="006A5453" w:rsidRDefault="006A5453" w:rsidP="003324E2">
      <w:pPr>
        <w:ind w:right="-347"/>
        <w:jc w:val="both"/>
        <w:rPr>
          <w:rFonts w:cs="Arial"/>
          <w:color w:val="000000"/>
        </w:rPr>
      </w:pPr>
    </w:p>
    <w:p w14:paraId="2183DEF9" w14:textId="1DF68C02" w:rsidR="00B80031" w:rsidRDefault="0011139C" w:rsidP="00B80031">
      <w:pPr>
        <w:ind w:right="-347"/>
        <w:jc w:val="both"/>
      </w:pPr>
      <w:r>
        <w:t>We do not support the</w:t>
      </w:r>
      <w:r w:rsidR="00554B02">
        <w:t xml:space="preserve"> intent of the Bill. </w:t>
      </w:r>
      <w:r w:rsidR="00A76757">
        <w:t xml:space="preserve">We strongly believe that </w:t>
      </w:r>
      <w:r w:rsidR="00C577F1">
        <w:t xml:space="preserve">any amendment to </w:t>
      </w:r>
      <w:r w:rsidR="00D34B74">
        <w:t xml:space="preserve">the </w:t>
      </w:r>
      <w:r w:rsidR="00D34B74" w:rsidRPr="00D34B74">
        <w:rPr>
          <w:i/>
        </w:rPr>
        <w:t>Mental Health Act 2013</w:t>
      </w:r>
      <w:r w:rsidR="00D34B74">
        <w:t xml:space="preserve"> (Tas) must comply with the </w:t>
      </w:r>
      <w:r w:rsidR="00D34B74" w:rsidRPr="00D34B74">
        <w:rPr>
          <w:i/>
        </w:rPr>
        <w:t>Convention on the Rights of Persons with Disabilities</w:t>
      </w:r>
      <w:r w:rsidR="00D34B74">
        <w:t>.</w:t>
      </w:r>
      <w:r w:rsidR="003324E2">
        <w:rPr>
          <w:rStyle w:val="FootnoteReference"/>
        </w:rPr>
        <w:footnoteReference w:id="2"/>
      </w:r>
      <w:r w:rsidR="00D34B74">
        <w:t xml:space="preserve"> </w:t>
      </w:r>
      <w:r w:rsidR="00B80031">
        <w:t>Relevantly, article 12</w:t>
      </w:r>
      <w:r w:rsidR="003324E2">
        <w:t xml:space="preserve"> of the Convention provides</w:t>
      </w:r>
      <w:r w:rsidR="00B80031">
        <w:t xml:space="preserve"> for the equal recognition of persons with disabilities </w:t>
      </w:r>
      <w:r w:rsidR="006A5453">
        <w:t xml:space="preserve">before the law by ensuring </w:t>
      </w:r>
      <w:r w:rsidR="00B80031">
        <w:t>that all measures that relate to the exercise of legal capacity provide for appropriate and effective safeguards</w:t>
      </w:r>
      <w:r w:rsidR="006A5453">
        <w:t>, inc</w:t>
      </w:r>
      <w:r w:rsidR="00A45421">
        <w:t>l</w:t>
      </w:r>
      <w:r w:rsidR="006A5453">
        <w:t>uding</w:t>
      </w:r>
      <w:r w:rsidR="00B80031">
        <w:t>:</w:t>
      </w:r>
      <w:r w:rsidR="00B80031">
        <w:rPr>
          <w:rStyle w:val="FootnoteReference"/>
        </w:rPr>
        <w:footnoteReference w:id="3"/>
      </w:r>
    </w:p>
    <w:p w14:paraId="38C27FC8" w14:textId="77777777" w:rsidR="006A5453" w:rsidRPr="006A5453" w:rsidRDefault="006A5453" w:rsidP="00B80031">
      <w:pPr>
        <w:ind w:right="-347"/>
        <w:jc w:val="both"/>
        <w:rPr>
          <w:rFonts w:cs="Arial"/>
          <w:color w:val="000000"/>
        </w:rPr>
      </w:pPr>
    </w:p>
    <w:p w14:paraId="19F79642" w14:textId="612AFE4E" w:rsidR="00B80031" w:rsidRDefault="00B80031" w:rsidP="00840646">
      <w:pPr>
        <w:pStyle w:val="ListParagraph"/>
        <w:numPr>
          <w:ilvl w:val="0"/>
          <w:numId w:val="4"/>
        </w:numPr>
        <w:ind w:right="-347"/>
        <w:jc w:val="both"/>
      </w:pPr>
      <w:r>
        <w:t>respect the rights, will and preferences of the person</w:t>
      </w:r>
      <w:r w:rsidR="00E92F88">
        <w:t>; and</w:t>
      </w:r>
    </w:p>
    <w:p w14:paraId="4A4C2137" w14:textId="007FEF6C" w:rsidR="00B80031" w:rsidRDefault="00B80031" w:rsidP="00840646">
      <w:pPr>
        <w:pStyle w:val="ListParagraph"/>
        <w:numPr>
          <w:ilvl w:val="0"/>
          <w:numId w:val="4"/>
        </w:numPr>
        <w:ind w:right="-347"/>
        <w:jc w:val="both"/>
      </w:pPr>
      <w:r>
        <w:t>are free of conflict of interest and undue influence</w:t>
      </w:r>
      <w:r w:rsidR="00E92F88">
        <w:t>; and</w:t>
      </w:r>
    </w:p>
    <w:p w14:paraId="65A32082" w14:textId="77B0CEC3" w:rsidR="00B80031" w:rsidRDefault="00B80031" w:rsidP="00840646">
      <w:pPr>
        <w:pStyle w:val="ListParagraph"/>
        <w:numPr>
          <w:ilvl w:val="0"/>
          <w:numId w:val="4"/>
        </w:numPr>
        <w:ind w:right="-347"/>
        <w:jc w:val="both"/>
      </w:pPr>
      <w:r>
        <w:t>are proportional and tailored to the person’s circumstances</w:t>
      </w:r>
      <w:r w:rsidR="00E92F88">
        <w:t>; and</w:t>
      </w:r>
    </w:p>
    <w:p w14:paraId="3E22F9C9" w14:textId="685A478B" w:rsidR="00B80031" w:rsidRDefault="00B80031" w:rsidP="00840646">
      <w:pPr>
        <w:pStyle w:val="ListParagraph"/>
        <w:numPr>
          <w:ilvl w:val="0"/>
          <w:numId w:val="4"/>
        </w:numPr>
        <w:ind w:right="-347"/>
        <w:jc w:val="both"/>
      </w:pPr>
      <w:r>
        <w:t>apply for the shortest time possible</w:t>
      </w:r>
      <w:r w:rsidR="00E92F88">
        <w:t>; and</w:t>
      </w:r>
    </w:p>
    <w:p w14:paraId="418E288E" w14:textId="13A6B049" w:rsidR="00B80031" w:rsidRDefault="00B80031" w:rsidP="00840646">
      <w:pPr>
        <w:pStyle w:val="ListParagraph"/>
        <w:numPr>
          <w:ilvl w:val="0"/>
          <w:numId w:val="4"/>
        </w:numPr>
        <w:ind w:right="-347"/>
        <w:jc w:val="both"/>
      </w:pPr>
      <w:r>
        <w:lastRenderedPageBreak/>
        <w:t>are subject to regular review by a comp</w:t>
      </w:r>
      <w:r w:rsidR="006A5453">
        <w:t xml:space="preserve">etent, independent and impartial </w:t>
      </w:r>
      <w:r>
        <w:t>authority or judicial body.</w:t>
      </w:r>
    </w:p>
    <w:p w14:paraId="7BDD34EB" w14:textId="77777777" w:rsidR="00E92F88" w:rsidRDefault="00E92F88" w:rsidP="0011139C">
      <w:pPr>
        <w:ind w:right="-347"/>
        <w:jc w:val="both"/>
      </w:pPr>
    </w:p>
    <w:p w14:paraId="4F7AF2F3" w14:textId="77777777" w:rsidR="00A45421" w:rsidRDefault="00675E4C" w:rsidP="0011139C">
      <w:pPr>
        <w:ind w:right="-347"/>
        <w:jc w:val="both"/>
      </w:pPr>
      <w:r>
        <w:t>Currently, section 181</w:t>
      </w:r>
      <w:r w:rsidR="00A45421">
        <w:t>(1)(d)</w:t>
      </w:r>
      <w:r>
        <w:t xml:space="preserve"> of the </w:t>
      </w:r>
      <w:r w:rsidRPr="00AB1004">
        <w:rPr>
          <w:i/>
        </w:rPr>
        <w:t>Mental Health Act 2013</w:t>
      </w:r>
      <w:r>
        <w:t xml:space="preserve"> (Tas)</w:t>
      </w:r>
      <w:r w:rsidR="00AB1004">
        <w:t xml:space="preserve"> mandates that the Mental Health Tribunal </w:t>
      </w:r>
      <w:r w:rsidR="00A45421">
        <w:t xml:space="preserve">must </w:t>
      </w:r>
      <w:r w:rsidR="00AB1004">
        <w:t xml:space="preserve">review a treatment order within three days of being notified of the patient’s </w:t>
      </w:r>
      <w:r w:rsidR="00A45421">
        <w:t>admission in circumstances where:</w:t>
      </w:r>
    </w:p>
    <w:p w14:paraId="061BA841" w14:textId="77777777" w:rsidR="00A45421" w:rsidRDefault="00A45421" w:rsidP="0011139C">
      <w:pPr>
        <w:ind w:right="-347"/>
        <w:jc w:val="both"/>
      </w:pPr>
    </w:p>
    <w:p w14:paraId="1665EBF1" w14:textId="39EB7867" w:rsidR="00A45421" w:rsidRDefault="00843D68" w:rsidP="00A45421">
      <w:pPr>
        <w:pStyle w:val="ListParagraph"/>
        <w:numPr>
          <w:ilvl w:val="0"/>
          <w:numId w:val="3"/>
        </w:numPr>
        <w:ind w:right="-347"/>
        <w:jc w:val="both"/>
      </w:pPr>
      <w:r>
        <w:t>the</w:t>
      </w:r>
      <w:r w:rsidR="00A45421">
        <w:t xml:space="preserve"> patient has failed to comply with a treatment order;</w:t>
      </w:r>
      <w:r>
        <w:rPr>
          <w:rStyle w:val="FootnoteReference"/>
        </w:rPr>
        <w:footnoteReference w:id="4"/>
      </w:r>
      <w:r w:rsidR="00A45421">
        <w:t xml:space="preserve"> or</w:t>
      </w:r>
    </w:p>
    <w:p w14:paraId="68DCD61E" w14:textId="77777777" w:rsidR="00843D68" w:rsidRDefault="00843D68" w:rsidP="00843D68">
      <w:pPr>
        <w:pStyle w:val="ListParagraph"/>
        <w:ind w:left="880" w:right="-347"/>
        <w:jc w:val="both"/>
      </w:pPr>
    </w:p>
    <w:p w14:paraId="46E9D90C" w14:textId="07822B64" w:rsidR="00A45421" w:rsidRDefault="00843D68" w:rsidP="00A45421">
      <w:pPr>
        <w:pStyle w:val="ListParagraph"/>
        <w:numPr>
          <w:ilvl w:val="0"/>
          <w:numId w:val="3"/>
        </w:numPr>
        <w:ind w:right="-347"/>
        <w:jc w:val="both"/>
      </w:pPr>
      <w:r>
        <w:t>the patient has complied with a treatment order but the treating medical practitioner believes that they should be admitted to prevent possible harm.</w:t>
      </w:r>
      <w:r>
        <w:rPr>
          <w:rStyle w:val="FootnoteReference"/>
        </w:rPr>
        <w:footnoteReference w:id="5"/>
      </w:r>
      <w:r>
        <w:t xml:space="preserve"> </w:t>
      </w:r>
    </w:p>
    <w:p w14:paraId="63EFB2BD" w14:textId="77777777" w:rsidR="00A45421" w:rsidRDefault="00A45421" w:rsidP="0011139C">
      <w:pPr>
        <w:ind w:right="-347"/>
        <w:jc w:val="both"/>
      </w:pPr>
    </w:p>
    <w:p w14:paraId="4F028AE6" w14:textId="77777777" w:rsidR="00742222" w:rsidRDefault="00FD58A2" w:rsidP="0011139C">
      <w:pPr>
        <w:ind w:right="-347"/>
        <w:jc w:val="both"/>
      </w:pPr>
      <w:r>
        <w:t>We acknowledge that the proposed amendment will continue to provide the Tribunal with the capacity to review a treatment order at any time either on its own motion or on the application of the patient or any person with standing.</w:t>
      </w:r>
      <w:r>
        <w:rPr>
          <w:rStyle w:val="FootnoteReference"/>
        </w:rPr>
        <w:footnoteReference w:id="6"/>
      </w:r>
      <w:r>
        <w:t xml:space="preserve"> </w:t>
      </w:r>
      <w:r w:rsidR="00AF59E1">
        <w:t xml:space="preserve">Nevertheless, </w:t>
      </w:r>
      <w:r>
        <w:t xml:space="preserve">we believe that the current </w:t>
      </w:r>
      <w:r w:rsidR="00AF59E1">
        <w:t xml:space="preserve">mandatory review within </w:t>
      </w:r>
      <w:r>
        <w:t>three day</w:t>
      </w:r>
      <w:r w:rsidR="00AF59E1">
        <w:t>s of being notified of the patient’s admission is an important safeguard</w:t>
      </w:r>
      <w:r w:rsidR="007816C6">
        <w:t>, even in circumstances where the patient has complied with the treatment order</w:t>
      </w:r>
      <w:r w:rsidR="00AF59E1">
        <w:t xml:space="preserve">. </w:t>
      </w:r>
      <w:r w:rsidR="0088063A">
        <w:t>This is because the Tribunal is required to consider whether the treatment is appropriate and effective for the patient</w:t>
      </w:r>
      <w:r w:rsidR="007816C6">
        <w:t xml:space="preserve"> and cannot be adequately given except under a treatment order</w:t>
      </w:r>
      <w:r w:rsidR="0088063A">
        <w:t>.</w:t>
      </w:r>
      <w:r w:rsidR="0088063A">
        <w:rPr>
          <w:rStyle w:val="FootnoteReference"/>
        </w:rPr>
        <w:footnoteReference w:id="7"/>
      </w:r>
      <w:r w:rsidR="00321E17">
        <w:t xml:space="preserve"> </w:t>
      </w:r>
    </w:p>
    <w:p w14:paraId="6368D660" w14:textId="77777777" w:rsidR="00742222" w:rsidRDefault="00742222" w:rsidP="0011139C">
      <w:pPr>
        <w:ind w:right="-347"/>
        <w:jc w:val="both"/>
      </w:pPr>
    </w:p>
    <w:p w14:paraId="0B647BAA" w14:textId="4B5DEE64" w:rsidR="00321E17" w:rsidRPr="00321E17" w:rsidRDefault="00840646" w:rsidP="0011139C">
      <w:pPr>
        <w:ind w:right="-347"/>
        <w:jc w:val="both"/>
      </w:pPr>
      <w:r>
        <w:t xml:space="preserve">Involuntary detention in a locked hospital ward </w:t>
      </w:r>
      <w:r w:rsidR="00A21783" w:rsidRPr="00A21783">
        <w:rPr>
          <w:color w:val="000000" w:themeColor="text1"/>
        </w:rPr>
        <w:t>must</w:t>
      </w:r>
      <w:r w:rsidR="003A548B">
        <w:t xml:space="preserve"> be an option of last resort, particularly when </w:t>
      </w:r>
      <w:r w:rsidR="00742222">
        <w:t xml:space="preserve">less onerous options such as treatment in a community setting may be available. We strongly believe that administrative convenience should not prevail over the patient’s right to least restrictive treatment setting. </w:t>
      </w:r>
      <w:r w:rsidR="00321E17">
        <w:t>In our opinion, having an independent Tribuna</w:t>
      </w:r>
      <w:r>
        <w:t xml:space="preserve">l review the order provides an </w:t>
      </w:r>
      <w:r w:rsidR="00E92F88">
        <w:t>additional</w:t>
      </w:r>
      <w:r w:rsidR="00321E17">
        <w:t xml:space="preserve"> level of protection to the patient and provides reassurance that the order will be proportional, best tailored to the patient’s circumstances and apply for the shortest time possible.  </w:t>
      </w:r>
      <w:bookmarkStart w:id="0" w:name="_GoBack"/>
      <w:bookmarkEnd w:id="0"/>
    </w:p>
    <w:p w14:paraId="35705C75" w14:textId="77777777" w:rsidR="0011139C" w:rsidRDefault="0011139C" w:rsidP="0011139C">
      <w:pPr>
        <w:ind w:right="-347"/>
        <w:jc w:val="both"/>
        <w:rPr>
          <w:bCs/>
        </w:rPr>
      </w:pPr>
    </w:p>
    <w:p w14:paraId="3297B1B9" w14:textId="77777777" w:rsidR="0011139C" w:rsidRDefault="0011139C" w:rsidP="0011139C">
      <w:pPr>
        <w:ind w:right="-347"/>
        <w:jc w:val="both"/>
        <w:rPr>
          <w:bCs/>
        </w:rPr>
      </w:pPr>
      <w:r>
        <w:rPr>
          <w:bCs/>
        </w:rPr>
        <w:t>If we can be of any further assistance, please do not hesitate to contact us.</w:t>
      </w:r>
    </w:p>
    <w:p w14:paraId="0089C90C" w14:textId="77777777" w:rsidR="0011139C" w:rsidRDefault="0011139C" w:rsidP="0011139C">
      <w:pPr>
        <w:ind w:right="-347"/>
        <w:jc w:val="both"/>
        <w:rPr>
          <w:bCs/>
        </w:rPr>
      </w:pPr>
    </w:p>
    <w:p w14:paraId="40F285BC" w14:textId="77777777" w:rsidR="0011139C" w:rsidRDefault="0011139C" w:rsidP="0011139C">
      <w:pPr>
        <w:ind w:right="-347"/>
        <w:jc w:val="both"/>
        <w:rPr>
          <w:bCs/>
        </w:rPr>
      </w:pPr>
    </w:p>
    <w:p w14:paraId="330155DD" w14:textId="77777777" w:rsidR="0011139C" w:rsidRDefault="0011139C" w:rsidP="0011139C">
      <w:pPr>
        <w:ind w:right="-347"/>
        <w:jc w:val="both"/>
        <w:rPr>
          <w:bCs/>
        </w:rPr>
      </w:pPr>
      <w:r>
        <w:rPr>
          <w:bCs/>
        </w:rPr>
        <w:t>Yours faithfully,</w:t>
      </w:r>
    </w:p>
    <w:p w14:paraId="5547D90C" w14:textId="77777777" w:rsidR="0011139C" w:rsidRDefault="0011139C" w:rsidP="0011139C">
      <w:pPr>
        <w:ind w:right="-347"/>
        <w:jc w:val="both"/>
        <w:rPr>
          <w:bCs/>
        </w:rPr>
      </w:pPr>
    </w:p>
    <w:p w14:paraId="405E926D" w14:textId="77777777" w:rsidR="0011139C" w:rsidRDefault="0011139C" w:rsidP="0011139C">
      <w:pPr>
        <w:ind w:right="-347"/>
        <w:jc w:val="both"/>
        <w:rPr>
          <w:bCs/>
        </w:rPr>
      </w:pPr>
    </w:p>
    <w:p w14:paraId="07243D1D" w14:textId="77777777" w:rsidR="0011139C" w:rsidRDefault="0011139C" w:rsidP="0011139C">
      <w:pPr>
        <w:ind w:right="-347"/>
        <w:jc w:val="both"/>
        <w:rPr>
          <w:bCs/>
        </w:rPr>
      </w:pPr>
    </w:p>
    <w:p w14:paraId="14492906" w14:textId="77777777" w:rsidR="0011139C" w:rsidRDefault="0011139C" w:rsidP="0011139C">
      <w:pPr>
        <w:ind w:right="-347"/>
        <w:jc w:val="both"/>
        <w:rPr>
          <w:bCs/>
        </w:rPr>
      </w:pPr>
    </w:p>
    <w:p w14:paraId="55B79A74" w14:textId="77777777" w:rsidR="0011139C" w:rsidRDefault="0011139C" w:rsidP="0011139C">
      <w:pPr>
        <w:ind w:right="-347"/>
        <w:jc w:val="both"/>
        <w:rPr>
          <w:bCs/>
        </w:rPr>
      </w:pPr>
      <w:r>
        <w:rPr>
          <w:bCs/>
        </w:rPr>
        <w:t>Benedict Bartl</w:t>
      </w:r>
    </w:p>
    <w:p w14:paraId="7FAD34B8" w14:textId="77777777" w:rsidR="0011139C" w:rsidRDefault="0011139C" w:rsidP="0011139C">
      <w:pPr>
        <w:ind w:right="-347"/>
        <w:jc w:val="both"/>
        <w:rPr>
          <w:bCs/>
        </w:rPr>
      </w:pPr>
      <w:r>
        <w:rPr>
          <w:bCs/>
        </w:rPr>
        <w:t>Policy Officer</w:t>
      </w:r>
    </w:p>
    <w:p w14:paraId="32CC7C38" w14:textId="77777777" w:rsidR="0011139C" w:rsidRPr="004A7469" w:rsidRDefault="0011139C" w:rsidP="0011139C">
      <w:pPr>
        <w:pBdr>
          <w:bottom w:val="single" w:sz="6" w:space="1" w:color="auto"/>
        </w:pBdr>
        <w:ind w:right="-347"/>
        <w:jc w:val="both"/>
        <w:rPr>
          <w:b/>
          <w:bCs/>
        </w:rPr>
      </w:pPr>
      <w:r w:rsidRPr="004A7469">
        <w:rPr>
          <w:b/>
          <w:bCs/>
        </w:rPr>
        <w:t>Community Legal Centres Tasmania</w:t>
      </w:r>
    </w:p>
    <w:p w14:paraId="73306BC0" w14:textId="77777777" w:rsidR="004C0469" w:rsidRDefault="004C0469"/>
    <w:sectPr w:rsidR="004C0469" w:rsidSect="00554B02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42A1B" w14:textId="77777777" w:rsidR="009259FB" w:rsidRDefault="009259FB" w:rsidP="0011139C">
      <w:r>
        <w:separator/>
      </w:r>
    </w:p>
  </w:endnote>
  <w:endnote w:type="continuationSeparator" w:id="0">
    <w:p w14:paraId="3FA64AEE" w14:textId="77777777" w:rsidR="009259FB" w:rsidRDefault="009259FB" w:rsidP="0011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2676A" w14:textId="77777777" w:rsidR="007816C6" w:rsidRDefault="007816C6" w:rsidP="00554B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161776" w14:textId="77777777" w:rsidR="007816C6" w:rsidRDefault="007816C6" w:rsidP="00554B0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D75EE" w14:textId="77777777" w:rsidR="007816C6" w:rsidRDefault="007816C6" w:rsidP="00554B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59FB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821D6E" w14:textId="77777777" w:rsidR="007816C6" w:rsidRDefault="007816C6" w:rsidP="00554B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E9B9D" w14:textId="77777777" w:rsidR="009259FB" w:rsidRDefault="009259FB" w:rsidP="0011139C">
      <w:r>
        <w:separator/>
      </w:r>
    </w:p>
  </w:footnote>
  <w:footnote w:type="continuationSeparator" w:id="0">
    <w:p w14:paraId="4DF73537" w14:textId="77777777" w:rsidR="009259FB" w:rsidRDefault="009259FB" w:rsidP="0011139C">
      <w:r>
        <w:continuationSeparator/>
      </w:r>
    </w:p>
  </w:footnote>
  <w:footnote w:id="1">
    <w:p w14:paraId="714F5F64" w14:textId="091F57A8" w:rsidR="007816C6" w:rsidRDefault="007816C6" w:rsidP="0011139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B6F72">
        <w:rPr>
          <w:color w:val="000000" w:themeColor="text1"/>
          <w:sz w:val="20"/>
          <w:szCs w:val="20"/>
        </w:rPr>
        <w:t xml:space="preserve">CLC Tas would like to acknowledge </w:t>
      </w:r>
      <w:r>
        <w:rPr>
          <w:color w:val="000000" w:themeColor="text1"/>
          <w:sz w:val="20"/>
          <w:szCs w:val="20"/>
        </w:rPr>
        <w:t xml:space="preserve">Suddathcharige Manoj Fernando </w:t>
      </w:r>
      <w:r w:rsidR="00A21783">
        <w:rPr>
          <w:color w:val="000000" w:themeColor="text1"/>
          <w:sz w:val="20"/>
          <w:szCs w:val="20"/>
        </w:rPr>
        <w:t xml:space="preserve">and an anonymous referee </w:t>
      </w:r>
      <w:r w:rsidRPr="00FB6F72">
        <w:rPr>
          <w:color w:val="000000" w:themeColor="text1"/>
          <w:sz w:val="20"/>
          <w:szCs w:val="20"/>
        </w:rPr>
        <w:t>who assisted in the preparation of this response.</w:t>
      </w:r>
      <w:r>
        <w:t xml:space="preserve"> </w:t>
      </w:r>
    </w:p>
  </w:footnote>
  <w:footnote w:id="2">
    <w:p w14:paraId="0D0B8262" w14:textId="77777777" w:rsidR="007816C6" w:rsidRPr="00C577F1" w:rsidRDefault="007816C6">
      <w:pPr>
        <w:pStyle w:val="FootnoteText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C577F1">
        <w:rPr>
          <w:i/>
          <w:sz w:val="20"/>
          <w:szCs w:val="20"/>
        </w:rPr>
        <w:t>Convention on the Rights of Persons with Disabilities</w:t>
      </w:r>
      <w:r w:rsidRPr="00C577F1">
        <w:rPr>
          <w:sz w:val="20"/>
          <w:szCs w:val="20"/>
        </w:rPr>
        <w:t xml:space="preserve">, opened for signature 30 March 2007, (2008) 2515 UNTS 3 (entered into force 3 May 2008). </w:t>
      </w:r>
      <w:r>
        <w:rPr>
          <w:sz w:val="20"/>
          <w:szCs w:val="20"/>
        </w:rPr>
        <w:t xml:space="preserve">Australia ratified the treaty on 17 July 2008. </w:t>
      </w:r>
    </w:p>
  </w:footnote>
  <w:footnote w:id="3">
    <w:p w14:paraId="2553AFFB" w14:textId="7A509280" w:rsidR="007816C6" w:rsidRDefault="007816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80031">
        <w:rPr>
          <w:sz w:val="20"/>
          <w:szCs w:val="20"/>
        </w:rPr>
        <w:t xml:space="preserve">Article 12(4) of the </w:t>
      </w:r>
      <w:r w:rsidRPr="00B80031">
        <w:rPr>
          <w:i/>
          <w:sz w:val="20"/>
          <w:szCs w:val="20"/>
        </w:rPr>
        <w:t>Convention on the Rights of Persons with Disabilities.</w:t>
      </w:r>
      <w:r>
        <w:rPr>
          <w:i/>
          <w:sz w:val="20"/>
          <w:szCs w:val="20"/>
        </w:rPr>
        <w:t xml:space="preserve"> </w:t>
      </w:r>
      <w:r>
        <w:t xml:space="preserve"> </w:t>
      </w:r>
    </w:p>
  </w:footnote>
  <w:footnote w:id="4">
    <w:p w14:paraId="1976EB86" w14:textId="44571C23" w:rsidR="007816C6" w:rsidRDefault="007816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43D68">
        <w:rPr>
          <w:sz w:val="20"/>
          <w:szCs w:val="20"/>
        </w:rPr>
        <w:t xml:space="preserve">Section 47 of the </w:t>
      </w:r>
      <w:r w:rsidRPr="00843D68">
        <w:rPr>
          <w:i/>
          <w:sz w:val="20"/>
          <w:szCs w:val="20"/>
        </w:rPr>
        <w:t>Mental Health Act 2013</w:t>
      </w:r>
      <w:r w:rsidRPr="00843D68">
        <w:rPr>
          <w:sz w:val="20"/>
          <w:szCs w:val="20"/>
        </w:rPr>
        <w:t xml:space="preserve"> (Tas).</w:t>
      </w:r>
      <w:r>
        <w:t xml:space="preserve"> </w:t>
      </w:r>
    </w:p>
  </w:footnote>
  <w:footnote w:id="5">
    <w:p w14:paraId="27C7460A" w14:textId="53FE18B4" w:rsidR="007816C6" w:rsidRDefault="007816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43D68">
        <w:rPr>
          <w:sz w:val="20"/>
          <w:szCs w:val="20"/>
        </w:rPr>
        <w:t>Section 47</w:t>
      </w:r>
      <w:r>
        <w:rPr>
          <w:sz w:val="20"/>
          <w:szCs w:val="20"/>
        </w:rPr>
        <w:t>A</w:t>
      </w:r>
      <w:r w:rsidRPr="00843D68">
        <w:rPr>
          <w:sz w:val="20"/>
          <w:szCs w:val="20"/>
        </w:rPr>
        <w:t xml:space="preserve"> of the </w:t>
      </w:r>
      <w:r w:rsidRPr="00843D68">
        <w:rPr>
          <w:i/>
          <w:sz w:val="20"/>
          <w:szCs w:val="20"/>
        </w:rPr>
        <w:t>Mental Health Act 2013</w:t>
      </w:r>
      <w:r w:rsidRPr="00843D68">
        <w:rPr>
          <w:sz w:val="20"/>
          <w:szCs w:val="20"/>
        </w:rPr>
        <w:t xml:space="preserve"> (Tas).</w:t>
      </w:r>
    </w:p>
  </w:footnote>
  <w:footnote w:id="6">
    <w:p w14:paraId="01F54C82" w14:textId="75969269" w:rsidR="007816C6" w:rsidRDefault="007816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</w:rPr>
        <w:t>Section 181(1)(e)</w:t>
      </w:r>
      <w:r w:rsidRPr="00843D68">
        <w:rPr>
          <w:sz w:val="20"/>
          <w:szCs w:val="20"/>
        </w:rPr>
        <w:t xml:space="preserve"> of the </w:t>
      </w:r>
      <w:r w:rsidRPr="00843D68">
        <w:rPr>
          <w:i/>
          <w:sz w:val="20"/>
          <w:szCs w:val="20"/>
        </w:rPr>
        <w:t>Mental Health Act 2013</w:t>
      </w:r>
      <w:r w:rsidRPr="00843D68">
        <w:rPr>
          <w:sz w:val="20"/>
          <w:szCs w:val="20"/>
        </w:rPr>
        <w:t xml:space="preserve"> (Tas).</w:t>
      </w:r>
    </w:p>
  </w:footnote>
  <w:footnote w:id="7">
    <w:p w14:paraId="5D64A65D" w14:textId="74834820" w:rsidR="007816C6" w:rsidRDefault="007816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</w:rPr>
        <w:t>Section 40</w:t>
      </w:r>
      <w:r w:rsidRPr="00843D68">
        <w:rPr>
          <w:sz w:val="20"/>
          <w:szCs w:val="20"/>
        </w:rPr>
        <w:t xml:space="preserve"> of the </w:t>
      </w:r>
      <w:r w:rsidRPr="00843D68">
        <w:rPr>
          <w:i/>
          <w:sz w:val="20"/>
          <w:szCs w:val="20"/>
        </w:rPr>
        <w:t>Mental Health Act 2013</w:t>
      </w:r>
      <w:r w:rsidRPr="00843D68">
        <w:rPr>
          <w:sz w:val="20"/>
          <w:szCs w:val="20"/>
        </w:rPr>
        <w:t xml:space="preserve"> (Tas).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08DF"/>
    <w:multiLevelType w:val="hybridMultilevel"/>
    <w:tmpl w:val="EEF4B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A235B"/>
    <w:multiLevelType w:val="hybridMultilevel"/>
    <w:tmpl w:val="C8BA1E64"/>
    <w:lvl w:ilvl="0" w:tplc="248445A8">
      <w:numFmt w:val="bullet"/>
      <w:lvlText w:val="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1157F1"/>
    <w:multiLevelType w:val="hybridMultilevel"/>
    <w:tmpl w:val="1A26ADA8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7C8F549E"/>
    <w:multiLevelType w:val="multilevel"/>
    <w:tmpl w:val="F3A0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D0151D"/>
    <w:multiLevelType w:val="multilevel"/>
    <w:tmpl w:val="5068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9C"/>
    <w:rsid w:val="0011139C"/>
    <w:rsid w:val="002075DD"/>
    <w:rsid w:val="00321E17"/>
    <w:rsid w:val="003324E2"/>
    <w:rsid w:val="003A548B"/>
    <w:rsid w:val="003D62FB"/>
    <w:rsid w:val="004C0469"/>
    <w:rsid w:val="00554B02"/>
    <w:rsid w:val="00675E4C"/>
    <w:rsid w:val="006A5453"/>
    <w:rsid w:val="006F5B59"/>
    <w:rsid w:val="00742222"/>
    <w:rsid w:val="007816C6"/>
    <w:rsid w:val="00840646"/>
    <w:rsid w:val="00843D68"/>
    <w:rsid w:val="0088063A"/>
    <w:rsid w:val="009259FB"/>
    <w:rsid w:val="00A21783"/>
    <w:rsid w:val="00A45421"/>
    <w:rsid w:val="00A76757"/>
    <w:rsid w:val="00AB1004"/>
    <w:rsid w:val="00AF59E1"/>
    <w:rsid w:val="00B80031"/>
    <w:rsid w:val="00C577F1"/>
    <w:rsid w:val="00D34B74"/>
    <w:rsid w:val="00E92F88"/>
    <w:rsid w:val="00FA052B"/>
    <w:rsid w:val="00FD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BB4AD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Text"/>
    <w:basedOn w:val="Normal"/>
    <w:link w:val="FootnoteTextChar"/>
    <w:unhideWhenUsed/>
    <w:rsid w:val="0011139C"/>
  </w:style>
  <w:style w:type="character" w:customStyle="1" w:styleId="FootnoteTextChar">
    <w:name w:val="Footnote Text Char"/>
    <w:aliases w:val="Footnote Char,Text Char"/>
    <w:basedOn w:val="DefaultParagraphFont"/>
    <w:link w:val="FootnoteText"/>
    <w:rsid w:val="0011139C"/>
  </w:style>
  <w:style w:type="character" w:styleId="FootnoteReference">
    <w:name w:val="footnote reference"/>
    <w:basedOn w:val="DefaultParagraphFont"/>
    <w:unhideWhenUsed/>
    <w:rsid w:val="001113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1139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113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39C"/>
  </w:style>
  <w:style w:type="character" w:styleId="PageNumber">
    <w:name w:val="page number"/>
    <w:basedOn w:val="DefaultParagraphFont"/>
    <w:uiPriority w:val="99"/>
    <w:semiHidden/>
    <w:unhideWhenUsed/>
    <w:rsid w:val="0011139C"/>
  </w:style>
  <w:style w:type="paragraph" w:styleId="NormalWeb">
    <w:name w:val="Normal (Web)"/>
    <w:basedOn w:val="Normal"/>
    <w:uiPriority w:val="99"/>
    <w:semiHidden/>
    <w:unhideWhenUsed/>
    <w:rsid w:val="0011139C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character" w:styleId="Emphasis">
    <w:name w:val="Emphasis"/>
    <w:basedOn w:val="DefaultParagraphFont"/>
    <w:uiPriority w:val="20"/>
    <w:qFormat/>
    <w:rsid w:val="0011139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3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9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45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strategy.support@dpfem.tas.gov.au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506</Words>
  <Characters>2887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TACLC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Worker</dc:creator>
  <cp:keywords/>
  <dc:description/>
  <cp:lastModifiedBy>Microsoft Office User</cp:lastModifiedBy>
  <cp:revision>4</cp:revision>
  <dcterms:created xsi:type="dcterms:W3CDTF">2018-06-05T22:44:00Z</dcterms:created>
  <dcterms:modified xsi:type="dcterms:W3CDTF">2018-06-06T04:48:00Z</dcterms:modified>
</cp:coreProperties>
</file>