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1A163" w14:textId="77777777" w:rsidR="00032E0D" w:rsidRDefault="00032E0D" w:rsidP="00032E0D">
      <w:pPr>
        <w:ind w:right="-347"/>
        <w:jc w:val="center"/>
      </w:pPr>
      <w:r>
        <w:rPr>
          <w:noProof/>
          <w:sz w:val="20"/>
          <w:szCs w:val="20"/>
          <w:lang w:val="en-AU" w:eastAsia="en-AU"/>
        </w:rPr>
        <w:drawing>
          <wp:inline distT="0" distB="0" distL="0" distR="0" wp14:anchorId="3EDC7B2B" wp14:editId="2B6DE841">
            <wp:extent cx="3235960" cy="1099476"/>
            <wp:effectExtent l="0" t="0" r="0" b="0"/>
            <wp:docPr id="5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2" cy="11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24B6" w14:textId="77777777" w:rsidR="00032E0D" w:rsidRPr="00A7231F" w:rsidRDefault="00032E0D" w:rsidP="00032E0D">
      <w:pPr>
        <w:ind w:right="-347"/>
      </w:pPr>
    </w:p>
    <w:p w14:paraId="1CE23A7A" w14:textId="77777777" w:rsidR="00032E0D" w:rsidRDefault="00032E0D" w:rsidP="00032E0D">
      <w:pPr>
        <w:ind w:right="-347"/>
      </w:pPr>
    </w:p>
    <w:p w14:paraId="2DEA246D" w14:textId="77777777" w:rsidR="00032E0D" w:rsidRDefault="00032E0D" w:rsidP="00032E0D">
      <w:pPr>
        <w:ind w:right="-347"/>
      </w:pPr>
    </w:p>
    <w:p w14:paraId="0A8435BA" w14:textId="486B864F" w:rsidR="00032E0D" w:rsidRPr="00A7231F" w:rsidRDefault="00873A5C" w:rsidP="00032E0D">
      <w:pPr>
        <w:ind w:right="-347"/>
      </w:pPr>
      <w:r>
        <w:t xml:space="preserve">6 November </w:t>
      </w:r>
      <w:r w:rsidR="00032E0D">
        <w:t>2018</w:t>
      </w:r>
    </w:p>
    <w:p w14:paraId="0D0DE908" w14:textId="77777777" w:rsidR="00032E0D" w:rsidRPr="00A7231F" w:rsidRDefault="00032E0D" w:rsidP="00032E0D">
      <w:pPr>
        <w:ind w:right="-347"/>
      </w:pPr>
    </w:p>
    <w:p w14:paraId="69B17DD1" w14:textId="77777777" w:rsidR="00032E0D" w:rsidRPr="00032E0D" w:rsidRDefault="00032E0D" w:rsidP="00032E0D">
      <w:pPr>
        <w:rPr>
          <w:i/>
        </w:rPr>
      </w:pPr>
      <w:r w:rsidRPr="00032E0D">
        <w:rPr>
          <w:i/>
        </w:rPr>
        <w:t>Review of the Judicial Review Act 2000 (</w:t>
      </w:r>
      <w:proofErr w:type="spellStart"/>
      <w:r w:rsidRPr="00032E0D">
        <w:rPr>
          <w:i/>
        </w:rPr>
        <w:t>Tas</w:t>
      </w:r>
      <w:proofErr w:type="spellEnd"/>
      <w:r w:rsidRPr="00032E0D">
        <w:rPr>
          <w:i/>
        </w:rPr>
        <w:t>)</w:t>
      </w:r>
    </w:p>
    <w:p w14:paraId="5934B7AE" w14:textId="77777777" w:rsidR="00032E0D" w:rsidRPr="003D6B26" w:rsidRDefault="00032E0D" w:rsidP="00032E0D">
      <w:r>
        <w:t>Tasmanian Law Reform Institute</w:t>
      </w:r>
    </w:p>
    <w:p w14:paraId="5677789C" w14:textId="77777777" w:rsidR="00032E0D" w:rsidRPr="003D6B26" w:rsidRDefault="00032E0D" w:rsidP="00032E0D">
      <w:r>
        <w:t>Private Bag 89</w:t>
      </w:r>
    </w:p>
    <w:p w14:paraId="405ACFD0" w14:textId="77777777" w:rsidR="00032E0D" w:rsidRDefault="00032E0D" w:rsidP="00032E0D">
      <w:r>
        <w:t>HOBART TAS 7001</w:t>
      </w:r>
    </w:p>
    <w:p w14:paraId="76E341EA" w14:textId="77777777" w:rsidR="00032E0D" w:rsidRDefault="00032E0D" w:rsidP="00032E0D">
      <w:proofErr w:type="spellStart"/>
      <w:r>
        <w:t>attn:</w:t>
      </w:r>
      <w:proofErr w:type="spellEnd"/>
      <w:r>
        <w:t xml:space="preserve"> Dylan Richards</w:t>
      </w:r>
    </w:p>
    <w:p w14:paraId="0764A8AB" w14:textId="77777777" w:rsidR="00032E0D" w:rsidRDefault="00032E0D" w:rsidP="00032E0D"/>
    <w:p w14:paraId="3BA768EF" w14:textId="77777777" w:rsidR="00032E0D" w:rsidRPr="003D6B26" w:rsidRDefault="00032E0D" w:rsidP="00032E0D">
      <w:r>
        <w:t xml:space="preserve">via email: </w:t>
      </w:r>
      <w:hyperlink r:id="rId8" w:history="1">
        <w:r w:rsidRPr="004824E0">
          <w:rPr>
            <w:rStyle w:val="Hyperlink"/>
          </w:rPr>
          <w:t>law.reform@utas.edu.au</w:t>
        </w:r>
      </w:hyperlink>
      <w:r>
        <w:t xml:space="preserve"> </w:t>
      </w:r>
    </w:p>
    <w:p w14:paraId="2071773C" w14:textId="77777777" w:rsidR="00032E0D" w:rsidRPr="003D6B26" w:rsidRDefault="00032E0D" w:rsidP="00032E0D">
      <w:r w:rsidRPr="003D6B26">
        <w:t> </w:t>
      </w:r>
    </w:p>
    <w:p w14:paraId="3BF80D8B" w14:textId="77777777" w:rsidR="00032E0D" w:rsidRPr="003D6B26" w:rsidRDefault="00032E0D" w:rsidP="00032E0D">
      <w:r>
        <w:t>Dear Dylan</w:t>
      </w:r>
      <w:r w:rsidRPr="003D6B26">
        <w:t xml:space="preserve">, </w:t>
      </w:r>
    </w:p>
    <w:p w14:paraId="362C51AF" w14:textId="77777777" w:rsidR="00032E0D" w:rsidRPr="003D6B26" w:rsidRDefault="00032E0D" w:rsidP="00032E0D">
      <w:pPr>
        <w:pBdr>
          <w:bottom w:val="single" w:sz="6" w:space="1" w:color="auto"/>
        </w:pBdr>
        <w:rPr>
          <w:b/>
          <w:bCs/>
        </w:rPr>
      </w:pPr>
      <w:r w:rsidRPr="003D6B26">
        <w:rPr>
          <w:b/>
          <w:bCs/>
        </w:rPr>
        <w:t xml:space="preserve">Re: </w:t>
      </w:r>
      <w:r>
        <w:rPr>
          <w:b/>
          <w:bCs/>
          <w:i/>
        </w:rPr>
        <w:t>Review of the Judicial Review Act 2000 (</w:t>
      </w:r>
      <w:proofErr w:type="spellStart"/>
      <w:r>
        <w:rPr>
          <w:b/>
          <w:bCs/>
          <w:i/>
        </w:rPr>
        <w:t>Tas</w:t>
      </w:r>
      <w:proofErr w:type="spellEnd"/>
      <w:r>
        <w:rPr>
          <w:b/>
          <w:bCs/>
          <w:i/>
        </w:rPr>
        <w:t>)</w:t>
      </w:r>
      <w:r>
        <w:rPr>
          <w:b/>
          <w:bCs/>
        </w:rPr>
        <w:t xml:space="preserve"> Issue Paper </w:t>
      </w:r>
    </w:p>
    <w:p w14:paraId="43F755E6" w14:textId="77777777" w:rsidR="00873A5C" w:rsidRDefault="00873A5C" w:rsidP="00873A5C">
      <w:pPr>
        <w:ind w:right="-347"/>
        <w:jc w:val="both"/>
        <w:rPr>
          <w:rFonts w:cs="Arial"/>
          <w:color w:val="000000"/>
        </w:rPr>
      </w:pPr>
    </w:p>
    <w:p w14:paraId="2FAD78A7" w14:textId="4AC0C8FA" w:rsidR="00873A5C" w:rsidRDefault="00873A5C" w:rsidP="00873A5C">
      <w:pPr>
        <w:ind w:right="-347"/>
        <w:jc w:val="both"/>
      </w:pPr>
      <w:r w:rsidRPr="008A004F">
        <w:rPr>
          <w:rFonts w:cs="Calibri"/>
        </w:rPr>
        <w:t xml:space="preserve">Community Legal </w:t>
      </w:r>
      <w:proofErr w:type="spellStart"/>
      <w:r w:rsidRPr="008A004F">
        <w:rPr>
          <w:rFonts w:cs="Calibri"/>
        </w:rPr>
        <w:t>Centres</w:t>
      </w:r>
      <w:proofErr w:type="spellEnd"/>
      <w:r w:rsidRPr="008A004F">
        <w:rPr>
          <w:rFonts w:cs="Calibri"/>
        </w:rPr>
        <w:t xml:space="preserve"> Tasmania (CLC </w:t>
      </w:r>
      <w:proofErr w:type="spellStart"/>
      <w:r w:rsidRPr="008A004F">
        <w:rPr>
          <w:rFonts w:cs="Calibri"/>
        </w:rPr>
        <w:t>Tas</w:t>
      </w:r>
      <w:proofErr w:type="spellEnd"/>
      <w:r w:rsidRPr="008A004F">
        <w:rPr>
          <w:rFonts w:cs="Calibri"/>
        </w:rPr>
        <w:t>)</w:t>
      </w:r>
      <w:r w:rsidRPr="008A004F">
        <w:t xml:space="preserve"> </w:t>
      </w:r>
      <w:r>
        <w:t>welcomes</w:t>
      </w:r>
      <w:r w:rsidRPr="008A004F">
        <w:t xml:space="preserve"> the opportunity to </w:t>
      </w:r>
      <w:r>
        <w:t xml:space="preserve">provide comment on the Tasmania Law Reform Institute’s </w:t>
      </w:r>
      <w:r w:rsidRPr="00032E0D">
        <w:t>Review of the</w:t>
      </w:r>
      <w:r>
        <w:rPr>
          <w:i/>
        </w:rPr>
        <w:t xml:space="preserve"> Judicial Review Act 2000 </w:t>
      </w:r>
      <w:r w:rsidRPr="00032E0D">
        <w:t>(</w:t>
      </w:r>
      <w:proofErr w:type="spellStart"/>
      <w:r w:rsidRPr="00032E0D">
        <w:t>Tas</w:t>
      </w:r>
      <w:proofErr w:type="spellEnd"/>
      <w:r w:rsidRPr="00032E0D">
        <w:t>)</w:t>
      </w:r>
      <w:r>
        <w:rPr>
          <w:i/>
        </w:rPr>
        <w:t xml:space="preserve"> </w:t>
      </w:r>
      <w:r>
        <w:t>Issues Paper</w:t>
      </w:r>
      <w:r w:rsidRPr="008A004F">
        <w:t>.</w:t>
      </w:r>
    </w:p>
    <w:p w14:paraId="122FFCA1" w14:textId="77777777" w:rsidR="00873A5C" w:rsidRDefault="00873A5C" w:rsidP="00873A5C">
      <w:pPr>
        <w:ind w:right="-347"/>
        <w:jc w:val="both"/>
        <w:rPr>
          <w:rFonts w:eastAsia="Times New Roman" w:cs="Arial"/>
          <w:lang w:eastAsia="en-AU"/>
        </w:rPr>
      </w:pPr>
    </w:p>
    <w:p w14:paraId="55FB58FF" w14:textId="77777777" w:rsidR="00873A5C" w:rsidRDefault="00873A5C" w:rsidP="00873A5C">
      <w:pPr>
        <w:ind w:right="-347"/>
        <w:jc w:val="both"/>
        <w:rPr>
          <w:rFonts w:cs="Arial"/>
          <w:color w:val="000000"/>
        </w:rPr>
      </w:pPr>
      <w:r w:rsidRPr="008A004F">
        <w:rPr>
          <w:rFonts w:eastAsia="Times New Roman" w:cs="Arial"/>
          <w:lang w:eastAsia="en-AU"/>
        </w:rPr>
        <w:t xml:space="preserve">CLC </w:t>
      </w:r>
      <w:proofErr w:type="spellStart"/>
      <w:r w:rsidRPr="008A004F">
        <w:rPr>
          <w:rFonts w:eastAsia="Times New Roman" w:cs="Arial"/>
          <w:lang w:eastAsia="en-AU"/>
        </w:rPr>
        <w:t>Tas</w:t>
      </w:r>
      <w:proofErr w:type="spellEnd"/>
      <w:r w:rsidRPr="008A004F">
        <w:rPr>
          <w:rFonts w:eastAsia="Times New Roman" w:cs="Arial"/>
          <w:lang w:eastAsia="en-AU"/>
        </w:rPr>
        <w:t xml:space="preserve"> </w:t>
      </w:r>
      <w:r w:rsidRPr="008A004F">
        <w:rPr>
          <w:rFonts w:cs="Arial"/>
        </w:rPr>
        <w:t xml:space="preserve">is the peak body representing the interests of </w:t>
      </w:r>
      <w:r>
        <w:rPr>
          <w:rFonts w:cs="Arial"/>
        </w:rPr>
        <w:t>nine</w:t>
      </w:r>
      <w:r w:rsidRPr="008A004F">
        <w:rPr>
          <w:rFonts w:cs="Arial"/>
        </w:rPr>
        <w:t xml:space="preserve"> </w:t>
      </w:r>
      <w:proofErr w:type="gramStart"/>
      <w:r w:rsidRPr="008A004F">
        <w:rPr>
          <w:rFonts w:cs="Arial"/>
        </w:rPr>
        <w:t>community</w:t>
      </w:r>
      <w:proofErr w:type="gramEnd"/>
      <w:r w:rsidRPr="008A004F">
        <w:rPr>
          <w:rFonts w:cs="Arial"/>
        </w:rPr>
        <w:t xml:space="preserve"> legal </w:t>
      </w:r>
      <w:proofErr w:type="spellStart"/>
      <w:r w:rsidRPr="008A004F">
        <w:rPr>
          <w:rFonts w:cs="Arial"/>
        </w:rPr>
        <w:t>centres</w:t>
      </w:r>
      <w:proofErr w:type="spellEnd"/>
      <w:r w:rsidRPr="008A004F">
        <w:rPr>
          <w:rFonts w:cs="Arial"/>
        </w:rPr>
        <w:t xml:space="preserve"> (CLCs) located throu</w:t>
      </w:r>
      <w:r>
        <w:rPr>
          <w:rFonts w:cs="Arial"/>
        </w:rPr>
        <w:t>ghout Tasmania. We are a member-</w:t>
      </w:r>
      <w:r w:rsidRPr="008A004F">
        <w:rPr>
          <w:rFonts w:cs="Arial"/>
        </w:rPr>
        <w:t>based, independent, no</w:t>
      </w:r>
      <w:r>
        <w:rPr>
          <w:rFonts w:cs="Arial"/>
        </w:rPr>
        <w:t>t</w:t>
      </w:r>
      <w:r w:rsidRPr="008A004F">
        <w:rPr>
          <w:rFonts w:cs="Arial"/>
        </w:rPr>
        <w:t xml:space="preserve">-for-profit and incorporated </w:t>
      </w:r>
      <w:proofErr w:type="spellStart"/>
      <w:r w:rsidRPr="008A004F">
        <w:rPr>
          <w:rFonts w:cs="Arial"/>
        </w:rPr>
        <w:t>organisation</w:t>
      </w:r>
      <w:proofErr w:type="spellEnd"/>
      <w:r w:rsidRPr="008A004F">
        <w:rPr>
          <w:rFonts w:cs="Arial"/>
        </w:rPr>
        <w:t xml:space="preserve"> that</w:t>
      </w:r>
      <w:r w:rsidRPr="008A004F">
        <w:rPr>
          <w:rFonts w:cs="Arial"/>
          <w:color w:val="000000"/>
        </w:rPr>
        <w:t xml:space="preserve"> advocates for law reform on a range of public interest matters aimed at improving access to justice, reducing discrimination and protecting and promoting human rights. </w:t>
      </w:r>
    </w:p>
    <w:p w14:paraId="77601F87" w14:textId="77777777" w:rsidR="00032E0D" w:rsidRDefault="00032E0D" w:rsidP="00032E0D">
      <w:pPr>
        <w:ind w:right="-347"/>
        <w:jc w:val="both"/>
        <w:rPr>
          <w:rFonts w:cs="Arial"/>
          <w:color w:val="000000"/>
        </w:rPr>
      </w:pPr>
    </w:p>
    <w:p w14:paraId="77BEF5BF" w14:textId="188C02C5" w:rsidR="00C55AF5" w:rsidRDefault="00032E0D" w:rsidP="00C55AF5">
      <w:pPr>
        <w:ind w:right="-347"/>
        <w:jc w:val="both"/>
        <w:rPr>
          <w:rFonts w:cs="Arial"/>
          <w:color w:val="FF0000"/>
        </w:rPr>
      </w:pPr>
      <w:r>
        <w:rPr>
          <w:rFonts w:cs="Arial"/>
        </w:rPr>
        <w:t xml:space="preserve">Our submission focuses on Part 5 of the Issues Paper, </w:t>
      </w:r>
      <w:r w:rsidR="00F4379A">
        <w:rPr>
          <w:rFonts w:cs="Arial"/>
        </w:rPr>
        <w:t xml:space="preserve">and in particular the issue of </w:t>
      </w:r>
      <w:r>
        <w:rPr>
          <w:rFonts w:cs="Arial"/>
        </w:rPr>
        <w:t xml:space="preserve">decisions made </w:t>
      </w:r>
      <w:r w:rsidR="00FF3141">
        <w:rPr>
          <w:rFonts w:cs="Arial"/>
        </w:rPr>
        <w:t xml:space="preserve">under an enactment. </w:t>
      </w:r>
      <w:r w:rsidR="00FF3141" w:rsidRPr="00C72FAA">
        <w:rPr>
          <w:rFonts w:cs="Arial"/>
          <w:color w:val="000000" w:themeColor="text1"/>
        </w:rPr>
        <w:t xml:space="preserve">We strongly believe </w:t>
      </w:r>
      <w:r w:rsidR="008D72F1" w:rsidRPr="00C72FAA">
        <w:rPr>
          <w:rFonts w:cs="Arial"/>
          <w:color w:val="000000" w:themeColor="text1"/>
        </w:rPr>
        <w:t xml:space="preserve">that </w:t>
      </w:r>
      <w:r w:rsidR="00FF3141" w:rsidRPr="00C72FAA">
        <w:rPr>
          <w:rFonts w:cs="Arial"/>
          <w:color w:val="000000" w:themeColor="text1"/>
        </w:rPr>
        <w:t xml:space="preserve">the scope of </w:t>
      </w:r>
      <w:r w:rsidR="008D72F1" w:rsidRPr="00C72FAA">
        <w:rPr>
          <w:rFonts w:cs="Arial"/>
          <w:color w:val="000000" w:themeColor="text1"/>
        </w:rPr>
        <w:t xml:space="preserve">judicial </w:t>
      </w:r>
      <w:r w:rsidR="00FF3141" w:rsidRPr="00C72FAA">
        <w:rPr>
          <w:rFonts w:cs="Arial"/>
          <w:color w:val="000000" w:themeColor="text1"/>
        </w:rPr>
        <w:t xml:space="preserve">review should </w:t>
      </w:r>
      <w:r w:rsidR="00856BB5">
        <w:rPr>
          <w:rFonts w:cs="Arial"/>
          <w:color w:val="000000" w:themeColor="text1"/>
        </w:rPr>
        <w:t xml:space="preserve">be </w:t>
      </w:r>
      <w:r w:rsidR="00856BB5" w:rsidRPr="00C72FAA">
        <w:rPr>
          <w:rFonts w:cs="Arial"/>
          <w:color w:val="000000" w:themeColor="text1"/>
        </w:rPr>
        <w:t xml:space="preserve">broadened to encapsulate the nature of the decision </w:t>
      </w:r>
      <w:r w:rsidR="00856BB5">
        <w:rPr>
          <w:rFonts w:cs="Arial"/>
          <w:color w:val="000000" w:themeColor="text1"/>
        </w:rPr>
        <w:t xml:space="preserve">rather than </w:t>
      </w:r>
      <w:r w:rsidR="00FF3141" w:rsidRPr="00C72FAA">
        <w:rPr>
          <w:rFonts w:cs="Arial"/>
          <w:color w:val="000000" w:themeColor="text1"/>
        </w:rPr>
        <w:t>be limited to the legal source of the power.</w:t>
      </w:r>
      <w:r w:rsidR="00873A5C" w:rsidRPr="00C72FAA">
        <w:rPr>
          <w:rFonts w:cs="Arial"/>
          <w:color w:val="000000" w:themeColor="text1"/>
        </w:rPr>
        <w:t xml:space="preserve"> </w:t>
      </w:r>
      <w:r w:rsidR="00FF3141" w:rsidRPr="00C72FAA">
        <w:rPr>
          <w:rFonts w:cs="Arial"/>
          <w:color w:val="FF0000"/>
        </w:rPr>
        <w:t xml:space="preserve"> </w:t>
      </w:r>
    </w:p>
    <w:p w14:paraId="6EFC916F" w14:textId="77777777" w:rsidR="00C55AF5" w:rsidRDefault="00C55AF5" w:rsidP="00C55AF5">
      <w:pPr>
        <w:ind w:right="-347"/>
        <w:jc w:val="both"/>
        <w:rPr>
          <w:rFonts w:cs="Arial"/>
        </w:rPr>
      </w:pPr>
    </w:p>
    <w:p w14:paraId="1E46D347" w14:textId="255DA844" w:rsidR="00C55AF5" w:rsidRPr="00E97801" w:rsidRDefault="00C55AF5" w:rsidP="00E97801">
      <w:pPr>
        <w:pStyle w:val="ListParagraph"/>
        <w:numPr>
          <w:ilvl w:val="0"/>
          <w:numId w:val="2"/>
        </w:numPr>
        <w:ind w:right="-347"/>
        <w:jc w:val="both"/>
        <w:rPr>
          <w:rFonts w:cs="Arial"/>
          <w:b/>
          <w:i/>
        </w:rPr>
      </w:pPr>
      <w:r w:rsidRPr="00E97801">
        <w:rPr>
          <w:rFonts w:cs="Arial"/>
          <w:b/>
          <w:i/>
        </w:rPr>
        <w:t xml:space="preserve">The </w:t>
      </w:r>
      <w:r w:rsidR="004D1978" w:rsidRPr="00E97801">
        <w:rPr>
          <w:rFonts w:cs="Arial"/>
          <w:b/>
          <w:i/>
        </w:rPr>
        <w:t>failings of judicial review</w:t>
      </w:r>
    </w:p>
    <w:p w14:paraId="700D202D" w14:textId="4571BB10" w:rsidR="005A66D8" w:rsidRDefault="00FD5B29" w:rsidP="00FD5B29">
      <w:pPr>
        <w:ind w:right="-347"/>
        <w:jc w:val="both"/>
      </w:pPr>
      <w:r w:rsidRPr="00D4040C">
        <w:rPr>
          <w:rFonts w:cs="Arial"/>
        </w:rPr>
        <w:t xml:space="preserve">The </w:t>
      </w:r>
      <w:r w:rsidR="004566B7">
        <w:rPr>
          <w:rFonts w:cs="Arial"/>
        </w:rPr>
        <w:t xml:space="preserve">intent of the </w:t>
      </w:r>
      <w:r w:rsidRPr="00C151E4">
        <w:rPr>
          <w:rFonts w:cs="Arial"/>
          <w:i/>
        </w:rPr>
        <w:t>Judicial Review Act 2000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Tas</w:t>
      </w:r>
      <w:proofErr w:type="spellEnd"/>
      <w:r>
        <w:rPr>
          <w:rFonts w:cs="Arial"/>
        </w:rPr>
        <w:t>)</w:t>
      </w:r>
      <w:r w:rsidR="00E62A3E">
        <w:rPr>
          <w:rFonts w:cs="Arial"/>
        </w:rPr>
        <w:t xml:space="preserve"> (the JRA</w:t>
      </w:r>
      <w:r w:rsidR="0017347A">
        <w:rPr>
          <w:rFonts w:cs="Arial"/>
        </w:rPr>
        <w:t>)</w:t>
      </w:r>
      <w:r w:rsidR="004566B7">
        <w:rPr>
          <w:rFonts w:cs="Arial"/>
        </w:rPr>
        <w:t xml:space="preserve"> is </w:t>
      </w:r>
      <w:r w:rsidR="004566B7">
        <w:t xml:space="preserve">to ensure consistency in government decision-making and the accountability of officials and others exercising decision-making powers. However, </w:t>
      </w:r>
      <w:r w:rsidR="005A66D8">
        <w:t>the ability of statutory judicial review</w:t>
      </w:r>
      <w:r w:rsidR="005A66D8" w:rsidRPr="00EC78BE">
        <w:t xml:space="preserve"> to oversee governm</w:t>
      </w:r>
      <w:r w:rsidR="005A66D8">
        <w:t>ent decision-making has been eroded through common law jurisprudence</w:t>
      </w:r>
      <w:r w:rsidR="009544E8">
        <w:rPr>
          <w:rStyle w:val="FootnoteReference"/>
        </w:rPr>
        <w:footnoteReference w:id="1"/>
      </w:r>
      <w:r w:rsidR="005A66D8">
        <w:t xml:space="preserve"> and societal change including the significant outsourcing of work to private and not-for-profit </w:t>
      </w:r>
      <w:proofErr w:type="spellStart"/>
      <w:r w:rsidR="005A66D8">
        <w:t>organisations</w:t>
      </w:r>
      <w:proofErr w:type="spellEnd"/>
      <w:r w:rsidR="005A66D8">
        <w:t xml:space="preserve"> to deliver core government services. </w:t>
      </w:r>
    </w:p>
    <w:p w14:paraId="6836F293" w14:textId="77777777" w:rsidR="005A66D8" w:rsidRDefault="005A66D8" w:rsidP="00FD5B29">
      <w:pPr>
        <w:ind w:right="-347"/>
        <w:jc w:val="both"/>
      </w:pPr>
    </w:p>
    <w:p w14:paraId="37223133" w14:textId="77777777" w:rsidR="00E62A3E" w:rsidRDefault="005A66D8" w:rsidP="009779A1">
      <w:pPr>
        <w:ind w:right="-347"/>
        <w:jc w:val="both"/>
        <w:rPr>
          <w:rFonts w:cs="Arial"/>
        </w:rPr>
      </w:pPr>
      <w:r>
        <w:t>This transfer of government power means that private bodies are involved in decision-making that invol</w:t>
      </w:r>
      <w:r w:rsidR="00C26826">
        <w:t>ves the exercise of public</w:t>
      </w:r>
      <w:r>
        <w:t xml:space="preserve"> powers and functions and </w:t>
      </w:r>
      <w:r>
        <w:lastRenderedPageBreak/>
        <w:t xml:space="preserve">which significantly affect individuals’ rights and interests but where there is no recourse to judicial review. Additionally, many decisions are </w:t>
      </w:r>
      <w:proofErr w:type="spellStart"/>
      <w:r>
        <w:t>authorised</w:t>
      </w:r>
      <w:proofErr w:type="spellEnd"/>
      <w:r>
        <w:t xml:space="preserve"> </w:t>
      </w:r>
      <w:r>
        <w:rPr>
          <w:rFonts w:cs="Arial"/>
        </w:rPr>
        <w:t>by</w:t>
      </w:r>
      <w:r w:rsidRPr="00EC78BE">
        <w:rPr>
          <w:rFonts w:cs="Arial"/>
        </w:rPr>
        <w:t xml:space="preserve"> sources other than statute – for instance, contract law</w:t>
      </w:r>
      <w:r>
        <w:rPr>
          <w:rFonts w:cs="Arial"/>
        </w:rPr>
        <w:t xml:space="preserve"> or ‘soft’ law instruments such as guidelines and policies, which are not subject to judicial review</w:t>
      </w:r>
      <w:r w:rsidRPr="00EC78BE">
        <w:rPr>
          <w:rFonts w:cs="Arial"/>
        </w:rPr>
        <w:t>.</w:t>
      </w:r>
      <w:r>
        <w:rPr>
          <w:rFonts w:cs="Arial"/>
        </w:rPr>
        <w:t xml:space="preserve"> As a result, consumers or recipients </w:t>
      </w:r>
      <w:r w:rsidR="00FD5B29">
        <w:rPr>
          <w:rFonts w:cs="Arial"/>
        </w:rPr>
        <w:t xml:space="preserve">of the service or benefit are </w:t>
      </w:r>
      <w:r>
        <w:rPr>
          <w:rFonts w:cs="Arial"/>
        </w:rPr>
        <w:t xml:space="preserve">disadvantaged with </w:t>
      </w:r>
      <w:r w:rsidR="00FD5B29">
        <w:rPr>
          <w:rFonts w:cs="Arial"/>
        </w:rPr>
        <w:t>no contractual remedy available if the service provider treats them unfairly or wrongly denies them the service or benefit.</w:t>
      </w:r>
      <w:r w:rsidR="009779A1">
        <w:rPr>
          <w:rFonts w:cs="Arial"/>
        </w:rPr>
        <w:t xml:space="preserve"> </w:t>
      </w:r>
      <w:r w:rsidR="00C26826">
        <w:rPr>
          <w:rFonts w:cs="Arial"/>
        </w:rPr>
        <w:t>As the Issues Paper observes, s</w:t>
      </w:r>
      <w:r w:rsidR="009779A1">
        <w:rPr>
          <w:rFonts w:cs="Arial"/>
        </w:rPr>
        <w:t xml:space="preserve">ome Tasmanian examples of the current </w:t>
      </w:r>
      <w:r w:rsidR="00E62A3E">
        <w:rPr>
          <w:rFonts w:cs="Arial"/>
        </w:rPr>
        <w:t>failings of judicial review include:</w:t>
      </w:r>
    </w:p>
    <w:p w14:paraId="2A0501BF" w14:textId="77777777" w:rsidR="009779A1" w:rsidRDefault="009779A1" w:rsidP="009779A1">
      <w:pPr>
        <w:ind w:right="-347"/>
        <w:jc w:val="both"/>
        <w:rPr>
          <w:rFonts w:cs="Arial"/>
        </w:rPr>
      </w:pPr>
    </w:p>
    <w:p w14:paraId="1D20C1B3" w14:textId="77777777" w:rsidR="009779A1" w:rsidRDefault="009779A1" w:rsidP="00E62A3E">
      <w:pPr>
        <w:pStyle w:val="NoSpacing"/>
        <w:numPr>
          <w:ilvl w:val="0"/>
          <w:numId w:val="1"/>
        </w:numPr>
        <w:jc w:val="both"/>
      </w:pPr>
      <w:r>
        <w:t xml:space="preserve">The Full Court of the Supreme Court’s decision that </w:t>
      </w:r>
      <w:r w:rsidRPr="00332E02">
        <w:t xml:space="preserve">public housing tenants are unable to challenge their </w:t>
      </w:r>
      <w:r>
        <w:t xml:space="preserve">arbitrary </w:t>
      </w:r>
      <w:r w:rsidRPr="00332E02">
        <w:t>eviction even in circumstances where it will lead to homelessness for themselves and their families</w:t>
      </w:r>
      <w:r>
        <w:t>;</w:t>
      </w:r>
      <w:r>
        <w:rPr>
          <w:rStyle w:val="FootnoteReference"/>
          <w:rFonts w:cs="Verdana"/>
        </w:rPr>
        <w:footnoteReference w:id="2"/>
      </w:r>
      <w:r w:rsidRPr="00332E02">
        <w:t xml:space="preserve"> and</w:t>
      </w:r>
    </w:p>
    <w:p w14:paraId="0CB3A42E" w14:textId="77777777" w:rsidR="009779A1" w:rsidRDefault="009779A1" w:rsidP="009779A1">
      <w:pPr>
        <w:pStyle w:val="NoSpacing"/>
      </w:pPr>
    </w:p>
    <w:p w14:paraId="62AE3C5F" w14:textId="77777777" w:rsidR="009779A1" w:rsidRPr="00E05717" w:rsidRDefault="009779A1" w:rsidP="00E62A3E">
      <w:pPr>
        <w:pStyle w:val="NoSpacing"/>
        <w:numPr>
          <w:ilvl w:val="0"/>
          <w:numId w:val="1"/>
        </w:numPr>
        <w:jc w:val="both"/>
      </w:pPr>
      <w:r>
        <w:t xml:space="preserve">A Supreme Court decision that </w:t>
      </w:r>
      <w:r w:rsidRPr="00332E02">
        <w:t>persons charged with serious indictabl</w:t>
      </w:r>
      <w:r>
        <w:t xml:space="preserve">e offences are incapable of </w:t>
      </w:r>
      <w:r w:rsidRPr="00E05717">
        <w:t>choosing their own defence lawyer.</w:t>
      </w:r>
      <w:r w:rsidRPr="00E05717">
        <w:rPr>
          <w:rStyle w:val="FootnoteReference"/>
          <w:rFonts w:cs="Verdana"/>
        </w:rPr>
        <w:footnoteReference w:id="3"/>
      </w:r>
      <w:r w:rsidRPr="00E05717">
        <w:t xml:space="preserve">  </w:t>
      </w:r>
    </w:p>
    <w:p w14:paraId="67336560" w14:textId="682D0322" w:rsidR="00FD5B29" w:rsidRDefault="00FD5B29" w:rsidP="00FD5B29">
      <w:pPr>
        <w:ind w:right="-347"/>
        <w:jc w:val="both"/>
        <w:rPr>
          <w:rFonts w:cs="Arial"/>
        </w:rPr>
      </w:pPr>
    </w:p>
    <w:p w14:paraId="620A1A72" w14:textId="5D66D03D" w:rsidR="005A66D8" w:rsidRPr="00E97801" w:rsidRDefault="005A66D8" w:rsidP="00E97801">
      <w:pPr>
        <w:pStyle w:val="ListParagraph"/>
        <w:numPr>
          <w:ilvl w:val="0"/>
          <w:numId w:val="2"/>
        </w:numPr>
        <w:ind w:right="-347"/>
        <w:jc w:val="both"/>
        <w:rPr>
          <w:b/>
          <w:i/>
        </w:rPr>
      </w:pPr>
      <w:r w:rsidRPr="00E97801">
        <w:rPr>
          <w:b/>
          <w:i/>
        </w:rPr>
        <w:t>Reinvigorating Judicial Review</w:t>
      </w:r>
    </w:p>
    <w:p w14:paraId="6AE6C54B" w14:textId="6575DF01" w:rsidR="00F86D78" w:rsidRDefault="002F0D21" w:rsidP="00F2388A">
      <w:pPr>
        <w:ind w:right="-347"/>
        <w:jc w:val="both"/>
      </w:pPr>
      <w:r>
        <w:t>It is a matter of fact</w:t>
      </w:r>
      <w:r w:rsidR="00D617B2">
        <w:t xml:space="preserve"> that t</w:t>
      </w:r>
      <w:r w:rsidR="00C55AF5">
        <w:t xml:space="preserve">he </w:t>
      </w:r>
      <w:r w:rsidR="00C55AF5" w:rsidRPr="005B5A79">
        <w:t>High Court’s</w:t>
      </w:r>
      <w:r w:rsidR="00121CC0">
        <w:t xml:space="preserve"> decision</w:t>
      </w:r>
      <w:r w:rsidR="00D617B2">
        <w:t xml:space="preserve"> in </w:t>
      </w:r>
      <w:r w:rsidR="00D617B2" w:rsidRPr="00D617B2">
        <w:rPr>
          <w:i/>
        </w:rPr>
        <w:t>Griffith University v Tang</w:t>
      </w:r>
      <w:r w:rsidR="00D617B2">
        <w:rPr>
          <w:rStyle w:val="FootnoteReference"/>
        </w:rPr>
        <w:footnoteReference w:id="4"/>
      </w:r>
      <w:r w:rsidR="00D617B2">
        <w:t xml:space="preserve"> </w:t>
      </w:r>
      <w:r w:rsidR="00121CC0">
        <w:t xml:space="preserve">has </w:t>
      </w:r>
      <w:r w:rsidR="00F86D78">
        <w:t xml:space="preserve">significantly impacted on the ability of individuals </w:t>
      </w:r>
      <w:r w:rsidR="00BC5552">
        <w:t>to hold government decision-makers</w:t>
      </w:r>
      <w:r w:rsidR="00F86D78">
        <w:t xml:space="preserve"> and those exercising public functions to account.</w:t>
      </w:r>
      <w:r w:rsidR="00BC5552">
        <w:t xml:space="preserve"> </w:t>
      </w:r>
      <w:r>
        <w:t>As</w:t>
      </w:r>
      <w:r w:rsidR="00C72FAA">
        <w:t xml:space="preserve"> </w:t>
      </w:r>
      <w:r w:rsidR="00C72FAA">
        <w:rPr>
          <w:rFonts w:cs="Verdana"/>
        </w:rPr>
        <w:t>Porter J</w:t>
      </w:r>
      <w:r w:rsidR="00C72FAA" w:rsidRPr="00E05717">
        <w:rPr>
          <w:rFonts w:cs="Verdana"/>
        </w:rPr>
        <w:t xml:space="preserve"> in the Full Court of the Supreme Court </w:t>
      </w:r>
      <w:r>
        <w:rPr>
          <w:rFonts w:cs="Verdana"/>
        </w:rPr>
        <w:t xml:space="preserve">of Tasmania </w:t>
      </w:r>
      <w:r w:rsidR="00C72FAA" w:rsidRPr="00E05717">
        <w:rPr>
          <w:rFonts w:cs="Verdana"/>
        </w:rPr>
        <w:t xml:space="preserve">decision of </w:t>
      </w:r>
      <w:r w:rsidR="00C72FAA" w:rsidRPr="00E05717">
        <w:rPr>
          <w:rFonts w:cs="Verdana"/>
          <w:i/>
        </w:rPr>
        <w:t>King v Director of Housing</w:t>
      </w:r>
      <w:r w:rsidR="00C72FAA" w:rsidRPr="00E05717">
        <w:rPr>
          <w:rStyle w:val="FootnoteReference"/>
          <w:rFonts w:cs="Verdana"/>
        </w:rPr>
        <w:footnoteReference w:id="5"/>
      </w:r>
      <w:r w:rsidR="00C72FAA" w:rsidRPr="00E05717">
        <w:rPr>
          <w:rFonts w:cs="Verdana"/>
        </w:rPr>
        <w:t xml:space="preserve"> noted in </w:t>
      </w:r>
      <w:r w:rsidR="00C72FAA" w:rsidRPr="00E05717">
        <w:rPr>
          <w:rFonts w:cs="Verdana"/>
          <w:i/>
        </w:rPr>
        <w:t>obiter dictum</w:t>
      </w:r>
      <w:r>
        <w:rPr>
          <w:rFonts w:cs="Verdana"/>
        </w:rPr>
        <w:t>,</w:t>
      </w:r>
      <w:r w:rsidR="00C72FAA" w:rsidRPr="00E05717">
        <w:rPr>
          <w:rFonts w:cs="Verdana"/>
        </w:rPr>
        <w:t xml:space="preserve"> the plurality’s decision in </w:t>
      </w:r>
      <w:r w:rsidR="00C72FAA" w:rsidRPr="00E05717">
        <w:rPr>
          <w:rFonts w:cs="Verdana"/>
          <w:i/>
        </w:rPr>
        <w:t>Tang</w:t>
      </w:r>
      <w:r w:rsidR="00C72FAA" w:rsidRPr="00E05717">
        <w:rPr>
          <w:rFonts w:cs="Verdana"/>
        </w:rPr>
        <w:t xml:space="preserve"> ‘may be unduly restrictive and impose limits on statutory judicial review’.</w:t>
      </w:r>
      <w:r w:rsidR="00C72FAA" w:rsidRPr="00E05717">
        <w:rPr>
          <w:rStyle w:val="FootnoteReference"/>
          <w:rFonts w:cs="Verdana"/>
        </w:rPr>
        <w:footnoteReference w:id="6"/>
      </w:r>
      <w:r w:rsidR="00C72FAA" w:rsidRPr="00E05717">
        <w:rPr>
          <w:rFonts w:cs="Verdana"/>
        </w:rPr>
        <w:t xml:space="preserve"> </w:t>
      </w:r>
    </w:p>
    <w:p w14:paraId="5099DD34" w14:textId="77777777" w:rsidR="00F86D78" w:rsidRDefault="00F86D78" w:rsidP="00F2388A">
      <w:pPr>
        <w:ind w:right="-347"/>
        <w:jc w:val="both"/>
      </w:pPr>
    </w:p>
    <w:p w14:paraId="39D90828" w14:textId="40AFD3BC" w:rsidR="00A75151" w:rsidRDefault="00C72FAA" w:rsidP="00F2388A">
      <w:pPr>
        <w:ind w:right="-347"/>
        <w:jc w:val="both"/>
        <w:rPr>
          <w:rFonts w:cs="Arial"/>
          <w:iCs/>
        </w:rPr>
      </w:pPr>
      <w:r>
        <w:rPr>
          <w:rFonts w:cs="Verdana"/>
        </w:rPr>
        <w:t>We strongly believe that r</w:t>
      </w:r>
      <w:r w:rsidR="00DB1ADC">
        <w:rPr>
          <w:rFonts w:cs="Verdana"/>
        </w:rPr>
        <w:t>ather than focusing on the</w:t>
      </w:r>
      <w:r>
        <w:rPr>
          <w:rFonts w:cs="Verdana"/>
        </w:rPr>
        <w:t xml:space="preserve"> source of the power the</w:t>
      </w:r>
      <w:r w:rsidR="00606706">
        <w:rPr>
          <w:rFonts w:cs="Verdana"/>
        </w:rPr>
        <w:t xml:space="preserve"> legal test should focus on whether the powers </w:t>
      </w:r>
      <w:r w:rsidR="00DB1ADC">
        <w:rPr>
          <w:rFonts w:cs="Verdana"/>
        </w:rPr>
        <w:t xml:space="preserve">or functions </w:t>
      </w:r>
      <w:r w:rsidR="00606706">
        <w:rPr>
          <w:rFonts w:cs="Verdana"/>
        </w:rPr>
        <w:t>being exercised can be seen as having a public function.</w:t>
      </w:r>
      <w:r w:rsidR="00F67489">
        <w:rPr>
          <w:rStyle w:val="FootnoteReference"/>
        </w:rPr>
        <w:footnoteReference w:id="7"/>
      </w:r>
      <w:r w:rsidR="00F2388A">
        <w:t xml:space="preserve"> </w:t>
      </w:r>
      <w:r w:rsidR="00F2388A">
        <w:rPr>
          <w:rFonts w:cs="Verdana"/>
        </w:rPr>
        <w:t xml:space="preserve">In our opinion, </w:t>
      </w:r>
      <w:r w:rsidR="00F2388A">
        <w:rPr>
          <w:rFonts w:cs="Arial"/>
          <w:iCs/>
        </w:rPr>
        <w:t xml:space="preserve">if the </w:t>
      </w:r>
      <w:r w:rsidR="00F2388A" w:rsidRPr="00E05717">
        <w:rPr>
          <w:rFonts w:cs="Arial"/>
          <w:iCs/>
        </w:rPr>
        <w:t>public</w:t>
      </w:r>
      <w:r w:rsidR="00F2388A" w:rsidRPr="007E20E3">
        <w:rPr>
          <w:rFonts w:cs="Arial"/>
          <w:iCs/>
        </w:rPr>
        <w:t xml:space="preserve"> function test </w:t>
      </w:r>
      <w:r w:rsidR="00F2388A">
        <w:rPr>
          <w:rFonts w:cs="Arial"/>
          <w:iCs/>
        </w:rPr>
        <w:t xml:space="preserve">was adopted in Tasmania it </w:t>
      </w:r>
      <w:r w:rsidR="00F2388A" w:rsidRPr="007E20E3">
        <w:rPr>
          <w:rFonts w:cs="Arial"/>
          <w:iCs/>
        </w:rPr>
        <w:t>would allow for review of decisions made pursuant to legislation but would also permit review of decisions where it was considered that there was a public duty or public power being exercised.</w:t>
      </w:r>
      <w:r w:rsidR="007E4563">
        <w:rPr>
          <w:rFonts w:cs="Arial"/>
          <w:iCs/>
        </w:rPr>
        <w:t xml:space="preserve"> </w:t>
      </w:r>
    </w:p>
    <w:p w14:paraId="19ADAD88" w14:textId="77777777" w:rsidR="00BC5552" w:rsidRDefault="00BC5552" w:rsidP="00F2388A">
      <w:pPr>
        <w:ind w:right="-347"/>
        <w:jc w:val="both"/>
        <w:rPr>
          <w:rFonts w:cs="Arial"/>
          <w:iCs/>
        </w:rPr>
      </w:pPr>
    </w:p>
    <w:p w14:paraId="122E6CCA" w14:textId="6400AAFB" w:rsidR="00CB06AA" w:rsidRDefault="00BC5552" w:rsidP="00BC5552">
      <w:pPr>
        <w:ind w:right="-347"/>
        <w:jc w:val="both"/>
        <w:rPr>
          <w:color w:val="000000" w:themeColor="text1"/>
        </w:rPr>
      </w:pPr>
      <w:r w:rsidRPr="00267871">
        <w:rPr>
          <w:rFonts w:cs="Arial"/>
          <w:color w:val="000000" w:themeColor="text1"/>
        </w:rPr>
        <w:t xml:space="preserve">An excellent example of the </w:t>
      </w:r>
      <w:r w:rsidR="007E4563">
        <w:rPr>
          <w:rFonts w:cs="Arial"/>
          <w:color w:val="000000" w:themeColor="text1"/>
        </w:rPr>
        <w:t xml:space="preserve">importance of broadening the test to include a public function is Tasmania’s more than </w:t>
      </w:r>
      <w:r>
        <w:rPr>
          <w:rFonts w:cs="Arial"/>
          <w:color w:val="000000" w:themeColor="text1"/>
        </w:rPr>
        <w:t>13,450 social housing properties</w:t>
      </w:r>
      <w:r w:rsidR="007E4563">
        <w:rPr>
          <w:rFonts w:cs="Arial"/>
          <w:color w:val="000000" w:themeColor="text1"/>
        </w:rPr>
        <w:t>.</w:t>
      </w:r>
      <w:r>
        <w:rPr>
          <w:rStyle w:val="FootnoteReference"/>
          <w:color w:val="000000" w:themeColor="text1"/>
        </w:rPr>
        <w:footnoteReference w:id="8"/>
      </w:r>
      <w:r>
        <w:rPr>
          <w:rFonts w:cs="Arial"/>
          <w:color w:val="000000" w:themeColor="text1"/>
        </w:rPr>
        <w:t xml:space="preserve"> </w:t>
      </w:r>
      <w:r w:rsidR="007E4563">
        <w:rPr>
          <w:rFonts w:cs="Arial"/>
          <w:color w:val="000000" w:themeColor="text1"/>
        </w:rPr>
        <w:t xml:space="preserve">Currently, the residents of these properties are exempt from seeking judicial review even </w:t>
      </w:r>
      <w:r w:rsidR="002D69AF">
        <w:rPr>
          <w:rFonts w:cs="Arial"/>
          <w:color w:val="000000" w:themeColor="text1"/>
        </w:rPr>
        <w:t xml:space="preserve">when they have been served a ‘no grounds’ eviction and </w:t>
      </w:r>
      <w:r w:rsidR="007E4563">
        <w:rPr>
          <w:rFonts w:cs="Arial"/>
          <w:color w:val="000000" w:themeColor="text1"/>
        </w:rPr>
        <w:t>are being evicted into homelessness.</w:t>
      </w:r>
      <w:r w:rsidR="002D69AF">
        <w:rPr>
          <w:rStyle w:val="FootnoteReference"/>
          <w:rFonts w:cs="Arial"/>
          <w:color w:val="000000" w:themeColor="text1"/>
        </w:rPr>
        <w:footnoteReference w:id="9"/>
      </w:r>
      <w:r w:rsidR="007E4563">
        <w:rPr>
          <w:rFonts w:cs="Arial"/>
          <w:color w:val="000000" w:themeColor="text1"/>
        </w:rPr>
        <w:t xml:space="preserve"> </w:t>
      </w:r>
    </w:p>
    <w:p w14:paraId="5A5E6953" w14:textId="77777777" w:rsidR="00CB06AA" w:rsidRDefault="00CB06AA" w:rsidP="00BC5552">
      <w:pPr>
        <w:ind w:right="-347"/>
        <w:jc w:val="both"/>
        <w:rPr>
          <w:color w:val="000000" w:themeColor="text1"/>
        </w:rPr>
      </w:pPr>
    </w:p>
    <w:p w14:paraId="33390B28" w14:textId="46043615" w:rsidR="00A75151" w:rsidRDefault="00F2388A" w:rsidP="00A75151">
      <w:pPr>
        <w:ind w:right="-347"/>
        <w:jc w:val="both"/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</w:pPr>
      <w:r>
        <w:rPr>
          <w:color w:val="000000" w:themeColor="text1"/>
        </w:rPr>
        <w:t xml:space="preserve">Some guidance on the likely </w:t>
      </w:r>
      <w:r w:rsidR="00D03AE7">
        <w:rPr>
          <w:color w:val="000000" w:themeColor="text1"/>
        </w:rPr>
        <w:t xml:space="preserve">breadth </w:t>
      </w:r>
      <w:r>
        <w:rPr>
          <w:color w:val="000000" w:themeColor="text1"/>
        </w:rPr>
        <w:t xml:space="preserve">of a public function test is </w:t>
      </w:r>
      <w:r w:rsidR="00A75151">
        <w:rPr>
          <w:color w:val="000000" w:themeColor="text1"/>
        </w:rPr>
        <w:t xml:space="preserve">highlighted </w:t>
      </w:r>
      <w:r>
        <w:rPr>
          <w:color w:val="000000" w:themeColor="text1"/>
        </w:rPr>
        <w:t>in</w:t>
      </w:r>
      <w:r w:rsidR="00A7515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Victoria’s </w:t>
      </w:r>
      <w:r w:rsidRPr="00DB1ADC">
        <w:rPr>
          <w:i/>
          <w:color w:val="000000" w:themeColor="text1"/>
        </w:rPr>
        <w:t>Charter of Human Rights and Responsibilities Act 2006</w:t>
      </w:r>
      <w:r w:rsidRPr="00DB1ADC">
        <w:rPr>
          <w:rFonts w:eastAsia="Times New Roman"/>
          <w:color w:val="000000" w:themeColor="text1"/>
          <w:spacing w:val="5"/>
          <w:shd w:val="clear" w:color="auto" w:fill="FFFFFF"/>
        </w:rPr>
        <w:t xml:space="preserve"> </w:t>
      </w:r>
      <w:r w:rsidR="00A75151">
        <w:rPr>
          <w:rFonts w:eastAsia="Times New Roman"/>
          <w:color w:val="000000" w:themeColor="text1"/>
          <w:spacing w:val="5"/>
          <w:shd w:val="clear" w:color="auto" w:fill="FFFFFF"/>
        </w:rPr>
        <w:t xml:space="preserve">(the Charter) </w:t>
      </w:r>
      <w:r>
        <w:rPr>
          <w:rFonts w:eastAsia="Times New Roman"/>
          <w:color w:val="000000" w:themeColor="text1"/>
          <w:spacing w:val="5"/>
          <w:shd w:val="clear" w:color="auto" w:fill="FFFFFF"/>
        </w:rPr>
        <w:t xml:space="preserve">which </w:t>
      </w:r>
      <w:r w:rsidRPr="00DB1ADC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>requires public authorities to give proper consideration to, and act compatibly with, the human rights set out in the Charter</w:t>
      </w:r>
      <w:r w:rsidR="00A75151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 xml:space="preserve">. Relevantly, </w:t>
      </w:r>
      <w:r w:rsidR="00B74D6F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 xml:space="preserve">the Charter </w:t>
      </w:r>
      <w:r w:rsidR="00D03AE7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 xml:space="preserve">defines </w:t>
      </w:r>
      <w:r w:rsidR="00B74D6F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 xml:space="preserve">public authorities as </w:t>
      </w:r>
      <w:r w:rsidR="00D03AE7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>including entities whose “functions are or include functions of a public nature”.</w:t>
      </w:r>
      <w:r w:rsidR="00B74D6F">
        <w:rPr>
          <w:rStyle w:val="FootnoteReference"/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footnoteReference w:id="10"/>
      </w:r>
      <w:r w:rsidR="00D03AE7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 xml:space="preserve"> Section 4(2) of the Charter then goes on to list </w:t>
      </w:r>
      <w:r w:rsidR="00A75151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>a non-exhaustive list of facto</w:t>
      </w:r>
      <w:r w:rsidR="00D03AE7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 xml:space="preserve">rs that may establish whether the function </w:t>
      </w:r>
      <w:r w:rsidR="00A75151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>is of a public nature:</w:t>
      </w:r>
      <w:r w:rsidR="00D820B4">
        <w:rPr>
          <w:rStyle w:val="FootnoteReference"/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footnoteReference w:id="11"/>
      </w:r>
      <w:r w:rsidR="00A75151">
        <w:rPr>
          <w:rFonts w:eastAsia="Times New Roman" w:cs="Times New Roman"/>
          <w:color w:val="000000" w:themeColor="text1"/>
          <w:spacing w:val="5"/>
          <w:shd w:val="clear" w:color="auto" w:fill="FFFFFF"/>
          <w:lang w:val="en-AU" w:eastAsia="en-AU"/>
        </w:rPr>
        <w:t xml:space="preserve"> </w:t>
      </w:r>
    </w:p>
    <w:p w14:paraId="0D7573B7" w14:textId="77777777" w:rsidR="00B74D6F" w:rsidRDefault="00B74D6F" w:rsidP="00A75151">
      <w:pPr>
        <w:ind w:right="-347"/>
        <w:jc w:val="both"/>
        <w:rPr>
          <w:sz w:val="22"/>
          <w:szCs w:val="22"/>
        </w:rPr>
      </w:pPr>
    </w:p>
    <w:p w14:paraId="05D1B5DD" w14:textId="2E6DCEAE" w:rsidR="00A75151" w:rsidRPr="00A75151" w:rsidRDefault="00A75151" w:rsidP="00A75151">
      <w:pPr>
        <w:ind w:right="-347"/>
        <w:jc w:val="both"/>
      </w:pPr>
      <w:r w:rsidRPr="00A75151">
        <w:rPr>
          <w:sz w:val="22"/>
          <w:szCs w:val="22"/>
        </w:rPr>
        <w:t>In determining if a function is of a public nature the factors that may be taken into account include</w:t>
      </w:r>
    </w:p>
    <w:p w14:paraId="33652C63" w14:textId="77777777" w:rsidR="00A75151" w:rsidRPr="00A75151" w:rsidRDefault="00A75151" w:rsidP="00A75151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A75151">
        <w:rPr>
          <w:sz w:val="22"/>
          <w:szCs w:val="22"/>
        </w:rPr>
        <w:t xml:space="preserve">that the function is conferred on the entity by or under a statutory provision; </w:t>
      </w:r>
    </w:p>
    <w:p w14:paraId="47E10944" w14:textId="4B649D0B" w:rsidR="00A75151" w:rsidRPr="00A75151" w:rsidRDefault="00A75151" w:rsidP="00A75151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A75151">
        <w:rPr>
          <w:sz w:val="22"/>
          <w:szCs w:val="22"/>
        </w:rPr>
        <w:t>that the function is connected to or generally identified with functions of government;</w:t>
      </w:r>
      <w:r w:rsidRPr="00A75151">
        <w:rPr>
          <w:rStyle w:val="apple-converted-space"/>
          <w:rFonts w:ascii="Helvetica Neue" w:hAnsi="Helvetica Neue"/>
          <w:color w:val="333333"/>
          <w:sz w:val="22"/>
          <w:szCs w:val="22"/>
        </w:rPr>
        <w:t> </w:t>
      </w:r>
    </w:p>
    <w:p w14:paraId="5B3BDE94" w14:textId="77777777" w:rsidR="00A75151" w:rsidRPr="00A75151" w:rsidRDefault="00A75151" w:rsidP="00A75151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A75151">
        <w:rPr>
          <w:sz w:val="22"/>
          <w:szCs w:val="22"/>
        </w:rPr>
        <w:t>that the function is of a regulatory nature;</w:t>
      </w:r>
      <w:r w:rsidRPr="00A75151">
        <w:rPr>
          <w:rStyle w:val="apple-converted-space"/>
          <w:rFonts w:ascii="Helvetica Neue" w:hAnsi="Helvetica Neue"/>
          <w:color w:val="333333"/>
          <w:sz w:val="22"/>
          <w:szCs w:val="22"/>
        </w:rPr>
        <w:t> </w:t>
      </w:r>
    </w:p>
    <w:p w14:paraId="71370295" w14:textId="77777777" w:rsidR="00A75151" w:rsidRPr="00A75151" w:rsidRDefault="00A75151" w:rsidP="00A75151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A75151">
        <w:rPr>
          <w:sz w:val="22"/>
          <w:szCs w:val="22"/>
        </w:rPr>
        <w:t>that the entity is publicly funded to perform the function;</w:t>
      </w:r>
      <w:r w:rsidRPr="00A75151">
        <w:rPr>
          <w:rStyle w:val="apple-converted-space"/>
          <w:rFonts w:ascii="Helvetica Neue" w:hAnsi="Helvetica Neue"/>
          <w:color w:val="333333"/>
          <w:sz w:val="22"/>
          <w:szCs w:val="22"/>
        </w:rPr>
        <w:t> </w:t>
      </w:r>
    </w:p>
    <w:p w14:paraId="364B84A2" w14:textId="666B09D5" w:rsidR="00A75151" w:rsidRPr="00A75151" w:rsidRDefault="00A75151" w:rsidP="00A75151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A75151">
        <w:rPr>
          <w:sz w:val="22"/>
          <w:szCs w:val="22"/>
        </w:rPr>
        <w:t xml:space="preserve">that the entity that performs the function is a company (within the meaning of the </w:t>
      </w:r>
      <w:r w:rsidRPr="00A75151">
        <w:rPr>
          <w:i/>
          <w:sz w:val="22"/>
          <w:szCs w:val="22"/>
        </w:rPr>
        <w:t>Corporations Act</w:t>
      </w:r>
      <w:r w:rsidRPr="00A75151">
        <w:rPr>
          <w:sz w:val="22"/>
          <w:szCs w:val="22"/>
        </w:rPr>
        <w:t>) all of the shares in which are held by or on behalf of the State.</w:t>
      </w:r>
      <w:r w:rsidRPr="00A75151">
        <w:rPr>
          <w:rStyle w:val="apple-converted-space"/>
          <w:rFonts w:ascii="Helvetica Neue" w:hAnsi="Helvetica Neue"/>
          <w:color w:val="333333"/>
          <w:sz w:val="22"/>
          <w:szCs w:val="22"/>
        </w:rPr>
        <w:t> </w:t>
      </w:r>
    </w:p>
    <w:p w14:paraId="04E9DED7" w14:textId="77777777" w:rsidR="00F2388A" w:rsidRDefault="00F2388A" w:rsidP="00F2388A">
      <w:pPr>
        <w:ind w:right="-347"/>
        <w:jc w:val="both"/>
      </w:pPr>
    </w:p>
    <w:p w14:paraId="46732BA0" w14:textId="34AA08C4" w:rsidR="00B438D3" w:rsidRDefault="00B438D3" w:rsidP="00F2388A">
      <w:pPr>
        <w:ind w:right="-347"/>
        <w:jc w:val="both"/>
      </w:pPr>
      <w:r>
        <w:t>This non-exhaustive list of public n</w:t>
      </w:r>
      <w:r w:rsidR="00EC6044">
        <w:t xml:space="preserve">ature functions has ensured that the reach of Victoria’s </w:t>
      </w:r>
      <w:r w:rsidR="00AC41CF">
        <w:t xml:space="preserve">Charter </w:t>
      </w:r>
      <w:r w:rsidR="00EC6044">
        <w:t xml:space="preserve">extends to private or not-for-profit bodies </w:t>
      </w:r>
      <w:r w:rsidR="00BC5552">
        <w:t>such as</w:t>
      </w:r>
      <w:r w:rsidR="00EC6044">
        <w:t xml:space="preserve"> community housing providers.</w:t>
      </w:r>
      <w:r w:rsidR="00EC6044">
        <w:rPr>
          <w:rStyle w:val="FootnoteReference"/>
        </w:rPr>
        <w:footnoteReference w:id="12"/>
      </w:r>
      <w:r>
        <w:t xml:space="preserve"> </w:t>
      </w:r>
    </w:p>
    <w:p w14:paraId="39E12FAF" w14:textId="77777777" w:rsidR="00C01E97" w:rsidRDefault="00C01E97" w:rsidP="00C55AF5">
      <w:pPr>
        <w:ind w:right="-347"/>
        <w:jc w:val="both"/>
      </w:pPr>
    </w:p>
    <w:p w14:paraId="739F50EC" w14:textId="1A638D66" w:rsidR="00032E0D" w:rsidRDefault="00C55AF5" w:rsidP="00032E0D">
      <w:pPr>
        <w:ind w:right="-347"/>
        <w:jc w:val="both"/>
        <w:rPr>
          <w:rFonts w:cs="Verdana"/>
        </w:rPr>
      </w:pPr>
      <w:r w:rsidRPr="00E05717">
        <w:rPr>
          <w:rFonts w:cs="Verdana"/>
        </w:rPr>
        <w:t xml:space="preserve">In summary, we </w:t>
      </w:r>
      <w:r>
        <w:rPr>
          <w:rFonts w:cs="Verdana"/>
        </w:rPr>
        <w:t xml:space="preserve">strongly </w:t>
      </w:r>
      <w:r w:rsidR="00C01E97">
        <w:rPr>
          <w:rFonts w:cs="Verdana"/>
        </w:rPr>
        <w:t xml:space="preserve">recommend JRA reform so </w:t>
      </w:r>
      <w:r w:rsidR="00C01E97" w:rsidRPr="00C72FAA">
        <w:rPr>
          <w:rFonts w:cs="Arial"/>
          <w:color w:val="000000" w:themeColor="text1"/>
        </w:rPr>
        <w:t xml:space="preserve">that the scope of judicial review </w:t>
      </w:r>
      <w:r w:rsidR="0039049A">
        <w:rPr>
          <w:rFonts w:cs="Arial"/>
          <w:color w:val="000000" w:themeColor="text1"/>
        </w:rPr>
        <w:t>is not</w:t>
      </w:r>
      <w:r w:rsidR="00C01E97" w:rsidRPr="00C72FAA">
        <w:rPr>
          <w:rFonts w:cs="Arial"/>
          <w:color w:val="000000" w:themeColor="text1"/>
        </w:rPr>
        <w:t xml:space="preserve"> limited to the legal source of the power but rather </w:t>
      </w:r>
      <w:r w:rsidR="0039049A">
        <w:rPr>
          <w:rFonts w:cs="Arial"/>
          <w:color w:val="000000" w:themeColor="text1"/>
        </w:rPr>
        <w:t xml:space="preserve">is </w:t>
      </w:r>
      <w:r w:rsidR="00C01E97" w:rsidRPr="00C72FAA">
        <w:rPr>
          <w:rFonts w:cs="Arial"/>
          <w:color w:val="000000" w:themeColor="text1"/>
        </w:rPr>
        <w:t>broadened to encapsulate the nature of the decision.</w:t>
      </w:r>
    </w:p>
    <w:p w14:paraId="7834342E" w14:textId="77777777" w:rsidR="0039049A" w:rsidRPr="0039049A" w:rsidRDefault="0039049A" w:rsidP="00032E0D">
      <w:pPr>
        <w:ind w:right="-347"/>
        <w:jc w:val="both"/>
        <w:rPr>
          <w:rFonts w:cs="Verdana"/>
        </w:rPr>
      </w:pPr>
    </w:p>
    <w:p w14:paraId="41F05510" w14:textId="77777777" w:rsidR="00032E0D" w:rsidRPr="00D83A73" w:rsidRDefault="00032E0D" w:rsidP="00032E0D">
      <w:pPr>
        <w:ind w:right="-347"/>
        <w:jc w:val="both"/>
        <w:rPr>
          <w:rFonts w:cs="Arial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If we can be of any further assistance, please do not hesitate to contact us.</w:t>
      </w:r>
    </w:p>
    <w:p w14:paraId="3BFC0CDF" w14:textId="77777777" w:rsidR="00032E0D" w:rsidRDefault="00032E0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4F869A7B" w14:textId="77777777" w:rsidR="00032E0D" w:rsidRDefault="00032E0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79E147DB" w14:textId="77777777" w:rsidR="00032E0D" w:rsidRDefault="00032E0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Yours faithfully,</w:t>
      </w:r>
    </w:p>
    <w:p w14:paraId="528EA155" w14:textId="77777777" w:rsidR="00032E0D" w:rsidRDefault="00032E0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44D00E9F" w14:textId="77777777" w:rsidR="00032E0D" w:rsidRDefault="00032E0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06E86520" w14:textId="77777777" w:rsidR="00246C8D" w:rsidRDefault="00246C8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bookmarkStart w:id="0" w:name="_GoBack"/>
      <w:bookmarkEnd w:id="0"/>
    </w:p>
    <w:p w14:paraId="7CCDD44E" w14:textId="77777777" w:rsidR="00032E0D" w:rsidRDefault="00032E0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 xml:space="preserve">Benedict </w:t>
      </w:r>
      <w:proofErr w:type="spellStart"/>
      <w:r>
        <w:rPr>
          <w:rFonts w:eastAsia="Times New Roman" w:cs="Times New Roman"/>
          <w:bCs/>
          <w:color w:val="000000" w:themeColor="text1"/>
          <w:lang w:eastAsia="en-AU"/>
        </w:rPr>
        <w:t>Bartl</w:t>
      </w:r>
      <w:proofErr w:type="spellEnd"/>
    </w:p>
    <w:p w14:paraId="7F56BFC6" w14:textId="77777777" w:rsidR="00032E0D" w:rsidRDefault="00032E0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Policy Officer</w:t>
      </w:r>
    </w:p>
    <w:p w14:paraId="3E08107B" w14:textId="77777777" w:rsidR="00032E0D" w:rsidRPr="00032E0D" w:rsidRDefault="00032E0D" w:rsidP="00032E0D">
      <w:pPr>
        <w:pBdr>
          <w:bottom w:val="single" w:sz="6" w:space="1" w:color="auto"/>
        </w:pBdr>
        <w:shd w:val="clear" w:color="auto" w:fill="FFFFFF"/>
        <w:ind w:right="-347"/>
        <w:jc w:val="both"/>
        <w:rPr>
          <w:rFonts w:eastAsia="Times New Roman" w:cs="Times New Roman"/>
          <w:b/>
          <w:bCs/>
          <w:color w:val="000000" w:themeColor="text1"/>
          <w:lang w:eastAsia="en-AU"/>
        </w:rPr>
      </w:pPr>
      <w:r w:rsidRPr="00032E0D">
        <w:rPr>
          <w:rFonts w:eastAsia="Times New Roman" w:cs="Times New Roman"/>
          <w:b/>
          <w:bCs/>
          <w:color w:val="000000" w:themeColor="text1"/>
          <w:lang w:eastAsia="en-AU"/>
        </w:rPr>
        <w:t xml:space="preserve">Community Legal </w:t>
      </w:r>
      <w:proofErr w:type="spellStart"/>
      <w:r w:rsidRPr="00032E0D">
        <w:rPr>
          <w:rFonts w:eastAsia="Times New Roman" w:cs="Times New Roman"/>
          <w:b/>
          <w:bCs/>
          <w:color w:val="000000" w:themeColor="text1"/>
          <w:lang w:eastAsia="en-AU"/>
        </w:rPr>
        <w:t>Centres</w:t>
      </w:r>
      <w:proofErr w:type="spellEnd"/>
      <w:r w:rsidRPr="00032E0D">
        <w:rPr>
          <w:rFonts w:eastAsia="Times New Roman" w:cs="Times New Roman"/>
          <w:b/>
          <w:bCs/>
          <w:color w:val="000000" w:themeColor="text1"/>
          <w:lang w:eastAsia="en-AU"/>
        </w:rPr>
        <w:t xml:space="preserve"> Tasmania</w:t>
      </w:r>
    </w:p>
    <w:p w14:paraId="566D1AC5" w14:textId="77777777" w:rsidR="00032E0D" w:rsidRPr="0031455F" w:rsidRDefault="00032E0D" w:rsidP="00032E0D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32A8DA79" w14:textId="77777777" w:rsidR="00032E0D" w:rsidRDefault="00032E0D" w:rsidP="00032E0D">
      <w:pPr>
        <w:ind w:left="-284" w:right="-347"/>
      </w:pPr>
    </w:p>
    <w:p w14:paraId="22DACC4D" w14:textId="77777777" w:rsidR="004C0469" w:rsidRDefault="004C0469"/>
    <w:sectPr w:rsidR="004C0469" w:rsidSect="008D72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A825C" w14:textId="77777777" w:rsidR="0069233A" w:rsidRDefault="0069233A" w:rsidP="00032E0D">
      <w:r>
        <w:separator/>
      </w:r>
    </w:p>
  </w:endnote>
  <w:endnote w:type="continuationSeparator" w:id="0">
    <w:p w14:paraId="2DBE6F90" w14:textId="77777777" w:rsidR="0069233A" w:rsidRDefault="0069233A" w:rsidP="0003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F698" w14:textId="77777777" w:rsidR="0069233A" w:rsidRDefault="0069233A" w:rsidP="00032E0D">
      <w:r>
        <w:separator/>
      </w:r>
    </w:p>
  </w:footnote>
  <w:footnote w:type="continuationSeparator" w:id="0">
    <w:p w14:paraId="248900AF" w14:textId="77777777" w:rsidR="0069233A" w:rsidRDefault="0069233A" w:rsidP="00032E0D">
      <w:r>
        <w:continuationSeparator/>
      </w:r>
    </w:p>
  </w:footnote>
  <w:footnote w:id="1">
    <w:p w14:paraId="15FF564D" w14:textId="3BC71B27" w:rsidR="009544E8" w:rsidRPr="009544E8" w:rsidRDefault="009544E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544E8">
        <w:rPr>
          <w:i/>
          <w:sz w:val="20"/>
          <w:szCs w:val="20"/>
        </w:rPr>
        <w:t xml:space="preserve">Griffith University </w:t>
      </w:r>
      <w:proofErr w:type="gramStart"/>
      <w:r w:rsidRPr="009544E8">
        <w:rPr>
          <w:i/>
          <w:sz w:val="20"/>
          <w:szCs w:val="20"/>
        </w:rPr>
        <w:t>v</w:t>
      </w:r>
      <w:proofErr w:type="gramEnd"/>
      <w:r w:rsidRPr="009544E8">
        <w:rPr>
          <w:i/>
          <w:sz w:val="20"/>
          <w:szCs w:val="20"/>
        </w:rPr>
        <w:t xml:space="preserve"> Tang</w:t>
      </w:r>
      <w:r w:rsidRPr="009544E8">
        <w:rPr>
          <w:sz w:val="20"/>
          <w:szCs w:val="20"/>
        </w:rPr>
        <w:t xml:space="preserve"> (2005) 221 CLR 99</w:t>
      </w:r>
      <w:r>
        <w:rPr>
          <w:sz w:val="20"/>
          <w:szCs w:val="20"/>
        </w:rPr>
        <w:t>.</w:t>
      </w:r>
    </w:p>
  </w:footnote>
  <w:footnote w:id="2">
    <w:p w14:paraId="5A6E06F1" w14:textId="7122B89E" w:rsidR="009779A1" w:rsidRPr="00E05717" w:rsidRDefault="009779A1" w:rsidP="009779A1">
      <w:pPr>
        <w:pStyle w:val="FootnoteText"/>
        <w:ind w:left="284" w:hanging="284"/>
      </w:pPr>
      <w:r w:rsidRPr="00E05717">
        <w:rPr>
          <w:rStyle w:val="FootnoteReference"/>
        </w:rPr>
        <w:footnoteRef/>
      </w:r>
      <w:r w:rsidR="00C26826">
        <w:t xml:space="preserve"> </w:t>
      </w:r>
      <w:r w:rsidRPr="009544E8">
        <w:rPr>
          <w:rFonts w:cs="Arial"/>
          <w:i/>
          <w:sz w:val="20"/>
          <w:szCs w:val="20"/>
        </w:rPr>
        <w:t>King v Director of Housing</w:t>
      </w:r>
      <w:r w:rsidRPr="009544E8">
        <w:rPr>
          <w:rFonts w:cs="Arial"/>
          <w:sz w:val="20"/>
          <w:szCs w:val="20"/>
        </w:rPr>
        <w:t xml:space="preserve"> [2013] TASFC 9.</w:t>
      </w:r>
      <w:r>
        <w:rPr>
          <w:rFonts w:cs="Arial"/>
        </w:rPr>
        <w:t xml:space="preserve"> </w:t>
      </w:r>
    </w:p>
  </w:footnote>
  <w:footnote w:id="3">
    <w:p w14:paraId="4A0D4456" w14:textId="7E6CCCD6" w:rsidR="009779A1" w:rsidRPr="00F94C46" w:rsidRDefault="009779A1" w:rsidP="009779A1">
      <w:pPr>
        <w:pStyle w:val="FootnoteText"/>
        <w:ind w:left="284" w:hanging="284"/>
      </w:pPr>
      <w:r w:rsidRPr="00F94C46">
        <w:rPr>
          <w:rStyle w:val="FootnoteReference"/>
        </w:rPr>
        <w:footnoteRef/>
      </w:r>
      <w:r w:rsidR="00C26826">
        <w:t xml:space="preserve"> </w:t>
      </w:r>
      <w:proofErr w:type="spellStart"/>
      <w:r w:rsidRPr="009544E8">
        <w:rPr>
          <w:i/>
          <w:sz w:val="20"/>
          <w:szCs w:val="20"/>
        </w:rPr>
        <w:t>Smillie</w:t>
      </w:r>
      <w:proofErr w:type="spellEnd"/>
      <w:r w:rsidRPr="009544E8">
        <w:rPr>
          <w:i/>
          <w:sz w:val="20"/>
          <w:szCs w:val="20"/>
        </w:rPr>
        <w:t xml:space="preserve"> v Legal Aid Commission of Tasmania</w:t>
      </w:r>
      <w:r w:rsidRPr="009544E8">
        <w:rPr>
          <w:sz w:val="20"/>
          <w:szCs w:val="20"/>
        </w:rPr>
        <w:t xml:space="preserve"> [2014] TASSC 19.</w:t>
      </w:r>
    </w:p>
  </w:footnote>
  <w:footnote w:id="4">
    <w:p w14:paraId="0425412C" w14:textId="0BE2C5AA" w:rsidR="00D617B2" w:rsidRPr="007F1F36" w:rsidRDefault="00D617B2" w:rsidP="00D617B2">
      <w:pPr>
        <w:pStyle w:val="FootnoteText"/>
        <w:ind w:left="284" w:hanging="284"/>
      </w:pPr>
      <w:r>
        <w:rPr>
          <w:rStyle w:val="FootnoteReference"/>
        </w:rPr>
        <w:footnoteRef/>
      </w:r>
      <w:r w:rsidR="00C26826">
        <w:t xml:space="preserve"> </w:t>
      </w:r>
      <w:r w:rsidRPr="009544E8">
        <w:rPr>
          <w:i/>
          <w:sz w:val="20"/>
          <w:szCs w:val="20"/>
        </w:rPr>
        <w:t xml:space="preserve">Griffith University </w:t>
      </w:r>
      <w:proofErr w:type="gramStart"/>
      <w:r w:rsidRPr="009544E8">
        <w:rPr>
          <w:i/>
          <w:sz w:val="20"/>
          <w:szCs w:val="20"/>
        </w:rPr>
        <w:t>v</w:t>
      </w:r>
      <w:proofErr w:type="gramEnd"/>
      <w:r w:rsidRPr="009544E8">
        <w:rPr>
          <w:i/>
          <w:sz w:val="20"/>
          <w:szCs w:val="20"/>
        </w:rPr>
        <w:t xml:space="preserve"> Tang</w:t>
      </w:r>
      <w:r w:rsidRPr="009544E8">
        <w:rPr>
          <w:sz w:val="20"/>
          <w:szCs w:val="20"/>
        </w:rPr>
        <w:t xml:space="preserve"> (2005) 221 CLR 99 at 133 per Kirby J.</w:t>
      </w:r>
      <w:r>
        <w:t xml:space="preserve"> </w:t>
      </w:r>
    </w:p>
  </w:footnote>
  <w:footnote w:id="5">
    <w:p w14:paraId="79CAAEC8" w14:textId="44F019B5" w:rsidR="00C72FAA" w:rsidRPr="00953E3E" w:rsidRDefault="00C72FAA" w:rsidP="00C72FAA">
      <w:pPr>
        <w:pStyle w:val="FootnoteText"/>
        <w:ind w:left="284" w:hanging="284"/>
      </w:pPr>
      <w:r w:rsidRPr="00953E3E">
        <w:rPr>
          <w:rStyle w:val="FootnoteReference"/>
        </w:rPr>
        <w:footnoteRef/>
      </w:r>
      <w:r w:rsidR="002F0D21">
        <w:t xml:space="preserve"> </w:t>
      </w:r>
      <w:r w:rsidR="002F0D21" w:rsidRPr="009544E8">
        <w:rPr>
          <w:rFonts w:cs="Arial"/>
          <w:i/>
          <w:sz w:val="20"/>
          <w:szCs w:val="20"/>
        </w:rPr>
        <w:t>King v Director of Housing</w:t>
      </w:r>
      <w:r w:rsidR="002F0D21" w:rsidRPr="009544E8">
        <w:rPr>
          <w:rFonts w:cs="Arial"/>
          <w:sz w:val="20"/>
          <w:szCs w:val="20"/>
        </w:rPr>
        <w:t xml:space="preserve"> [2013] TASFC 9.</w:t>
      </w:r>
      <w:r w:rsidR="002F0D21">
        <w:rPr>
          <w:rFonts w:cs="Arial"/>
        </w:rPr>
        <w:t xml:space="preserve"> </w:t>
      </w:r>
      <w:r w:rsidRPr="00953E3E">
        <w:t xml:space="preserve"> </w:t>
      </w:r>
    </w:p>
  </w:footnote>
  <w:footnote w:id="6">
    <w:p w14:paraId="6FA02B69" w14:textId="7E63E049" w:rsidR="00C72FAA" w:rsidRPr="00953E3E" w:rsidRDefault="00C72FAA" w:rsidP="00C72FAA">
      <w:pPr>
        <w:pStyle w:val="FootnoteText"/>
        <w:ind w:left="284" w:hanging="284"/>
      </w:pPr>
      <w:r w:rsidRPr="00953E3E">
        <w:rPr>
          <w:rStyle w:val="FootnoteReference"/>
        </w:rPr>
        <w:footnoteRef/>
      </w:r>
      <w:r w:rsidR="002F0D21">
        <w:t xml:space="preserve"> </w:t>
      </w:r>
      <w:r w:rsidR="002F0D21" w:rsidRPr="002F0D21">
        <w:rPr>
          <w:rFonts w:cs="Arial"/>
          <w:i/>
          <w:sz w:val="20"/>
          <w:szCs w:val="20"/>
        </w:rPr>
        <w:t>King v Director of Housing</w:t>
      </w:r>
      <w:r w:rsidR="002F0D21" w:rsidRPr="002F0D21">
        <w:rPr>
          <w:rFonts w:cs="Arial"/>
          <w:sz w:val="20"/>
          <w:szCs w:val="20"/>
        </w:rPr>
        <w:t xml:space="preserve"> [2013] TASFC 9</w:t>
      </w:r>
      <w:r w:rsidR="00F86D78">
        <w:rPr>
          <w:rFonts w:cs="Arial"/>
          <w:sz w:val="20"/>
          <w:szCs w:val="20"/>
        </w:rPr>
        <w:t xml:space="preserve"> at para. </w:t>
      </w:r>
      <w:r w:rsidR="00F86D78">
        <w:rPr>
          <w:sz w:val="20"/>
          <w:szCs w:val="20"/>
        </w:rPr>
        <w:t>65</w:t>
      </w:r>
      <w:r w:rsidRPr="002F0D21">
        <w:rPr>
          <w:sz w:val="20"/>
          <w:szCs w:val="20"/>
        </w:rPr>
        <w:t>.</w:t>
      </w:r>
      <w:r w:rsidRPr="00953E3E">
        <w:t xml:space="preserve"> </w:t>
      </w:r>
    </w:p>
  </w:footnote>
  <w:footnote w:id="7">
    <w:p w14:paraId="658A6F78" w14:textId="77777777" w:rsidR="00F67489" w:rsidRPr="00953E3E" w:rsidRDefault="00F67489" w:rsidP="00F67489">
      <w:pPr>
        <w:pStyle w:val="FootnoteText"/>
        <w:ind w:left="284" w:hanging="284"/>
      </w:pPr>
      <w:r w:rsidRPr="00953E3E">
        <w:rPr>
          <w:rStyle w:val="FootnoteReference"/>
        </w:rPr>
        <w:footnoteRef/>
      </w:r>
      <w:r>
        <w:t xml:space="preserve"> </w:t>
      </w:r>
      <w:r w:rsidRPr="00DB1ADC">
        <w:rPr>
          <w:i/>
          <w:sz w:val="20"/>
          <w:szCs w:val="20"/>
        </w:rPr>
        <w:t xml:space="preserve">R v Panel on Take-Overs and Mergers; Ex parte </w:t>
      </w:r>
      <w:proofErr w:type="spellStart"/>
      <w:r w:rsidRPr="00DB1ADC">
        <w:rPr>
          <w:i/>
          <w:sz w:val="20"/>
          <w:szCs w:val="20"/>
        </w:rPr>
        <w:t>Datafin</w:t>
      </w:r>
      <w:proofErr w:type="spellEnd"/>
      <w:r w:rsidRPr="00DB1ADC">
        <w:rPr>
          <w:i/>
          <w:sz w:val="20"/>
          <w:szCs w:val="20"/>
        </w:rPr>
        <w:t xml:space="preserve"> plc</w:t>
      </w:r>
      <w:r w:rsidRPr="00DB1ADC">
        <w:rPr>
          <w:sz w:val="20"/>
          <w:szCs w:val="20"/>
        </w:rPr>
        <w:t xml:space="preserve"> [1987] QB 815 at 836 per Donaldson MR; at 847 per Lloyd LJ.</w:t>
      </w:r>
    </w:p>
  </w:footnote>
  <w:footnote w:id="8">
    <w:p w14:paraId="4C50321C" w14:textId="51146A3B" w:rsidR="00BC5552" w:rsidRDefault="00BC5552" w:rsidP="00BC55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5552">
        <w:rPr>
          <w:sz w:val="20"/>
          <w:szCs w:val="20"/>
        </w:rPr>
        <w:t xml:space="preserve">In Tasmania the State Government currently provides 7,166 public housing properties. There are also 6,076 community housing properties managed by </w:t>
      </w:r>
      <w:proofErr w:type="spellStart"/>
      <w:r w:rsidRPr="00BC5552">
        <w:rPr>
          <w:sz w:val="20"/>
          <w:szCs w:val="20"/>
        </w:rPr>
        <w:t>organisations</w:t>
      </w:r>
      <w:proofErr w:type="spellEnd"/>
      <w:r w:rsidRPr="00BC5552">
        <w:rPr>
          <w:sz w:val="20"/>
          <w:szCs w:val="20"/>
        </w:rPr>
        <w:t xml:space="preserve"> such as Centacare Evolve, Housing Choices Tasmania, Community Housing Ltd and Mission Australia. Finally, there are 298 homes provided through Indigenous Housing. As found at Shelter Tasmania, </w:t>
      </w:r>
      <w:proofErr w:type="gramStart"/>
      <w:r w:rsidRPr="00BC5552">
        <w:rPr>
          <w:sz w:val="20"/>
          <w:szCs w:val="20"/>
        </w:rPr>
        <w:t>What</w:t>
      </w:r>
      <w:proofErr w:type="gramEnd"/>
      <w:r w:rsidRPr="00BC5552">
        <w:rPr>
          <w:sz w:val="20"/>
          <w:szCs w:val="20"/>
        </w:rPr>
        <w:t xml:space="preserve"> is social housing? As found at </w:t>
      </w:r>
      <w:hyperlink r:id="rId1" w:history="1">
        <w:r w:rsidRPr="00BC5552">
          <w:rPr>
            <w:rStyle w:val="Hyperlink"/>
            <w:sz w:val="20"/>
            <w:szCs w:val="20"/>
          </w:rPr>
          <w:t>http://www.sheltertas.org.au/community-housing/social-housing-in-tasmania/</w:t>
        </w:r>
      </w:hyperlink>
      <w:r w:rsidRPr="00BC5552">
        <w:rPr>
          <w:sz w:val="20"/>
          <w:szCs w:val="20"/>
        </w:rPr>
        <w:t xml:space="preserve"> (Accessed 1 November 2018).</w:t>
      </w:r>
      <w:r>
        <w:t xml:space="preserve"> </w:t>
      </w:r>
      <w:r>
        <w:rPr>
          <w:sz w:val="20"/>
          <w:szCs w:val="20"/>
        </w:rPr>
        <w:t xml:space="preserve"> </w:t>
      </w:r>
      <w:r>
        <w:t xml:space="preserve">    </w:t>
      </w:r>
    </w:p>
  </w:footnote>
  <w:footnote w:id="9">
    <w:p w14:paraId="08AC599F" w14:textId="2F264D5B" w:rsidR="002D69AF" w:rsidRPr="002D69AF" w:rsidRDefault="002D69A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544E8">
        <w:rPr>
          <w:rFonts w:cs="Arial"/>
          <w:i/>
          <w:sz w:val="20"/>
          <w:szCs w:val="20"/>
        </w:rPr>
        <w:t>King v Director of Housing</w:t>
      </w:r>
      <w:r w:rsidRPr="009544E8">
        <w:rPr>
          <w:rFonts w:cs="Arial"/>
          <w:sz w:val="20"/>
          <w:szCs w:val="20"/>
        </w:rPr>
        <w:t xml:space="preserve"> [2013] TASFC 9.</w:t>
      </w:r>
      <w:r>
        <w:rPr>
          <w:rFonts w:cs="Arial"/>
        </w:rPr>
        <w:t xml:space="preserve"> </w:t>
      </w:r>
      <w:r w:rsidRPr="00953E3E">
        <w:t xml:space="preserve"> </w:t>
      </w:r>
    </w:p>
  </w:footnote>
  <w:footnote w:id="10">
    <w:p w14:paraId="7F3355C4" w14:textId="1EC6775C" w:rsidR="00B74D6F" w:rsidRPr="00F86D78" w:rsidRDefault="00B74D6F">
      <w:pPr>
        <w:pStyle w:val="FootnoteText"/>
      </w:pPr>
      <w:r>
        <w:rPr>
          <w:rStyle w:val="FootnoteReference"/>
        </w:rPr>
        <w:footnoteRef/>
      </w:r>
      <w:r w:rsidR="00F86D78">
        <w:t xml:space="preserve"> </w:t>
      </w:r>
      <w:r w:rsidRPr="00F86D78">
        <w:rPr>
          <w:sz w:val="20"/>
          <w:szCs w:val="20"/>
        </w:rPr>
        <w:t xml:space="preserve">Section 4 of the </w:t>
      </w:r>
      <w:r w:rsidRPr="00F86D78">
        <w:rPr>
          <w:i/>
          <w:color w:val="000000" w:themeColor="text1"/>
          <w:sz w:val="20"/>
          <w:szCs w:val="20"/>
        </w:rPr>
        <w:t>Charter of Human Rights and Responsibilities Act 2006</w:t>
      </w:r>
      <w:r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 xml:space="preserve"> also lists a number of public authorities </w:t>
      </w:r>
      <w:r w:rsidR="00F86D78"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 xml:space="preserve">as being bound by the Charter </w:t>
      </w:r>
      <w:r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 xml:space="preserve">including public officials, entities established </w:t>
      </w:r>
      <w:r w:rsidR="00F86D78"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>by statute with public functions</w:t>
      </w:r>
      <w:r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 xml:space="preserve">, Victoria Police, </w:t>
      </w:r>
      <w:r w:rsidR="00F86D78"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 xml:space="preserve">local Councils, </w:t>
      </w:r>
      <w:r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>Minister</w:t>
      </w:r>
      <w:r w:rsidR="00F86D78"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>s, courts and tribunals and members of</w:t>
      </w:r>
      <w:r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 xml:space="preserve"> Parliamentary Committee</w:t>
      </w:r>
      <w:r w:rsidR="00F86D78"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>s when acting in an administrative capacity</w:t>
      </w:r>
      <w:r w:rsidRPr="00F86D78">
        <w:rPr>
          <w:rFonts w:eastAsia="Times New Roman"/>
          <w:color w:val="000000" w:themeColor="text1"/>
          <w:spacing w:val="5"/>
          <w:sz w:val="20"/>
          <w:szCs w:val="20"/>
          <w:shd w:val="clear" w:color="auto" w:fill="FFFFFF"/>
        </w:rPr>
        <w:t>.</w:t>
      </w:r>
      <w:r>
        <w:rPr>
          <w:rFonts w:eastAsia="Times New Roman"/>
          <w:color w:val="000000" w:themeColor="text1"/>
          <w:spacing w:val="5"/>
          <w:shd w:val="clear" w:color="auto" w:fill="FFFFFF"/>
        </w:rPr>
        <w:t xml:space="preserve">      </w:t>
      </w:r>
      <w:r>
        <w:t xml:space="preserve"> </w:t>
      </w:r>
    </w:p>
  </w:footnote>
  <w:footnote w:id="11">
    <w:p w14:paraId="2A9B9BAC" w14:textId="3FECDDA0" w:rsidR="00D820B4" w:rsidRPr="00D820B4" w:rsidRDefault="00D820B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820B4">
        <w:rPr>
          <w:sz w:val="20"/>
          <w:szCs w:val="20"/>
          <w:lang w:val="en-AU"/>
        </w:rPr>
        <w:t xml:space="preserve">Also see section 40A of the </w:t>
      </w:r>
      <w:r w:rsidRPr="00D820B4">
        <w:rPr>
          <w:i/>
          <w:sz w:val="20"/>
          <w:szCs w:val="20"/>
          <w:lang w:val="en-AU"/>
        </w:rPr>
        <w:t>Human Rights Act 2004</w:t>
      </w:r>
      <w:r w:rsidRPr="00D820B4">
        <w:rPr>
          <w:sz w:val="20"/>
          <w:szCs w:val="20"/>
          <w:lang w:val="en-AU"/>
        </w:rPr>
        <w:t xml:space="preserve"> (ACT).</w:t>
      </w:r>
      <w:r>
        <w:rPr>
          <w:lang w:val="en-AU"/>
        </w:rPr>
        <w:t xml:space="preserve"> </w:t>
      </w:r>
    </w:p>
  </w:footnote>
  <w:footnote w:id="12">
    <w:p w14:paraId="00621619" w14:textId="5AAAEDF2" w:rsidR="00EC6044" w:rsidRPr="00EC6044" w:rsidRDefault="00EC604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EC6044">
        <w:rPr>
          <w:i/>
          <w:sz w:val="20"/>
          <w:szCs w:val="20"/>
          <w:lang w:val="en-AU"/>
        </w:rPr>
        <w:t>Goode v Common Equity Housing Limited (Human Rights)</w:t>
      </w:r>
      <w:r w:rsidRPr="00EC6044">
        <w:rPr>
          <w:sz w:val="20"/>
          <w:szCs w:val="20"/>
          <w:lang w:val="en-AU"/>
        </w:rPr>
        <w:t xml:space="preserve"> [2016] VCAT 93.</w:t>
      </w:r>
      <w:r>
        <w:rPr>
          <w:lang w:val="en-A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65B0"/>
    <w:multiLevelType w:val="hybridMultilevel"/>
    <w:tmpl w:val="4132870E"/>
    <w:lvl w:ilvl="0" w:tplc="5D9C8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2BDE"/>
    <w:multiLevelType w:val="hybridMultilevel"/>
    <w:tmpl w:val="F0BA907E"/>
    <w:lvl w:ilvl="0" w:tplc="2ED87EDA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2522D"/>
    <w:multiLevelType w:val="hybridMultilevel"/>
    <w:tmpl w:val="C084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F2BD6"/>
    <w:multiLevelType w:val="hybridMultilevel"/>
    <w:tmpl w:val="EC96F5CA"/>
    <w:lvl w:ilvl="0" w:tplc="92C405C6">
      <w:start w:val="1"/>
      <w:numFmt w:val="lowerLetter"/>
      <w:lvlText w:val="(%1)"/>
      <w:lvlJc w:val="left"/>
      <w:pPr>
        <w:ind w:left="1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0" w:hanging="360"/>
      </w:pPr>
    </w:lvl>
    <w:lvl w:ilvl="2" w:tplc="0C09001B" w:tentative="1">
      <w:start w:val="1"/>
      <w:numFmt w:val="lowerRoman"/>
      <w:lvlText w:val="%3."/>
      <w:lvlJc w:val="right"/>
      <w:pPr>
        <w:ind w:left="2440" w:hanging="180"/>
      </w:pPr>
    </w:lvl>
    <w:lvl w:ilvl="3" w:tplc="0C09000F" w:tentative="1">
      <w:start w:val="1"/>
      <w:numFmt w:val="decimal"/>
      <w:lvlText w:val="%4."/>
      <w:lvlJc w:val="left"/>
      <w:pPr>
        <w:ind w:left="3160" w:hanging="360"/>
      </w:pPr>
    </w:lvl>
    <w:lvl w:ilvl="4" w:tplc="0C090019" w:tentative="1">
      <w:start w:val="1"/>
      <w:numFmt w:val="lowerLetter"/>
      <w:lvlText w:val="%5."/>
      <w:lvlJc w:val="left"/>
      <w:pPr>
        <w:ind w:left="3880" w:hanging="360"/>
      </w:pPr>
    </w:lvl>
    <w:lvl w:ilvl="5" w:tplc="0C09001B" w:tentative="1">
      <w:start w:val="1"/>
      <w:numFmt w:val="lowerRoman"/>
      <w:lvlText w:val="%6."/>
      <w:lvlJc w:val="right"/>
      <w:pPr>
        <w:ind w:left="4600" w:hanging="180"/>
      </w:pPr>
    </w:lvl>
    <w:lvl w:ilvl="6" w:tplc="0C09000F" w:tentative="1">
      <w:start w:val="1"/>
      <w:numFmt w:val="decimal"/>
      <w:lvlText w:val="%7."/>
      <w:lvlJc w:val="left"/>
      <w:pPr>
        <w:ind w:left="5320" w:hanging="360"/>
      </w:pPr>
    </w:lvl>
    <w:lvl w:ilvl="7" w:tplc="0C090019" w:tentative="1">
      <w:start w:val="1"/>
      <w:numFmt w:val="lowerLetter"/>
      <w:lvlText w:val="%8."/>
      <w:lvlJc w:val="left"/>
      <w:pPr>
        <w:ind w:left="6040" w:hanging="360"/>
      </w:pPr>
    </w:lvl>
    <w:lvl w:ilvl="8" w:tplc="0C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3D9773A"/>
    <w:multiLevelType w:val="hybridMultilevel"/>
    <w:tmpl w:val="193446EE"/>
    <w:lvl w:ilvl="0" w:tplc="6CD22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16B9D"/>
    <w:multiLevelType w:val="hybridMultilevel"/>
    <w:tmpl w:val="A55C4BBC"/>
    <w:lvl w:ilvl="0" w:tplc="AB682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439A2"/>
    <w:multiLevelType w:val="hybridMultilevel"/>
    <w:tmpl w:val="9718F000"/>
    <w:lvl w:ilvl="0" w:tplc="1EE6CE44">
      <w:start w:val="1"/>
      <w:numFmt w:val="decimal"/>
      <w:lvlText w:val="(%1)"/>
      <w:lvlJc w:val="left"/>
      <w:pPr>
        <w:ind w:left="720" w:hanging="360"/>
      </w:pPr>
      <w:rPr>
        <w:rFonts w:ascii="Helvetica Neue" w:eastAsiaTheme="minorEastAsia" w:hAnsi="Helvetica Neue" w:hint="default"/>
        <w:color w:val="333333"/>
        <w:sz w:val="2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14032"/>
    <w:multiLevelType w:val="hybridMultilevel"/>
    <w:tmpl w:val="01348576"/>
    <w:lvl w:ilvl="0" w:tplc="483EB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E4ABF"/>
    <w:multiLevelType w:val="hybridMultilevel"/>
    <w:tmpl w:val="02387BEC"/>
    <w:lvl w:ilvl="0" w:tplc="2848CF6C">
      <w:start w:val="1"/>
      <w:numFmt w:val="decimal"/>
      <w:lvlText w:val="(%1)"/>
      <w:lvlJc w:val="left"/>
      <w:pPr>
        <w:ind w:left="720" w:hanging="360"/>
      </w:pPr>
      <w:rPr>
        <w:rFonts w:ascii="Helvetica Neue" w:eastAsiaTheme="minorEastAsia" w:hAnsi="Helvetica Neue" w:hint="default"/>
        <w:color w:val="333333"/>
        <w:sz w:val="2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0D"/>
    <w:rsid w:val="00026F20"/>
    <w:rsid w:val="00032E0D"/>
    <w:rsid w:val="00121CC0"/>
    <w:rsid w:val="0017347A"/>
    <w:rsid w:val="001D70BD"/>
    <w:rsid w:val="00246C8D"/>
    <w:rsid w:val="00267871"/>
    <w:rsid w:val="00286399"/>
    <w:rsid w:val="002D69AF"/>
    <w:rsid w:val="002F0D21"/>
    <w:rsid w:val="003044CF"/>
    <w:rsid w:val="0039049A"/>
    <w:rsid w:val="003A3E1C"/>
    <w:rsid w:val="003F0E0F"/>
    <w:rsid w:val="004566B7"/>
    <w:rsid w:val="004C0469"/>
    <w:rsid w:val="004D1978"/>
    <w:rsid w:val="00580105"/>
    <w:rsid w:val="005A66D8"/>
    <w:rsid w:val="005E1034"/>
    <w:rsid w:val="00606706"/>
    <w:rsid w:val="0069233A"/>
    <w:rsid w:val="007E4563"/>
    <w:rsid w:val="007F55C1"/>
    <w:rsid w:val="00856BB5"/>
    <w:rsid w:val="00873A5C"/>
    <w:rsid w:val="008D72F1"/>
    <w:rsid w:val="009544E8"/>
    <w:rsid w:val="009779A1"/>
    <w:rsid w:val="009D524B"/>
    <w:rsid w:val="00A75151"/>
    <w:rsid w:val="00AC41CF"/>
    <w:rsid w:val="00AF3990"/>
    <w:rsid w:val="00B438D3"/>
    <w:rsid w:val="00B74D6F"/>
    <w:rsid w:val="00B91BCF"/>
    <w:rsid w:val="00BC5552"/>
    <w:rsid w:val="00C01E97"/>
    <w:rsid w:val="00C151E4"/>
    <w:rsid w:val="00C26826"/>
    <w:rsid w:val="00C55AF5"/>
    <w:rsid w:val="00C72FAA"/>
    <w:rsid w:val="00C9539B"/>
    <w:rsid w:val="00CB06AA"/>
    <w:rsid w:val="00D03AE7"/>
    <w:rsid w:val="00D4040C"/>
    <w:rsid w:val="00D617B2"/>
    <w:rsid w:val="00D820B4"/>
    <w:rsid w:val="00DB1ADC"/>
    <w:rsid w:val="00E62A3E"/>
    <w:rsid w:val="00E8481F"/>
    <w:rsid w:val="00E97801"/>
    <w:rsid w:val="00EC6044"/>
    <w:rsid w:val="00ED55A1"/>
    <w:rsid w:val="00F10A91"/>
    <w:rsid w:val="00F2388A"/>
    <w:rsid w:val="00F4379A"/>
    <w:rsid w:val="00F67489"/>
    <w:rsid w:val="00F86D78"/>
    <w:rsid w:val="00FA1ABE"/>
    <w:rsid w:val="00FD5B29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D50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iPriority w:val="99"/>
    <w:unhideWhenUsed/>
    <w:rsid w:val="00032E0D"/>
  </w:style>
  <w:style w:type="character" w:customStyle="1" w:styleId="FootnoteTextChar">
    <w:name w:val="Footnote Text Char"/>
    <w:aliases w:val="Footnote Char,Text Char"/>
    <w:basedOn w:val="DefaultParagraphFont"/>
    <w:link w:val="FootnoteText"/>
    <w:uiPriority w:val="99"/>
    <w:rsid w:val="00032E0D"/>
  </w:style>
  <w:style w:type="character" w:styleId="FootnoteReference">
    <w:name w:val="footnote reference"/>
    <w:basedOn w:val="DefaultParagraphFont"/>
    <w:uiPriority w:val="99"/>
    <w:unhideWhenUsed/>
    <w:rsid w:val="00032E0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2E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E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0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55AF5"/>
    <w:rPr>
      <w:lang w:val="en-AU"/>
    </w:rPr>
  </w:style>
  <w:style w:type="paragraph" w:styleId="ListParagraph">
    <w:name w:val="List Paragraph"/>
    <w:basedOn w:val="Normal"/>
    <w:uiPriority w:val="34"/>
    <w:qFormat/>
    <w:rsid w:val="00E9780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1ADC"/>
    <w:rPr>
      <w:i/>
      <w:iCs/>
    </w:rPr>
  </w:style>
  <w:style w:type="character" w:customStyle="1" w:styleId="apple-converted-space">
    <w:name w:val="apple-converted-space"/>
    <w:basedOn w:val="DefaultParagraphFont"/>
    <w:rsid w:val="00DB1ADC"/>
  </w:style>
  <w:style w:type="paragraph" w:styleId="NormalWeb">
    <w:name w:val="Normal (Web)"/>
    <w:basedOn w:val="Normal"/>
    <w:uiPriority w:val="99"/>
    <w:unhideWhenUsed/>
    <w:rsid w:val="00A75151"/>
    <w:pPr>
      <w:spacing w:before="100" w:beforeAutospacing="1" w:after="100" w:afterAutospacing="1"/>
    </w:pPr>
    <w:rPr>
      <w:rFonts w:ascii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law.reform@utas.edu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ltertas.org.au/community-housing/social-housing-in-tasm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864</Words>
  <Characters>4930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TACLC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Worker</dc:creator>
  <cp:keywords/>
  <dc:description/>
  <cp:lastModifiedBy>Microsoft Office User</cp:lastModifiedBy>
  <cp:revision>18</cp:revision>
  <cp:lastPrinted>2018-11-06T22:08:00Z</cp:lastPrinted>
  <dcterms:created xsi:type="dcterms:W3CDTF">2018-11-06T10:31:00Z</dcterms:created>
  <dcterms:modified xsi:type="dcterms:W3CDTF">2018-11-09T03:38:00Z</dcterms:modified>
</cp:coreProperties>
</file>