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26532" w14:textId="77777777" w:rsidR="00E272F6" w:rsidRDefault="00E272F6" w:rsidP="0013659F">
      <w:pPr>
        <w:ind w:right="-205"/>
        <w:jc w:val="center"/>
      </w:pPr>
      <w:r w:rsidRPr="00B10735">
        <w:rPr>
          <w:noProof/>
          <w:sz w:val="20"/>
          <w:szCs w:val="20"/>
        </w:rPr>
        <w:drawing>
          <wp:inline distT="0" distB="0" distL="0" distR="0" wp14:anchorId="3330471E" wp14:editId="5E251F04">
            <wp:extent cx="2691245" cy="914400"/>
            <wp:effectExtent l="0" t="0" r="1270" b="0"/>
            <wp:docPr id="3"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6486" cy="916181"/>
                    </a:xfrm>
                    <a:prstGeom prst="rect">
                      <a:avLst/>
                    </a:prstGeom>
                    <a:noFill/>
                    <a:ln>
                      <a:noFill/>
                    </a:ln>
                  </pic:spPr>
                </pic:pic>
              </a:graphicData>
            </a:graphic>
          </wp:inline>
        </w:drawing>
      </w:r>
    </w:p>
    <w:p w14:paraId="04711E23" w14:textId="77777777" w:rsidR="00E272F6" w:rsidRDefault="00E272F6" w:rsidP="0013659F">
      <w:pPr>
        <w:ind w:right="-205"/>
      </w:pPr>
    </w:p>
    <w:p w14:paraId="029DD8A5" w14:textId="77777777" w:rsidR="00E272F6" w:rsidRPr="00FA08CC" w:rsidRDefault="00E272F6" w:rsidP="0013659F">
      <w:pPr>
        <w:ind w:right="-205"/>
      </w:pPr>
    </w:p>
    <w:p w14:paraId="7C8CE0B1" w14:textId="1A178B05" w:rsidR="00E272F6" w:rsidRPr="00FA08CC" w:rsidRDefault="00F2586E" w:rsidP="0013659F">
      <w:pPr>
        <w:ind w:right="-205"/>
      </w:pPr>
      <w:r w:rsidRPr="00FA08CC">
        <w:t>17</w:t>
      </w:r>
      <w:r w:rsidR="00E272F6" w:rsidRPr="00FA08CC">
        <w:t xml:space="preserve"> October 2016</w:t>
      </w:r>
    </w:p>
    <w:p w14:paraId="4394F3B1" w14:textId="77777777" w:rsidR="00E272F6" w:rsidRPr="00FA08CC" w:rsidRDefault="00E272F6" w:rsidP="0013659F">
      <w:pPr>
        <w:ind w:right="-205"/>
      </w:pPr>
    </w:p>
    <w:p w14:paraId="4455B4C7" w14:textId="77777777" w:rsidR="00E272F6" w:rsidRPr="00FA08CC" w:rsidRDefault="00E272F6" w:rsidP="0013659F">
      <w:pPr>
        <w:ind w:right="-205"/>
      </w:pPr>
      <w:r w:rsidRPr="00FA08CC">
        <w:t>Office of Strategic Legislation and Policy</w:t>
      </w:r>
    </w:p>
    <w:p w14:paraId="27050A37" w14:textId="77777777" w:rsidR="00E272F6" w:rsidRPr="00FA08CC" w:rsidRDefault="00E272F6" w:rsidP="0013659F">
      <w:pPr>
        <w:ind w:right="-205"/>
      </w:pPr>
      <w:r w:rsidRPr="00FA08CC">
        <w:t>Department of Justice</w:t>
      </w:r>
    </w:p>
    <w:p w14:paraId="0765A43E" w14:textId="77777777" w:rsidR="00E272F6" w:rsidRPr="00FA08CC" w:rsidRDefault="00E272F6" w:rsidP="0013659F">
      <w:pPr>
        <w:ind w:right="-205"/>
      </w:pPr>
      <w:r w:rsidRPr="00FA08CC">
        <w:t>GPO Box 825</w:t>
      </w:r>
    </w:p>
    <w:p w14:paraId="615AA434" w14:textId="77777777" w:rsidR="00E272F6" w:rsidRPr="00FA08CC" w:rsidRDefault="00E272F6" w:rsidP="0013659F">
      <w:pPr>
        <w:ind w:right="-205"/>
      </w:pPr>
      <w:r w:rsidRPr="00FA08CC">
        <w:t>Hobart TAS 7001</w:t>
      </w:r>
    </w:p>
    <w:p w14:paraId="6D5A5C3E" w14:textId="77777777" w:rsidR="00E272F6" w:rsidRPr="00FA08CC" w:rsidRDefault="00E272F6" w:rsidP="0013659F">
      <w:pPr>
        <w:ind w:right="-205"/>
      </w:pPr>
      <w:r w:rsidRPr="00FA08CC">
        <w:t>Attn: Brad</w:t>
      </w:r>
      <w:r w:rsidR="0044515A" w:rsidRPr="00FA08CC">
        <w:t>ley</w:t>
      </w:r>
      <w:r w:rsidRPr="00FA08CC">
        <w:t xml:space="preserve"> Wagg</w:t>
      </w:r>
    </w:p>
    <w:p w14:paraId="3E91B24E" w14:textId="77777777" w:rsidR="00E272F6" w:rsidRPr="00FA08CC" w:rsidRDefault="00E272F6" w:rsidP="0013659F">
      <w:pPr>
        <w:ind w:right="-205"/>
      </w:pPr>
      <w:r w:rsidRPr="00FA08CC">
        <w:tab/>
      </w:r>
      <w:r w:rsidRPr="00FA08CC">
        <w:tab/>
      </w:r>
      <w:r w:rsidRPr="00FA08CC">
        <w:tab/>
      </w:r>
    </w:p>
    <w:p w14:paraId="767236DF" w14:textId="77777777" w:rsidR="00E272F6" w:rsidRPr="00FA08CC" w:rsidRDefault="00E272F6" w:rsidP="0013659F">
      <w:pPr>
        <w:ind w:right="-205"/>
      </w:pPr>
      <w:r w:rsidRPr="00FA08CC">
        <w:t>Dear Brad,</w:t>
      </w:r>
    </w:p>
    <w:p w14:paraId="16AFEF5E" w14:textId="77777777" w:rsidR="00E272F6" w:rsidRPr="00FA08CC" w:rsidRDefault="00E272F6" w:rsidP="0013659F">
      <w:pPr>
        <w:pBdr>
          <w:bottom w:val="single" w:sz="6" w:space="1" w:color="auto"/>
        </w:pBdr>
        <w:ind w:right="-205"/>
        <w:rPr>
          <w:b/>
        </w:rPr>
      </w:pPr>
      <w:r w:rsidRPr="00FA08CC">
        <w:rPr>
          <w:b/>
        </w:rPr>
        <w:t xml:space="preserve">Re: </w:t>
      </w:r>
      <w:r w:rsidR="0044515A" w:rsidRPr="00FA08CC">
        <w:rPr>
          <w:b/>
          <w:i/>
        </w:rPr>
        <w:t>Sentencing</w:t>
      </w:r>
      <w:r w:rsidRPr="00FA08CC">
        <w:rPr>
          <w:b/>
          <w:i/>
        </w:rPr>
        <w:t xml:space="preserve"> Amendment </w:t>
      </w:r>
      <w:r w:rsidR="0044515A" w:rsidRPr="00FA08CC">
        <w:rPr>
          <w:b/>
          <w:i/>
        </w:rPr>
        <w:t xml:space="preserve">(Assaults on Frontline Workers) </w:t>
      </w:r>
      <w:r w:rsidRPr="00FA08CC">
        <w:rPr>
          <w:b/>
          <w:i/>
        </w:rPr>
        <w:t>Bill 2016</w:t>
      </w:r>
    </w:p>
    <w:p w14:paraId="2DEF2E39" w14:textId="77777777" w:rsidR="0013659F" w:rsidRDefault="00E272F6" w:rsidP="0013659F">
      <w:pPr>
        <w:ind w:right="-205"/>
      </w:pPr>
      <w:r w:rsidRPr="00FA08CC">
        <w:t xml:space="preserve"> </w:t>
      </w:r>
    </w:p>
    <w:p w14:paraId="73036F84" w14:textId="4BCD1AFF" w:rsidR="00E272F6" w:rsidRPr="00FA08CC" w:rsidRDefault="00E272F6" w:rsidP="0013659F">
      <w:pPr>
        <w:ind w:right="-205"/>
        <w:jc w:val="both"/>
      </w:pPr>
      <w:r w:rsidRPr="00FA08CC">
        <w:rPr>
          <w:rFonts w:cs="Calibri"/>
        </w:rPr>
        <w:t xml:space="preserve">Community Legal </w:t>
      </w:r>
      <w:proofErr w:type="spellStart"/>
      <w:r w:rsidRPr="00FA08CC">
        <w:rPr>
          <w:rFonts w:cs="Calibri"/>
        </w:rPr>
        <w:t>Centres</w:t>
      </w:r>
      <w:proofErr w:type="spellEnd"/>
      <w:r w:rsidRPr="00FA08CC">
        <w:rPr>
          <w:rFonts w:cs="Calibri"/>
        </w:rPr>
        <w:t xml:space="preserve"> Tasmania (CLC </w:t>
      </w:r>
      <w:proofErr w:type="spellStart"/>
      <w:r w:rsidRPr="00FA08CC">
        <w:rPr>
          <w:rFonts w:cs="Calibri"/>
        </w:rPr>
        <w:t>Tas</w:t>
      </w:r>
      <w:proofErr w:type="spellEnd"/>
      <w:r w:rsidRPr="00FA08CC">
        <w:rPr>
          <w:rFonts w:cs="Calibri"/>
        </w:rPr>
        <w:t>)</w:t>
      </w:r>
      <w:r w:rsidRPr="00FA08CC">
        <w:t xml:space="preserve"> welcomes the opportunity to provide comment on the </w:t>
      </w:r>
      <w:r w:rsidR="0044515A" w:rsidRPr="00FA08CC">
        <w:rPr>
          <w:i/>
        </w:rPr>
        <w:t>Sentencing Amendment (Assaults on Frontline Workers) Bill 2016.</w:t>
      </w:r>
      <w:r w:rsidR="00BC3FA3" w:rsidRPr="00FA08CC">
        <w:rPr>
          <w:rStyle w:val="FootnoteReference"/>
        </w:rPr>
        <w:footnoteReference w:id="1"/>
      </w:r>
    </w:p>
    <w:p w14:paraId="65DA1FA6" w14:textId="77777777" w:rsidR="00E272F6" w:rsidRPr="00FA08CC" w:rsidRDefault="00E272F6" w:rsidP="0013659F">
      <w:pPr>
        <w:ind w:right="-205"/>
        <w:jc w:val="both"/>
      </w:pPr>
    </w:p>
    <w:p w14:paraId="7BFD1784" w14:textId="77777777" w:rsidR="00E272F6" w:rsidRPr="00FA08CC" w:rsidRDefault="00E272F6" w:rsidP="0013659F">
      <w:pPr>
        <w:ind w:right="-205"/>
        <w:jc w:val="both"/>
        <w:rPr>
          <w:rFonts w:cs="Arial"/>
          <w:color w:val="000000"/>
        </w:rPr>
      </w:pPr>
      <w:r w:rsidRPr="00FA08CC">
        <w:rPr>
          <w:rFonts w:eastAsia="Times New Roman" w:cs="Arial"/>
          <w:lang w:eastAsia="en-AU"/>
        </w:rPr>
        <w:t xml:space="preserve">CLC </w:t>
      </w:r>
      <w:proofErr w:type="spellStart"/>
      <w:proofErr w:type="gramStart"/>
      <w:r w:rsidRPr="00FA08CC">
        <w:rPr>
          <w:rFonts w:eastAsia="Times New Roman" w:cs="Arial"/>
          <w:lang w:eastAsia="en-AU"/>
        </w:rPr>
        <w:t>Tas</w:t>
      </w:r>
      <w:proofErr w:type="spellEnd"/>
      <w:proofErr w:type="gramEnd"/>
      <w:r w:rsidRPr="00FA08CC">
        <w:rPr>
          <w:rFonts w:eastAsia="Times New Roman" w:cs="Arial"/>
          <w:lang w:eastAsia="en-AU"/>
        </w:rPr>
        <w:t xml:space="preserve"> </w:t>
      </w:r>
      <w:r w:rsidRPr="00FA08CC">
        <w:rPr>
          <w:rFonts w:cs="Arial"/>
        </w:rPr>
        <w:t xml:space="preserve">is the peak body representing the interests of eight community legal </w:t>
      </w:r>
      <w:proofErr w:type="spellStart"/>
      <w:r w:rsidRPr="00FA08CC">
        <w:rPr>
          <w:rFonts w:cs="Arial"/>
        </w:rPr>
        <w:t>centres</w:t>
      </w:r>
      <w:proofErr w:type="spellEnd"/>
      <w:r w:rsidRPr="00FA08CC">
        <w:rPr>
          <w:rFonts w:cs="Arial"/>
        </w:rPr>
        <w:t xml:space="preserve"> (CLCs) located throughout Tasmania. We are a member-based, independent, not-for-profit and incorporated </w:t>
      </w:r>
      <w:proofErr w:type="spellStart"/>
      <w:r w:rsidRPr="00FA08CC">
        <w:rPr>
          <w:rFonts w:cs="Arial"/>
        </w:rPr>
        <w:t>organisation</w:t>
      </w:r>
      <w:proofErr w:type="spellEnd"/>
      <w:r w:rsidRPr="00FA08CC">
        <w:rPr>
          <w:rFonts w:cs="Arial"/>
        </w:rPr>
        <w:t xml:space="preserve"> that</w:t>
      </w:r>
      <w:r w:rsidRPr="00FA08CC">
        <w:rPr>
          <w:rFonts w:cs="Arial"/>
          <w:color w:val="000000"/>
        </w:rPr>
        <w:t xml:space="preserve"> advocates for law reform on a range of public interest matters aimed at improving access to justice, reducing discrimination and protecting and promoting human rights. </w:t>
      </w:r>
    </w:p>
    <w:p w14:paraId="377C1897" w14:textId="77777777" w:rsidR="00E272F6" w:rsidRPr="00FA08CC" w:rsidRDefault="00E272F6" w:rsidP="0013659F">
      <w:pPr>
        <w:ind w:right="-205"/>
        <w:jc w:val="both"/>
        <w:rPr>
          <w:rFonts w:cs="Arial"/>
        </w:rPr>
      </w:pPr>
    </w:p>
    <w:p w14:paraId="694AD934" w14:textId="77777777" w:rsidR="004975A3" w:rsidRDefault="00E272F6" w:rsidP="0013659F">
      <w:pPr>
        <w:ind w:right="-205"/>
        <w:jc w:val="both"/>
        <w:rPr>
          <w:color w:val="000000" w:themeColor="text1"/>
        </w:rPr>
      </w:pPr>
      <w:r w:rsidRPr="00FA08CC">
        <w:rPr>
          <w:rFonts w:cs="Arial"/>
        </w:rPr>
        <w:t>We strongly</w:t>
      </w:r>
      <w:r w:rsidR="00BC3FA3" w:rsidRPr="00FA08CC">
        <w:rPr>
          <w:rFonts w:cs="Arial"/>
        </w:rPr>
        <w:t xml:space="preserve"> oppose the proposed amendments</w:t>
      </w:r>
      <w:r w:rsidR="00BC3FA3" w:rsidRPr="00FA08CC">
        <w:rPr>
          <w:color w:val="000000" w:themeColor="text1"/>
        </w:rPr>
        <w:t>.</w:t>
      </w:r>
      <w:r w:rsidR="00C123BE" w:rsidRPr="00FA08CC">
        <w:rPr>
          <w:color w:val="000000" w:themeColor="text1"/>
        </w:rPr>
        <w:t xml:space="preserve"> </w:t>
      </w:r>
      <w:r w:rsidR="002841B7" w:rsidRPr="00FA08CC">
        <w:rPr>
          <w:color w:val="000000" w:themeColor="text1"/>
        </w:rPr>
        <w:t>It is our firm view that mandatory sentences are not effective in preventing crime and often results in the imposition of unjust sentences. We fully support the need to ensure that frontline workers are properly protected, however the threat of a harsh mandatory sentence through the passing of this Bill will not achieve the desired results.</w:t>
      </w:r>
    </w:p>
    <w:p w14:paraId="57DCE263" w14:textId="77777777" w:rsidR="004975A3" w:rsidRDefault="004975A3" w:rsidP="0013659F">
      <w:pPr>
        <w:ind w:right="-205"/>
        <w:jc w:val="both"/>
        <w:rPr>
          <w:color w:val="000000" w:themeColor="text1"/>
        </w:rPr>
      </w:pPr>
    </w:p>
    <w:p w14:paraId="69832156" w14:textId="777B7FA5" w:rsidR="0013659F" w:rsidRPr="004975A3" w:rsidRDefault="00C123BE" w:rsidP="0013659F">
      <w:pPr>
        <w:ind w:right="-205"/>
        <w:jc w:val="both"/>
        <w:rPr>
          <w:color w:val="000000" w:themeColor="text1"/>
        </w:rPr>
      </w:pPr>
      <w:r w:rsidRPr="00FA08CC">
        <w:rPr>
          <w:rFonts w:cs="Helvetica"/>
        </w:rPr>
        <w:t>In our view,</w:t>
      </w:r>
      <w:r w:rsidR="00161798" w:rsidRPr="00FA08CC">
        <w:rPr>
          <w:rFonts w:cs="Helvetica"/>
        </w:rPr>
        <w:t xml:space="preserve"> </w:t>
      </w:r>
      <w:r w:rsidRPr="00FA08CC">
        <w:rPr>
          <w:rFonts w:cs="Helvetica"/>
        </w:rPr>
        <w:t xml:space="preserve">the proposed Bill is unnecessary with existing legislation already providing sufficient flexibility to appropriately punish offenders convicted of assaulting </w:t>
      </w:r>
      <w:r w:rsidR="009F563A" w:rsidRPr="00FA08CC">
        <w:rPr>
          <w:rFonts w:cs="Helvetica"/>
        </w:rPr>
        <w:t>frontline</w:t>
      </w:r>
      <w:r w:rsidR="00161798" w:rsidRPr="00FA08CC">
        <w:rPr>
          <w:rFonts w:cs="Helvetica"/>
        </w:rPr>
        <w:t xml:space="preserve"> workers</w:t>
      </w:r>
      <w:r w:rsidR="0013659F">
        <w:rPr>
          <w:rFonts w:cs="Helvetica"/>
        </w:rPr>
        <w:t xml:space="preserve">. </w:t>
      </w:r>
      <w:r w:rsidR="0013659F">
        <w:t>Nevertheless</w:t>
      </w:r>
      <w:r w:rsidR="002841B7" w:rsidRPr="00FA08CC">
        <w:t xml:space="preserve">, if the Government does intend to proceed with the Bill we urge them to merely amend the definition of ‘emergency service worker’ in section 34B of the </w:t>
      </w:r>
      <w:r w:rsidR="002841B7" w:rsidRPr="00FA08CC">
        <w:rPr>
          <w:i/>
        </w:rPr>
        <w:t>Police Offences Act 1935</w:t>
      </w:r>
      <w:r w:rsidR="002841B7" w:rsidRPr="00FA08CC">
        <w:t xml:space="preserve"> (</w:t>
      </w:r>
      <w:proofErr w:type="spellStart"/>
      <w:r w:rsidR="002841B7" w:rsidRPr="00FA08CC">
        <w:t>Tas</w:t>
      </w:r>
      <w:proofErr w:type="spellEnd"/>
      <w:r w:rsidR="002841B7" w:rsidRPr="00FA08CC">
        <w:t>) to include frontline workers not already covered by the definition.</w:t>
      </w:r>
      <w:r w:rsidR="0013659F">
        <w:t xml:space="preserve"> </w:t>
      </w:r>
      <w:r w:rsidR="0013659F" w:rsidRPr="00FA08CC">
        <w:t>In our opinion, the broadening of the definition of ‘emergency service worker’ will address the Government’s concerns of being seen to protect frontline workers without the harsh sentences that would be imposed through the imposition of mandatory sentencing.</w:t>
      </w:r>
    </w:p>
    <w:p w14:paraId="6DD2C2EB" w14:textId="77777777" w:rsidR="00931146" w:rsidRPr="00FA08CC" w:rsidRDefault="00931146" w:rsidP="0013659F">
      <w:pPr>
        <w:ind w:right="-205"/>
        <w:jc w:val="both"/>
        <w:outlineLvl w:val="0"/>
        <w:rPr>
          <w:b/>
          <w:color w:val="000000" w:themeColor="text1"/>
        </w:rPr>
      </w:pPr>
    </w:p>
    <w:p w14:paraId="16917DC2" w14:textId="77777777" w:rsidR="0013659F" w:rsidRDefault="0013659F" w:rsidP="0013659F">
      <w:pPr>
        <w:ind w:right="-205"/>
        <w:jc w:val="both"/>
        <w:outlineLvl w:val="0"/>
        <w:rPr>
          <w:b/>
          <w:color w:val="000000" w:themeColor="text1"/>
        </w:rPr>
      </w:pPr>
    </w:p>
    <w:p w14:paraId="5B4093FF" w14:textId="10C4CF4E" w:rsidR="001854D2" w:rsidRPr="00FA08CC" w:rsidRDefault="001854D2" w:rsidP="0013659F">
      <w:pPr>
        <w:ind w:right="-205"/>
        <w:jc w:val="both"/>
        <w:outlineLvl w:val="0"/>
        <w:rPr>
          <w:b/>
          <w:color w:val="000000" w:themeColor="text1"/>
        </w:rPr>
      </w:pPr>
      <w:bookmarkStart w:id="0" w:name="_GoBack"/>
      <w:bookmarkEnd w:id="0"/>
      <w:r w:rsidRPr="00FA08CC">
        <w:rPr>
          <w:b/>
          <w:color w:val="000000" w:themeColor="text1"/>
        </w:rPr>
        <w:lastRenderedPageBreak/>
        <w:t>Current Legislative Framework</w:t>
      </w:r>
    </w:p>
    <w:p w14:paraId="25083F85" w14:textId="22FDE1DA" w:rsidR="007E569A" w:rsidRPr="00FA08CC" w:rsidRDefault="00BC3FA3" w:rsidP="0013659F">
      <w:pPr>
        <w:ind w:right="-205"/>
        <w:jc w:val="both"/>
        <w:rPr>
          <w:color w:val="000000" w:themeColor="text1"/>
        </w:rPr>
      </w:pPr>
      <w:r w:rsidRPr="00FA08CC">
        <w:rPr>
          <w:color w:val="000000" w:themeColor="text1"/>
        </w:rPr>
        <w:t xml:space="preserve">The current legislative framework provides for </w:t>
      </w:r>
      <w:r w:rsidR="00397346" w:rsidRPr="00FA08CC">
        <w:rPr>
          <w:color w:val="000000" w:themeColor="text1"/>
        </w:rPr>
        <w:t xml:space="preserve">both </w:t>
      </w:r>
      <w:r w:rsidRPr="00FA08CC">
        <w:rPr>
          <w:color w:val="000000" w:themeColor="text1"/>
        </w:rPr>
        <w:t xml:space="preserve">a summary </w:t>
      </w:r>
      <w:r w:rsidR="00397346" w:rsidRPr="00FA08CC">
        <w:rPr>
          <w:color w:val="000000" w:themeColor="text1"/>
        </w:rPr>
        <w:t>and indictable offence of assaulting a police officer.</w:t>
      </w:r>
      <w:r w:rsidR="00397346" w:rsidRPr="00FA08CC">
        <w:rPr>
          <w:rStyle w:val="FootnoteReference"/>
          <w:color w:val="000000" w:themeColor="text1"/>
        </w:rPr>
        <w:footnoteReference w:id="2"/>
      </w:r>
      <w:r w:rsidR="00397346" w:rsidRPr="00FA08CC">
        <w:rPr>
          <w:color w:val="000000" w:themeColor="text1"/>
        </w:rPr>
        <w:t xml:space="preserve"> Presently, s</w:t>
      </w:r>
      <w:r w:rsidRPr="00FA08CC">
        <w:rPr>
          <w:color w:val="000000" w:themeColor="text1"/>
        </w:rPr>
        <w:t xml:space="preserve">ection 16A of the </w:t>
      </w:r>
      <w:r w:rsidRPr="00FA08CC">
        <w:rPr>
          <w:i/>
          <w:color w:val="000000" w:themeColor="text1"/>
        </w:rPr>
        <w:t>Sentencing Act 1997</w:t>
      </w:r>
      <w:r w:rsidRPr="00FA08CC">
        <w:rPr>
          <w:color w:val="000000" w:themeColor="text1"/>
        </w:rPr>
        <w:t xml:space="preserve"> (</w:t>
      </w:r>
      <w:proofErr w:type="spellStart"/>
      <w:r w:rsidRPr="00FA08CC">
        <w:rPr>
          <w:color w:val="000000" w:themeColor="text1"/>
        </w:rPr>
        <w:t>Tas</w:t>
      </w:r>
      <w:proofErr w:type="spellEnd"/>
      <w:r w:rsidRPr="00FA08CC">
        <w:rPr>
          <w:color w:val="000000" w:themeColor="text1"/>
        </w:rPr>
        <w:t>) provides for a man</w:t>
      </w:r>
      <w:r w:rsidR="009F563A" w:rsidRPr="00FA08CC">
        <w:rPr>
          <w:color w:val="000000" w:themeColor="text1"/>
        </w:rPr>
        <w:t>datory term of imprisonment of six</w:t>
      </w:r>
      <w:r w:rsidRPr="00FA08CC">
        <w:rPr>
          <w:color w:val="000000" w:themeColor="text1"/>
        </w:rPr>
        <w:t xml:space="preserve"> months where the assault caused ‘serious bodily harm’ to a police officer. ‘Serious bodily</w:t>
      </w:r>
      <w:r w:rsidR="00397346" w:rsidRPr="00FA08CC">
        <w:rPr>
          <w:color w:val="000000" w:themeColor="text1"/>
        </w:rPr>
        <w:t xml:space="preserve"> harm’ has no set legal </w:t>
      </w:r>
      <w:proofErr w:type="gramStart"/>
      <w:r w:rsidR="00397346" w:rsidRPr="00FA08CC">
        <w:rPr>
          <w:color w:val="000000" w:themeColor="text1"/>
        </w:rPr>
        <w:t>meaning</w:t>
      </w:r>
      <w:proofErr w:type="gramEnd"/>
      <w:r w:rsidR="00397346" w:rsidRPr="00FA08CC">
        <w:rPr>
          <w:color w:val="000000" w:themeColor="text1"/>
        </w:rPr>
        <w:t xml:space="preserve"> </w:t>
      </w:r>
      <w:r w:rsidRPr="00FA08CC">
        <w:rPr>
          <w:color w:val="000000" w:themeColor="text1"/>
        </w:rPr>
        <w:t xml:space="preserve">as it has not been defined by legislation or case law. Placed in the context of current </w:t>
      </w:r>
      <w:r w:rsidR="00397346" w:rsidRPr="00FA08CC">
        <w:rPr>
          <w:color w:val="000000" w:themeColor="text1"/>
        </w:rPr>
        <w:t>legislative provisions, the term</w:t>
      </w:r>
      <w:r w:rsidRPr="00FA08CC">
        <w:rPr>
          <w:color w:val="000000" w:themeColor="text1"/>
        </w:rPr>
        <w:t xml:space="preserve"> ‘serious bodily harm’ exists somewhere </w:t>
      </w:r>
      <w:r w:rsidR="00397346" w:rsidRPr="00FA08CC">
        <w:rPr>
          <w:color w:val="000000" w:themeColor="text1"/>
        </w:rPr>
        <w:t>with</w:t>
      </w:r>
      <w:r w:rsidRPr="00FA08CC">
        <w:rPr>
          <w:color w:val="000000" w:themeColor="text1"/>
        </w:rPr>
        <w:t xml:space="preserve">in the spectrum of wounding and grievous bodily harm, both </w:t>
      </w:r>
      <w:r w:rsidR="00397346" w:rsidRPr="00FA08CC">
        <w:rPr>
          <w:color w:val="000000" w:themeColor="text1"/>
        </w:rPr>
        <w:t xml:space="preserve">of which are </w:t>
      </w:r>
      <w:r w:rsidR="009F563A" w:rsidRPr="00FA08CC">
        <w:rPr>
          <w:color w:val="000000" w:themeColor="text1"/>
        </w:rPr>
        <w:t>contained</w:t>
      </w:r>
      <w:r w:rsidRPr="00FA08CC">
        <w:rPr>
          <w:color w:val="000000" w:themeColor="text1"/>
        </w:rPr>
        <w:t xml:space="preserve"> in the </w:t>
      </w:r>
      <w:r w:rsidRPr="00FA08CC">
        <w:rPr>
          <w:i/>
          <w:color w:val="000000" w:themeColor="text1"/>
        </w:rPr>
        <w:t xml:space="preserve">Criminal Code </w:t>
      </w:r>
      <w:r w:rsidR="00397346" w:rsidRPr="00FA08CC">
        <w:rPr>
          <w:i/>
          <w:color w:val="000000" w:themeColor="text1"/>
        </w:rPr>
        <w:t xml:space="preserve">Act </w:t>
      </w:r>
      <w:r w:rsidRPr="00FA08CC">
        <w:rPr>
          <w:i/>
          <w:color w:val="000000" w:themeColor="text1"/>
        </w:rPr>
        <w:t>1924</w:t>
      </w:r>
      <w:r w:rsidRPr="00FA08CC">
        <w:rPr>
          <w:color w:val="000000" w:themeColor="text1"/>
        </w:rPr>
        <w:t xml:space="preserve"> (</w:t>
      </w:r>
      <w:proofErr w:type="spellStart"/>
      <w:r w:rsidRPr="00FA08CC">
        <w:rPr>
          <w:color w:val="000000" w:themeColor="text1"/>
        </w:rPr>
        <w:t>Tas</w:t>
      </w:r>
      <w:proofErr w:type="spellEnd"/>
      <w:r w:rsidRPr="00FA08CC">
        <w:rPr>
          <w:color w:val="000000" w:themeColor="text1"/>
        </w:rPr>
        <w:t>)</w:t>
      </w:r>
      <w:r w:rsidR="00397346" w:rsidRPr="00FA08CC">
        <w:rPr>
          <w:color w:val="000000" w:themeColor="text1"/>
        </w:rPr>
        <w:t>.</w:t>
      </w:r>
      <w:r w:rsidRPr="00FA08CC">
        <w:rPr>
          <w:rStyle w:val="FootnoteReference"/>
          <w:color w:val="000000" w:themeColor="text1"/>
        </w:rPr>
        <w:footnoteReference w:id="3"/>
      </w:r>
    </w:p>
    <w:p w14:paraId="7AFED95C" w14:textId="77777777" w:rsidR="007E569A" w:rsidRPr="00FA08CC" w:rsidRDefault="007E569A" w:rsidP="0013659F">
      <w:pPr>
        <w:ind w:right="-205"/>
        <w:jc w:val="both"/>
        <w:rPr>
          <w:color w:val="000000" w:themeColor="text1"/>
        </w:rPr>
      </w:pPr>
    </w:p>
    <w:p w14:paraId="719493A0" w14:textId="487992BB" w:rsidR="00BC3FA3" w:rsidRPr="00FA08CC" w:rsidRDefault="00BC3FA3" w:rsidP="0013659F">
      <w:pPr>
        <w:ind w:right="-205"/>
        <w:jc w:val="both"/>
        <w:rPr>
          <w:color w:val="000000" w:themeColor="text1"/>
        </w:rPr>
      </w:pPr>
      <w:r w:rsidRPr="00FA08CC">
        <w:rPr>
          <w:b/>
          <w:color w:val="000000" w:themeColor="text1"/>
        </w:rPr>
        <w:t>Current Tasmanian Crime Statistics</w:t>
      </w:r>
    </w:p>
    <w:p w14:paraId="584690F4" w14:textId="5578C6E3" w:rsidR="007300C9" w:rsidRPr="00FA08CC" w:rsidRDefault="00BC3FA3" w:rsidP="0013659F">
      <w:pPr>
        <w:ind w:right="-205"/>
        <w:jc w:val="both"/>
        <w:rPr>
          <w:color w:val="000000" w:themeColor="text1"/>
        </w:rPr>
      </w:pPr>
      <w:r w:rsidRPr="00FA08CC">
        <w:rPr>
          <w:color w:val="000000" w:themeColor="text1"/>
        </w:rPr>
        <w:t xml:space="preserve">As of September 2016, no individual has been sentenced under </w:t>
      </w:r>
      <w:r w:rsidR="00F06BDF" w:rsidRPr="00FA08CC">
        <w:rPr>
          <w:color w:val="000000" w:themeColor="text1"/>
        </w:rPr>
        <w:t xml:space="preserve">section 16A of the </w:t>
      </w:r>
      <w:r w:rsidR="00F06BDF" w:rsidRPr="00FA08CC">
        <w:rPr>
          <w:i/>
          <w:color w:val="000000" w:themeColor="text1"/>
        </w:rPr>
        <w:t>Sentencing Act 1997</w:t>
      </w:r>
      <w:r w:rsidR="00F06BDF" w:rsidRPr="00FA08CC">
        <w:rPr>
          <w:color w:val="000000" w:themeColor="text1"/>
        </w:rPr>
        <w:t xml:space="preserve"> (</w:t>
      </w:r>
      <w:proofErr w:type="spellStart"/>
      <w:r w:rsidR="00F06BDF" w:rsidRPr="00FA08CC">
        <w:rPr>
          <w:color w:val="000000" w:themeColor="text1"/>
        </w:rPr>
        <w:t>Tas</w:t>
      </w:r>
      <w:proofErr w:type="spellEnd"/>
      <w:r w:rsidR="00F06BDF" w:rsidRPr="00FA08CC">
        <w:rPr>
          <w:color w:val="000000" w:themeColor="text1"/>
        </w:rPr>
        <w:t xml:space="preserve">). However, over the timeframe </w:t>
      </w:r>
      <w:r w:rsidR="007300C9" w:rsidRPr="00FA08CC">
        <w:rPr>
          <w:color w:val="000000" w:themeColor="text1"/>
        </w:rPr>
        <w:t xml:space="preserve">2006-2013 </w:t>
      </w:r>
      <w:r w:rsidRPr="00FA08CC">
        <w:rPr>
          <w:color w:val="000000" w:themeColor="text1"/>
        </w:rPr>
        <w:t xml:space="preserve">there has been a downward </w:t>
      </w:r>
      <w:r w:rsidR="007300C9" w:rsidRPr="00FA08CC">
        <w:rPr>
          <w:color w:val="000000" w:themeColor="text1"/>
        </w:rPr>
        <w:t xml:space="preserve">trajectory in offences committed against </w:t>
      </w:r>
      <w:r w:rsidRPr="00FA08CC">
        <w:rPr>
          <w:color w:val="000000" w:themeColor="text1"/>
        </w:rPr>
        <w:t>police officers on duty.</w:t>
      </w:r>
      <w:r w:rsidRPr="00FA08CC">
        <w:rPr>
          <w:rStyle w:val="FootnoteReference"/>
          <w:color w:val="000000" w:themeColor="text1"/>
        </w:rPr>
        <w:footnoteReference w:id="4"/>
      </w:r>
      <w:r w:rsidR="007300C9" w:rsidRPr="00FA08CC">
        <w:rPr>
          <w:color w:val="000000" w:themeColor="text1"/>
        </w:rPr>
        <w:t xml:space="preserve"> </w:t>
      </w:r>
    </w:p>
    <w:p w14:paraId="288BBD9C" w14:textId="77777777" w:rsidR="007300C9" w:rsidRPr="00FA08CC" w:rsidRDefault="007300C9" w:rsidP="0013659F">
      <w:pPr>
        <w:ind w:right="-205"/>
        <w:jc w:val="both"/>
        <w:rPr>
          <w:color w:val="000000" w:themeColor="text1"/>
        </w:rPr>
      </w:pPr>
    </w:p>
    <w:p w14:paraId="08133466" w14:textId="12FCCB84" w:rsidR="00E50D0E" w:rsidRPr="00FA08CC" w:rsidRDefault="007300C9" w:rsidP="0013659F">
      <w:pPr>
        <w:ind w:right="-205"/>
        <w:jc w:val="both"/>
        <w:rPr>
          <w:color w:val="000000" w:themeColor="text1"/>
        </w:rPr>
      </w:pPr>
      <w:r w:rsidRPr="00FA08CC">
        <w:rPr>
          <w:color w:val="000000" w:themeColor="text1"/>
        </w:rPr>
        <w:t>There has been a 50 percent reduction i</w:t>
      </w:r>
      <w:r w:rsidR="00BC3FA3" w:rsidRPr="00FA08CC">
        <w:rPr>
          <w:color w:val="000000" w:themeColor="text1"/>
        </w:rPr>
        <w:t>n assaults against police officers between 2006-2007 and 2011-2012.</w:t>
      </w:r>
      <w:r w:rsidR="00BC3FA3" w:rsidRPr="00FA08CC">
        <w:rPr>
          <w:rStyle w:val="FootnoteReference"/>
          <w:color w:val="000000" w:themeColor="text1"/>
        </w:rPr>
        <w:footnoteReference w:id="5"/>
      </w:r>
      <w:r w:rsidR="00BC3FA3" w:rsidRPr="00FA08CC">
        <w:rPr>
          <w:color w:val="000000" w:themeColor="text1"/>
        </w:rPr>
        <w:t xml:space="preserve"> In 2011-2013, 301 offenders were charged under </w:t>
      </w:r>
      <w:r w:rsidR="00502D04" w:rsidRPr="00FA08CC">
        <w:rPr>
          <w:color w:val="000000" w:themeColor="text1"/>
        </w:rPr>
        <w:t>both the summary and indictable offences of assaulting a police officer.</w:t>
      </w:r>
      <w:r w:rsidR="00502D04" w:rsidRPr="00FA08CC">
        <w:rPr>
          <w:rStyle w:val="FootnoteReference"/>
          <w:color w:val="000000" w:themeColor="text1"/>
        </w:rPr>
        <w:footnoteReference w:id="6"/>
      </w:r>
      <w:r w:rsidR="00502D04" w:rsidRPr="00FA08CC">
        <w:rPr>
          <w:color w:val="000000" w:themeColor="text1"/>
        </w:rPr>
        <w:t xml:space="preserve"> </w:t>
      </w:r>
      <w:r w:rsidR="00BC3FA3" w:rsidRPr="00FA08CC">
        <w:rPr>
          <w:color w:val="000000" w:themeColor="text1"/>
        </w:rPr>
        <w:t>In 2012-2013 this figure dropped to 233 assaults.</w:t>
      </w:r>
      <w:r w:rsidR="00BC3FA3" w:rsidRPr="00FA08CC">
        <w:rPr>
          <w:rStyle w:val="FootnoteReference"/>
          <w:color w:val="000000" w:themeColor="text1"/>
        </w:rPr>
        <w:footnoteReference w:id="7"/>
      </w:r>
      <w:r w:rsidR="00BC3FA3" w:rsidRPr="00FA08CC">
        <w:rPr>
          <w:color w:val="000000" w:themeColor="text1"/>
        </w:rPr>
        <w:t xml:space="preserve"> </w:t>
      </w:r>
      <w:r w:rsidR="007E569A" w:rsidRPr="00FA08CC">
        <w:rPr>
          <w:color w:val="000000" w:themeColor="text1"/>
        </w:rPr>
        <w:t>Expressed in another way,</w:t>
      </w:r>
      <w:r w:rsidR="00BC3FA3" w:rsidRPr="00FA08CC">
        <w:rPr>
          <w:color w:val="000000" w:themeColor="text1"/>
        </w:rPr>
        <w:t xml:space="preserve"> fro</w:t>
      </w:r>
      <w:r w:rsidRPr="00FA08CC">
        <w:rPr>
          <w:color w:val="000000" w:themeColor="text1"/>
        </w:rPr>
        <w:t>m 2006-2</w:t>
      </w:r>
      <w:r w:rsidR="007E569A" w:rsidRPr="00FA08CC">
        <w:rPr>
          <w:color w:val="000000" w:themeColor="text1"/>
        </w:rPr>
        <w:t>013 there was a 33 percent</w:t>
      </w:r>
      <w:r w:rsidR="00BC3FA3" w:rsidRPr="00FA08CC">
        <w:rPr>
          <w:color w:val="000000" w:themeColor="text1"/>
        </w:rPr>
        <w:t xml:space="preserve"> </w:t>
      </w:r>
      <w:r w:rsidR="009F563A" w:rsidRPr="00FA08CC">
        <w:rPr>
          <w:color w:val="000000" w:themeColor="text1"/>
        </w:rPr>
        <w:t>decrease</w:t>
      </w:r>
      <w:r w:rsidR="00BC3FA3" w:rsidRPr="00FA08CC">
        <w:rPr>
          <w:color w:val="000000" w:themeColor="text1"/>
        </w:rPr>
        <w:t xml:space="preserve"> in assaults against police officers.</w:t>
      </w:r>
      <w:r w:rsidR="00BC3FA3" w:rsidRPr="00FA08CC">
        <w:rPr>
          <w:rStyle w:val="FootnoteReference"/>
          <w:color w:val="000000" w:themeColor="text1"/>
        </w:rPr>
        <w:footnoteReference w:id="8"/>
      </w:r>
      <w:r w:rsidR="00BC3FA3" w:rsidRPr="00FA08CC">
        <w:rPr>
          <w:color w:val="000000" w:themeColor="text1"/>
        </w:rPr>
        <w:t xml:space="preserve"> </w:t>
      </w:r>
      <w:r w:rsidR="00E50D0E" w:rsidRPr="00FA08CC">
        <w:rPr>
          <w:color w:val="000000" w:themeColor="text1"/>
        </w:rPr>
        <w:t xml:space="preserve">Over the same timeframe that </w:t>
      </w:r>
      <w:r w:rsidR="00BC3FA3" w:rsidRPr="00FA08CC">
        <w:rPr>
          <w:color w:val="000000" w:themeColor="text1"/>
        </w:rPr>
        <w:t xml:space="preserve">assaults against police officers </w:t>
      </w:r>
      <w:r w:rsidR="00E50D0E" w:rsidRPr="00FA08CC">
        <w:rPr>
          <w:color w:val="000000" w:themeColor="text1"/>
        </w:rPr>
        <w:t xml:space="preserve">were decreasing, </w:t>
      </w:r>
      <w:r w:rsidR="00BC3FA3" w:rsidRPr="00FA08CC">
        <w:rPr>
          <w:color w:val="000000" w:themeColor="text1"/>
        </w:rPr>
        <w:t>statistics indicate that the rate of common assaults not involving police officers remained steady.</w:t>
      </w:r>
      <w:r w:rsidR="00BC3FA3" w:rsidRPr="00FA08CC">
        <w:rPr>
          <w:rStyle w:val="FootnoteReference"/>
          <w:color w:val="000000" w:themeColor="text1"/>
        </w:rPr>
        <w:footnoteReference w:id="9"/>
      </w:r>
      <w:r w:rsidR="00BC3FA3" w:rsidRPr="00FA08CC">
        <w:rPr>
          <w:color w:val="000000" w:themeColor="text1"/>
        </w:rPr>
        <w:t xml:space="preserve"> </w:t>
      </w:r>
    </w:p>
    <w:p w14:paraId="6E987724" w14:textId="77777777" w:rsidR="00E50D0E" w:rsidRPr="00FA08CC" w:rsidRDefault="00E50D0E" w:rsidP="0013659F">
      <w:pPr>
        <w:ind w:right="-205"/>
        <w:jc w:val="both"/>
        <w:rPr>
          <w:color w:val="000000" w:themeColor="text1"/>
        </w:rPr>
      </w:pPr>
    </w:p>
    <w:p w14:paraId="23700372" w14:textId="38AC7DBA" w:rsidR="00365F1D" w:rsidRPr="00FA08CC" w:rsidRDefault="00BC3FA3" w:rsidP="0013659F">
      <w:pPr>
        <w:ind w:right="-205"/>
        <w:jc w:val="both"/>
        <w:rPr>
          <w:color w:val="000000" w:themeColor="text1"/>
        </w:rPr>
      </w:pPr>
      <w:r w:rsidRPr="00FA08CC">
        <w:rPr>
          <w:color w:val="000000" w:themeColor="text1"/>
        </w:rPr>
        <w:t>Th</w:t>
      </w:r>
      <w:r w:rsidR="00E50D0E" w:rsidRPr="00FA08CC">
        <w:rPr>
          <w:color w:val="000000" w:themeColor="text1"/>
        </w:rPr>
        <w:t>e current crime supplement demonstrates</w:t>
      </w:r>
      <w:r w:rsidRPr="00FA08CC">
        <w:rPr>
          <w:color w:val="000000" w:themeColor="text1"/>
        </w:rPr>
        <w:t xml:space="preserve"> that since the introduction of mandatory sentencing legislation, the rate of assaults </w:t>
      </w:r>
      <w:r w:rsidR="00E50D0E" w:rsidRPr="00FA08CC">
        <w:rPr>
          <w:color w:val="000000" w:themeColor="text1"/>
        </w:rPr>
        <w:t xml:space="preserve">against police officers on duty </w:t>
      </w:r>
      <w:r w:rsidRPr="00FA08CC">
        <w:rPr>
          <w:color w:val="000000" w:themeColor="text1"/>
        </w:rPr>
        <w:t>has increased. In a recent report detailing Tasmania crime stati</w:t>
      </w:r>
      <w:r w:rsidR="009F563A" w:rsidRPr="00FA08CC">
        <w:rPr>
          <w:color w:val="000000" w:themeColor="text1"/>
        </w:rPr>
        <w:t>sti</w:t>
      </w:r>
      <w:r w:rsidR="00E50D0E" w:rsidRPr="00FA08CC">
        <w:rPr>
          <w:color w:val="000000" w:themeColor="text1"/>
        </w:rPr>
        <w:t>cs,</w:t>
      </w:r>
      <w:r w:rsidRPr="00FA08CC">
        <w:rPr>
          <w:color w:val="000000" w:themeColor="text1"/>
        </w:rPr>
        <w:t xml:space="preserve"> </w:t>
      </w:r>
      <w:r w:rsidR="00E50D0E" w:rsidRPr="00FA08CC">
        <w:rPr>
          <w:color w:val="000000" w:themeColor="text1"/>
        </w:rPr>
        <w:t xml:space="preserve">there were 19 reportable incidents of </w:t>
      </w:r>
      <w:r w:rsidRPr="00FA08CC">
        <w:rPr>
          <w:color w:val="000000" w:themeColor="text1"/>
        </w:rPr>
        <w:t>assaults against police officers this financial year.</w:t>
      </w:r>
      <w:r w:rsidR="004F195C" w:rsidRPr="00FA08CC">
        <w:rPr>
          <w:rStyle w:val="FootnoteReference"/>
          <w:color w:val="000000" w:themeColor="text1"/>
        </w:rPr>
        <w:footnoteReference w:id="10"/>
      </w:r>
      <w:r w:rsidRPr="00FA08CC">
        <w:rPr>
          <w:color w:val="000000" w:themeColor="text1"/>
        </w:rPr>
        <w:t xml:space="preserve"> This </w:t>
      </w:r>
      <w:r w:rsidR="00E50D0E" w:rsidRPr="00FA08CC">
        <w:rPr>
          <w:color w:val="000000" w:themeColor="text1"/>
        </w:rPr>
        <w:t xml:space="preserve">is </w:t>
      </w:r>
      <w:r w:rsidRPr="00FA08CC">
        <w:rPr>
          <w:color w:val="000000" w:themeColor="text1"/>
        </w:rPr>
        <w:t>t</w:t>
      </w:r>
      <w:r w:rsidR="00E50D0E" w:rsidRPr="00FA08CC">
        <w:rPr>
          <w:color w:val="000000" w:themeColor="text1"/>
        </w:rPr>
        <w:t>he same number reported for the same</w:t>
      </w:r>
      <w:r w:rsidRPr="00FA08CC">
        <w:rPr>
          <w:color w:val="000000" w:themeColor="text1"/>
        </w:rPr>
        <w:t xml:space="preserve"> period last year.</w:t>
      </w:r>
      <w:r w:rsidRPr="00FA08CC">
        <w:rPr>
          <w:rStyle w:val="FootnoteReference"/>
          <w:color w:val="000000" w:themeColor="text1"/>
        </w:rPr>
        <w:footnoteReference w:id="11"/>
      </w:r>
      <w:r w:rsidRPr="00FA08CC">
        <w:rPr>
          <w:color w:val="000000" w:themeColor="text1"/>
        </w:rPr>
        <w:t xml:space="preserve"> In the last 12-month period assaults against </w:t>
      </w:r>
      <w:r w:rsidR="006C7F25" w:rsidRPr="00FA08CC">
        <w:rPr>
          <w:color w:val="000000" w:themeColor="text1"/>
        </w:rPr>
        <w:t xml:space="preserve">police officers increased by 12 percent </w:t>
      </w:r>
      <w:r w:rsidRPr="00FA08CC">
        <w:rPr>
          <w:color w:val="000000" w:themeColor="text1"/>
        </w:rPr>
        <w:t>when compared to last financial year.</w:t>
      </w:r>
      <w:r w:rsidRPr="00FA08CC">
        <w:rPr>
          <w:rStyle w:val="FootnoteReference"/>
          <w:color w:val="000000" w:themeColor="text1"/>
        </w:rPr>
        <w:footnoteReference w:id="12"/>
      </w:r>
      <w:r w:rsidRPr="00FA08CC">
        <w:rPr>
          <w:color w:val="000000" w:themeColor="text1"/>
        </w:rPr>
        <w:t xml:space="preserve"> This included an almost doubling of offenders charged under </w:t>
      </w:r>
      <w:r w:rsidR="006C7F25" w:rsidRPr="00FA08CC">
        <w:rPr>
          <w:color w:val="000000" w:themeColor="text1"/>
        </w:rPr>
        <w:t xml:space="preserve">the more serious indictable offence contained in the </w:t>
      </w:r>
      <w:r w:rsidRPr="00FA08CC">
        <w:rPr>
          <w:i/>
          <w:color w:val="000000" w:themeColor="text1"/>
        </w:rPr>
        <w:t>Criminal Code</w:t>
      </w:r>
      <w:r w:rsidR="006C7F25" w:rsidRPr="00FA08CC">
        <w:rPr>
          <w:i/>
          <w:color w:val="000000" w:themeColor="text1"/>
        </w:rPr>
        <w:t xml:space="preserve"> Act</w:t>
      </w:r>
      <w:r w:rsidR="006C7F25" w:rsidRPr="00FA08CC">
        <w:rPr>
          <w:rStyle w:val="FootnoteReference"/>
          <w:color w:val="000000" w:themeColor="text1"/>
        </w:rPr>
        <w:footnoteReference w:id="13"/>
      </w:r>
      <w:r w:rsidRPr="00FA08CC">
        <w:rPr>
          <w:color w:val="000000" w:themeColor="text1"/>
        </w:rPr>
        <w:t xml:space="preserve"> to 15 incidents </w:t>
      </w:r>
      <w:r w:rsidR="00365F1D" w:rsidRPr="00FA08CC">
        <w:rPr>
          <w:color w:val="000000" w:themeColor="text1"/>
        </w:rPr>
        <w:t>during</w:t>
      </w:r>
      <w:r w:rsidRPr="00FA08CC">
        <w:rPr>
          <w:color w:val="000000" w:themeColor="text1"/>
        </w:rPr>
        <w:t xml:space="preserve"> the last 12-month period.</w:t>
      </w:r>
      <w:r w:rsidRPr="00FA08CC">
        <w:rPr>
          <w:rStyle w:val="FootnoteReference"/>
          <w:color w:val="000000" w:themeColor="text1"/>
        </w:rPr>
        <w:footnoteReference w:id="14"/>
      </w:r>
      <w:r w:rsidRPr="00FA08CC">
        <w:rPr>
          <w:color w:val="000000" w:themeColor="text1"/>
        </w:rPr>
        <w:t xml:space="preserve"> </w:t>
      </w:r>
    </w:p>
    <w:p w14:paraId="28016424" w14:textId="77777777" w:rsidR="00365F1D" w:rsidRPr="00FA08CC" w:rsidRDefault="00365F1D" w:rsidP="0013659F">
      <w:pPr>
        <w:ind w:right="-205"/>
        <w:jc w:val="both"/>
        <w:rPr>
          <w:color w:val="000000" w:themeColor="text1"/>
        </w:rPr>
      </w:pPr>
    </w:p>
    <w:p w14:paraId="5C2ADC55" w14:textId="54C4B971" w:rsidR="005D51F7" w:rsidRPr="00FA08CC" w:rsidRDefault="00365F1D" w:rsidP="0013659F">
      <w:pPr>
        <w:ind w:right="-205"/>
        <w:jc w:val="both"/>
        <w:rPr>
          <w:color w:val="000000" w:themeColor="text1"/>
        </w:rPr>
      </w:pPr>
      <w:r w:rsidRPr="00FA08CC">
        <w:rPr>
          <w:color w:val="000000" w:themeColor="text1"/>
        </w:rPr>
        <w:t>We agree that any increase in the assault rate</w:t>
      </w:r>
      <w:r w:rsidR="00BC3FA3" w:rsidRPr="00FA08CC">
        <w:rPr>
          <w:color w:val="000000" w:themeColor="text1"/>
        </w:rPr>
        <w:t xml:space="preserve"> against police officers is unacceptable.</w:t>
      </w:r>
      <w:r w:rsidRPr="00FA08CC">
        <w:rPr>
          <w:color w:val="000000" w:themeColor="text1"/>
        </w:rPr>
        <w:t xml:space="preserve"> </w:t>
      </w:r>
      <w:r w:rsidR="00B6708C" w:rsidRPr="00FA08CC">
        <w:rPr>
          <w:color w:val="000000" w:themeColor="text1"/>
        </w:rPr>
        <w:t xml:space="preserve">However, the evidence from the Police </w:t>
      </w:r>
      <w:r w:rsidR="005D51F7" w:rsidRPr="00FA08CC">
        <w:rPr>
          <w:color w:val="000000" w:themeColor="text1"/>
        </w:rPr>
        <w:t>Service</w:t>
      </w:r>
      <w:r w:rsidR="00B6708C" w:rsidRPr="00FA08CC">
        <w:rPr>
          <w:color w:val="000000" w:themeColor="text1"/>
        </w:rPr>
        <w:t xml:space="preserve">’s own crime statistics is that the legislation has failed in its purpose to protect police officers. Despite the crime rate falling in the 2015-2016 period and the rate of common </w:t>
      </w:r>
      <w:r w:rsidR="009F563A" w:rsidRPr="00FA08CC">
        <w:rPr>
          <w:color w:val="000000" w:themeColor="text1"/>
        </w:rPr>
        <w:t>assaults only increasing by five</w:t>
      </w:r>
      <w:r w:rsidR="00B6708C" w:rsidRPr="00FA08CC">
        <w:rPr>
          <w:color w:val="000000" w:themeColor="text1"/>
        </w:rPr>
        <w:t xml:space="preserve"> percent in the last 12-month period</w:t>
      </w:r>
      <w:r w:rsidR="00DA140A" w:rsidRPr="00FA08CC">
        <w:rPr>
          <w:color w:val="000000" w:themeColor="text1"/>
        </w:rPr>
        <w:t>,</w:t>
      </w:r>
      <w:r w:rsidR="00B6708C" w:rsidRPr="00FA08CC">
        <w:rPr>
          <w:rStyle w:val="FootnoteReference"/>
          <w:color w:val="000000" w:themeColor="text1"/>
        </w:rPr>
        <w:footnoteReference w:id="15"/>
      </w:r>
      <w:r w:rsidR="00B6708C" w:rsidRPr="00FA08CC">
        <w:rPr>
          <w:color w:val="000000" w:themeColor="text1"/>
        </w:rPr>
        <w:t xml:space="preserve"> rates of assaults </w:t>
      </w:r>
      <w:r w:rsidR="005D51F7" w:rsidRPr="00FA08CC">
        <w:rPr>
          <w:color w:val="000000" w:themeColor="text1"/>
        </w:rPr>
        <w:t>against police officers have</w:t>
      </w:r>
      <w:r w:rsidR="00B6708C" w:rsidRPr="00FA08CC">
        <w:rPr>
          <w:color w:val="000000" w:themeColor="text1"/>
        </w:rPr>
        <w:t xml:space="preserve"> increased. This evidence along with interstate examples outlined below suggest</w:t>
      </w:r>
      <w:r w:rsidR="005D51F7" w:rsidRPr="00FA08CC">
        <w:rPr>
          <w:color w:val="000000" w:themeColor="text1"/>
        </w:rPr>
        <w:t>s</w:t>
      </w:r>
      <w:r w:rsidR="00B6708C" w:rsidRPr="00FA08CC">
        <w:rPr>
          <w:color w:val="000000" w:themeColor="text1"/>
        </w:rPr>
        <w:t xml:space="preserve"> that </w:t>
      </w:r>
      <w:r w:rsidR="005D51F7" w:rsidRPr="00FA08CC">
        <w:rPr>
          <w:color w:val="000000" w:themeColor="text1"/>
        </w:rPr>
        <w:t xml:space="preserve">the proposed amendments will not have the desired result. </w:t>
      </w:r>
    </w:p>
    <w:p w14:paraId="109DFF72" w14:textId="77777777" w:rsidR="00B6708C" w:rsidRPr="00FA08CC" w:rsidRDefault="00B6708C" w:rsidP="0013659F">
      <w:pPr>
        <w:ind w:right="-205"/>
        <w:jc w:val="both"/>
        <w:outlineLvl w:val="0"/>
        <w:rPr>
          <w:b/>
          <w:color w:val="000000" w:themeColor="text1"/>
        </w:rPr>
      </w:pPr>
    </w:p>
    <w:p w14:paraId="76FBA486" w14:textId="04F0AD57" w:rsidR="00BC3FA3" w:rsidRPr="00FA08CC" w:rsidRDefault="00BC3FA3" w:rsidP="0013659F">
      <w:pPr>
        <w:ind w:right="-205"/>
        <w:jc w:val="both"/>
        <w:outlineLvl w:val="0"/>
        <w:rPr>
          <w:b/>
          <w:color w:val="000000" w:themeColor="text1"/>
        </w:rPr>
      </w:pPr>
      <w:r w:rsidRPr="00FA08CC">
        <w:rPr>
          <w:b/>
          <w:color w:val="000000" w:themeColor="text1"/>
        </w:rPr>
        <w:t>Inte</w:t>
      </w:r>
      <w:r w:rsidR="00F2586E" w:rsidRPr="00FA08CC">
        <w:rPr>
          <w:b/>
          <w:color w:val="000000" w:themeColor="text1"/>
        </w:rPr>
        <w:t>rstate examples of similar laws</w:t>
      </w:r>
    </w:p>
    <w:p w14:paraId="6E0C60D8" w14:textId="72DBCD60" w:rsidR="00BC3FA3" w:rsidRPr="00FA08CC" w:rsidRDefault="00357DE4" w:rsidP="0013659F">
      <w:pPr>
        <w:ind w:right="-205"/>
        <w:jc w:val="both"/>
        <w:rPr>
          <w:color w:val="000000" w:themeColor="text1"/>
        </w:rPr>
      </w:pPr>
      <w:r w:rsidRPr="00FA08CC">
        <w:rPr>
          <w:color w:val="000000" w:themeColor="text1"/>
        </w:rPr>
        <w:t xml:space="preserve">At present, </w:t>
      </w:r>
      <w:r w:rsidR="00BC3FA3" w:rsidRPr="00FA08CC">
        <w:rPr>
          <w:color w:val="000000" w:themeColor="text1"/>
        </w:rPr>
        <w:t xml:space="preserve">several other </w:t>
      </w:r>
      <w:r w:rsidRPr="00FA08CC">
        <w:rPr>
          <w:color w:val="000000" w:themeColor="text1"/>
        </w:rPr>
        <w:t xml:space="preserve">Australian </w:t>
      </w:r>
      <w:r w:rsidR="00BC3FA3" w:rsidRPr="00FA08CC">
        <w:rPr>
          <w:color w:val="000000" w:themeColor="text1"/>
        </w:rPr>
        <w:t>jurisdictions have mandatory sentencing for assaults against police offic</w:t>
      </w:r>
      <w:r w:rsidRPr="00FA08CC">
        <w:rPr>
          <w:color w:val="000000" w:themeColor="text1"/>
        </w:rPr>
        <w:t>ers and other frontline workers.</w:t>
      </w:r>
    </w:p>
    <w:p w14:paraId="6BEC359A" w14:textId="77777777" w:rsidR="00BC3FA3" w:rsidRPr="00FA08CC" w:rsidRDefault="00BC3FA3" w:rsidP="0013659F">
      <w:pPr>
        <w:ind w:right="-205"/>
        <w:jc w:val="both"/>
        <w:rPr>
          <w:color w:val="000000" w:themeColor="text1"/>
        </w:rPr>
      </w:pPr>
    </w:p>
    <w:p w14:paraId="55BC1293" w14:textId="1A0B19FE" w:rsidR="00DA140A" w:rsidRPr="00FA08CC" w:rsidRDefault="00BC3FA3" w:rsidP="0013659F">
      <w:pPr>
        <w:ind w:right="-205"/>
        <w:jc w:val="both"/>
        <w:rPr>
          <w:color w:val="000000" w:themeColor="text1"/>
        </w:rPr>
      </w:pPr>
      <w:r w:rsidRPr="00FA08CC">
        <w:rPr>
          <w:color w:val="000000" w:themeColor="text1"/>
        </w:rPr>
        <w:t>Section</w:t>
      </w:r>
      <w:r w:rsidR="00A833C5" w:rsidRPr="00FA08CC">
        <w:rPr>
          <w:color w:val="000000" w:themeColor="text1"/>
        </w:rPr>
        <w:t>s</w:t>
      </w:r>
      <w:r w:rsidRPr="00FA08CC">
        <w:rPr>
          <w:color w:val="000000" w:themeColor="text1"/>
        </w:rPr>
        <w:t xml:space="preserve"> 318 </w:t>
      </w:r>
      <w:r w:rsidR="00A833C5" w:rsidRPr="00FA08CC">
        <w:rPr>
          <w:color w:val="000000" w:themeColor="text1"/>
        </w:rPr>
        <w:t>and 297</w:t>
      </w:r>
      <w:r w:rsidRPr="00FA08CC">
        <w:rPr>
          <w:color w:val="000000" w:themeColor="text1"/>
        </w:rPr>
        <w:t xml:space="preserve">of the Western Australian </w:t>
      </w:r>
      <w:r w:rsidRPr="00FA08CC">
        <w:rPr>
          <w:i/>
          <w:color w:val="000000" w:themeColor="text1"/>
        </w:rPr>
        <w:t>Criminal Code</w:t>
      </w:r>
      <w:r w:rsidR="00DA140A" w:rsidRPr="00FA08CC">
        <w:rPr>
          <w:i/>
          <w:color w:val="000000" w:themeColor="text1"/>
        </w:rPr>
        <w:t xml:space="preserve"> Act</w:t>
      </w:r>
      <w:r w:rsidR="009F563A" w:rsidRPr="00FA08CC">
        <w:rPr>
          <w:i/>
          <w:color w:val="000000" w:themeColor="text1"/>
        </w:rPr>
        <w:t xml:space="preserve"> </w:t>
      </w:r>
      <w:r w:rsidR="00DA140A" w:rsidRPr="00FA08CC">
        <w:rPr>
          <w:color w:val="000000" w:themeColor="text1"/>
        </w:rPr>
        <w:t>provides for</w:t>
      </w:r>
      <w:r w:rsidRPr="00FA08CC">
        <w:rPr>
          <w:color w:val="000000" w:themeColor="text1"/>
        </w:rPr>
        <w:t xml:space="preserve"> a 3-month mandatory sentence for offenders found guilty of assaulting police officers </w:t>
      </w:r>
      <w:r w:rsidR="00DA140A" w:rsidRPr="00FA08CC">
        <w:rPr>
          <w:color w:val="000000" w:themeColor="text1"/>
        </w:rPr>
        <w:t xml:space="preserve">or </w:t>
      </w:r>
      <w:r w:rsidRPr="00FA08CC">
        <w:rPr>
          <w:color w:val="000000" w:themeColor="text1"/>
        </w:rPr>
        <w:t>c</w:t>
      </w:r>
      <w:r w:rsidR="00DA140A" w:rsidRPr="00FA08CC">
        <w:rPr>
          <w:color w:val="000000" w:themeColor="text1"/>
        </w:rPr>
        <w:t xml:space="preserve">ausing grievous bodily harm to </w:t>
      </w:r>
      <w:r w:rsidRPr="00FA08CC">
        <w:rPr>
          <w:color w:val="000000" w:themeColor="text1"/>
        </w:rPr>
        <w:t>volunteer firefighters or any other class of complainant identified in the act.</w:t>
      </w:r>
      <w:r w:rsidR="00A833C5" w:rsidRPr="00FA08CC">
        <w:rPr>
          <w:rStyle w:val="FootnoteReference"/>
          <w:color w:val="000000" w:themeColor="text1"/>
        </w:rPr>
        <w:footnoteReference w:id="16"/>
      </w:r>
    </w:p>
    <w:p w14:paraId="3CB17479" w14:textId="77777777" w:rsidR="00DA140A" w:rsidRPr="00FA08CC" w:rsidRDefault="00DA140A" w:rsidP="0013659F">
      <w:pPr>
        <w:ind w:right="-205"/>
        <w:jc w:val="both"/>
        <w:rPr>
          <w:color w:val="000000" w:themeColor="text1"/>
        </w:rPr>
      </w:pPr>
    </w:p>
    <w:p w14:paraId="5FD14DF4" w14:textId="43BE607B" w:rsidR="00BC3FA3" w:rsidRPr="00FA08CC" w:rsidRDefault="00BC3FA3" w:rsidP="0013659F">
      <w:pPr>
        <w:ind w:right="-205"/>
        <w:jc w:val="both"/>
        <w:rPr>
          <w:color w:val="000000" w:themeColor="text1"/>
        </w:rPr>
      </w:pPr>
      <w:r w:rsidRPr="00FA08CC">
        <w:rPr>
          <w:color w:val="000000" w:themeColor="text1"/>
        </w:rPr>
        <w:t>Western Austral</w:t>
      </w:r>
      <w:r w:rsidR="00DA140A" w:rsidRPr="00FA08CC">
        <w:rPr>
          <w:color w:val="000000" w:themeColor="text1"/>
        </w:rPr>
        <w:t>ian crime statistics demonstrate a 28 percent decrease</w:t>
      </w:r>
      <w:r w:rsidRPr="00FA08CC">
        <w:rPr>
          <w:color w:val="000000" w:themeColor="text1"/>
        </w:rPr>
        <w:t xml:space="preserve"> of serious assault or assaults c</w:t>
      </w:r>
      <w:r w:rsidR="00DA140A" w:rsidRPr="00FA08CC">
        <w:rPr>
          <w:color w:val="000000" w:themeColor="text1"/>
        </w:rPr>
        <w:t>ausing grievous bodily harm to police o</w:t>
      </w:r>
      <w:r w:rsidRPr="00FA08CC">
        <w:rPr>
          <w:color w:val="000000" w:themeColor="text1"/>
        </w:rPr>
        <w:t>fficers.</w:t>
      </w:r>
      <w:r w:rsidRPr="00FA08CC">
        <w:rPr>
          <w:rStyle w:val="FootnoteReference"/>
          <w:color w:val="000000" w:themeColor="text1"/>
        </w:rPr>
        <w:footnoteReference w:id="17"/>
      </w:r>
      <w:r w:rsidRPr="00FA08CC">
        <w:rPr>
          <w:color w:val="000000" w:themeColor="text1"/>
        </w:rPr>
        <w:t xml:space="preserve"> </w:t>
      </w:r>
      <w:r w:rsidR="00A833C5" w:rsidRPr="00FA08CC">
        <w:rPr>
          <w:color w:val="000000" w:themeColor="text1"/>
        </w:rPr>
        <w:t>Nevertheless, i</w:t>
      </w:r>
      <w:r w:rsidRPr="00FA08CC">
        <w:rPr>
          <w:color w:val="000000" w:themeColor="text1"/>
        </w:rPr>
        <w:t>t is simplistic to at</w:t>
      </w:r>
      <w:r w:rsidR="00DA140A" w:rsidRPr="00FA08CC">
        <w:rPr>
          <w:color w:val="000000" w:themeColor="text1"/>
        </w:rPr>
        <w:t>tribute this fall solely to the introduction of the mandatory sentencing provision,</w:t>
      </w:r>
      <w:r w:rsidRPr="00FA08CC">
        <w:rPr>
          <w:color w:val="000000" w:themeColor="text1"/>
        </w:rPr>
        <w:t xml:space="preserve"> as at the same time the Western Australian Police force </w:t>
      </w:r>
      <w:r w:rsidR="00A833C5" w:rsidRPr="00FA08CC">
        <w:rPr>
          <w:color w:val="000000" w:themeColor="text1"/>
        </w:rPr>
        <w:t>commenced a</w:t>
      </w:r>
      <w:r w:rsidRPr="00FA08CC">
        <w:rPr>
          <w:color w:val="000000" w:themeColor="text1"/>
        </w:rPr>
        <w:t xml:space="preserve"> new policing policy that </w:t>
      </w:r>
      <w:r w:rsidR="00A833C5" w:rsidRPr="00FA08CC">
        <w:rPr>
          <w:color w:val="000000" w:themeColor="text1"/>
        </w:rPr>
        <w:t xml:space="preserve">prohibited </w:t>
      </w:r>
      <w:r w:rsidRPr="00FA08CC">
        <w:rPr>
          <w:color w:val="000000" w:themeColor="text1"/>
        </w:rPr>
        <w:t>single officer patrols.</w:t>
      </w:r>
      <w:r w:rsidRPr="00FA08CC">
        <w:rPr>
          <w:rStyle w:val="FootnoteReference"/>
          <w:color w:val="000000" w:themeColor="text1"/>
        </w:rPr>
        <w:footnoteReference w:id="18"/>
      </w:r>
      <w:r w:rsidRPr="00FA08CC">
        <w:rPr>
          <w:color w:val="000000" w:themeColor="text1"/>
        </w:rPr>
        <w:t xml:space="preserve"> Crime statics for that year also showed a significant drop in the level of common assaults, and was not limited to complainants identified under</w:t>
      </w:r>
      <w:r w:rsidR="00A833C5" w:rsidRPr="00FA08CC">
        <w:rPr>
          <w:color w:val="000000" w:themeColor="text1"/>
        </w:rPr>
        <w:t xml:space="preserve"> the Western Australian provision</w:t>
      </w:r>
      <w:r w:rsidRPr="00FA08CC">
        <w:rPr>
          <w:color w:val="000000" w:themeColor="text1"/>
        </w:rPr>
        <w:t>.</w:t>
      </w:r>
      <w:r w:rsidRPr="00FA08CC">
        <w:rPr>
          <w:rStyle w:val="FootnoteReference"/>
          <w:color w:val="000000" w:themeColor="text1"/>
        </w:rPr>
        <w:footnoteReference w:id="19"/>
      </w:r>
    </w:p>
    <w:p w14:paraId="7BA870F7" w14:textId="77777777" w:rsidR="00BC3FA3" w:rsidRPr="00FA08CC" w:rsidRDefault="00BC3FA3" w:rsidP="0013659F">
      <w:pPr>
        <w:ind w:right="-205"/>
        <w:jc w:val="both"/>
        <w:rPr>
          <w:color w:val="000000" w:themeColor="text1"/>
        </w:rPr>
      </w:pPr>
    </w:p>
    <w:p w14:paraId="0802A015" w14:textId="2EB25215" w:rsidR="00BC3FA3" w:rsidRPr="00FA08CC" w:rsidRDefault="009775F8" w:rsidP="0013659F">
      <w:pPr>
        <w:ind w:right="-205"/>
        <w:jc w:val="both"/>
        <w:rPr>
          <w:color w:val="000000" w:themeColor="text1"/>
        </w:rPr>
      </w:pPr>
      <w:r w:rsidRPr="00FA08CC">
        <w:rPr>
          <w:color w:val="000000" w:themeColor="text1"/>
        </w:rPr>
        <w:t>Similarly, the</w:t>
      </w:r>
      <w:r w:rsidR="00BC3FA3" w:rsidRPr="00FA08CC">
        <w:rPr>
          <w:color w:val="000000" w:themeColor="text1"/>
        </w:rPr>
        <w:t xml:space="preserve"> Northern Territory operates a mandatory sentencing scheme for </w:t>
      </w:r>
      <w:r w:rsidRPr="00FA08CC">
        <w:rPr>
          <w:color w:val="000000" w:themeColor="text1"/>
        </w:rPr>
        <w:t>persons</w:t>
      </w:r>
      <w:r w:rsidR="00BC3FA3" w:rsidRPr="00FA08CC">
        <w:rPr>
          <w:color w:val="000000" w:themeColor="text1"/>
        </w:rPr>
        <w:t xml:space="preserve"> convicted of assaulting police officers. Division 6A of the </w:t>
      </w:r>
      <w:r w:rsidR="00BC3FA3" w:rsidRPr="00FA08CC">
        <w:rPr>
          <w:i/>
          <w:color w:val="000000" w:themeColor="text1"/>
        </w:rPr>
        <w:t>Sentencing Act 1995</w:t>
      </w:r>
      <w:r w:rsidR="00BC3FA3" w:rsidRPr="00FA08CC">
        <w:rPr>
          <w:color w:val="000000" w:themeColor="text1"/>
        </w:rPr>
        <w:t xml:space="preserve"> (NT) provides for a mandatory term of imprisonment of between 3-12 months for defendants found guilty of assaulting a police officer. This law proved highly ineffective with the Northern Territory review into the mandatory sentencing laws concluding that mandatory sentencing had no effect in reducing the crime rate.</w:t>
      </w:r>
      <w:r w:rsidR="00BC3FA3" w:rsidRPr="00FA08CC">
        <w:rPr>
          <w:rStyle w:val="FootnoteReference"/>
          <w:color w:val="000000" w:themeColor="text1"/>
        </w:rPr>
        <w:footnoteReference w:id="20"/>
      </w:r>
      <w:r w:rsidR="00BC3FA3" w:rsidRPr="00FA08CC">
        <w:rPr>
          <w:color w:val="000000" w:themeColor="text1"/>
        </w:rPr>
        <w:t xml:space="preserve"> </w:t>
      </w:r>
    </w:p>
    <w:p w14:paraId="4A830A12" w14:textId="77777777" w:rsidR="00161798" w:rsidRPr="00FA08CC" w:rsidRDefault="00161798" w:rsidP="0013659F">
      <w:pPr>
        <w:ind w:right="-205"/>
        <w:jc w:val="both"/>
        <w:outlineLvl w:val="0"/>
        <w:rPr>
          <w:b/>
          <w:color w:val="000000" w:themeColor="text1"/>
        </w:rPr>
      </w:pPr>
    </w:p>
    <w:p w14:paraId="623E693D" w14:textId="77777777" w:rsidR="00BC3FA3" w:rsidRPr="00FA08CC" w:rsidRDefault="00BC3FA3" w:rsidP="0013659F">
      <w:pPr>
        <w:ind w:right="-205"/>
        <w:jc w:val="both"/>
        <w:outlineLvl w:val="0"/>
        <w:rPr>
          <w:b/>
          <w:color w:val="000000" w:themeColor="text1"/>
        </w:rPr>
      </w:pPr>
      <w:r w:rsidRPr="00FA08CC">
        <w:rPr>
          <w:b/>
          <w:color w:val="000000" w:themeColor="text1"/>
        </w:rPr>
        <w:t xml:space="preserve">Effectiveness of Mandatory Sentences </w:t>
      </w:r>
    </w:p>
    <w:p w14:paraId="2CE6A6AA" w14:textId="541BC498" w:rsidR="004C06DF" w:rsidRPr="00FA08CC" w:rsidRDefault="004C06DF" w:rsidP="0013659F">
      <w:pPr>
        <w:ind w:right="-205"/>
        <w:jc w:val="both"/>
      </w:pPr>
      <w:r w:rsidRPr="00FA08CC">
        <w:rPr>
          <w:color w:val="000000" w:themeColor="text1"/>
        </w:rPr>
        <w:t>We have consistently expressed our opposition to the introduction of any and all mandatory sentence provisions</w:t>
      </w:r>
      <w:r w:rsidR="00BC3FA3" w:rsidRPr="00FA08CC">
        <w:rPr>
          <w:color w:val="000000" w:themeColor="text1"/>
        </w:rPr>
        <w:t xml:space="preserve">. Mandatory sentencing </w:t>
      </w:r>
      <w:r w:rsidR="00C7666E">
        <w:rPr>
          <w:color w:val="000000" w:themeColor="text1"/>
        </w:rPr>
        <w:t>does not</w:t>
      </w:r>
      <w:r w:rsidR="00BC3FA3" w:rsidRPr="00FA08CC">
        <w:rPr>
          <w:color w:val="000000" w:themeColor="text1"/>
        </w:rPr>
        <w:t xml:space="preserve"> reduce crime. The introduction of mandatory sentencing provisions in the Northern Territory </w:t>
      </w:r>
      <w:r w:rsidR="009775F8" w:rsidRPr="00FA08CC">
        <w:rPr>
          <w:color w:val="000000" w:themeColor="text1"/>
        </w:rPr>
        <w:t>proved</w:t>
      </w:r>
      <w:r w:rsidR="00BC3FA3" w:rsidRPr="00FA08CC">
        <w:rPr>
          <w:color w:val="000000" w:themeColor="text1"/>
        </w:rPr>
        <w:t xml:space="preserve"> to be unsuccessful with </w:t>
      </w:r>
      <w:r w:rsidR="00C7666E">
        <w:rPr>
          <w:color w:val="000000" w:themeColor="text1"/>
        </w:rPr>
        <w:t>reported crime</w:t>
      </w:r>
      <w:r w:rsidR="00BC3FA3" w:rsidRPr="00FA08CC">
        <w:rPr>
          <w:color w:val="000000" w:themeColor="text1"/>
        </w:rPr>
        <w:t xml:space="preserve"> increasing significantly over the period the mandatory sentencing laws </w:t>
      </w:r>
      <w:r w:rsidRPr="00FA08CC">
        <w:rPr>
          <w:color w:val="000000" w:themeColor="text1"/>
        </w:rPr>
        <w:t>were in operation</w:t>
      </w:r>
      <w:r w:rsidR="00BC3FA3" w:rsidRPr="00FA08CC">
        <w:rPr>
          <w:color w:val="000000" w:themeColor="text1"/>
        </w:rPr>
        <w:t>.</w:t>
      </w:r>
      <w:r w:rsidR="00BC3FA3" w:rsidRPr="00FA08CC">
        <w:rPr>
          <w:rStyle w:val="FootnoteReference"/>
          <w:color w:val="000000" w:themeColor="text1"/>
        </w:rPr>
        <w:footnoteReference w:id="21"/>
      </w:r>
      <w:r w:rsidR="00BC3FA3" w:rsidRPr="00FA08CC">
        <w:rPr>
          <w:color w:val="000000" w:themeColor="text1"/>
        </w:rPr>
        <w:t xml:space="preserve"> The Northern Territory </w:t>
      </w:r>
      <w:r w:rsidR="00C7666E">
        <w:rPr>
          <w:color w:val="000000" w:themeColor="text1"/>
        </w:rPr>
        <w:t>reported crime data</w:t>
      </w:r>
      <w:r w:rsidR="00BC3FA3" w:rsidRPr="00FA08CC">
        <w:rPr>
          <w:color w:val="000000" w:themeColor="text1"/>
        </w:rPr>
        <w:t xml:space="preserve"> shows a drop in offending when the mandatory sentencing laws were repealed </w:t>
      </w:r>
      <w:r w:rsidR="00BC3FA3" w:rsidRPr="00FA08CC">
        <w:t xml:space="preserve">and other preventative strategies became more </w:t>
      </w:r>
      <w:r w:rsidR="00C7666E">
        <w:t>prevalent</w:t>
      </w:r>
      <w:r w:rsidR="00BC3FA3" w:rsidRPr="00FA08CC">
        <w:t>.</w:t>
      </w:r>
      <w:r w:rsidR="00BC3FA3" w:rsidRPr="00FA08CC">
        <w:rPr>
          <w:rStyle w:val="FootnoteReference"/>
        </w:rPr>
        <w:footnoteReference w:id="22"/>
      </w:r>
      <w:r w:rsidR="00BC3FA3" w:rsidRPr="00FA08CC">
        <w:t xml:space="preserve">  This is consistent with statistical evidence and academic literature concerning the </w:t>
      </w:r>
      <w:r w:rsidR="009F563A" w:rsidRPr="00FA08CC">
        <w:t>failure</w:t>
      </w:r>
      <w:r w:rsidR="00BC3FA3" w:rsidRPr="00FA08CC">
        <w:t xml:space="preserve"> of mandatory sentencing as a crime prevention measure.</w:t>
      </w:r>
      <w:r w:rsidR="00BC3FA3" w:rsidRPr="00FA08CC">
        <w:rPr>
          <w:rStyle w:val="FootnoteReference"/>
        </w:rPr>
        <w:footnoteReference w:id="23"/>
      </w:r>
      <w:r w:rsidR="00BC3FA3" w:rsidRPr="00FA08CC">
        <w:t xml:space="preserve"> </w:t>
      </w:r>
    </w:p>
    <w:p w14:paraId="0ABACB42" w14:textId="77777777" w:rsidR="004C06DF" w:rsidRPr="00FA08CC" w:rsidRDefault="004C06DF" w:rsidP="0013659F">
      <w:pPr>
        <w:ind w:right="-205"/>
        <w:jc w:val="both"/>
      </w:pPr>
    </w:p>
    <w:p w14:paraId="1899D66D" w14:textId="77777777" w:rsidR="005106EE" w:rsidRDefault="004C06DF" w:rsidP="0013659F">
      <w:pPr>
        <w:ind w:right="-205"/>
        <w:jc w:val="both"/>
      </w:pPr>
      <w:r w:rsidRPr="00FA08CC">
        <w:t>We also oppose</w:t>
      </w:r>
      <w:r w:rsidR="00BC3FA3" w:rsidRPr="00FA08CC">
        <w:t xml:space="preserve"> mandatory sentencing because it often results in unfair or unjust sentences for offenders. The Tasmanian Sentencing framework is highly responsive to sentencing factors including aggravating circumstances of the case and personal circumstances of the defendant. </w:t>
      </w:r>
      <w:r w:rsidRPr="00FA08CC">
        <w:t>We are</w:t>
      </w:r>
      <w:r w:rsidR="00BC3FA3" w:rsidRPr="00FA08CC">
        <w:t xml:space="preserve"> concerned that the</w:t>
      </w:r>
      <w:r w:rsidRPr="00FA08CC">
        <w:t xml:space="preserve"> mandatory sentencing provision currently in operation in relation to assaults against police officers </w:t>
      </w:r>
      <w:r w:rsidR="00BC3FA3" w:rsidRPr="00FA08CC">
        <w:t xml:space="preserve">removes much of the flexibility of </w:t>
      </w:r>
      <w:r w:rsidR="000D1F5C" w:rsidRPr="00FA08CC">
        <w:t>the court in addressing case-by-</w:t>
      </w:r>
      <w:r w:rsidR="00BC3FA3" w:rsidRPr="00FA08CC">
        <w:t xml:space="preserve">case sentencing factors. </w:t>
      </w:r>
      <w:r w:rsidR="000D1F5C" w:rsidRPr="00FA08CC">
        <w:t>We believe that</w:t>
      </w:r>
      <w:r w:rsidR="00BC3FA3" w:rsidRPr="00FA08CC">
        <w:t xml:space="preserve"> </w:t>
      </w:r>
      <w:r w:rsidR="000D1F5C" w:rsidRPr="00FA08CC">
        <w:t xml:space="preserve">the current mandatory sentencing provision as well as any proposed mandatory sentencing reform </w:t>
      </w:r>
      <w:r w:rsidR="00D65E22" w:rsidRPr="00FA08CC">
        <w:t xml:space="preserve">has the </w:t>
      </w:r>
      <w:r w:rsidR="00BC3FA3" w:rsidRPr="00FA08CC">
        <w:t xml:space="preserve">potential to lead to disproportionate sentences for defendants as individual mitigating circumstances are not taken into account by the court. </w:t>
      </w:r>
    </w:p>
    <w:p w14:paraId="538D807E" w14:textId="77777777" w:rsidR="005106EE" w:rsidRDefault="005106EE" w:rsidP="0013659F">
      <w:pPr>
        <w:ind w:right="-205"/>
        <w:jc w:val="both"/>
      </w:pPr>
    </w:p>
    <w:p w14:paraId="744DEB04" w14:textId="48E914B7" w:rsidR="000D1F96" w:rsidRDefault="005106EE" w:rsidP="0013659F">
      <w:pPr>
        <w:ind w:right="-205"/>
        <w:jc w:val="both"/>
      </w:pPr>
      <w:r>
        <w:t>It should also be noted that mandatory sentencing</w:t>
      </w:r>
      <w:r w:rsidR="004D68D0" w:rsidRPr="005106EE">
        <w:t xml:space="preserve"> disproportionately affects </w:t>
      </w:r>
      <w:r>
        <w:t xml:space="preserve">the socially disadvantaged particularly </w:t>
      </w:r>
      <w:r w:rsidR="004D68D0" w:rsidRPr="005106EE">
        <w:t xml:space="preserve">individuals with </w:t>
      </w:r>
      <w:r>
        <w:t>a mental illness</w:t>
      </w:r>
      <w:r w:rsidR="004D68D0" w:rsidRPr="005106EE">
        <w:t>.</w:t>
      </w:r>
      <w:r>
        <w:rPr>
          <w:rStyle w:val="FootnoteReference"/>
        </w:rPr>
        <w:footnoteReference w:id="24"/>
      </w:r>
      <w:r w:rsidR="004D68D0" w:rsidRPr="005106EE">
        <w:t xml:space="preserve"> The theory that harsh or mandatory sen</w:t>
      </w:r>
      <w:r>
        <w:t xml:space="preserve">tencing </w:t>
      </w:r>
      <w:proofErr w:type="gramStart"/>
      <w:r>
        <w:t>operates</w:t>
      </w:r>
      <w:proofErr w:type="gramEnd"/>
      <w:r>
        <w:t xml:space="preserve"> as a deterrent</w:t>
      </w:r>
      <w:r w:rsidR="004D68D0" w:rsidRPr="005106EE">
        <w:t xml:space="preserve"> cannot be applied to </w:t>
      </w:r>
      <w:r>
        <w:t>those</w:t>
      </w:r>
      <w:r w:rsidR="004D68D0" w:rsidRPr="005106EE">
        <w:t xml:space="preserve"> with mental health </w:t>
      </w:r>
      <w:r>
        <w:t xml:space="preserve">issues </w:t>
      </w:r>
      <w:r w:rsidR="004D68D0" w:rsidRPr="005106EE">
        <w:t xml:space="preserve">as offending is </w:t>
      </w:r>
      <w:r>
        <w:t>often not based i</w:t>
      </w:r>
      <w:r w:rsidR="004D68D0" w:rsidRPr="005106EE">
        <w:t>n rational decision</w:t>
      </w:r>
      <w:r>
        <w:t xml:space="preserve"> making</w:t>
      </w:r>
      <w:r w:rsidR="004D68D0" w:rsidRPr="005106EE">
        <w:t>.</w:t>
      </w:r>
      <w:r>
        <w:rPr>
          <w:rStyle w:val="FootnoteReference"/>
        </w:rPr>
        <w:footnoteReference w:id="25"/>
      </w:r>
      <w:r w:rsidR="004D68D0" w:rsidRPr="005106EE">
        <w:t xml:space="preserve"> This </w:t>
      </w:r>
      <w:r w:rsidR="000C34BE">
        <w:t>also</w:t>
      </w:r>
      <w:r w:rsidR="004D68D0" w:rsidRPr="005106EE">
        <w:t xml:space="preserve"> </w:t>
      </w:r>
      <w:r w:rsidR="000C34BE">
        <w:t xml:space="preserve">applies </w:t>
      </w:r>
      <w:r w:rsidR="004D68D0" w:rsidRPr="005106EE">
        <w:t>to individuals who are drug affected</w:t>
      </w:r>
      <w:r w:rsidR="000C34BE">
        <w:t>.</w:t>
      </w:r>
      <w:r w:rsidR="000C34BE">
        <w:rPr>
          <w:rStyle w:val="FootnoteReference"/>
        </w:rPr>
        <w:footnoteReference w:id="26"/>
      </w:r>
      <w:r w:rsidR="004D68D0" w:rsidRPr="005106EE">
        <w:t xml:space="preserve"> </w:t>
      </w:r>
      <w:r w:rsidR="000C34BE">
        <w:t>Because</w:t>
      </w:r>
      <w:r w:rsidR="004D68D0" w:rsidRPr="005106EE">
        <w:t xml:space="preserve"> individuals </w:t>
      </w:r>
      <w:r w:rsidR="000C34BE">
        <w:t>with</w:t>
      </w:r>
      <w:r w:rsidR="004D68D0" w:rsidRPr="005106EE">
        <w:t xml:space="preserve"> mental health issues and other vulnerable people are more likely to come into</w:t>
      </w:r>
      <w:r w:rsidR="000C34BE">
        <w:t xml:space="preserve"> contact with frontline workers, the introduction of the proposed amendments is likely to</w:t>
      </w:r>
      <w:r w:rsidR="004D68D0" w:rsidRPr="005106EE">
        <w:t xml:space="preserve"> have a significant effect on this group. Individuals with mental health issues are already vastly over-represented in the prison system and the </w:t>
      </w:r>
      <w:r w:rsidR="000C34BE">
        <w:t xml:space="preserve">passing of this </w:t>
      </w:r>
      <w:r w:rsidR="004D68D0" w:rsidRPr="005106EE">
        <w:t xml:space="preserve">Bill </w:t>
      </w:r>
      <w:r w:rsidR="000C34BE">
        <w:t>may</w:t>
      </w:r>
      <w:r w:rsidR="004D68D0" w:rsidRPr="005106EE">
        <w:t xml:space="preserve"> contribute further to this.</w:t>
      </w:r>
      <w:r w:rsidR="000C34BE">
        <w:rPr>
          <w:rStyle w:val="FootnoteReference"/>
        </w:rPr>
        <w:footnoteReference w:id="27"/>
      </w:r>
      <w:r w:rsidR="00F37BFB" w:rsidRPr="005106EE">
        <w:t xml:space="preserve"> </w:t>
      </w:r>
      <w:r w:rsidR="004D68D0" w:rsidRPr="005106EE">
        <w:t xml:space="preserve">We </w:t>
      </w:r>
      <w:r w:rsidR="00F37BFB">
        <w:t xml:space="preserve">strongly </w:t>
      </w:r>
      <w:r w:rsidR="004D68D0" w:rsidRPr="005106EE">
        <w:t xml:space="preserve">believe that sentencing </w:t>
      </w:r>
      <w:r w:rsidR="00F37BFB">
        <w:t>flexibility is paramount in circumstances in which an individual</w:t>
      </w:r>
      <w:r w:rsidR="004D68D0" w:rsidRPr="005106EE">
        <w:t xml:space="preserve"> </w:t>
      </w:r>
      <w:r w:rsidR="00F37BFB">
        <w:t>has a</w:t>
      </w:r>
      <w:r w:rsidR="0013659F">
        <w:t xml:space="preserve"> mental illness</w:t>
      </w:r>
      <w:r w:rsidR="004D68D0" w:rsidRPr="005106EE">
        <w:t xml:space="preserve">. </w:t>
      </w:r>
      <w:r w:rsidR="0013659F" w:rsidRPr="005106EE">
        <w:t>A large body of case law supports this position</w:t>
      </w:r>
      <w:r w:rsidR="00C50FD1">
        <w:t>. For example, i</w:t>
      </w:r>
      <w:r w:rsidR="004D68D0" w:rsidRPr="005106EE">
        <w:t xml:space="preserve">n </w:t>
      </w:r>
      <w:r w:rsidR="004D68D0" w:rsidRPr="00C50FD1">
        <w:rPr>
          <w:i/>
        </w:rPr>
        <w:t>Thompson v The Queen</w:t>
      </w:r>
      <w:r w:rsidR="004D68D0" w:rsidRPr="005106EE">
        <w:t xml:space="preserve"> it was found that</w:t>
      </w:r>
      <w:r w:rsidR="00C50FD1">
        <w:t xml:space="preserve"> ‘</w:t>
      </w:r>
      <w:r w:rsidR="004D68D0" w:rsidRPr="005106EE">
        <w:t>moral culpability would… be lessened where there is a causal connection between the psychiatric illness an</w:t>
      </w:r>
      <w:r w:rsidR="00C50FD1">
        <w:t>d the commission of the offence’.</w:t>
      </w:r>
      <w:r w:rsidR="00C50FD1">
        <w:rPr>
          <w:rStyle w:val="FootnoteReference"/>
        </w:rPr>
        <w:footnoteReference w:id="28"/>
      </w:r>
    </w:p>
    <w:p w14:paraId="09AD26F0" w14:textId="77777777" w:rsidR="00D92CA7" w:rsidRDefault="000D1F96" w:rsidP="0013659F">
      <w:pPr>
        <w:ind w:right="-205"/>
        <w:jc w:val="both"/>
      </w:pPr>
      <w:r>
        <w:t>While in the case of</w:t>
      </w:r>
      <w:r w:rsidR="004D68D0" w:rsidRPr="005106EE">
        <w:t xml:space="preserve"> </w:t>
      </w:r>
      <w:r w:rsidR="004D68D0" w:rsidRPr="000D1F96">
        <w:rPr>
          <w:i/>
        </w:rPr>
        <w:t>State of Tasmania v Hadley</w:t>
      </w:r>
      <w:r w:rsidR="004D68D0" w:rsidRPr="005106EE">
        <w:t>, Blow J found that where mental health issues is causative or in some other way contributes to the offending there was a need for leniency in sentencing.</w:t>
      </w:r>
      <w:r w:rsidR="008B5A4A">
        <w:rPr>
          <w:rStyle w:val="FootnoteReference"/>
        </w:rPr>
        <w:footnoteReference w:id="29"/>
      </w:r>
    </w:p>
    <w:p w14:paraId="196FD4EB" w14:textId="77777777" w:rsidR="000D1F5C" w:rsidRPr="00FA08CC" w:rsidRDefault="000D1F5C" w:rsidP="0013659F">
      <w:pPr>
        <w:ind w:right="-205"/>
        <w:jc w:val="both"/>
      </w:pPr>
    </w:p>
    <w:p w14:paraId="591F30B2" w14:textId="6BB853B2" w:rsidR="00BC3FA3" w:rsidRPr="00FA08CC" w:rsidRDefault="00BC3FA3" w:rsidP="0013659F">
      <w:pPr>
        <w:ind w:right="-205"/>
        <w:jc w:val="both"/>
      </w:pPr>
      <w:r w:rsidRPr="00FA08CC">
        <w:rPr>
          <w:b/>
        </w:rPr>
        <w:t>How to properly protect Frontline Workers and Alternatives to the Bill</w:t>
      </w:r>
    </w:p>
    <w:p w14:paraId="0495D91F" w14:textId="584ECAE8" w:rsidR="009501C1" w:rsidRPr="00FA08CC" w:rsidRDefault="000D1F5C" w:rsidP="0013659F">
      <w:pPr>
        <w:ind w:right="-205"/>
        <w:jc w:val="both"/>
      </w:pPr>
      <w:r w:rsidRPr="00FA08CC">
        <w:t>We believe</w:t>
      </w:r>
      <w:r w:rsidR="00BC3FA3" w:rsidRPr="00FA08CC">
        <w:t xml:space="preserve"> that </w:t>
      </w:r>
      <w:r w:rsidR="009501C1" w:rsidRPr="00FA08CC">
        <w:t>the proposed amendments</w:t>
      </w:r>
      <w:r w:rsidR="00BC3FA3" w:rsidRPr="00FA08CC">
        <w:t xml:space="preserve"> will not provide the protection that frontline workers require. As of October 2016, no individua</w:t>
      </w:r>
      <w:r w:rsidR="009501C1" w:rsidRPr="00FA08CC">
        <w:t xml:space="preserve">l has been prosecuted under the mandatory sentence provision for assaults against police officers </w:t>
      </w:r>
      <w:proofErr w:type="gramStart"/>
      <w:r w:rsidR="009501C1" w:rsidRPr="00FA08CC">
        <w:t>This</w:t>
      </w:r>
      <w:proofErr w:type="gramEnd"/>
      <w:r w:rsidR="009501C1" w:rsidRPr="00FA08CC">
        <w:t xml:space="preserve"> provision was</w:t>
      </w:r>
      <w:r w:rsidR="00BC3FA3" w:rsidRPr="00FA08CC">
        <w:t xml:space="preserve"> drafted to </w:t>
      </w:r>
      <w:r w:rsidR="009501C1" w:rsidRPr="00FA08CC">
        <w:t>capture</w:t>
      </w:r>
      <w:r w:rsidR="00BC3FA3" w:rsidRPr="00FA08CC">
        <w:t xml:space="preserve"> only the most serious offences which have resulted in the serious bodily harm to a police officer. The vast majority of incidents directed at police officers </w:t>
      </w:r>
      <w:r w:rsidR="009501C1" w:rsidRPr="00FA08CC">
        <w:t>and other frontline workers do</w:t>
      </w:r>
      <w:r w:rsidR="00BC3FA3" w:rsidRPr="00FA08CC">
        <w:t xml:space="preserve"> not involve violence.</w:t>
      </w:r>
      <w:r w:rsidR="00BC3FA3" w:rsidRPr="00FA08CC">
        <w:rPr>
          <w:rStyle w:val="FootnoteReference"/>
        </w:rPr>
        <w:footnoteReference w:id="30"/>
      </w:r>
      <w:r w:rsidR="00BC3FA3" w:rsidRPr="00FA08CC">
        <w:t xml:space="preserve"> T</w:t>
      </w:r>
      <w:r w:rsidR="009501C1" w:rsidRPr="00FA08CC">
        <w:t>he most common incident involves</w:t>
      </w:r>
      <w:r w:rsidR="00BC3FA3" w:rsidRPr="00FA08CC">
        <w:t xml:space="preserve"> verbal abuse directed at frontline workers. </w:t>
      </w:r>
    </w:p>
    <w:p w14:paraId="25375F46" w14:textId="77777777" w:rsidR="009501C1" w:rsidRPr="00FA08CC" w:rsidRDefault="009501C1" w:rsidP="0013659F">
      <w:pPr>
        <w:ind w:right="-205"/>
        <w:jc w:val="both"/>
      </w:pPr>
    </w:p>
    <w:p w14:paraId="2F198952" w14:textId="77777777" w:rsidR="009501C1" w:rsidRPr="00FA08CC" w:rsidRDefault="00BC3FA3" w:rsidP="0013659F">
      <w:pPr>
        <w:ind w:right="-205"/>
        <w:jc w:val="both"/>
      </w:pPr>
      <w:r w:rsidRPr="00FA08CC">
        <w:t>There are very few incidences of assaults on frontline worke</w:t>
      </w:r>
      <w:r w:rsidR="009501C1" w:rsidRPr="00FA08CC">
        <w:t>rs and only one incident over a five-</w:t>
      </w:r>
      <w:r w:rsidRPr="00FA08CC">
        <w:t>year period where a</w:t>
      </w:r>
      <w:r w:rsidR="009501C1" w:rsidRPr="00FA08CC">
        <w:t>n</w:t>
      </w:r>
      <w:r w:rsidRPr="00FA08CC">
        <w:t xml:space="preserve"> emergency service worker has suffered serious bodily harm.</w:t>
      </w:r>
      <w:r w:rsidRPr="00FA08CC">
        <w:rPr>
          <w:rStyle w:val="FootnoteReference"/>
        </w:rPr>
        <w:footnoteReference w:id="31"/>
      </w:r>
      <w:r w:rsidRPr="00FA08CC">
        <w:t xml:space="preserve"> Where frontline workers encounter hostility the majority of cases are of a non-serious assault such as spitting or shoving, cases of assault that will not amount to ‘serious bodily harm’ and therefore will not attract the mandatory sentence. </w:t>
      </w:r>
    </w:p>
    <w:p w14:paraId="3A653D44" w14:textId="77777777" w:rsidR="009501C1" w:rsidRPr="00FA08CC" w:rsidRDefault="009501C1" w:rsidP="0013659F">
      <w:pPr>
        <w:ind w:right="-205"/>
        <w:jc w:val="both"/>
      </w:pPr>
    </w:p>
    <w:p w14:paraId="5FA5AD0A" w14:textId="062DAA8D" w:rsidR="000A2D36" w:rsidRPr="00FA08CC" w:rsidRDefault="000D15EB" w:rsidP="0013659F">
      <w:pPr>
        <w:ind w:right="-205"/>
        <w:jc w:val="both"/>
      </w:pPr>
      <w:r w:rsidRPr="00FA08CC">
        <w:t>An alternative to the current Bill would be to broaden the</w:t>
      </w:r>
      <w:r w:rsidR="009501C1" w:rsidRPr="00FA08CC">
        <w:t xml:space="preserve"> </w:t>
      </w:r>
      <w:r w:rsidR="00BC3FA3" w:rsidRPr="00FA08CC">
        <w:t>definition used in s</w:t>
      </w:r>
      <w:r w:rsidR="00BE1673" w:rsidRPr="00FA08CC">
        <w:t xml:space="preserve">ection </w:t>
      </w:r>
      <w:r w:rsidR="00BC3FA3" w:rsidRPr="00FA08CC">
        <w:t xml:space="preserve">34B of the </w:t>
      </w:r>
      <w:r w:rsidR="00BC3FA3" w:rsidRPr="00FA08CC">
        <w:rPr>
          <w:i/>
        </w:rPr>
        <w:t>Police Offences Act 1935</w:t>
      </w:r>
      <w:r w:rsidR="00BC3FA3" w:rsidRPr="00FA08CC">
        <w:t xml:space="preserve"> (</w:t>
      </w:r>
      <w:proofErr w:type="spellStart"/>
      <w:r w:rsidR="00BC3FA3" w:rsidRPr="00FA08CC">
        <w:t>Tas</w:t>
      </w:r>
      <w:proofErr w:type="spellEnd"/>
      <w:r w:rsidR="00BC3FA3" w:rsidRPr="00FA08CC">
        <w:t xml:space="preserve">) to include </w:t>
      </w:r>
      <w:r w:rsidR="00BE1673" w:rsidRPr="00FA08CC">
        <w:t xml:space="preserve">those frontline workers not already covered, namely </w:t>
      </w:r>
      <w:r w:rsidR="00BC3FA3" w:rsidRPr="00FA08CC">
        <w:t xml:space="preserve">child protection workers and medical or social service workers. Presently </w:t>
      </w:r>
      <w:r w:rsidR="00BE1673" w:rsidRPr="00FA08CC">
        <w:t>the provision</w:t>
      </w:r>
      <w:r w:rsidR="00BC3FA3" w:rsidRPr="00FA08CC">
        <w:t xml:space="preserve"> only provides protection to police officers, </w:t>
      </w:r>
      <w:r w:rsidR="00BE1673" w:rsidRPr="00FA08CC">
        <w:t>a</w:t>
      </w:r>
      <w:r w:rsidR="00BC3FA3" w:rsidRPr="00FA08CC">
        <w:t xml:space="preserve">mbulance officers (both employed </w:t>
      </w:r>
      <w:r w:rsidR="00BE1673" w:rsidRPr="00FA08CC">
        <w:t>in a paid and</w:t>
      </w:r>
      <w:r w:rsidR="00BC3FA3" w:rsidRPr="00FA08CC">
        <w:t xml:space="preserve"> volunteer basis) and emergency service workers </w:t>
      </w:r>
      <w:r w:rsidR="00BE1673" w:rsidRPr="00FA08CC">
        <w:t xml:space="preserve">as </w:t>
      </w:r>
      <w:r w:rsidR="00315270" w:rsidRPr="00FA08CC">
        <w:t xml:space="preserve">defined in </w:t>
      </w:r>
      <w:r w:rsidR="00BC3FA3" w:rsidRPr="00FA08CC">
        <w:t xml:space="preserve">the </w:t>
      </w:r>
      <w:r w:rsidR="00BC3FA3" w:rsidRPr="00FA08CC">
        <w:rPr>
          <w:bCs/>
          <w:i/>
        </w:rPr>
        <w:t>Emergency Management Act 2006</w:t>
      </w:r>
      <w:r w:rsidR="00BE1673" w:rsidRPr="00FA08CC">
        <w:rPr>
          <w:bCs/>
        </w:rPr>
        <w:t xml:space="preserve"> (</w:t>
      </w:r>
      <w:proofErr w:type="spellStart"/>
      <w:r w:rsidR="00BE1673" w:rsidRPr="00FA08CC">
        <w:rPr>
          <w:bCs/>
        </w:rPr>
        <w:t>Tas</w:t>
      </w:r>
      <w:proofErr w:type="spellEnd"/>
      <w:r w:rsidR="00BC3FA3" w:rsidRPr="00FA08CC">
        <w:rPr>
          <w:bCs/>
        </w:rPr>
        <w:t>)</w:t>
      </w:r>
      <w:r w:rsidR="00BE1673" w:rsidRPr="00FA08CC">
        <w:rPr>
          <w:bCs/>
        </w:rPr>
        <w:t>.</w:t>
      </w:r>
      <w:r w:rsidR="00BC3FA3" w:rsidRPr="00FA08CC">
        <w:rPr>
          <w:rStyle w:val="FootnoteReference"/>
          <w:bCs/>
        </w:rPr>
        <w:footnoteReference w:id="32"/>
      </w:r>
      <w:r w:rsidR="00BC3FA3" w:rsidRPr="00FA08CC">
        <w:t xml:space="preserve"> </w:t>
      </w:r>
      <w:r w:rsidR="00C123BE" w:rsidRPr="00FA08CC">
        <w:t xml:space="preserve">In our opinion, the </w:t>
      </w:r>
      <w:r w:rsidR="00315270" w:rsidRPr="00FA08CC">
        <w:t xml:space="preserve">broadening of the definition of ‘emergency service worker’ </w:t>
      </w:r>
      <w:r w:rsidR="00C123BE" w:rsidRPr="00FA08CC">
        <w:t>will address the Government’s concerns of being seen to protect frontline workers without the harsh sentences that would be impose</w:t>
      </w:r>
      <w:r w:rsidR="00315270" w:rsidRPr="00FA08CC">
        <w:t xml:space="preserve">d through </w:t>
      </w:r>
      <w:r w:rsidR="000A2D36" w:rsidRPr="00FA08CC">
        <w:t xml:space="preserve">the imposition of </w:t>
      </w:r>
      <w:r w:rsidR="00315270" w:rsidRPr="00FA08CC">
        <w:t>mandatory sentencing</w:t>
      </w:r>
      <w:r w:rsidR="000A2D36" w:rsidRPr="00FA08CC">
        <w:t>.</w:t>
      </w:r>
    </w:p>
    <w:p w14:paraId="692B3D69" w14:textId="77777777" w:rsidR="00BC3FA3" w:rsidRPr="00FA08CC" w:rsidRDefault="00BC3FA3" w:rsidP="0013659F">
      <w:pPr>
        <w:ind w:right="-205"/>
        <w:jc w:val="both"/>
      </w:pPr>
    </w:p>
    <w:p w14:paraId="30CC93FD" w14:textId="77777777" w:rsidR="0013659F" w:rsidRDefault="0013659F" w:rsidP="0013659F">
      <w:pPr>
        <w:ind w:right="-205"/>
        <w:jc w:val="both"/>
        <w:outlineLvl w:val="0"/>
        <w:rPr>
          <w:b/>
        </w:rPr>
      </w:pPr>
    </w:p>
    <w:p w14:paraId="33560CC7" w14:textId="77777777" w:rsidR="0013659F" w:rsidRDefault="0013659F" w:rsidP="0013659F">
      <w:pPr>
        <w:ind w:right="-205"/>
        <w:jc w:val="both"/>
        <w:outlineLvl w:val="0"/>
        <w:rPr>
          <w:b/>
        </w:rPr>
      </w:pPr>
    </w:p>
    <w:p w14:paraId="3ADFE2A6" w14:textId="77777777" w:rsidR="00BC3FA3" w:rsidRPr="00FA08CC" w:rsidRDefault="00BC3FA3" w:rsidP="0013659F">
      <w:pPr>
        <w:ind w:right="-205"/>
        <w:jc w:val="both"/>
        <w:outlineLvl w:val="0"/>
        <w:rPr>
          <w:b/>
        </w:rPr>
      </w:pPr>
      <w:r w:rsidRPr="00FA08CC">
        <w:rPr>
          <w:b/>
        </w:rPr>
        <w:t xml:space="preserve">Summary </w:t>
      </w:r>
    </w:p>
    <w:p w14:paraId="1641DF26" w14:textId="4002ADD6" w:rsidR="000A2D36" w:rsidRPr="00FA08CC" w:rsidRDefault="000A2D36" w:rsidP="0013659F">
      <w:pPr>
        <w:ind w:right="-205"/>
        <w:jc w:val="both"/>
      </w:pPr>
      <w:r w:rsidRPr="00FA08CC">
        <w:t>In our opinion,</w:t>
      </w:r>
      <w:r w:rsidR="00BC3FA3" w:rsidRPr="00FA08CC">
        <w:t xml:space="preserve"> the Bill will not provide adequate protection to frontline workers.  </w:t>
      </w:r>
      <w:r w:rsidRPr="00FA08CC">
        <w:t>The evidence demonstrates that the mandatory sentence provision already in place has not seen any decrease in assaults against police officers and there is no evidence that introducing mandatory sentence provisions for emergency workers will have a</w:t>
      </w:r>
      <w:r w:rsidR="001C12F7" w:rsidRPr="00FA08CC">
        <w:t>ny</w:t>
      </w:r>
      <w:r w:rsidRPr="00FA08CC">
        <w:t xml:space="preserve"> deterrent effect. </w:t>
      </w:r>
    </w:p>
    <w:p w14:paraId="6C61BFDF" w14:textId="77777777" w:rsidR="000A2D36" w:rsidRPr="00FA08CC" w:rsidRDefault="000A2D36" w:rsidP="0013659F">
      <w:pPr>
        <w:ind w:right="-205"/>
        <w:jc w:val="both"/>
      </w:pPr>
    </w:p>
    <w:p w14:paraId="7D0AAE37" w14:textId="7C9767D4" w:rsidR="000A2D36" w:rsidRPr="00FA08CC" w:rsidRDefault="000A2D36" w:rsidP="0013659F">
      <w:pPr>
        <w:ind w:right="-205"/>
        <w:jc w:val="both"/>
      </w:pPr>
      <w:r w:rsidRPr="00FA08CC">
        <w:t xml:space="preserve">However, if the Government does intend to proceed with the Bill we urge them to merely amend the definition of ‘emergency service worker’ in section 34B of the </w:t>
      </w:r>
      <w:r w:rsidRPr="00FA08CC">
        <w:rPr>
          <w:i/>
        </w:rPr>
        <w:t>Police Offences Act 1935</w:t>
      </w:r>
      <w:r w:rsidRPr="00FA08CC">
        <w:t xml:space="preserve"> (</w:t>
      </w:r>
      <w:proofErr w:type="spellStart"/>
      <w:r w:rsidRPr="00FA08CC">
        <w:t>Tas</w:t>
      </w:r>
      <w:proofErr w:type="spellEnd"/>
      <w:r w:rsidRPr="00FA08CC">
        <w:t xml:space="preserve">) to include frontline workers not already covered by the definition.  </w:t>
      </w:r>
    </w:p>
    <w:p w14:paraId="5F35BE6D" w14:textId="77777777" w:rsidR="00E272F6" w:rsidRPr="00FA08CC" w:rsidRDefault="00E272F6" w:rsidP="0013659F">
      <w:pPr>
        <w:ind w:right="-205"/>
        <w:jc w:val="both"/>
        <w:rPr>
          <w:rFonts w:eastAsia="Times New Roman" w:cs="Times New Roman"/>
        </w:rPr>
      </w:pPr>
    </w:p>
    <w:p w14:paraId="2BD75309" w14:textId="77777777" w:rsidR="00E272F6" w:rsidRPr="00FA08CC" w:rsidRDefault="00E272F6" w:rsidP="0013659F">
      <w:pPr>
        <w:ind w:right="-205"/>
        <w:jc w:val="both"/>
        <w:rPr>
          <w:rFonts w:eastAsia="Times New Roman" w:cs="Times New Roman"/>
        </w:rPr>
      </w:pPr>
      <w:r w:rsidRPr="00FA08CC">
        <w:rPr>
          <w:rFonts w:eastAsia="Times New Roman" w:cs="Times New Roman"/>
        </w:rPr>
        <w:t xml:space="preserve">If you have any queries or we can be of any further assistance, please do not hesitate to contact us. </w:t>
      </w:r>
    </w:p>
    <w:p w14:paraId="7E994846" w14:textId="77777777" w:rsidR="00E272F6" w:rsidRPr="00FA08CC" w:rsidRDefault="00E272F6" w:rsidP="0013659F">
      <w:pPr>
        <w:ind w:right="-205"/>
        <w:jc w:val="both"/>
        <w:rPr>
          <w:rFonts w:eastAsia="Times New Roman" w:cs="Times New Roman"/>
        </w:rPr>
      </w:pPr>
    </w:p>
    <w:p w14:paraId="1B7BAB0F" w14:textId="77777777" w:rsidR="00D66B41" w:rsidRPr="00FA08CC" w:rsidRDefault="00D66B41" w:rsidP="0013659F">
      <w:pPr>
        <w:ind w:right="-205"/>
        <w:jc w:val="both"/>
        <w:rPr>
          <w:rFonts w:eastAsia="Times New Roman" w:cs="Times New Roman"/>
        </w:rPr>
      </w:pPr>
    </w:p>
    <w:p w14:paraId="353086E2" w14:textId="77777777" w:rsidR="00E272F6" w:rsidRPr="00FA08CC" w:rsidRDefault="00E272F6" w:rsidP="0013659F">
      <w:pPr>
        <w:ind w:right="-205"/>
        <w:jc w:val="both"/>
        <w:rPr>
          <w:rFonts w:eastAsia="Times New Roman" w:cs="Times New Roman"/>
        </w:rPr>
      </w:pPr>
      <w:r w:rsidRPr="00FA08CC">
        <w:rPr>
          <w:rFonts w:eastAsia="Times New Roman" w:cs="Times New Roman"/>
        </w:rPr>
        <w:t>Yours faithfully,</w:t>
      </w:r>
    </w:p>
    <w:p w14:paraId="21B34DE4" w14:textId="77777777" w:rsidR="00E272F6" w:rsidRPr="00FA08CC" w:rsidRDefault="00E272F6" w:rsidP="0013659F">
      <w:pPr>
        <w:ind w:right="-205"/>
        <w:jc w:val="both"/>
        <w:rPr>
          <w:rFonts w:eastAsia="Times New Roman" w:cs="Times New Roman"/>
        </w:rPr>
      </w:pPr>
    </w:p>
    <w:p w14:paraId="76BFE9BC" w14:textId="77777777" w:rsidR="00E272F6" w:rsidRPr="00FA08CC" w:rsidRDefault="00E272F6" w:rsidP="0013659F">
      <w:pPr>
        <w:ind w:right="-205"/>
        <w:jc w:val="both"/>
        <w:rPr>
          <w:rFonts w:eastAsia="Times New Roman" w:cs="Times New Roman"/>
        </w:rPr>
      </w:pPr>
    </w:p>
    <w:p w14:paraId="3B76BD32" w14:textId="77777777" w:rsidR="00E272F6" w:rsidRPr="00FA08CC" w:rsidRDefault="00E272F6" w:rsidP="0013659F">
      <w:pPr>
        <w:ind w:right="-205"/>
        <w:jc w:val="both"/>
        <w:rPr>
          <w:rFonts w:eastAsia="Times New Roman" w:cs="Times New Roman"/>
        </w:rPr>
      </w:pPr>
    </w:p>
    <w:p w14:paraId="5544F038" w14:textId="77777777" w:rsidR="00E272F6" w:rsidRPr="00FA08CC" w:rsidRDefault="00E272F6" w:rsidP="0013659F">
      <w:pPr>
        <w:ind w:right="-205"/>
        <w:jc w:val="both"/>
        <w:rPr>
          <w:rFonts w:eastAsia="Times New Roman" w:cs="Times New Roman"/>
        </w:rPr>
      </w:pPr>
      <w:r w:rsidRPr="00FA08CC">
        <w:rPr>
          <w:rFonts w:eastAsia="Times New Roman" w:cs="Times New Roman"/>
        </w:rPr>
        <w:t>Benedict Bartl</w:t>
      </w:r>
    </w:p>
    <w:p w14:paraId="50C07201" w14:textId="77777777" w:rsidR="00E272F6" w:rsidRPr="00FA08CC" w:rsidRDefault="00E272F6" w:rsidP="0013659F">
      <w:pPr>
        <w:ind w:right="-205"/>
        <w:jc w:val="both"/>
        <w:rPr>
          <w:rFonts w:eastAsia="Times New Roman" w:cs="Times New Roman"/>
        </w:rPr>
      </w:pPr>
      <w:r w:rsidRPr="00FA08CC">
        <w:rPr>
          <w:rFonts w:eastAsia="Times New Roman" w:cs="Times New Roman"/>
        </w:rPr>
        <w:t>Policy Officer</w:t>
      </w:r>
    </w:p>
    <w:p w14:paraId="01E26C28" w14:textId="77777777" w:rsidR="00E272F6" w:rsidRPr="00FA08CC" w:rsidRDefault="00E272F6" w:rsidP="0013659F">
      <w:pPr>
        <w:pBdr>
          <w:bottom w:val="single" w:sz="6" w:space="1" w:color="auto"/>
        </w:pBdr>
        <w:ind w:right="-205"/>
        <w:jc w:val="both"/>
        <w:rPr>
          <w:rFonts w:eastAsia="Times New Roman" w:cs="Times New Roman"/>
          <w:b/>
        </w:rPr>
      </w:pPr>
      <w:r w:rsidRPr="00FA08CC">
        <w:rPr>
          <w:rFonts w:eastAsia="Times New Roman" w:cs="Times New Roman"/>
          <w:b/>
        </w:rPr>
        <w:t xml:space="preserve">Community Legal </w:t>
      </w:r>
      <w:proofErr w:type="spellStart"/>
      <w:r w:rsidRPr="00FA08CC">
        <w:rPr>
          <w:rFonts w:eastAsia="Times New Roman" w:cs="Times New Roman"/>
          <w:b/>
        </w:rPr>
        <w:t>Centres</w:t>
      </w:r>
      <w:proofErr w:type="spellEnd"/>
      <w:r w:rsidRPr="00FA08CC">
        <w:rPr>
          <w:rFonts w:eastAsia="Times New Roman" w:cs="Times New Roman"/>
          <w:b/>
        </w:rPr>
        <w:t xml:space="preserve"> Tasmania</w:t>
      </w:r>
    </w:p>
    <w:p w14:paraId="26E0F4EB" w14:textId="1F1D493C" w:rsidR="00BD735A" w:rsidRPr="00FA08CC" w:rsidRDefault="00BD735A" w:rsidP="0013659F">
      <w:pPr>
        <w:ind w:right="-205"/>
      </w:pPr>
    </w:p>
    <w:sectPr w:rsidR="00BD735A" w:rsidRPr="00FA08CC" w:rsidSect="004C046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8FCBE" w14:textId="77777777" w:rsidR="004975A3" w:rsidRDefault="004975A3" w:rsidP="00E272F6">
      <w:r>
        <w:separator/>
      </w:r>
    </w:p>
  </w:endnote>
  <w:endnote w:type="continuationSeparator" w:id="0">
    <w:p w14:paraId="02EE0B27" w14:textId="77777777" w:rsidR="004975A3" w:rsidRDefault="004975A3" w:rsidP="00E2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D22EF" w14:textId="77777777" w:rsidR="004975A3" w:rsidRDefault="004975A3" w:rsidP="00E272F6">
      <w:r>
        <w:separator/>
      </w:r>
    </w:p>
  </w:footnote>
  <w:footnote w:type="continuationSeparator" w:id="0">
    <w:p w14:paraId="40341665" w14:textId="77777777" w:rsidR="004975A3" w:rsidRDefault="004975A3" w:rsidP="00E272F6">
      <w:r>
        <w:continuationSeparator/>
      </w:r>
    </w:p>
  </w:footnote>
  <w:footnote w:id="1">
    <w:p w14:paraId="3C5803FF" w14:textId="23D0990E" w:rsidR="004975A3" w:rsidRPr="00E91951" w:rsidRDefault="004975A3">
      <w:pPr>
        <w:pStyle w:val="FootnoteText"/>
        <w:rPr>
          <w:rFonts w:asciiTheme="minorHAnsi" w:hAnsiTheme="minorHAnsi"/>
          <w:sz w:val="20"/>
          <w:szCs w:val="20"/>
          <w:lang w:val="en-US"/>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sz w:val="20"/>
          <w:szCs w:val="20"/>
          <w:lang w:val="en-US"/>
        </w:rPr>
        <w:t xml:space="preserve">CLC </w:t>
      </w:r>
      <w:proofErr w:type="spellStart"/>
      <w:proofErr w:type="gramStart"/>
      <w:r w:rsidRPr="00E91951">
        <w:rPr>
          <w:rFonts w:asciiTheme="minorHAnsi" w:hAnsiTheme="minorHAnsi"/>
          <w:sz w:val="20"/>
          <w:szCs w:val="20"/>
          <w:lang w:val="en-US"/>
        </w:rPr>
        <w:t>Tas</w:t>
      </w:r>
      <w:proofErr w:type="spellEnd"/>
      <w:proofErr w:type="gramEnd"/>
      <w:r w:rsidRPr="00E91951">
        <w:rPr>
          <w:rFonts w:asciiTheme="minorHAnsi" w:hAnsiTheme="minorHAnsi"/>
          <w:sz w:val="20"/>
          <w:szCs w:val="20"/>
          <w:lang w:val="en-US"/>
        </w:rPr>
        <w:t xml:space="preserve"> would like to acknowledge Alexander Davidson who drafted the response and Jessica </w:t>
      </w:r>
      <w:proofErr w:type="spellStart"/>
      <w:r w:rsidRPr="00E91951">
        <w:rPr>
          <w:rFonts w:asciiTheme="minorHAnsi" w:hAnsiTheme="minorHAnsi"/>
          <w:sz w:val="20"/>
          <w:szCs w:val="20"/>
          <w:lang w:val="en-US"/>
        </w:rPr>
        <w:t>Musch</w:t>
      </w:r>
      <w:proofErr w:type="spellEnd"/>
      <w:r w:rsidRPr="00E91951">
        <w:rPr>
          <w:rFonts w:asciiTheme="minorHAnsi" w:hAnsiTheme="minorHAnsi"/>
          <w:sz w:val="20"/>
          <w:szCs w:val="20"/>
          <w:lang w:val="en-US"/>
        </w:rPr>
        <w:t xml:space="preserve"> who provided the research that underpins our response.  </w:t>
      </w:r>
    </w:p>
  </w:footnote>
  <w:footnote w:id="2">
    <w:p w14:paraId="6457F5B4" w14:textId="6EF051F0" w:rsidR="004975A3" w:rsidRPr="00E91951" w:rsidRDefault="004975A3" w:rsidP="00397346">
      <w:pPr>
        <w:pStyle w:val="FootnoteText"/>
        <w:rPr>
          <w:rFonts w:asciiTheme="minorHAnsi" w:hAnsiTheme="minorHAnsi"/>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sz w:val="20"/>
          <w:szCs w:val="20"/>
        </w:rPr>
        <w:t xml:space="preserve">Section 34B of the </w:t>
      </w:r>
      <w:r w:rsidRPr="00E91951">
        <w:rPr>
          <w:rFonts w:asciiTheme="minorHAnsi" w:hAnsiTheme="minorHAnsi"/>
          <w:i/>
          <w:sz w:val="20"/>
          <w:szCs w:val="20"/>
        </w:rPr>
        <w:t>Police Offences Act 1935</w:t>
      </w:r>
      <w:r w:rsidRPr="00E91951">
        <w:rPr>
          <w:rFonts w:asciiTheme="minorHAnsi" w:hAnsiTheme="minorHAnsi"/>
          <w:sz w:val="20"/>
          <w:szCs w:val="20"/>
        </w:rPr>
        <w:t xml:space="preserve"> (</w:t>
      </w:r>
      <w:proofErr w:type="spellStart"/>
      <w:r w:rsidRPr="00E91951">
        <w:rPr>
          <w:rFonts w:asciiTheme="minorHAnsi" w:hAnsiTheme="minorHAnsi"/>
          <w:sz w:val="20"/>
          <w:szCs w:val="20"/>
        </w:rPr>
        <w:t>Tas</w:t>
      </w:r>
      <w:proofErr w:type="spellEnd"/>
      <w:r w:rsidRPr="00E91951">
        <w:rPr>
          <w:rFonts w:asciiTheme="minorHAnsi" w:hAnsiTheme="minorHAnsi"/>
          <w:sz w:val="20"/>
          <w:szCs w:val="20"/>
        </w:rPr>
        <w:t>) s34B; section 114 of the</w:t>
      </w:r>
      <w:r w:rsidRPr="00E91951">
        <w:rPr>
          <w:rFonts w:asciiTheme="minorHAnsi" w:hAnsiTheme="minorHAnsi"/>
          <w:i/>
          <w:sz w:val="20"/>
          <w:szCs w:val="20"/>
        </w:rPr>
        <w:t xml:space="preserve"> Criminal Code Act</w:t>
      </w:r>
      <w:r w:rsidRPr="00E91951">
        <w:rPr>
          <w:rFonts w:asciiTheme="minorHAnsi" w:hAnsiTheme="minorHAnsi"/>
          <w:sz w:val="20"/>
          <w:szCs w:val="20"/>
        </w:rPr>
        <w:t xml:space="preserve"> </w:t>
      </w:r>
      <w:r w:rsidRPr="00E91951">
        <w:rPr>
          <w:rFonts w:asciiTheme="minorHAnsi" w:hAnsiTheme="minorHAnsi"/>
          <w:i/>
          <w:sz w:val="20"/>
          <w:szCs w:val="20"/>
        </w:rPr>
        <w:t xml:space="preserve">1924 </w:t>
      </w:r>
      <w:r w:rsidRPr="00E91951">
        <w:rPr>
          <w:rFonts w:asciiTheme="minorHAnsi" w:hAnsiTheme="minorHAnsi"/>
          <w:sz w:val="20"/>
          <w:szCs w:val="20"/>
        </w:rPr>
        <w:t>(</w:t>
      </w:r>
      <w:proofErr w:type="spellStart"/>
      <w:r w:rsidRPr="00E91951">
        <w:rPr>
          <w:rFonts w:asciiTheme="minorHAnsi" w:hAnsiTheme="minorHAnsi"/>
          <w:sz w:val="20"/>
          <w:szCs w:val="20"/>
        </w:rPr>
        <w:t>Tas</w:t>
      </w:r>
      <w:proofErr w:type="spellEnd"/>
      <w:r w:rsidRPr="00E91951">
        <w:rPr>
          <w:rFonts w:asciiTheme="minorHAnsi" w:hAnsiTheme="minorHAnsi"/>
          <w:sz w:val="20"/>
          <w:szCs w:val="20"/>
        </w:rPr>
        <w:t>).</w:t>
      </w:r>
    </w:p>
  </w:footnote>
  <w:footnote w:id="3">
    <w:p w14:paraId="1A5AB861" w14:textId="2C32F429" w:rsidR="004975A3" w:rsidRPr="00E91951" w:rsidRDefault="004975A3" w:rsidP="00BC3F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rPr>
        <w:t xml:space="preserve"> </w:t>
      </w:r>
      <w:proofErr w:type="gramStart"/>
      <w:r w:rsidRPr="00E91951">
        <w:rPr>
          <w:rFonts w:asciiTheme="minorHAnsi" w:hAnsiTheme="minorHAnsi"/>
          <w:sz w:val="20"/>
          <w:szCs w:val="20"/>
        </w:rPr>
        <w:t xml:space="preserve">Section 172 of the </w:t>
      </w:r>
      <w:r w:rsidRPr="00E91951">
        <w:rPr>
          <w:rFonts w:asciiTheme="minorHAnsi" w:hAnsiTheme="minorHAnsi"/>
          <w:i/>
          <w:sz w:val="20"/>
          <w:szCs w:val="20"/>
        </w:rPr>
        <w:t xml:space="preserve">Criminal Code Act 1924 </w:t>
      </w:r>
      <w:r w:rsidRPr="00E91951">
        <w:rPr>
          <w:rFonts w:asciiTheme="minorHAnsi" w:hAnsiTheme="minorHAnsi"/>
          <w:sz w:val="20"/>
          <w:szCs w:val="20"/>
        </w:rPr>
        <w:t>(</w:t>
      </w:r>
      <w:proofErr w:type="spellStart"/>
      <w:r w:rsidRPr="00E91951">
        <w:rPr>
          <w:rFonts w:asciiTheme="minorHAnsi" w:hAnsiTheme="minorHAnsi"/>
          <w:sz w:val="20"/>
          <w:szCs w:val="20"/>
        </w:rPr>
        <w:t>Tas</w:t>
      </w:r>
      <w:proofErr w:type="spellEnd"/>
      <w:r w:rsidRPr="00E91951">
        <w:rPr>
          <w:rFonts w:asciiTheme="minorHAnsi" w:hAnsiTheme="minorHAnsi"/>
          <w:sz w:val="20"/>
          <w:szCs w:val="20"/>
        </w:rPr>
        <w:t>).</w:t>
      </w:r>
      <w:proofErr w:type="gramEnd"/>
    </w:p>
  </w:footnote>
  <w:footnote w:id="4">
    <w:p w14:paraId="2560237A" w14:textId="59188A21" w:rsidR="004975A3" w:rsidRPr="00E91951" w:rsidRDefault="004975A3" w:rsidP="00BC3F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sz w:val="20"/>
          <w:szCs w:val="20"/>
        </w:rPr>
        <w:t xml:space="preserve">Sentencing Advisory Council, </w:t>
      </w:r>
      <w:r w:rsidRPr="00E91951">
        <w:rPr>
          <w:rFonts w:asciiTheme="minorHAnsi" w:hAnsiTheme="minorHAnsi"/>
          <w:i/>
          <w:sz w:val="20"/>
          <w:szCs w:val="20"/>
        </w:rPr>
        <w:t>Assaults of Emergency Service Workers</w:t>
      </w:r>
      <w:r w:rsidRPr="00E91951">
        <w:rPr>
          <w:rFonts w:asciiTheme="minorHAnsi" w:hAnsiTheme="minorHAnsi"/>
          <w:sz w:val="20"/>
          <w:szCs w:val="20"/>
        </w:rPr>
        <w:t xml:space="preserve"> (Final Report: No. 2) at v.</w:t>
      </w:r>
    </w:p>
  </w:footnote>
  <w:footnote w:id="5">
    <w:p w14:paraId="743DC8AC" w14:textId="1DC54FB6" w:rsidR="004975A3" w:rsidRPr="00E91951" w:rsidRDefault="004975A3" w:rsidP="00BC3F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sz w:val="20"/>
          <w:szCs w:val="20"/>
        </w:rPr>
        <w:t xml:space="preserve"> Sentencing Advisory Council, </w:t>
      </w:r>
      <w:r w:rsidRPr="00E91951">
        <w:rPr>
          <w:rFonts w:asciiTheme="minorHAnsi" w:hAnsiTheme="minorHAnsi"/>
          <w:i/>
          <w:sz w:val="20"/>
          <w:szCs w:val="20"/>
        </w:rPr>
        <w:t>Assaults of Emergency Service Workers</w:t>
      </w:r>
      <w:r w:rsidRPr="00E91951">
        <w:rPr>
          <w:rFonts w:asciiTheme="minorHAnsi" w:hAnsiTheme="minorHAnsi"/>
          <w:sz w:val="20"/>
          <w:szCs w:val="20"/>
        </w:rPr>
        <w:t xml:space="preserve"> (Final Report: No. 2) at 25.</w:t>
      </w:r>
    </w:p>
  </w:footnote>
  <w:footnote w:id="6">
    <w:p w14:paraId="071833C4" w14:textId="7F866F98" w:rsidR="004975A3" w:rsidRPr="00E91951" w:rsidRDefault="004975A3">
      <w:pPr>
        <w:pStyle w:val="FootnoteText"/>
        <w:rPr>
          <w:rFonts w:asciiTheme="minorHAnsi" w:hAnsiTheme="minorHAnsi"/>
          <w:lang w:val="en-US"/>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color w:val="000000" w:themeColor="text1"/>
          <w:sz w:val="20"/>
          <w:szCs w:val="20"/>
        </w:rPr>
        <w:t xml:space="preserve">Section 34B(1)(a) of the </w:t>
      </w:r>
      <w:r w:rsidRPr="00E91951">
        <w:rPr>
          <w:rFonts w:asciiTheme="minorHAnsi" w:hAnsiTheme="minorHAnsi"/>
          <w:i/>
          <w:color w:val="000000" w:themeColor="text1"/>
          <w:sz w:val="20"/>
          <w:szCs w:val="20"/>
        </w:rPr>
        <w:t>Police Offences Act</w:t>
      </w:r>
      <w:r w:rsidRPr="00E91951">
        <w:rPr>
          <w:rFonts w:asciiTheme="minorHAnsi" w:hAnsiTheme="minorHAnsi"/>
          <w:color w:val="000000" w:themeColor="text1"/>
          <w:sz w:val="20"/>
          <w:szCs w:val="20"/>
        </w:rPr>
        <w:t xml:space="preserve"> 1935 (</w:t>
      </w:r>
      <w:proofErr w:type="spellStart"/>
      <w:r w:rsidRPr="00E91951">
        <w:rPr>
          <w:rFonts w:asciiTheme="minorHAnsi" w:hAnsiTheme="minorHAnsi"/>
          <w:color w:val="000000" w:themeColor="text1"/>
          <w:sz w:val="20"/>
          <w:szCs w:val="20"/>
        </w:rPr>
        <w:t>Tas</w:t>
      </w:r>
      <w:proofErr w:type="spellEnd"/>
      <w:r w:rsidRPr="00E91951">
        <w:rPr>
          <w:rFonts w:asciiTheme="minorHAnsi" w:hAnsiTheme="minorHAnsi"/>
          <w:color w:val="000000" w:themeColor="text1"/>
          <w:sz w:val="20"/>
          <w:szCs w:val="20"/>
        </w:rPr>
        <w:t xml:space="preserve">); section 114 of the </w:t>
      </w:r>
      <w:r w:rsidRPr="00E91951">
        <w:rPr>
          <w:rFonts w:asciiTheme="minorHAnsi" w:hAnsiTheme="minorHAnsi"/>
          <w:i/>
          <w:color w:val="000000" w:themeColor="text1"/>
          <w:sz w:val="20"/>
          <w:szCs w:val="20"/>
        </w:rPr>
        <w:t>Criminal Code Act 1924</w:t>
      </w:r>
      <w:r w:rsidRPr="00E91951">
        <w:rPr>
          <w:rFonts w:asciiTheme="minorHAnsi" w:hAnsiTheme="minorHAnsi"/>
          <w:color w:val="000000" w:themeColor="text1"/>
          <w:sz w:val="20"/>
          <w:szCs w:val="20"/>
        </w:rPr>
        <w:t xml:space="preserve"> (</w:t>
      </w:r>
      <w:proofErr w:type="spellStart"/>
      <w:r w:rsidRPr="00E91951">
        <w:rPr>
          <w:rFonts w:asciiTheme="minorHAnsi" w:hAnsiTheme="minorHAnsi"/>
          <w:color w:val="000000" w:themeColor="text1"/>
          <w:sz w:val="20"/>
          <w:szCs w:val="20"/>
        </w:rPr>
        <w:t>Tas</w:t>
      </w:r>
      <w:proofErr w:type="spellEnd"/>
      <w:r w:rsidRPr="00E91951">
        <w:rPr>
          <w:rFonts w:asciiTheme="minorHAnsi" w:hAnsiTheme="minorHAnsi"/>
          <w:color w:val="000000" w:themeColor="text1"/>
          <w:sz w:val="20"/>
          <w:szCs w:val="20"/>
        </w:rPr>
        <w:t>).</w:t>
      </w:r>
    </w:p>
  </w:footnote>
  <w:footnote w:id="7">
    <w:p w14:paraId="0046548A" w14:textId="2035D5DD" w:rsidR="004975A3" w:rsidRPr="00E91951" w:rsidRDefault="004975A3" w:rsidP="00BC3FA3">
      <w:pPr>
        <w:pStyle w:val="FootnoteText"/>
        <w:rPr>
          <w:rFonts w:asciiTheme="minorHAnsi" w:hAnsiTheme="minorHAnsi"/>
          <w:sz w:val="20"/>
          <w:szCs w:val="20"/>
          <w:lang w:val="en-US"/>
        </w:rPr>
      </w:pPr>
      <w:r w:rsidRPr="00E91951">
        <w:rPr>
          <w:rStyle w:val="FootnoteReference"/>
          <w:rFonts w:asciiTheme="minorHAnsi" w:hAnsiTheme="minorHAnsi"/>
        </w:rPr>
        <w:footnoteRef/>
      </w:r>
      <w:r w:rsidRPr="00E91951">
        <w:rPr>
          <w:rFonts w:asciiTheme="minorHAnsi" w:hAnsiTheme="minorHAnsi"/>
        </w:rPr>
        <w:t xml:space="preserve"> </w:t>
      </w:r>
      <w:proofErr w:type="gramStart"/>
      <w:r w:rsidRPr="00E91951">
        <w:rPr>
          <w:rFonts w:asciiTheme="minorHAnsi" w:hAnsiTheme="minorHAnsi"/>
          <w:sz w:val="20"/>
          <w:szCs w:val="20"/>
        </w:rPr>
        <w:t xml:space="preserve">Tasmanian Police Service, </w:t>
      </w:r>
      <w:r w:rsidRPr="00E91951">
        <w:rPr>
          <w:rFonts w:asciiTheme="minorHAnsi" w:hAnsiTheme="minorHAnsi"/>
          <w:i/>
          <w:sz w:val="20"/>
          <w:szCs w:val="20"/>
        </w:rPr>
        <w:t>Annual 2012-2013 Corporate Performance Report</w:t>
      </w:r>
      <w:r w:rsidRPr="00E91951">
        <w:rPr>
          <w:rFonts w:asciiTheme="minorHAnsi" w:hAnsiTheme="minorHAnsi"/>
          <w:sz w:val="20"/>
          <w:szCs w:val="20"/>
        </w:rPr>
        <w:t xml:space="preserve"> (Department of Police and Emergency Management, July 2013).</w:t>
      </w:r>
      <w:proofErr w:type="gramEnd"/>
      <w:r w:rsidRPr="00E91951">
        <w:rPr>
          <w:rFonts w:asciiTheme="minorHAnsi" w:hAnsiTheme="minorHAnsi"/>
          <w:sz w:val="20"/>
          <w:szCs w:val="20"/>
        </w:rPr>
        <w:t xml:space="preserve"> </w:t>
      </w:r>
    </w:p>
  </w:footnote>
  <w:footnote w:id="8">
    <w:p w14:paraId="2525E23D" w14:textId="502D951E" w:rsidR="004975A3" w:rsidRPr="00E91951" w:rsidRDefault="004975A3" w:rsidP="00BC3FA3">
      <w:pPr>
        <w:pStyle w:val="FootnoteText"/>
        <w:rPr>
          <w:rFonts w:asciiTheme="minorHAnsi" w:hAnsiTheme="minorHAnsi"/>
          <w:sz w:val="20"/>
          <w:szCs w:val="20"/>
          <w:lang w:val="en-US"/>
        </w:rPr>
      </w:pPr>
      <w:r w:rsidRPr="00E91951">
        <w:rPr>
          <w:rStyle w:val="FootnoteReference"/>
          <w:rFonts w:asciiTheme="minorHAnsi" w:hAnsiTheme="minorHAnsi"/>
        </w:rPr>
        <w:footnoteRef/>
      </w:r>
      <w:r w:rsidRPr="00E91951">
        <w:rPr>
          <w:rFonts w:asciiTheme="minorHAnsi" w:hAnsiTheme="minorHAnsi"/>
        </w:rPr>
        <w:t xml:space="preserve"> </w:t>
      </w:r>
      <w:proofErr w:type="gramStart"/>
      <w:r w:rsidRPr="00E91951">
        <w:rPr>
          <w:rFonts w:asciiTheme="minorHAnsi" w:hAnsiTheme="minorHAnsi"/>
          <w:sz w:val="20"/>
          <w:szCs w:val="20"/>
        </w:rPr>
        <w:t xml:space="preserve">Tasmanian Police Service, </w:t>
      </w:r>
      <w:r w:rsidRPr="00E91951">
        <w:rPr>
          <w:rFonts w:asciiTheme="minorHAnsi" w:hAnsiTheme="minorHAnsi"/>
          <w:i/>
          <w:sz w:val="20"/>
          <w:szCs w:val="20"/>
        </w:rPr>
        <w:t>Annual 2012-2013 Corporate Performance Report</w:t>
      </w:r>
      <w:r w:rsidRPr="00E91951">
        <w:rPr>
          <w:rFonts w:asciiTheme="minorHAnsi" w:hAnsiTheme="minorHAnsi"/>
          <w:sz w:val="20"/>
          <w:szCs w:val="20"/>
        </w:rPr>
        <w:t xml:space="preserve"> (Department of Police and Emergency Management, July 2013).</w:t>
      </w:r>
      <w:proofErr w:type="gramEnd"/>
    </w:p>
  </w:footnote>
  <w:footnote w:id="9">
    <w:p w14:paraId="3965092A" w14:textId="6BCE57F3" w:rsidR="004975A3" w:rsidRPr="00E91951" w:rsidRDefault="004975A3" w:rsidP="00BC3F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rPr>
        <w:t xml:space="preserve"> </w:t>
      </w:r>
      <w:proofErr w:type="gramStart"/>
      <w:r w:rsidRPr="00E91951">
        <w:rPr>
          <w:rFonts w:asciiTheme="minorHAnsi" w:hAnsiTheme="minorHAnsi"/>
          <w:sz w:val="20"/>
          <w:szCs w:val="20"/>
        </w:rPr>
        <w:t xml:space="preserve">Tasmanian Police Service, </w:t>
      </w:r>
      <w:r w:rsidRPr="00E91951">
        <w:rPr>
          <w:rFonts w:asciiTheme="minorHAnsi" w:hAnsiTheme="minorHAnsi"/>
          <w:i/>
          <w:sz w:val="20"/>
          <w:szCs w:val="20"/>
        </w:rPr>
        <w:t xml:space="preserve">2012-2013 </w:t>
      </w:r>
      <w:r w:rsidRPr="00E91951">
        <w:rPr>
          <w:rFonts w:asciiTheme="minorHAnsi" w:hAnsiTheme="minorHAnsi"/>
          <w:i/>
          <w:sz w:val="20"/>
          <w:szCs w:val="20"/>
          <w:lang w:val="en-US"/>
        </w:rPr>
        <w:t>Crime Statistics Supplement</w:t>
      </w:r>
      <w:r w:rsidRPr="00E91951">
        <w:rPr>
          <w:rFonts w:asciiTheme="minorHAnsi" w:hAnsiTheme="minorHAnsi"/>
          <w:sz w:val="20"/>
          <w:szCs w:val="20"/>
          <w:lang w:val="en-US"/>
        </w:rPr>
        <w:t xml:space="preserve"> </w:t>
      </w:r>
      <w:r w:rsidRPr="00E91951">
        <w:rPr>
          <w:rFonts w:asciiTheme="minorHAnsi" w:hAnsiTheme="minorHAnsi"/>
          <w:sz w:val="20"/>
          <w:szCs w:val="20"/>
        </w:rPr>
        <w:t>(Department of Police and Emergency Management, July 2013).</w:t>
      </w:r>
      <w:proofErr w:type="gramEnd"/>
    </w:p>
  </w:footnote>
  <w:footnote w:id="10">
    <w:p w14:paraId="1E04DC47" w14:textId="77777777" w:rsidR="004975A3" w:rsidRPr="00E91951" w:rsidRDefault="004975A3" w:rsidP="004F195C">
      <w:pPr>
        <w:rPr>
          <w:rFonts w:eastAsia="MS Mincho" w:cs="Times New Roman"/>
          <w:sz w:val="20"/>
          <w:szCs w:val="20"/>
        </w:rPr>
      </w:pPr>
      <w:r w:rsidRPr="00E91951">
        <w:rPr>
          <w:rStyle w:val="FootnoteReference"/>
          <w:rFonts w:cs="Times New Roman"/>
        </w:rPr>
        <w:footnoteRef/>
      </w:r>
      <w:r w:rsidRPr="00E91951">
        <w:rPr>
          <w:rFonts w:cs="Times New Roman"/>
        </w:rPr>
        <w:t xml:space="preserve"> </w:t>
      </w:r>
      <w:proofErr w:type="gramStart"/>
      <w:r w:rsidRPr="00E91951">
        <w:rPr>
          <w:rFonts w:cs="Times New Roman"/>
          <w:sz w:val="20"/>
          <w:szCs w:val="20"/>
        </w:rPr>
        <w:t xml:space="preserve">Tasmanian Police Service, </w:t>
      </w:r>
      <w:r w:rsidRPr="00E91951">
        <w:rPr>
          <w:rFonts w:cs="Times New Roman"/>
          <w:i/>
          <w:sz w:val="20"/>
          <w:szCs w:val="20"/>
        </w:rPr>
        <w:t>Annual (June) 2016 Corporate Performance Report</w:t>
      </w:r>
      <w:r w:rsidRPr="00E91951">
        <w:rPr>
          <w:rFonts w:cs="Times New Roman"/>
          <w:sz w:val="20"/>
          <w:szCs w:val="20"/>
        </w:rPr>
        <w:t xml:space="preserve"> </w:t>
      </w:r>
      <w:r w:rsidRPr="00E91951">
        <w:rPr>
          <w:sz w:val="20"/>
          <w:szCs w:val="20"/>
        </w:rPr>
        <w:t>(Department of Police, Fire and Emergency Management, August 2016).</w:t>
      </w:r>
      <w:proofErr w:type="gramEnd"/>
    </w:p>
  </w:footnote>
  <w:footnote w:id="11">
    <w:p w14:paraId="289E65B2" w14:textId="0C8DFA25" w:rsidR="004975A3" w:rsidRPr="00E91951" w:rsidRDefault="004975A3" w:rsidP="00BC3FA3">
      <w:pPr>
        <w:pStyle w:val="FootnoteText"/>
        <w:rPr>
          <w:rFonts w:asciiTheme="minorHAnsi" w:hAnsiTheme="minorHAnsi"/>
          <w:sz w:val="20"/>
          <w:szCs w:val="20"/>
          <w:lang w:val="en-US"/>
        </w:rPr>
      </w:pPr>
      <w:r w:rsidRPr="00E91951">
        <w:rPr>
          <w:rStyle w:val="FootnoteReference"/>
          <w:rFonts w:asciiTheme="minorHAnsi" w:hAnsiTheme="minorHAnsi"/>
        </w:rPr>
        <w:footnoteRef/>
      </w:r>
      <w:r w:rsidRPr="00E91951">
        <w:rPr>
          <w:rFonts w:asciiTheme="minorHAnsi" w:hAnsiTheme="minorHAnsi"/>
          <w:sz w:val="20"/>
          <w:szCs w:val="20"/>
        </w:rPr>
        <w:t xml:space="preserve"> </w:t>
      </w:r>
      <w:proofErr w:type="gramStart"/>
      <w:r w:rsidRPr="00E91951">
        <w:rPr>
          <w:rFonts w:asciiTheme="minorHAnsi" w:hAnsiTheme="minorHAnsi"/>
          <w:sz w:val="20"/>
          <w:szCs w:val="20"/>
        </w:rPr>
        <w:t xml:space="preserve">Tasmanian Police Service, </w:t>
      </w:r>
      <w:r w:rsidRPr="00E91951">
        <w:rPr>
          <w:rFonts w:asciiTheme="minorHAnsi" w:hAnsiTheme="minorHAnsi"/>
          <w:i/>
          <w:sz w:val="20"/>
          <w:szCs w:val="20"/>
        </w:rPr>
        <w:t>Annual (June) 2016 Corporate Performance Report</w:t>
      </w:r>
      <w:r w:rsidRPr="00E91951">
        <w:rPr>
          <w:rFonts w:asciiTheme="minorHAnsi" w:hAnsiTheme="minorHAnsi"/>
          <w:sz w:val="20"/>
          <w:szCs w:val="20"/>
        </w:rPr>
        <w:t xml:space="preserve"> (Department of Police, Fire and Emergency Management, August 2016).</w:t>
      </w:r>
      <w:proofErr w:type="gramEnd"/>
    </w:p>
  </w:footnote>
  <w:footnote w:id="12">
    <w:p w14:paraId="5FB01688" w14:textId="157D8CC4" w:rsidR="004975A3" w:rsidRPr="00E91951" w:rsidRDefault="004975A3" w:rsidP="00BC3FA3">
      <w:pPr>
        <w:pStyle w:val="FootnoteText"/>
        <w:rPr>
          <w:rFonts w:asciiTheme="minorHAnsi" w:hAnsiTheme="minorHAnsi"/>
          <w:sz w:val="20"/>
          <w:szCs w:val="20"/>
          <w:lang w:val="en-US"/>
        </w:rPr>
      </w:pPr>
      <w:r w:rsidRPr="00E91951">
        <w:rPr>
          <w:rStyle w:val="FootnoteReference"/>
          <w:rFonts w:asciiTheme="minorHAnsi" w:hAnsiTheme="minorHAnsi"/>
        </w:rPr>
        <w:footnoteRef/>
      </w:r>
      <w:r w:rsidRPr="00E91951">
        <w:rPr>
          <w:rFonts w:asciiTheme="minorHAnsi" w:hAnsiTheme="minorHAnsi"/>
          <w:sz w:val="20"/>
          <w:szCs w:val="20"/>
        </w:rPr>
        <w:t xml:space="preserve"> </w:t>
      </w:r>
      <w:proofErr w:type="gramStart"/>
      <w:r w:rsidRPr="00E91951">
        <w:rPr>
          <w:rFonts w:asciiTheme="minorHAnsi" w:hAnsiTheme="minorHAnsi"/>
          <w:sz w:val="20"/>
          <w:szCs w:val="20"/>
        </w:rPr>
        <w:t xml:space="preserve">Tasmanian Police Service, </w:t>
      </w:r>
      <w:r w:rsidRPr="00E91951">
        <w:rPr>
          <w:rFonts w:asciiTheme="minorHAnsi" w:hAnsiTheme="minorHAnsi"/>
          <w:i/>
          <w:sz w:val="20"/>
          <w:szCs w:val="20"/>
        </w:rPr>
        <w:t>Annual (June) 2016 Corporate Performance Report</w:t>
      </w:r>
      <w:r w:rsidRPr="00E91951">
        <w:rPr>
          <w:rFonts w:asciiTheme="minorHAnsi" w:hAnsiTheme="minorHAnsi"/>
          <w:sz w:val="20"/>
          <w:szCs w:val="20"/>
        </w:rPr>
        <w:t xml:space="preserve"> (Department of Police, Fire and Emergency Management, August 2016).</w:t>
      </w:r>
      <w:proofErr w:type="gramEnd"/>
    </w:p>
  </w:footnote>
  <w:footnote w:id="13">
    <w:p w14:paraId="50BA0214" w14:textId="0A2985AB" w:rsidR="004975A3" w:rsidRPr="00E91951" w:rsidRDefault="004975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sz w:val="20"/>
          <w:szCs w:val="20"/>
        </w:rPr>
        <w:t xml:space="preserve"> </w:t>
      </w:r>
      <w:proofErr w:type="gramStart"/>
      <w:r w:rsidRPr="00E91951">
        <w:rPr>
          <w:rFonts w:asciiTheme="minorHAnsi" w:hAnsiTheme="minorHAnsi"/>
          <w:sz w:val="20"/>
          <w:szCs w:val="20"/>
        </w:rPr>
        <w:t>Section 114 of the</w:t>
      </w:r>
      <w:r w:rsidRPr="00E91951">
        <w:rPr>
          <w:rFonts w:asciiTheme="minorHAnsi" w:hAnsiTheme="minorHAnsi"/>
          <w:i/>
          <w:sz w:val="20"/>
          <w:szCs w:val="20"/>
        </w:rPr>
        <w:t xml:space="preserve"> Criminal Code Act</w:t>
      </w:r>
      <w:r w:rsidRPr="00E91951">
        <w:rPr>
          <w:rFonts w:asciiTheme="minorHAnsi" w:hAnsiTheme="minorHAnsi"/>
          <w:sz w:val="20"/>
          <w:szCs w:val="20"/>
        </w:rPr>
        <w:t xml:space="preserve"> </w:t>
      </w:r>
      <w:r w:rsidRPr="00E91951">
        <w:rPr>
          <w:rFonts w:asciiTheme="minorHAnsi" w:hAnsiTheme="minorHAnsi"/>
          <w:i/>
          <w:sz w:val="20"/>
          <w:szCs w:val="20"/>
        </w:rPr>
        <w:t xml:space="preserve">1924 </w:t>
      </w:r>
      <w:r w:rsidRPr="00E91951">
        <w:rPr>
          <w:rFonts w:asciiTheme="minorHAnsi" w:hAnsiTheme="minorHAnsi"/>
          <w:sz w:val="20"/>
          <w:szCs w:val="20"/>
        </w:rPr>
        <w:t>(</w:t>
      </w:r>
      <w:proofErr w:type="spellStart"/>
      <w:r w:rsidRPr="00E91951">
        <w:rPr>
          <w:rFonts w:asciiTheme="minorHAnsi" w:hAnsiTheme="minorHAnsi"/>
          <w:sz w:val="20"/>
          <w:szCs w:val="20"/>
        </w:rPr>
        <w:t>Tas</w:t>
      </w:r>
      <w:proofErr w:type="spellEnd"/>
      <w:r w:rsidRPr="00E91951">
        <w:rPr>
          <w:rFonts w:asciiTheme="minorHAnsi" w:hAnsiTheme="minorHAnsi"/>
          <w:sz w:val="20"/>
          <w:szCs w:val="20"/>
        </w:rPr>
        <w:t>).</w:t>
      </w:r>
      <w:proofErr w:type="gramEnd"/>
    </w:p>
  </w:footnote>
  <w:footnote w:id="14">
    <w:p w14:paraId="015D5A71" w14:textId="3AA98C71" w:rsidR="004975A3" w:rsidRPr="00E91951" w:rsidRDefault="004975A3" w:rsidP="00595C99">
      <w:pPr>
        <w:rPr>
          <w:rFonts w:eastAsia="MS Mincho" w:cs="MS Mincho"/>
        </w:rPr>
      </w:pPr>
      <w:r w:rsidRPr="00E91951">
        <w:rPr>
          <w:rStyle w:val="FootnoteReference"/>
        </w:rPr>
        <w:footnoteRef/>
      </w:r>
      <w:r w:rsidRPr="00E91951">
        <w:rPr>
          <w:sz w:val="20"/>
          <w:szCs w:val="20"/>
        </w:rPr>
        <w:t xml:space="preserve"> </w:t>
      </w:r>
      <w:proofErr w:type="gramStart"/>
      <w:r w:rsidRPr="00E91951">
        <w:rPr>
          <w:rFonts w:cs="Times New Roman"/>
          <w:sz w:val="20"/>
          <w:szCs w:val="20"/>
        </w:rPr>
        <w:t xml:space="preserve">Tasmanian Police Service, </w:t>
      </w:r>
      <w:r w:rsidRPr="00E91951">
        <w:rPr>
          <w:rFonts w:cs="Times New Roman"/>
          <w:i/>
          <w:sz w:val="20"/>
          <w:szCs w:val="20"/>
        </w:rPr>
        <w:t>Annual (June) 2016 Corporate Performance Report</w:t>
      </w:r>
      <w:r w:rsidRPr="00E91951">
        <w:rPr>
          <w:rFonts w:cs="Times New Roman"/>
          <w:sz w:val="20"/>
          <w:szCs w:val="20"/>
        </w:rPr>
        <w:t xml:space="preserve"> </w:t>
      </w:r>
      <w:r w:rsidRPr="00E91951">
        <w:rPr>
          <w:sz w:val="20"/>
          <w:szCs w:val="20"/>
        </w:rPr>
        <w:t>(Department of Police, Fire and Emergency Management, August 2016).</w:t>
      </w:r>
      <w:proofErr w:type="gramEnd"/>
    </w:p>
  </w:footnote>
  <w:footnote w:id="15">
    <w:p w14:paraId="257B34C7" w14:textId="6D3B7FA6" w:rsidR="004975A3" w:rsidRPr="00E91951" w:rsidRDefault="004975A3" w:rsidP="00B6708C">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sz w:val="20"/>
          <w:szCs w:val="20"/>
        </w:rPr>
        <w:t xml:space="preserve"> </w:t>
      </w:r>
      <w:proofErr w:type="gramStart"/>
      <w:r w:rsidRPr="00E91951">
        <w:rPr>
          <w:rFonts w:asciiTheme="minorHAnsi" w:hAnsiTheme="minorHAnsi"/>
          <w:sz w:val="20"/>
          <w:szCs w:val="20"/>
        </w:rPr>
        <w:t xml:space="preserve">Tasmanian Police Service, </w:t>
      </w:r>
      <w:r w:rsidRPr="00E91951">
        <w:rPr>
          <w:rFonts w:asciiTheme="minorHAnsi" w:hAnsiTheme="minorHAnsi"/>
          <w:i/>
          <w:sz w:val="20"/>
          <w:szCs w:val="20"/>
        </w:rPr>
        <w:t>2015-2016 Crime Statistics Supplement</w:t>
      </w:r>
      <w:r w:rsidRPr="00E91951">
        <w:rPr>
          <w:rFonts w:asciiTheme="minorHAnsi" w:hAnsiTheme="minorHAnsi"/>
          <w:sz w:val="20"/>
          <w:szCs w:val="20"/>
        </w:rPr>
        <w:t xml:space="preserve"> (Department of Police, Fire and Emergency Management).</w:t>
      </w:r>
      <w:proofErr w:type="gramEnd"/>
    </w:p>
  </w:footnote>
  <w:footnote w:id="16">
    <w:p w14:paraId="19AB5A3C" w14:textId="77777777" w:rsidR="004975A3" w:rsidRPr="00E91951" w:rsidRDefault="004975A3" w:rsidP="00A833C5">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sz w:val="20"/>
          <w:szCs w:val="20"/>
        </w:rPr>
        <w:t xml:space="preserve"> </w:t>
      </w:r>
      <w:proofErr w:type="gramStart"/>
      <w:r w:rsidRPr="00E91951">
        <w:rPr>
          <w:rFonts w:asciiTheme="minorHAnsi" w:hAnsiTheme="minorHAnsi"/>
          <w:sz w:val="20"/>
          <w:szCs w:val="20"/>
        </w:rPr>
        <w:t xml:space="preserve">Sections 297 and 318 of the </w:t>
      </w:r>
      <w:r w:rsidRPr="00E91951">
        <w:rPr>
          <w:rFonts w:asciiTheme="minorHAnsi" w:hAnsiTheme="minorHAnsi"/>
          <w:bCs/>
          <w:i/>
          <w:sz w:val="20"/>
          <w:szCs w:val="20"/>
          <w:lang w:val="en-US"/>
        </w:rPr>
        <w:t>Criminal Code Act Compilation Act 1913</w:t>
      </w:r>
      <w:r w:rsidRPr="00E91951">
        <w:rPr>
          <w:rFonts w:asciiTheme="minorHAnsi" w:hAnsiTheme="minorHAnsi"/>
          <w:bCs/>
          <w:sz w:val="20"/>
          <w:szCs w:val="20"/>
          <w:lang w:val="en-US"/>
        </w:rPr>
        <w:t xml:space="preserve"> (WA).</w:t>
      </w:r>
      <w:proofErr w:type="gramEnd"/>
    </w:p>
  </w:footnote>
  <w:footnote w:id="17">
    <w:p w14:paraId="68E7C0AE" w14:textId="79882213" w:rsidR="004975A3" w:rsidRPr="00E91951" w:rsidRDefault="004975A3" w:rsidP="00BC3F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sz w:val="20"/>
          <w:szCs w:val="20"/>
        </w:rPr>
        <w:t xml:space="preserve">Sentencing Advisory Council, </w:t>
      </w:r>
      <w:r w:rsidRPr="00E91951">
        <w:rPr>
          <w:rFonts w:asciiTheme="minorHAnsi" w:hAnsiTheme="minorHAnsi"/>
          <w:i/>
          <w:sz w:val="20"/>
          <w:szCs w:val="20"/>
        </w:rPr>
        <w:t>Assaults of Emergency Service Workers</w:t>
      </w:r>
      <w:r w:rsidRPr="00E91951">
        <w:rPr>
          <w:rFonts w:asciiTheme="minorHAnsi" w:hAnsiTheme="minorHAnsi"/>
          <w:sz w:val="20"/>
          <w:szCs w:val="20"/>
        </w:rPr>
        <w:t xml:space="preserve"> (Final Report: No. 2) at 25.</w:t>
      </w:r>
    </w:p>
  </w:footnote>
  <w:footnote w:id="18">
    <w:p w14:paraId="1DD7C16C" w14:textId="5EF99A61" w:rsidR="004975A3" w:rsidRPr="00E91951" w:rsidRDefault="004975A3" w:rsidP="00BC3F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sz w:val="20"/>
          <w:szCs w:val="20"/>
        </w:rPr>
        <w:t xml:space="preserve"> Sentencing Advisory Council, </w:t>
      </w:r>
      <w:r w:rsidRPr="00E91951">
        <w:rPr>
          <w:rFonts w:asciiTheme="minorHAnsi" w:hAnsiTheme="minorHAnsi"/>
          <w:i/>
          <w:sz w:val="20"/>
          <w:szCs w:val="20"/>
        </w:rPr>
        <w:t>Assaults of Emergency Service Workers</w:t>
      </w:r>
      <w:r w:rsidRPr="00E91951">
        <w:rPr>
          <w:rFonts w:asciiTheme="minorHAnsi" w:hAnsiTheme="minorHAnsi"/>
          <w:sz w:val="20"/>
          <w:szCs w:val="20"/>
        </w:rPr>
        <w:t xml:space="preserve"> (Final Report: No. 2) at 29.</w:t>
      </w:r>
    </w:p>
  </w:footnote>
  <w:footnote w:id="19">
    <w:p w14:paraId="79241E34" w14:textId="2C8D59A6" w:rsidR="004975A3" w:rsidRPr="00E91951" w:rsidRDefault="004975A3" w:rsidP="00BC3F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sz w:val="20"/>
          <w:szCs w:val="20"/>
        </w:rPr>
        <w:t xml:space="preserve"> Sentencing Advisory Council, </w:t>
      </w:r>
      <w:r w:rsidRPr="00E91951">
        <w:rPr>
          <w:rFonts w:asciiTheme="minorHAnsi" w:hAnsiTheme="minorHAnsi"/>
          <w:i/>
          <w:sz w:val="20"/>
          <w:szCs w:val="20"/>
        </w:rPr>
        <w:t>Assaults of Emergency Service Workers</w:t>
      </w:r>
      <w:r w:rsidRPr="00E91951">
        <w:rPr>
          <w:rFonts w:asciiTheme="minorHAnsi" w:hAnsiTheme="minorHAnsi"/>
          <w:sz w:val="20"/>
          <w:szCs w:val="20"/>
        </w:rPr>
        <w:t xml:space="preserve"> (Final Report: No. 2) at 30.</w:t>
      </w:r>
    </w:p>
  </w:footnote>
  <w:footnote w:id="20">
    <w:p w14:paraId="5CFFCCA0" w14:textId="7755F56D" w:rsidR="004975A3" w:rsidRPr="00E91951" w:rsidRDefault="004975A3" w:rsidP="00BC3FA3">
      <w:pPr>
        <w:pStyle w:val="FootnoteText"/>
        <w:rPr>
          <w:rFonts w:asciiTheme="minorHAnsi" w:hAnsiTheme="minorHAnsi"/>
          <w:lang w:val="en-US"/>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sz w:val="20"/>
          <w:szCs w:val="20"/>
        </w:rPr>
        <w:t xml:space="preserve">Carolyn </w:t>
      </w:r>
      <w:r w:rsidRPr="00E91951">
        <w:rPr>
          <w:rFonts w:asciiTheme="minorHAnsi" w:hAnsiTheme="minorHAnsi"/>
          <w:sz w:val="20"/>
          <w:szCs w:val="20"/>
          <w:lang w:val="en-US"/>
        </w:rPr>
        <w:t xml:space="preserve">Whyte, Joe </w:t>
      </w:r>
      <w:proofErr w:type="spellStart"/>
      <w:r w:rsidRPr="00E91951">
        <w:rPr>
          <w:rFonts w:asciiTheme="minorHAnsi" w:hAnsiTheme="minorHAnsi"/>
          <w:sz w:val="20"/>
          <w:szCs w:val="20"/>
          <w:lang w:val="en-US"/>
        </w:rPr>
        <w:t>Yick</w:t>
      </w:r>
      <w:proofErr w:type="spellEnd"/>
      <w:r w:rsidRPr="00E91951">
        <w:rPr>
          <w:rFonts w:asciiTheme="minorHAnsi" w:hAnsiTheme="minorHAnsi"/>
          <w:sz w:val="20"/>
          <w:szCs w:val="20"/>
          <w:lang w:val="en-US"/>
        </w:rPr>
        <w:t>, Dee-</w:t>
      </w:r>
      <w:proofErr w:type="spellStart"/>
      <w:r w:rsidRPr="00E91951">
        <w:rPr>
          <w:rFonts w:asciiTheme="minorHAnsi" w:hAnsiTheme="minorHAnsi"/>
          <w:sz w:val="20"/>
          <w:szCs w:val="20"/>
          <w:lang w:val="en-US"/>
        </w:rPr>
        <w:t>ann</w:t>
      </w:r>
      <w:proofErr w:type="spellEnd"/>
      <w:r w:rsidRPr="00E91951">
        <w:rPr>
          <w:rFonts w:asciiTheme="minorHAnsi" w:hAnsiTheme="minorHAnsi"/>
          <w:sz w:val="20"/>
          <w:szCs w:val="20"/>
          <w:lang w:val="en-US"/>
        </w:rPr>
        <w:t xml:space="preserve"> </w:t>
      </w:r>
      <w:proofErr w:type="spellStart"/>
      <w:r w:rsidRPr="00E91951">
        <w:rPr>
          <w:rFonts w:asciiTheme="minorHAnsi" w:hAnsiTheme="minorHAnsi"/>
          <w:sz w:val="20"/>
          <w:szCs w:val="20"/>
          <w:lang w:val="en-US"/>
        </w:rPr>
        <w:t>Vahlberg</w:t>
      </w:r>
      <w:proofErr w:type="spellEnd"/>
      <w:r w:rsidRPr="00E91951">
        <w:rPr>
          <w:rFonts w:asciiTheme="minorHAnsi" w:hAnsiTheme="minorHAnsi"/>
          <w:sz w:val="20"/>
          <w:szCs w:val="20"/>
          <w:lang w:val="en-US"/>
        </w:rPr>
        <w:t xml:space="preserve"> and </w:t>
      </w:r>
      <w:proofErr w:type="spellStart"/>
      <w:r w:rsidRPr="00E91951">
        <w:rPr>
          <w:rFonts w:asciiTheme="minorHAnsi" w:hAnsiTheme="minorHAnsi"/>
          <w:sz w:val="20"/>
          <w:szCs w:val="20"/>
          <w:lang w:val="en-US"/>
        </w:rPr>
        <w:t>Leonique</w:t>
      </w:r>
      <w:proofErr w:type="spellEnd"/>
      <w:r w:rsidRPr="00E91951">
        <w:rPr>
          <w:rFonts w:asciiTheme="minorHAnsi" w:hAnsiTheme="minorHAnsi"/>
          <w:sz w:val="20"/>
          <w:szCs w:val="20"/>
          <w:lang w:val="en-US"/>
        </w:rPr>
        <w:t xml:space="preserve"> Swart, Review of the Northern Territory </w:t>
      </w:r>
      <w:r w:rsidRPr="00E91951">
        <w:rPr>
          <w:rFonts w:asciiTheme="minorHAnsi" w:hAnsiTheme="minorHAnsi"/>
          <w:i/>
          <w:iCs/>
          <w:sz w:val="20"/>
          <w:szCs w:val="20"/>
          <w:lang w:val="en-US"/>
        </w:rPr>
        <w:t>Sentencing Amendment (Mandatory Minimum Sentences) Act 2013</w:t>
      </w:r>
      <w:r w:rsidRPr="00E91951">
        <w:rPr>
          <w:rFonts w:asciiTheme="minorHAnsi" w:hAnsiTheme="minorHAnsi"/>
          <w:sz w:val="20"/>
          <w:szCs w:val="20"/>
          <w:lang w:val="en-US"/>
        </w:rPr>
        <w:t xml:space="preserve"> (Department of the Attorney-General and Justice: December 2015) at 2-3.</w:t>
      </w:r>
    </w:p>
  </w:footnote>
  <w:footnote w:id="21">
    <w:p w14:paraId="5C59FD3A" w14:textId="0D9FC86A" w:rsidR="004975A3" w:rsidRPr="00E91951" w:rsidRDefault="004975A3" w:rsidP="00BC3FA3">
      <w:pPr>
        <w:pStyle w:val="FootnoteText"/>
        <w:rPr>
          <w:rFonts w:asciiTheme="minorHAnsi" w:hAnsiTheme="minorHAnsi"/>
          <w:sz w:val="20"/>
          <w:szCs w:val="20"/>
          <w:lang w:val="en-US"/>
        </w:rPr>
      </w:pPr>
      <w:r w:rsidRPr="00E91951">
        <w:rPr>
          <w:rStyle w:val="FootnoteReference"/>
          <w:rFonts w:asciiTheme="minorHAnsi" w:hAnsiTheme="minorHAnsi"/>
        </w:rPr>
        <w:footnoteRef/>
      </w:r>
      <w:r w:rsidRPr="00E91951">
        <w:rPr>
          <w:rFonts w:asciiTheme="minorHAnsi" w:hAnsiTheme="minorHAnsi"/>
          <w:sz w:val="20"/>
          <w:szCs w:val="20"/>
        </w:rPr>
        <w:t xml:space="preserve"> </w:t>
      </w:r>
      <w:r w:rsidRPr="00E91951">
        <w:rPr>
          <w:rFonts w:asciiTheme="minorHAnsi" w:hAnsiTheme="minorHAnsi"/>
          <w:sz w:val="20"/>
          <w:szCs w:val="20"/>
          <w:lang w:val="en-US"/>
        </w:rPr>
        <w:t xml:space="preserve">Office of Crime Prevention, </w:t>
      </w:r>
      <w:r w:rsidRPr="002841B7">
        <w:rPr>
          <w:rFonts w:asciiTheme="minorHAnsi" w:hAnsiTheme="minorHAnsi"/>
          <w:i/>
          <w:sz w:val="20"/>
          <w:szCs w:val="20"/>
          <w:lang w:val="en-US"/>
        </w:rPr>
        <w:t>Mandatory Sentencing for Adult Property Offenders – The Northern Territory Experience</w:t>
      </w:r>
      <w:r w:rsidRPr="00E91951">
        <w:rPr>
          <w:rFonts w:asciiTheme="minorHAnsi" w:hAnsiTheme="minorHAnsi"/>
          <w:sz w:val="20"/>
          <w:szCs w:val="20"/>
          <w:lang w:val="en-US"/>
        </w:rPr>
        <w:t xml:space="preserve"> (2003) at</w:t>
      </w:r>
      <w:r>
        <w:rPr>
          <w:rFonts w:asciiTheme="minorHAnsi" w:hAnsiTheme="minorHAnsi"/>
          <w:sz w:val="20"/>
          <w:szCs w:val="20"/>
          <w:lang w:val="en-US"/>
        </w:rPr>
        <w:t xml:space="preserve"> </w:t>
      </w:r>
      <w:r w:rsidRPr="00E91951">
        <w:rPr>
          <w:rFonts w:asciiTheme="minorHAnsi" w:hAnsiTheme="minorHAnsi"/>
          <w:sz w:val="20"/>
          <w:szCs w:val="20"/>
          <w:lang w:val="en-US"/>
        </w:rPr>
        <w:t>10.</w:t>
      </w:r>
    </w:p>
  </w:footnote>
  <w:footnote w:id="22">
    <w:p w14:paraId="03547184" w14:textId="63C8EC82" w:rsidR="004975A3" w:rsidRPr="00E91951" w:rsidRDefault="004975A3" w:rsidP="00BC3F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sz w:val="20"/>
          <w:szCs w:val="20"/>
          <w:lang w:val="en-US"/>
        </w:rPr>
        <w:t xml:space="preserve">Office of Crime Prevention, </w:t>
      </w:r>
      <w:r w:rsidRPr="002841B7">
        <w:rPr>
          <w:rFonts w:asciiTheme="minorHAnsi" w:hAnsiTheme="minorHAnsi"/>
          <w:i/>
          <w:sz w:val="20"/>
          <w:szCs w:val="20"/>
          <w:lang w:val="en-US"/>
        </w:rPr>
        <w:t>Mandatory Sentencing for Adult Property Offenders – The Northern Territory Experience</w:t>
      </w:r>
      <w:r w:rsidRPr="00E91951">
        <w:rPr>
          <w:rFonts w:asciiTheme="minorHAnsi" w:hAnsiTheme="minorHAnsi"/>
          <w:sz w:val="20"/>
          <w:szCs w:val="20"/>
          <w:lang w:val="en-US"/>
        </w:rPr>
        <w:t xml:space="preserve"> (2003) at</w:t>
      </w:r>
      <w:r>
        <w:rPr>
          <w:rFonts w:asciiTheme="minorHAnsi" w:hAnsiTheme="minorHAnsi"/>
          <w:sz w:val="20"/>
          <w:szCs w:val="20"/>
          <w:lang w:val="en-US"/>
        </w:rPr>
        <w:t xml:space="preserve"> </w:t>
      </w:r>
      <w:r w:rsidRPr="00E91951">
        <w:rPr>
          <w:rFonts w:asciiTheme="minorHAnsi" w:hAnsiTheme="minorHAnsi"/>
          <w:sz w:val="20"/>
          <w:szCs w:val="20"/>
          <w:lang w:val="en-US"/>
        </w:rPr>
        <w:t>10.</w:t>
      </w:r>
    </w:p>
  </w:footnote>
  <w:footnote w:id="23">
    <w:p w14:paraId="59938774" w14:textId="7DE151A3" w:rsidR="004975A3" w:rsidRPr="00E91951" w:rsidRDefault="004975A3" w:rsidP="00BC3FA3">
      <w:pPr>
        <w:pStyle w:val="NormalWeb"/>
        <w:rPr>
          <w:rFonts w:asciiTheme="minorHAnsi" w:hAnsiTheme="minorHAnsi"/>
          <w:sz w:val="20"/>
          <w:szCs w:val="20"/>
          <w:lang w:val="en-US"/>
        </w:rPr>
      </w:pPr>
      <w:r w:rsidRPr="00E91951">
        <w:rPr>
          <w:rStyle w:val="FootnoteReference"/>
          <w:rFonts w:asciiTheme="minorHAnsi" w:hAnsiTheme="minorHAnsi"/>
        </w:rPr>
        <w:footnoteRef/>
      </w:r>
      <w:r w:rsidRPr="00E91951">
        <w:rPr>
          <w:rFonts w:asciiTheme="minorHAnsi" w:hAnsiTheme="minorHAnsi"/>
          <w:sz w:val="20"/>
          <w:szCs w:val="20"/>
        </w:rPr>
        <w:t xml:space="preserve"> </w:t>
      </w:r>
      <w:r w:rsidRPr="00E91951">
        <w:rPr>
          <w:rFonts w:asciiTheme="minorHAnsi" w:hAnsiTheme="minorHAnsi"/>
          <w:sz w:val="20"/>
          <w:szCs w:val="20"/>
          <w:lang w:val="en-US"/>
        </w:rPr>
        <w:t>D</w:t>
      </w:r>
      <w:r>
        <w:rPr>
          <w:rFonts w:asciiTheme="minorHAnsi" w:hAnsiTheme="minorHAnsi"/>
          <w:sz w:val="20"/>
          <w:szCs w:val="20"/>
          <w:lang w:val="en-US"/>
        </w:rPr>
        <w:t>on</w:t>
      </w:r>
      <w:r w:rsidRPr="00E91951">
        <w:rPr>
          <w:rFonts w:asciiTheme="minorHAnsi" w:hAnsiTheme="minorHAnsi"/>
          <w:sz w:val="20"/>
          <w:szCs w:val="20"/>
          <w:lang w:val="en-US"/>
        </w:rPr>
        <w:t xml:space="preserve"> </w:t>
      </w:r>
      <w:proofErr w:type="spellStart"/>
      <w:r w:rsidRPr="00E91951">
        <w:rPr>
          <w:rFonts w:asciiTheme="minorHAnsi" w:hAnsiTheme="minorHAnsi"/>
          <w:sz w:val="20"/>
          <w:szCs w:val="20"/>
          <w:lang w:val="en-US"/>
        </w:rPr>
        <w:t>Weatherburn</w:t>
      </w:r>
      <w:proofErr w:type="spellEnd"/>
      <w:r w:rsidRPr="00E91951">
        <w:rPr>
          <w:rFonts w:asciiTheme="minorHAnsi" w:hAnsiTheme="minorHAnsi"/>
          <w:sz w:val="20"/>
          <w:szCs w:val="20"/>
          <w:lang w:val="en-US"/>
        </w:rPr>
        <w:t xml:space="preserve">, </w:t>
      </w:r>
      <w:proofErr w:type="spellStart"/>
      <w:r w:rsidRPr="00E91951">
        <w:rPr>
          <w:rFonts w:asciiTheme="minorHAnsi" w:hAnsiTheme="minorHAnsi"/>
          <w:sz w:val="20"/>
          <w:szCs w:val="20"/>
          <w:lang w:val="en-US"/>
        </w:rPr>
        <w:t>S</w:t>
      </w:r>
      <w:r>
        <w:rPr>
          <w:rFonts w:asciiTheme="minorHAnsi" w:hAnsiTheme="minorHAnsi"/>
          <w:sz w:val="20"/>
          <w:szCs w:val="20"/>
          <w:lang w:val="en-US"/>
        </w:rPr>
        <w:t>umitra</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Vignaendra</w:t>
      </w:r>
      <w:proofErr w:type="spellEnd"/>
      <w:r>
        <w:rPr>
          <w:rFonts w:asciiTheme="minorHAnsi" w:hAnsiTheme="minorHAnsi"/>
          <w:sz w:val="20"/>
          <w:szCs w:val="20"/>
          <w:lang w:val="en-US"/>
        </w:rPr>
        <w:t xml:space="preserve"> &amp;</w:t>
      </w:r>
      <w:r w:rsidRPr="00E91951">
        <w:rPr>
          <w:rFonts w:asciiTheme="minorHAnsi" w:hAnsiTheme="minorHAnsi"/>
          <w:sz w:val="20"/>
          <w:szCs w:val="20"/>
          <w:lang w:val="en-US"/>
        </w:rPr>
        <w:t xml:space="preserve"> A</w:t>
      </w:r>
      <w:r>
        <w:rPr>
          <w:rFonts w:asciiTheme="minorHAnsi" w:hAnsiTheme="minorHAnsi"/>
          <w:sz w:val="20"/>
          <w:szCs w:val="20"/>
          <w:lang w:val="en-US"/>
        </w:rPr>
        <w:t xml:space="preserve">ndrew McGrath, </w:t>
      </w:r>
      <w:proofErr w:type="gramStart"/>
      <w:r w:rsidRPr="00E91951">
        <w:rPr>
          <w:rFonts w:asciiTheme="minorHAnsi" w:hAnsiTheme="minorHAnsi"/>
          <w:sz w:val="20"/>
          <w:szCs w:val="20"/>
          <w:lang w:val="en-US"/>
        </w:rPr>
        <w:t>The specific deterrent effect of custodial pe</w:t>
      </w:r>
      <w:r>
        <w:rPr>
          <w:rFonts w:asciiTheme="minorHAnsi" w:hAnsiTheme="minorHAnsi"/>
          <w:sz w:val="20"/>
          <w:szCs w:val="20"/>
          <w:lang w:val="en-US"/>
        </w:rPr>
        <w:t>nalties on juvenile reoffending,</w:t>
      </w:r>
      <w:r w:rsidRPr="00E91951">
        <w:rPr>
          <w:rFonts w:asciiTheme="minorHAnsi" w:hAnsiTheme="minorHAnsi"/>
          <w:sz w:val="20"/>
          <w:szCs w:val="20"/>
          <w:lang w:val="en-US"/>
        </w:rPr>
        <w:t xml:space="preserve"> </w:t>
      </w:r>
      <w:r w:rsidRPr="00E91951">
        <w:rPr>
          <w:rFonts w:asciiTheme="minorHAnsi" w:hAnsiTheme="minorHAnsi"/>
          <w:i/>
          <w:sz w:val="20"/>
          <w:szCs w:val="20"/>
          <w:lang w:val="en-US"/>
        </w:rPr>
        <w:t>Australian Institute of Criminology</w:t>
      </w:r>
      <w:r>
        <w:rPr>
          <w:rFonts w:asciiTheme="minorHAnsi" w:hAnsiTheme="minorHAnsi"/>
          <w:sz w:val="20"/>
          <w:szCs w:val="20"/>
          <w:lang w:val="en-US"/>
        </w:rPr>
        <w:t xml:space="preserve"> (</w:t>
      </w:r>
      <w:r w:rsidRPr="00E91951">
        <w:rPr>
          <w:rFonts w:asciiTheme="minorHAnsi" w:hAnsiTheme="minorHAnsi"/>
          <w:sz w:val="20"/>
          <w:szCs w:val="20"/>
          <w:lang w:val="en-US"/>
        </w:rPr>
        <w:t>AIC Technical and Background Paper 33</w:t>
      </w:r>
      <w:r>
        <w:rPr>
          <w:rFonts w:asciiTheme="minorHAnsi" w:hAnsiTheme="minorHAnsi"/>
          <w:sz w:val="20"/>
          <w:szCs w:val="20"/>
          <w:lang w:val="en-US"/>
        </w:rPr>
        <w:t>: 2009)</w:t>
      </w:r>
      <w:r w:rsidRPr="00E91951">
        <w:rPr>
          <w:rFonts w:asciiTheme="minorHAnsi" w:hAnsiTheme="minorHAnsi"/>
          <w:sz w:val="20"/>
          <w:szCs w:val="20"/>
          <w:lang w:val="en-US"/>
        </w:rPr>
        <w:t xml:space="preserve"> at 10</w:t>
      </w:r>
      <w:proofErr w:type="gramEnd"/>
      <w:r w:rsidRPr="00E91951">
        <w:rPr>
          <w:rFonts w:asciiTheme="minorHAnsi" w:hAnsiTheme="minorHAnsi"/>
          <w:sz w:val="20"/>
          <w:szCs w:val="20"/>
          <w:lang w:val="en-US"/>
        </w:rPr>
        <w:t>.</w:t>
      </w:r>
    </w:p>
  </w:footnote>
  <w:footnote w:id="24">
    <w:p w14:paraId="36DFE767" w14:textId="4BAEC340" w:rsidR="004975A3" w:rsidRPr="00E91951" w:rsidRDefault="004975A3">
      <w:pPr>
        <w:pStyle w:val="FootnoteText"/>
        <w:rPr>
          <w:rFonts w:asciiTheme="minorHAnsi" w:hAnsiTheme="minorHAnsi"/>
          <w:lang w:val="en-US"/>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sz w:val="20"/>
          <w:szCs w:val="20"/>
          <w:lang w:val="en-US"/>
        </w:rPr>
        <w:t xml:space="preserve">Law Institute of Victoria, </w:t>
      </w:r>
      <w:r w:rsidRPr="00E91951">
        <w:rPr>
          <w:rFonts w:asciiTheme="minorHAnsi" w:hAnsiTheme="minorHAnsi"/>
          <w:i/>
          <w:iCs/>
          <w:sz w:val="20"/>
          <w:szCs w:val="20"/>
          <w:lang w:val="en-US"/>
        </w:rPr>
        <w:t>Mandatory Minimum Sentencing</w:t>
      </w:r>
      <w:r w:rsidRPr="00E91951">
        <w:rPr>
          <w:rFonts w:asciiTheme="minorHAnsi" w:hAnsiTheme="minorHAnsi"/>
          <w:sz w:val="20"/>
          <w:szCs w:val="20"/>
          <w:lang w:val="en-US"/>
        </w:rPr>
        <w:t>, Submission to Victorian Attorney-General, 30 June 2011 at 5.</w:t>
      </w:r>
    </w:p>
  </w:footnote>
  <w:footnote w:id="25">
    <w:p w14:paraId="3B47DB34" w14:textId="6E776C6E" w:rsidR="004975A3" w:rsidRPr="00E91951" w:rsidRDefault="004975A3">
      <w:pPr>
        <w:pStyle w:val="FootnoteText"/>
        <w:rPr>
          <w:rFonts w:asciiTheme="minorHAnsi" w:hAnsiTheme="minorHAnsi"/>
          <w:lang w:val="en-US"/>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sz w:val="20"/>
          <w:szCs w:val="20"/>
          <w:lang w:val="en-US"/>
        </w:rPr>
        <w:t xml:space="preserve">Law Institute of Victoria, </w:t>
      </w:r>
      <w:r w:rsidRPr="00E91951">
        <w:rPr>
          <w:rFonts w:asciiTheme="minorHAnsi" w:hAnsiTheme="minorHAnsi"/>
          <w:i/>
          <w:iCs/>
          <w:sz w:val="20"/>
          <w:szCs w:val="20"/>
          <w:lang w:val="en-US"/>
        </w:rPr>
        <w:t>Mandatory Minimum Sentencing</w:t>
      </w:r>
      <w:r w:rsidRPr="00E91951">
        <w:rPr>
          <w:rFonts w:asciiTheme="minorHAnsi" w:hAnsiTheme="minorHAnsi"/>
          <w:sz w:val="20"/>
          <w:szCs w:val="20"/>
          <w:lang w:val="en-US"/>
        </w:rPr>
        <w:t xml:space="preserve">, Submission to Victorian Attorney-General, 30 June 2011 at 7. </w:t>
      </w:r>
    </w:p>
  </w:footnote>
  <w:footnote w:id="26">
    <w:p w14:paraId="2823A61C" w14:textId="5B84FFB6" w:rsidR="004975A3" w:rsidRPr="00E91951" w:rsidRDefault="004975A3">
      <w:pPr>
        <w:pStyle w:val="FootnoteText"/>
        <w:rPr>
          <w:rFonts w:asciiTheme="minorHAnsi" w:hAnsiTheme="minorHAnsi"/>
          <w:lang w:val="en-US"/>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sz w:val="20"/>
          <w:szCs w:val="20"/>
          <w:lang w:val="en-US"/>
        </w:rPr>
        <w:t xml:space="preserve">Law Institute of Victoria, </w:t>
      </w:r>
      <w:r w:rsidRPr="00E91951">
        <w:rPr>
          <w:rFonts w:asciiTheme="minorHAnsi" w:hAnsiTheme="minorHAnsi"/>
          <w:i/>
          <w:iCs/>
          <w:sz w:val="20"/>
          <w:szCs w:val="20"/>
          <w:lang w:val="en-US"/>
        </w:rPr>
        <w:t>Mandatory Minimum Sentencing</w:t>
      </w:r>
      <w:r w:rsidRPr="00E91951">
        <w:rPr>
          <w:rFonts w:asciiTheme="minorHAnsi" w:hAnsiTheme="minorHAnsi"/>
          <w:sz w:val="20"/>
          <w:szCs w:val="20"/>
          <w:lang w:val="en-US"/>
        </w:rPr>
        <w:t>, Submission to Victorian Attorney-General, 30 June 2011 at 7.</w:t>
      </w:r>
    </w:p>
  </w:footnote>
  <w:footnote w:id="27">
    <w:p w14:paraId="2AC00D3A" w14:textId="3FA3E548" w:rsidR="004975A3" w:rsidRPr="00E91951" w:rsidRDefault="004975A3">
      <w:pPr>
        <w:pStyle w:val="FootnoteText"/>
        <w:rPr>
          <w:rFonts w:asciiTheme="minorHAnsi" w:hAnsiTheme="minorHAnsi"/>
          <w:lang w:val="en-US"/>
        </w:rPr>
      </w:pPr>
      <w:r w:rsidRPr="00E91951">
        <w:rPr>
          <w:rStyle w:val="FootnoteReference"/>
          <w:rFonts w:asciiTheme="minorHAnsi" w:hAnsiTheme="minorHAnsi"/>
        </w:rPr>
        <w:footnoteRef/>
      </w:r>
      <w:r w:rsidRPr="00E91951">
        <w:rPr>
          <w:rFonts w:asciiTheme="minorHAnsi" w:hAnsiTheme="minorHAnsi"/>
        </w:rPr>
        <w:t xml:space="preserve"> </w:t>
      </w:r>
      <w:proofErr w:type="gramStart"/>
      <w:r w:rsidRPr="00E91951">
        <w:rPr>
          <w:rFonts w:asciiTheme="minorHAnsi" w:hAnsiTheme="minorHAnsi"/>
          <w:sz w:val="20"/>
          <w:szCs w:val="20"/>
          <w:lang w:val="en-US"/>
        </w:rPr>
        <w:t xml:space="preserve">Law Council of Australia </w:t>
      </w:r>
      <w:r w:rsidRPr="00E91951">
        <w:rPr>
          <w:rFonts w:asciiTheme="minorHAnsi" w:hAnsiTheme="minorHAnsi"/>
          <w:i/>
          <w:sz w:val="20"/>
          <w:szCs w:val="20"/>
          <w:lang w:val="en-US"/>
        </w:rPr>
        <w:t>Policy Discussion Paper on Mandatory Sentencing</w:t>
      </w:r>
      <w:r>
        <w:rPr>
          <w:rFonts w:asciiTheme="minorHAnsi" w:hAnsiTheme="minorHAnsi"/>
          <w:sz w:val="20"/>
          <w:szCs w:val="20"/>
          <w:lang w:val="en-US"/>
        </w:rPr>
        <w:t xml:space="preserve"> </w:t>
      </w:r>
      <w:r w:rsidRPr="00E91951">
        <w:rPr>
          <w:rFonts w:asciiTheme="minorHAnsi" w:hAnsiTheme="minorHAnsi"/>
          <w:sz w:val="20"/>
          <w:szCs w:val="20"/>
          <w:lang w:val="en-US"/>
        </w:rPr>
        <w:t xml:space="preserve">at </w:t>
      </w:r>
      <w:r w:rsidRPr="00E91951">
        <w:rPr>
          <w:rFonts w:asciiTheme="minorHAnsi" w:hAnsiTheme="minorHAnsi"/>
          <w:sz w:val="20"/>
          <w:szCs w:val="20"/>
        </w:rPr>
        <w:t>33.</w:t>
      </w:r>
      <w:proofErr w:type="gramEnd"/>
    </w:p>
  </w:footnote>
  <w:footnote w:id="28">
    <w:p w14:paraId="249FC08C" w14:textId="45A7E11F" w:rsidR="004975A3" w:rsidRPr="00E91951" w:rsidRDefault="004975A3">
      <w:pPr>
        <w:pStyle w:val="FootnoteText"/>
        <w:rPr>
          <w:rFonts w:asciiTheme="minorHAnsi" w:hAnsiTheme="minorHAnsi"/>
          <w:lang w:val="en-US"/>
        </w:rPr>
      </w:pPr>
      <w:r w:rsidRPr="00E91951">
        <w:rPr>
          <w:rStyle w:val="FootnoteReference"/>
          <w:rFonts w:asciiTheme="minorHAnsi" w:hAnsiTheme="minorHAnsi"/>
        </w:rPr>
        <w:footnoteRef/>
      </w:r>
      <w:r w:rsidRPr="00E91951">
        <w:rPr>
          <w:rFonts w:asciiTheme="minorHAnsi" w:hAnsiTheme="minorHAnsi"/>
        </w:rPr>
        <w:t xml:space="preserve"> </w:t>
      </w:r>
      <w:proofErr w:type="gramStart"/>
      <w:r w:rsidRPr="00E91951">
        <w:rPr>
          <w:rFonts w:asciiTheme="minorHAnsi" w:hAnsiTheme="minorHAnsi"/>
          <w:i/>
          <w:iCs/>
          <w:sz w:val="20"/>
          <w:szCs w:val="20"/>
          <w:lang w:val="en-US"/>
        </w:rPr>
        <w:t xml:space="preserve">Thompson v The Queen </w:t>
      </w:r>
      <w:r w:rsidRPr="00E91951">
        <w:rPr>
          <w:rFonts w:asciiTheme="minorHAnsi" w:hAnsiTheme="minorHAnsi"/>
          <w:iCs/>
          <w:sz w:val="20"/>
          <w:szCs w:val="20"/>
          <w:lang w:val="en-US"/>
        </w:rPr>
        <w:t xml:space="preserve">(2005) 157 A </w:t>
      </w:r>
      <w:proofErr w:type="spellStart"/>
      <w:r w:rsidRPr="00E91951">
        <w:rPr>
          <w:rFonts w:asciiTheme="minorHAnsi" w:hAnsiTheme="minorHAnsi"/>
          <w:iCs/>
          <w:sz w:val="20"/>
          <w:szCs w:val="20"/>
          <w:lang w:val="en-US"/>
        </w:rPr>
        <w:t>Crim</w:t>
      </w:r>
      <w:proofErr w:type="spellEnd"/>
      <w:r w:rsidRPr="00E91951">
        <w:rPr>
          <w:rFonts w:asciiTheme="minorHAnsi" w:hAnsiTheme="minorHAnsi"/>
          <w:iCs/>
          <w:sz w:val="20"/>
          <w:szCs w:val="20"/>
          <w:lang w:val="en-US"/>
        </w:rPr>
        <w:t xml:space="preserve"> R 385 at 396.</w:t>
      </w:r>
      <w:proofErr w:type="gramEnd"/>
      <w:r w:rsidRPr="00E91951">
        <w:rPr>
          <w:rFonts w:asciiTheme="minorHAnsi" w:hAnsiTheme="minorHAnsi"/>
          <w:iCs/>
          <w:sz w:val="20"/>
          <w:szCs w:val="20"/>
          <w:lang w:val="en-US"/>
        </w:rPr>
        <w:t xml:space="preserve"> Also see </w:t>
      </w:r>
      <w:r w:rsidRPr="00E91951">
        <w:rPr>
          <w:rFonts w:asciiTheme="minorHAnsi" w:hAnsiTheme="minorHAnsi"/>
          <w:i/>
          <w:iCs/>
          <w:sz w:val="20"/>
          <w:szCs w:val="20"/>
          <w:lang w:val="en-US"/>
        </w:rPr>
        <w:t xml:space="preserve">R v </w:t>
      </w:r>
      <w:proofErr w:type="spellStart"/>
      <w:r w:rsidRPr="00E91951">
        <w:rPr>
          <w:rFonts w:asciiTheme="minorHAnsi" w:hAnsiTheme="minorHAnsi"/>
          <w:i/>
          <w:iCs/>
          <w:sz w:val="20"/>
          <w:szCs w:val="20"/>
          <w:lang w:val="en-US"/>
        </w:rPr>
        <w:t>Verdins</w:t>
      </w:r>
      <w:proofErr w:type="spellEnd"/>
      <w:r w:rsidRPr="00E91951">
        <w:rPr>
          <w:rFonts w:asciiTheme="minorHAnsi" w:hAnsiTheme="minorHAnsi"/>
          <w:iCs/>
          <w:sz w:val="20"/>
          <w:szCs w:val="20"/>
          <w:lang w:val="en-US"/>
        </w:rPr>
        <w:t xml:space="preserve"> [2007] VSCA 102.</w:t>
      </w:r>
    </w:p>
  </w:footnote>
  <w:footnote w:id="29">
    <w:p w14:paraId="2431721D" w14:textId="49CD4B27" w:rsidR="004975A3" w:rsidRPr="00E91951" w:rsidRDefault="004975A3">
      <w:pPr>
        <w:pStyle w:val="FootnoteText"/>
        <w:rPr>
          <w:rFonts w:asciiTheme="minorHAnsi" w:hAnsiTheme="minorHAnsi"/>
          <w:lang w:val="en-US"/>
        </w:rPr>
      </w:pPr>
      <w:r w:rsidRPr="00E91951">
        <w:rPr>
          <w:rStyle w:val="FootnoteReference"/>
          <w:rFonts w:asciiTheme="minorHAnsi" w:hAnsiTheme="minorHAnsi"/>
        </w:rPr>
        <w:footnoteRef/>
      </w:r>
      <w:r w:rsidRPr="00E91951">
        <w:rPr>
          <w:rFonts w:asciiTheme="minorHAnsi" w:hAnsiTheme="minorHAnsi"/>
        </w:rPr>
        <w:t xml:space="preserve"> </w:t>
      </w:r>
      <w:r w:rsidRPr="00E91951">
        <w:rPr>
          <w:rFonts w:asciiTheme="minorHAnsi" w:hAnsiTheme="minorHAnsi"/>
          <w:i/>
          <w:sz w:val="20"/>
          <w:szCs w:val="20"/>
        </w:rPr>
        <w:t xml:space="preserve">State of Tasmania V Nicholas Graham John Hadley </w:t>
      </w:r>
      <w:r w:rsidRPr="00E91951">
        <w:rPr>
          <w:rFonts w:asciiTheme="minorHAnsi" w:hAnsiTheme="minorHAnsi"/>
          <w:sz w:val="20"/>
          <w:szCs w:val="20"/>
        </w:rPr>
        <w:t xml:space="preserve">10 January 2011, comments on passing sentence per Blow J. </w:t>
      </w:r>
      <w:r>
        <w:rPr>
          <w:rFonts w:asciiTheme="minorHAnsi" w:hAnsiTheme="minorHAnsi"/>
          <w:sz w:val="20"/>
          <w:szCs w:val="20"/>
        </w:rPr>
        <w:t>Justice Blow ultimately imposed</w:t>
      </w:r>
      <w:r w:rsidRPr="00E91951">
        <w:rPr>
          <w:rFonts w:asciiTheme="minorHAnsi" w:hAnsiTheme="minorHAnsi"/>
          <w:sz w:val="20"/>
          <w:szCs w:val="20"/>
        </w:rPr>
        <w:t xml:space="preserve"> a sentence of probation with special conditions to </w:t>
      </w:r>
      <w:r>
        <w:rPr>
          <w:rFonts w:asciiTheme="minorHAnsi" w:hAnsiTheme="minorHAnsi"/>
          <w:sz w:val="20"/>
          <w:szCs w:val="20"/>
        </w:rPr>
        <w:t>assist with</w:t>
      </w:r>
      <w:r w:rsidRPr="00E91951">
        <w:rPr>
          <w:rFonts w:asciiTheme="minorHAnsi" w:hAnsiTheme="minorHAnsi"/>
          <w:sz w:val="20"/>
          <w:szCs w:val="20"/>
        </w:rPr>
        <w:t xml:space="preserve"> Hadley’s mental health issues. Also see </w:t>
      </w:r>
      <w:r w:rsidRPr="00E91951">
        <w:rPr>
          <w:rFonts w:asciiTheme="minorHAnsi" w:hAnsiTheme="minorHAnsi"/>
          <w:i/>
          <w:iCs/>
          <w:sz w:val="20"/>
          <w:szCs w:val="20"/>
          <w:lang w:val="en-US"/>
        </w:rPr>
        <w:t xml:space="preserve">Director of Public Prosecutions (Acting) v CBF </w:t>
      </w:r>
      <w:r w:rsidRPr="00E91951">
        <w:rPr>
          <w:rFonts w:asciiTheme="minorHAnsi" w:hAnsiTheme="minorHAnsi"/>
          <w:sz w:val="20"/>
          <w:szCs w:val="20"/>
          <w:lang w:val="en-US"/>
        </w:rPr>
        <w:t>[2016] TASCCA 1.</w:t>
      </w:r>
    </w:p>
  </w:footnote>
  <w:footnote w:id="30">
    <w:p w14:paraId="0BC05752" w14:textId="77777777" w:rsidR="004975A3" w:rsidRPr="00E91951" w:rsidRDefault="004975A3" w:rsidP="00BC3FA3">
      <w:pPr>
        <w:pStyle w:val="FootnoteText"/>
        <w:rPr>
          <w:rFonts w:asciiTheme="minorHAnsi" w:hAnsiTheme="minorHAnsi"/>
          <w:sz w:val="20"/>
          <w:szCs w:val="20"/>
        </w:rPr>
      </w:pPr>
      <w:r w:rsidRPr="00E91951">
        <w:rPr>
          <w:rStyle w:val="FootnoteReference"/>
          <w:rFonts w:asciiTheme="minorHAnsi" w:hAnsiTheme="minorHAnsi"/>
        </w:rPr>
        <w:footnoteRef/>
      </w:r>
      <w:r w:rsidRPr="00E91951">
        <w:rPr>
          <w:rFonts w:asciiTheme="minorHAnsi" w:hAnsiTheme="minorHAnsi"/>
          <w:sz w:val="20"/>
          <w:szCs w:val="20"/>
        </w:rPr>
        <w:t xml:space="preserve"> Sentencing Advisory Council, </w:t>
      </w:r>
      <w:r w:rsidRPr="00E91951">
        <w:rPr>
          <w:rFonts w:asciiTheme="minorHAnsi" w:hAnsiTheme="minorHAnsi"/>
          <w:i/>
          <w:sz w:val="20"/>
          <w:szCs w:val="20"/>
        </w:rPr>
        <w:t>Assaults of Emergency Service Workers</w:t>
      </w:r>
      <w:r w:rsidRPr="00E91951">
        <w:rPr>
          <w:rFonts w:asciiTheme="minorHAnsi" w:hAnsiTheme="minorHAnsi"/>
          <w:sz w:val="20"/>
          <w:szCs w:val="20"/>
        </w:rPr>
        <w:t xml:space="preserve"> (Final Report: No. 2) at </w:t>
      </w:r>
      <w:proofErr w:type="gramStart"/>
      <w:r w:rsidRPr="00E91951">
        <w:rPr>
          <w:rFonts w:asciiTheme="minorHAnsi" w:hAnsiTheme="minorHAnsi"/>
          <w:sz w:val="20"/>
          <w:szCs w:val="20"/>
        </w:rPr>
        <w:t>vi</w:t>
      </w:r>
      <w:proofErr w:type="gramEnd"/>
      <w:r w:rsidRPr="00E91951">
        <w:rPr>
          <w:rFonts w:asciiTheme="minorHAnsi" w:hAnsiTheme="minorHAnsi"/>
          <w:sz w:val="20"/>
          <w:szCs w:val="20"/>
        </w:rPr>
        <w:t>.</w:t>
      </w:r>
    </w:p>
  </w:footnote>
  <w:footnote w:id="31">
    <w:p w14:paraId="6CE297AA" w14:textId="766D9EC8" w:rsidR="004975A3" w:rsidRPr="00E91951" w:rsidRDefault="004975A3" w:rsidP="00BC3FA3">
      <w:pPr>
        <w:pStyle w:val="FootnoteText"/>
        <w:rPr>
          <w:rFonts w:asciiTheme="minorHAnsi" w:hAnsiTheme="minorHAnsi"/>
        </w:rPr>
      </w:pPr>
      <w:r w:rsidRPr="00E91951">
        <w:rPr>
          <w:rStyle w:val="FootnoteReference"/>
          <w:rFonts w:asciiTheme="minorHAnsi" w:hAnsiTheme="minorHAnsi"/>
        </w:rPr>
        <w:footnoteRef/>
      </w:r>
      <w:r w:rsidRPr="00E91951">
        <w:rPr>
          <w:rFonts w:asciiTheme="minorHAnsi" w:hAnsiTheme="minorHAnsi"/>
          <w:sz w:val="20"/>
          <w:szCs w:val="20"/>
        </w:rPr>
        <w:t xml:space="preserve"> Sentencing Advisory Council, </w:t>
      </w:r>
      <w:r w:rsidRPr="00E91951">
        <w:rPr>
          <w:rFonts w:asciiTheme="minorHAnsi" w:hAnsiTheme="minorHAnsi"/>
          <w:i/>
          <w:sz w:val="20"/>
          <w:szCs w:val="20"/>
        </w:rPr>
        <w:t>Assaults of Emergency Service Workers</w:t>
      </w:r>
      <w:r w:rsidRPr="00E91951">
        <w:rPr>
          <w:rFonts w:asciiTheme="minorHAnsi" w:hAnsiTheme="minorHAnsi"/>
          <w:sz w:val="20"/>
          <w:szCs w:val="20"/>
        </w:rPr>
        <w:t xml:space="preserve"> (Final Report: No. 2) at 32.</w:t>
      </w:r>
    </w:p>
  </w:footnote>
  <w:footnote w:id="32">
    <w:p w14:paraId="1AB0FF4B" w14:textId="25D46097" w:rsidR="004975A3" w:rsidRPr="00E91951" w:rsidRDefault="004975A3" w:rsidP="00BC3FA3">
      <w:pPr>
        <w:pStyle w:val="FootnoteText"/>
        <w:rPr>
          <w:rFonts w:asciiTheme="minorHAnsi" w:hAnsiTheme="minorHAnsi"/>
        </w:rPr>
      </w:pPr>
      <w:r w:rsidRPr="00E91951">
        <w:rPr>
          <w:rStyle w:val="FootnoteReference"/>
          <w:rFonts w:asciiTheme="minorHAnsi" w:hAnsiTheme="minorHAnsi"/>
        </w:rPr>
        <w:footnoteRef/>
      </w:r>
      <w:r w:rsidRPr="00E91951">
        <w:rPr>
          <w:rFonts w:asciiTheme="minorHAnsi" w:hAnsiTheme="minorHAnsi"/>
        </w:rPr>
        <w:t xml:space="preserve"> </w:t>
      </w:r>
      <w:proofErr w:type="gramStart"/>
      <w:r w:rsidRPr="00E91951">
        <w:rPr>
          <w:rFonts w:asciiTheme="minorHAnsi" w:hAnsiTheme="minorHAnsi"/>
          <w:sz w:val="20"/>
          <w:szCs w:val="20"/>
        </w:rPr>
        <w:t xml:space="preserve">Section 3 of the </w:t>
      </w:r>
      <w:r w:rsidRPr="00E91951">
        <w:rPr>
          <w:rFonts w:asciiTheme="minorHAnsi" w:hAnsiTheme="minorHAnsi"/>
          <w:bCs/>
          <w:i/>
          <w:sz w:val="20"/>
          <w:szCs w:val="20"/>
          <w:lang w:val="en-US"/>
        </w:rPr>
        <w:t>Emergency Management Act 2006</w:t>
      </w:r>
      <w:r w:rsidRPr="00E91951">
        <w:rPr>
          <w:rFonts w:asciiTheme="minorHAnsi" w:hAnsiTheme="minorHAnsi"/>
          <w:bCs/>
          <w:sz w:val="20"/>
          <w:szCs w:val="20"/>
          <w:lang w:val="en-US"/>
        </w:rPr>
        <w:t xml:space="preserve"> (</w:t>
      </w:r>
      <w:proofErr w:type="spellStart"/>
      <w:r w:rsidRPr="00E91951">
        <w:rPr>
          <w:rFonts w:asciiTheme="minorHAnsi" w:hAnsiTheme="minorHAnsi"/>
          <w:bCs/>
          <w:sz w:val="20"/>
          <w:szCs w:val="20"/>
          <w:lang w:val="en-US"/>
        </w:rPr>
        <w:t>Tas</w:t>
      </w:r>
      <w:proofErr w:type="spellEnd"/>
      <w:r w:rsidRPr="00E91951">
        <w:rPr>
          <w:rFonts w:asciiTheme="minorHAnsi" w:hAnsiTheme="minorHAnsi"/>
          <w:bCs/>
          <w:sz w:val="20"/>
          <w:szCs w:val="20"/>
          <w:lang w:val="en-US"/>
        </w:rPr>
        <w:t>).</w:t>
      </w:r>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B0EF7"/>
    <w:multiLevelType w:val="hybridMultilevel"/>
    <w:tmpl w:val="A0B6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F6"/>
    <w:rsid w:val="000A2D36"/>
    <w:rsid w:val="000A57A8"/>
    <w:rsid w:val="000C34BE"/>
    <w:rsid w:val="000C6300"/>
    <w:rsid w:val="000D15EB"/>
    <w:rsid w:val="000D1F5C"/>
    <w:rsid w:val="000D1F96"/>
    <w:rsid w:val="00134262"/>
    <w:rsid w:val="0013659F"/>
    <w:rsid w:val="00161798"/>
    <w:rsid w:val="00165E71"/>
    <w:rsid w:val="001854D2"/>
    <w:rsid w:val="00195842"/>
    <w:rsid w:val="001A1E32"/>
    <w:rsid w:val="001C12F7"/>
    <w:rsid w:val="001C656A"/>
    <w:rsid w:val="00200216"/>
    <w:rsid w:val="002841B7"/>
    <w:rsid w:val="002F6E72"/>
    <w:rsid w:val="00302A08"/>
    <w:rsid w:val="00315270"/>
    <w:rsid w:val="00325AAE"/>
    <w:rsid w:val="00357DE4"/>
    <w:rsid w:val="00363825"/>
    <w:rsid w:val="00365F1D"/>
    <w:rsid w:val="00397346"/>
    <w:rsid w:val="00403E48"/>
    <w:rsid w:val="0044515A"/>
    <w:rsid w:val="00477004"/>
    <w:rsid w:val="004975A3"/>
    <w:rsid w:val="004B5A82"/>
    <w:rsid w:val="004C0469"/>
    <w:rsid w:val="004C06DF"/>
    <w:rsid w:val="004D68D0"/>
    <w:rsid w:val="004F195C"/>
    <w:rsid w:val="00502D04"/>
    <w:rsid w:val="005106EE"/>
    <w:rsid w:val="00594053"/>
    <w:rsid w:val="00595594"/>
    <w:rsid w:val="00595C99"/>
    <w:rsid w:val="005D51F7"/>
    <w:rsid w:val="0063776F"/>
    <w:rsid w:val="006C7F25"/>
    <w:rsid w:val="007300C9"/>
    <w:rsid w:val="007E569A"/>
    <w:rsid w:val="00813318"/>
    <w:rsid w:val="008B5A4A"/>
    <w:rsid w:val="00931146"/>
    <w:rsid w:val="009501C1"/>
    <w:rsid w:val="00961230"/>
    <w:rsid w:val="009775F8"/>
    <w:rsid w:val="009F563A"/>
    <w:rsid w:val="00A27D39"/>
    <w:rsid w:val="00A4360E"/>
    <w:rsid w:val="00A833C5"/>
    <w:rsid w:val="00A96FA1"/>
    <w:rsid w:val="00AB7E5F"/>
    <w:rsid w:val="00B6708C"/>
    <w:rsid w:val="00BB70F3"/>
    <w:rsid w:val="00BC3FA3"/>
    <w:rsid w:val="00BD735A"/>
    <w:rsid w:val="00BE1673"/>
    <w:rsid w:val="00C123BE"/>
    <w:rsid w:val="00C50FD1"/>
    <w:rsid w:val="00C7666E"/>
    <w:rsid w:val="00D11B8A"/>
    <w:rsid w:val="00D65E22"/>
    <w:rsid w:val="00D66B41"/>
    <w:rsid w:val="00D92CA7"/>
    <w:rsid w:val="00DA140A"/>
    <w:rsid w:val="00E272F6"/>
    <w:rsid w:val="00E50D0E"/>
    <w:rsid w:val="00E91951"/>
    <w:rsid w:val="00E930E5"/>
    <w:rsid w:val="00EF1604"/>
    <w:rsid w:val="00F06BDF"/>
    <w:rsid w:val="00F2586E"/>
    <w:rsid w:val="00F37BFB"/>
    <w:rsid w:val="00FA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A558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272F6"/>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E272F6"/>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E272F6"/>
    <w:rPr>
      <w:vertAlign w:val="superscript"/>
    </w:rPr>
  </w:style>
  <w:style w:type="character" w:styleId="Hyperlink">
    <w:name w:val="Hyperlink"/>
    <w:basedOn w:val="DefaultParagraphFont"/>
    <w:uiPriority w:val="99"/>
    <w:unhideWhenUsed/>
    <w:rsid w:val="00E272F6"/>
    <w:rPr>
      <w:color w:val="0000FF"/>
      <w:u w:val="single"/>
    </w:rPr>
  </w:style>
  <w:style w:type="paragraph" w:styleId="BalloonText">
    <w:name w:val="Balloon Text"/>
    <w:basedOn w:val="Normal"/>
    <w:link w:val="BalloonTextChar"/>
    <w:uiPriority w:val="99"/>
    <w:semiHidden/>
    <w:unhideWhenUsed/>
    <w:rsid w:val="00E272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2F6"/>
    <w:rPr>
      <w:rFonts w:ascii="Lucida Grande" w:hAnsi="Lucida Grande" w:cs="Lucida Grande"/>
      <w:sz w:val="18"/>
      <w:szCs w:val="18"/>
    </w:rPr>
  </w:style>
  <w:style w:type="paragraph" w:styleId="NormalWeb">
    <w:name w:val="Normal (Web)"/>
    <w:basedOn w:val="Normal"/>
    <w:uiPriority w:val="99"/>
    <w:unhideWhenUsed/>
    <w:rsid w:val="00BC3FA3"/>
    <w:rPr>
      <w:rFonts w:ascii="Times New Roman" w:eastAsiaTheme="minorHAnsi" w:hAnsi="Times New Roman" w:cs="Times New Roman"/>
      <w:lang w:val="en-AU"/>
    </w:rPr>
  </w:style>
  <w:style w:type="character" w:styleId="FollowedHyperlink">
    <w:name w:val="FollowedHyperlink"/>
    <w:basedOn w:val="DefaultParagraphFont"/>
    <w:uiPriority w:val="99"/>
    <w:semiHidden/>
    <w:unhideWhenUsed/>
    <w:rsid w:val="00595C99"/>
    <w:rPr>
      <w:color w:val="800080" w:themeColor="followedHyperlink"/>
      <w:u w:val="single"/>
    </w:rPr>
  </w:style>
  <w:style w:type="paragraph" w:styleId="NoSpacing">
    <w:name w:val="No Spacing"/>
    <w:uiPriority w:val="1"/>
    <w:qFormat/>
    <w:rsid w:val="004F19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272F6"/>
    <w:rPr>
      <w:rFonts w:ascii="Times New Roman" w:eastAsia="Times New Roman" w:hAnsi="Times New Roman" w:cs="Times New Roman"/>
      <w:lang w:val="en-AU"/>
    </w:rPr>
  </w:style>
  <w:style w:type="character" w:customStyle="1" w:styleId="FootnoteTextChar">
    <w:name w:val="Footnote Text Char"/>
    <w:basedOn w:val="DefaultParagraphFont"/>
    <w:link w:val="FootnoteText"/>
    <w:uiPriority w:val="99"/>
    <w:rsid w:val="00E272F6"/>
    <w:rPr>
      <w:rFonts w:ascii="Times New Roman" w:eastAsia="Times New Roman" w:hAnsi="Times New Roman" w:cs="Times New Roman"/>
      <w:lang w:val="en-AU"/>
    </w:rPr>
  </w:style>
  <w:style w:type="character" w:styleId="FootnoteReference">
    <w:name w:val="footnote reference"/>
    <w:basedOn w:val="DefaultParagraphFont"/>
    <w:uiPriority w:val="99"/>
    <w:unhideWhenUsed/>
    <w:rsid w:val="00E272F6"/>
    <w:rPr>
      <w:vertAlign w:val="superscript"/>
    </w:rPr>
  </w:style>
  <w:style w:type="character" w:styleId="Hyperlink">
    <w:name w:val="Hyperlink"/>
    <w:basedOn w:val="DefaultParagraphFont"/>
    <w:uiPriority w:val="99"/>
    <w:unhideWhenUsed/>
    <w:rsid w:val="00E272F6"/>
    <w:rPr>
      <w:color w:val="0000FF"/>
      <w:u w:val="single"/>
    </w:rPr>
  </w:style>
  <w:style w:type="paragraph" w:styleId="BalloonText">
    <w:name w:val="Balloon Text"/>
    <w:basedOn w:val="Normal"/>
    <w:link w:val="BalloonTextChar"/>
    <w:uiPriority w:val="99"/>
    <w:semiHidden/>
    <w:unhideWhenUsed/>
    <w:rsid w:val="00E272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72F6"/>
    <w:rPr>
      <w:rFonts w:ascii="Lucida Grande" w:hAnsi="Lucida Grande" w:cs="Lucida Grande"/>
      <w:sz w:val="18"/>
      <w:szCs w:val="18"/>
    </w:rPr>
  </w:style>
  <w:style w:type="paragraph" w:styleId="NormalWeb">
    <w:name w:val="Normal (Web)"/>
    <w:basedOn w:val="Normal"/>
    <w:uiPriority w:val="99"/>
    <w:unhideWhenUsed/>
    <w:rsid w:val="00BC3FA3"/>
    <w:rPr>
      <w:rFonts w:ascii="Times New Roman" w:eastAsiaTheme="minorHAnsi" w:hAnsi="Times New Roman" w:cs="Times New Roman"/>
      <w:lang w:val="en-AU"/>
    </w:rPr>
  </w:style>
  <w:style w:type="character" w:styleId="FollowedHyperlink">
    <w:name w:val="FollowedHyperlink"/>
    <w:basedOn w:val="DefaultParagraphFont"/>
    <w:uiPriority w:val="99"/>
    <w:semiHidden/>
    <w:unhideWhenUsed/>
    <w:rsid w:val="00595C99"/>
    <w:rPr>
      <w:color w:val="800080" w:themeColor="followedHyperlink"/>
      <w:u w:val="single"/>
    </w:rPr>
  </w:style>
  <w:style w:type="paragraph" w:styleId="NoSpacing">
    <w:name w:val="No Spacing"/>
    <w:uiPriority w:val="1"/>
    <w:qFormat/>
    <w:rsid w:val="004F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588857">
      <w:bodyDiv w:val="1"/>
      <w:marLeft w:val="0"/>
      <w:marRight w:val="0"/>
      <w:marTop w:val="0"/>
      <w:marBottom w:val="0"/>
      <w:divBdr>
        <w:top w:val="none" w:sz="0" w:space="0" w:color="auto"/>
        <w:left w:val="none" w:sz="0" w:space="0" w:color="auto"/>
        <w:bottom w:val="none" w:sz="0" w:space="0" w:color="auto"/>
        <w:right w:val="none" w:sz="0" w:space="0" w:color="auto"/>
      </w:divBdr>
      <w:divsChild>
        <w:div w:id="1448156111">
          <w:marLeft w:val="0"/>
          <w:marRight w:val="0"/>
          <w:marTop w:val="0"/>
          <w:marBottom w:val="0"/>
          <w:divBdr>
            <w:top w:val="none" w:sz="0" w:space="0" w:color="auto"/>
            <w:left w:val="none" w:sz="0" w:space="0" w:color="auto"/>
            <w:bottom w:val="none" w:sz="0" w:space="0" w:color="auto"/>
            <w:right w:val="none" w:sz="0" w:space="0" w:color="auto"/>
          </w:divBdr>
        </w:div>
        <w:div w:id="1831020413">
          <w:marLeft w:val="0"/>
          <w:marRight w:val="0"/>
          <w:marTop w:val="0"/>
          <w:marBottom w:val="0"/>
          <w:divBdr>
            <w:top w:val="none" w:sz="0" w:space="0" w:color="auto"/>
            <w:left w:val="none" w:sz="0" w:space="0" w:color="auto"/>
            <w:bottom w:val="none" w:sz="0" w:space="0" w:color="auto"/>
            <w:right w:val="none" w:sz="0" w:space="0" w:color="auto"/>
          </w:divBdr>
        </w:div>
        <w:div w:id="27264075">
          <w:marLeft w:val="0"/>
          <w:marRight w:val="0"/>
          <w:marTop w:val="0"/>
          <w:marBottom w:val="0"/>
          <w:divBdr>
            <w:top w:val="none" w:sz="0" w:space="0" w:color="auto"/>
            <w:left w:val="none" w:sz="0" w:space="0" w:color="auto"/>
            <w:bottom w:val="none" w:sz="0" w:space="0" w:color="auto"/>
            <w:right w:val="none" w:sz="0" w:space="0" w:color="auto"/>
          </w:divBdr>
        </w:div>
        <w:div w:id="1155144965">
          <w:marLeft w:val="0"/>
          <w:marRight w:val="0"/>
          <w:marTop w:val="0"/>
          <w:marBottom w:val="0"/>
          <w:divBdr>
            <w:top w:val="none" w:sz="0" w:space="0" w:color="auto"/>
            <w:left w:val="none" w:sz="0" w:space="0" w:color="auto"/>
            <w:bottom w:val="none" w:sz="0" w:space="0" w:color="auto"/>
            <w:right w:val="none" w:sz="0" w:space="0" w:color="auto"/>
          </w:divBdr>
        </w:div>
        <w:div w:id="1733581834">
          <w:marLeft w:val="0"/>
          <w:marRight w:val="0"/>
          <w:marTop w:val="0"/>
          <w:marBottom w:val="0"/>
          <w:divBdr>
            <w:top w:val="none" w:sz="0" w:space="0" w:color="auto"/>
            <w:left w:val="none" w:sz="0" w:space="0" w:color="auto"/>
            <w:bottom w:val="none" w:sz="0" w:space="0" w:color="auto"/>
            <w:right w:val="none" w:sz="0" w:space="0" w:color="auto"/>
          </w:divBdr>
        </w:div>
        <w:div w:id="2115007498">
          <w:marLeft w:val="0"/>
          <w:marRight w:val="0"/>
          <w:marTop w:val="0"/>
          <w:marBottom w:val="0"/>
          <w:divBdr>
            <w:top w:val="none" w:sz="0" w:space="0" w:color="auto"/>
            <w:left w:val="none" w:sz="0" w:space="0" w:color="auto"/>
            <w:bottom w:val="none" w:sz="0" w:space="0" w:color="auto"/>
            <w:right w:val="none" w:sz="0" w:space="0" w:color="auto"/>
          </w:divBdr>
        </w:div>
        <w:div w:id="159987458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6B0F-8F20-8342-A4A8-88B5641D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1736</Words>
  <Characters>9899</Characters>
  <Application>Microsoft Macintosh Word</Application>
  <DocSecurity>0</DocSecurity>
  <Lines>82</Lines>
  <Paragraphs>23</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Current Legislative Framework</vt:lpstr>
      <vt:lpstr/>
      <vt:lpstr>Interstate examples of similar laws.</vt:lpstr>
      <vt:lpstr/>
      <vt:lpstr>Effectiveness of Mandatory Sentences </vt:lpstr>
      <vt:lpstr>Summary </vt:lpstr>
    </vt:vector>
  </TitlesOfParts>
  <Company>TACLC</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Worker</dc:creator>
  <cp:keywords/>
  <dc:description/>
  <cp:lastModifiedBy>Ben Bartl</cp:lastModifiedBy>
  <cp:revision>5</cp:revision>
  <cp:lastPrinted>2016-10-16T22:22:00Z</cp:lastPrinted>
  <dcterms:created xsi:type="dcterms:W3CDTF">2016-10-16T22:05:00Z</dcterms:created>
  <dcterms:modified xsi:type="dcterms:W3CDTF">2016-10-16T22:29:00Z</dcterms:modified>
</cp:coreProperties>
</file>