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60413" w14:textId="77777777" w:rsidR="00B94B2A" w:rsidRDefault="00B94B2A" w:rsidP="00B94B2A">
      <w:pPr>
        <w:ind w:right="-205"/>
        <w:jc w:val="center"/>
      </w:pPr>
      <w:r w:rsidRPr="00B10735">
        <w:rPr>
          <w:noProof/>
          <w:sz w:val="20"/>
          <w:szCs w:val="20"/>
          <w:lang w:val="en-US"/>
        </w:rPr>
        <w:drawing>
          <wp:inline distT="0" distB="0" distL="0" distR="0" wp14:anchorId="5B3058C4" wp14:editId="68CA335D">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2CC737FA" w14:textId="77777777" w:rsidR="00B94B2A" w:rsidRDefault="00B94B2A" w:rsidP="00B94B2A">
      <w:pPr>
        <w:ind w:right="-205"/>
      </w:pPr>
    </w:p>
    <w:p w14:paraId="71BB3AF3" w14:textId="77777777" w:rsidR="00B94B2A" w:rsidRPr="00FA08CC" w:rsidRDefault="00B94B2A" w:rsidP="00B94B2A">
      <w:pPr>
        <w:ind w:right="-205"/>
      </w:pPr>
    </w:p>
    <w:p w14:paraId="36D160E8" w14:textId="2F33C2BB" w:rsidR="00B94B2A" w:rsidRPr="00FA08CC" w:rsidRDefault="00660EA1" w:rsidP="00B94B2A">
      <w:pPr>
        <w:ind w:right="-205"/>
      </w:pPr>
      <w:r>
        <w:t>7</w:t>
      </w:r>
      <w:r w:rsidR="0025774B">
        <w:t xml:space="preserve"> </w:t>
      </w:r>
      <w:r w:rsidR="00B94B2A">
        <w:t>February 2017</w:t>
      </w:r>
    </w:p>
    <w:p w14:paraId="197F7C06" w14:textId="77777777" w:rsidR="00B94B2A" w:rsidRPr="00FA08CC" w:rsidRDefault="00B94B2A" w:rsidP="00B94B2A">
      <w:pPr>
        <w:ind w:right="-205"/>
      </w:pPr>
    </w:p>
    <w:p w14:paraId="1F78E147" w14:textId="77777777" w:rsidR="00B94B2A" w:rsidRPr="00FA08CC" w:rsidRDefault="00B94B2A" w:rsidP="00B94B2A">
      <w:pPr>
        <w:ind w:right="-205"/>
      </w:pPr>
      <w:r w:rsidRPr="00FA08CC">
        <w:t>Department of Justice</w:t>
      </w:r>
    </w:p>
    <w:p w14:paraId="1E3A977C" w14:textId="44D40D5F" w:rsidR="0025774B" w:rsidRDefault="0025774B" w:rsidP="00B94B2A">
      <w:pPr>
        <w:ind w:right="-205"/>
      </w:pPr>
      <w:r w:rsidRPr="00FA08CC">
        <w:t>Office of Strategic Legislation and Policy</w:t>
      </w:r>
    </w:p>
    <w:p w14:paraId="7B672486" w14:textId="77777777" w:rsidR="00B94B2A" w:rsidRPr="00FA08CC" w:rsidRDefault="00B94B2A" w:rsidP="00B94B2A">
      <w:pPr>
        <w:ind w:right="-205"/>
      </w:pPr>
      <w:r w:rsidRPr="00FA08CC">
        <w:t>GPO Box 825</w:t>
      </w:r>
    </w:p>
    <w:p w14:paraId="3EF130AD" w14:textId="77777777" w:rsidR="00B94B2A" w:rsidRPr="00FA08CC" w:rsidRDefault="00B94B2A" w:rsidP="00B94B2A">
      <w:pPr>
        <w:ind w:right="-205"/>
      </w:pPr>
      <w:r w:rsidRPr="00FA08CC">
        <w:t>Hobart TAS 7001</w:t>
      </w:r>
    </w:p>
    <w:p w14:paraId="31011B2A" w14:textId="77777777" w:rsidR="00E76A26" w:rsidRDefault="00B94B2A" w:rsidP="00B94B2A">
      <w:pPr>
        <w:ind w:right="-205"/>
      </w:pPr>
      <w:r w:rsidRPr="00FA08CC">
        <w:t>Attn:</w:t>
      </w:r>
      <w:r w:rsidR="00E76A26">
        <w:t xml:space="preserve"> Georgina Hay</w:t>
      </w:r>
      <w:r w:rsidR="00E76A26">
        <w:tab/>
      </w:r>
    </w:p>
    <w:p w14:paraId="40FA8A52" w14:textId="77777777" w:rsidR="00D87E4B" w:rsidRDefault="00D87E4B" w:rsidP="00E76A26">
      <w:pPr>
        <w:ind w:left="2160" w:right="-205"/>
        <w:rPr>
          <w:b/>
        </w:rPr>
      </w:pPr>
    </w:p>
    <w:p w14:paraId="45E52A66" w14:textId="127BF8BF" w:rsidR="00B94B2A" w:rsidRPr="00FA08CC" w:rsidRDefault="0025774B" w:rsidP="00E76A26">
      <w:pPr>
        <w:ind w:left="2160" w:right="-205"/>
      </w:pPr>
      <w:r w:rsidRPr="0025774B">
        <w:rPr>
          <w:b/>
        </w:rPr>
        <w:t xml:space="preserve">via email: </w:t>
      </w:r>
      <w:r w:rsidRPr="00E76A26">
        <w:rPr>
          <w:i/>
        </w:rPr>
        <w:t>legislation.development@justice.tas.gov.au</w:t>
      </w:r>
    </w:p>
    <w:p w14:paraId="039864D3" w14:textId="77777777" w:rsidR="00B94B2A" w:rsidRPr="00FA08CC" w:rsidRDefault="00B94B2A" w:rsidP="00B94B2A">
      <w:pPr>
        <w:ind w:right="-205"/>
      </w:pPr>
      <w:r w:rsidRPr="00FA08CC">
        <w:tab/>
      </w:r>
      <w:r w:rsidRPr="00FA08CC">
        <w:tab/>
      </w:r>
      <w:r w:rsidRPr="00FA08CC">
        <w:tab/>
      </w:r>
    </w:p>
    <w:p w14:paraId="086096FF" w14:textId="2D124EBA" w:rsidR="00B94B2A" w:rsidRPr="00FA08CC" w:rsidRDefault="00E76A26" w:rsidP="00B94B2A">
      <w:pPr>
        <w:ind w:right="-205"/>
      </w:pPr>
      <w:r>
        <w:t>Dear Georgina</w:t>
      </w:r>
      <w:r w:rsidR="00B94B2A" w:rsidRPr="00FA08CC">
        <w:t>,</w:t>
      </w:r>
    </w:p>
    <w:p w14:paraId="7C8D6BC8" w14:textId="77777777" w:rsidR="00B94B2A" w:rsidRPr="00FA08CC" w:rsidRDefault="00B94B2A" w:rsidP="00B94B2A">
      <w:pPr>
        <w:pBdr>
          <w:bottom w:val="single" w:sz="6" w:space="1" w:color="auto"/>
        </w:pBdr>
        <w:ind w:right="-205"/>
        <w:rPr>
          <w:b/>
        </w:rPr>
      </w:pPr>
      <w:r w:rsidRPr="00FA08CC">
        <w:rPr>
          <w:b/>
        </w:rPr>
        <w:t xml:space="preserve">Re: </w:t>
      </w:r>
      <w:r>
        <w:rPr>
          <w:b/>
        </w:rPr>
        <w:t>Family Violence – Strengthening Our Legal Responses Consultation Paper</w:t>
      </w:r>
    </w:p>
    <w:p w14:paraId="586CCBDE" w14:textId="77777777" w:rsidR="00B94B2A" w:rsidRDefault="00B94B2A" w:rsidP="00B94B2A">
      <w:pPr>
        <w:ind w:right="-205"/>
      </w:pPr>
      <w:r w:rsidRPr="00FA08CC">
        <w:t xml:space="preserve"> </w:t>
      </w:r>
    </w:p>
    <w:p w14:paraId="60D5F95C" w14:textId="0B7E9706" w:rsidR="00B94B2A" w:rsidRPr="00FA08CC" w:rsidRDefault="00B94B2A" w:rsidP="00B94B2A">
      <w:pPr>
        <w:ind w:right="-205"/>
        <w:jc w:val="both"/>
      </w:pPr>
      <w:r w:rsidRPr="00FA08CC">
        <w:rPr>
          <w:rFonts w:cs="Calibri"/>
        </w:rPr>
        <w:t>Community Legal Centres Tasmania (CLC Tas)</w:t>
      </w:r>
      <w:r w:rsidRPr="00FA08CC">
        <w:t xml:space="preserve"> welcomes the opportunity to </w:t>
      </w:r>
      <w:r w:rsidRPr="008B1E75">
        <w:t xml:space="preserve">provide comment on the </w:t>
      </w:r>
      <w:r w:rsidR="008B1E75" w:rsidRPr="008B1E75">
        <w:rPr>
          <w:i/>
        </w:rPr>
        <w:t>Family Violence – Strengthening Our Legal Responses Consultation Paper</w:t>
      </w:r>
      <w:r w:rsidRPr="00FA08CC">
        <w:rPr>
          <w:i/>
        </w:rPr>
        <w:t>.</w:t>
      </w:r>
      <w:r w:rsidRPr="00FA08CC">
        <w:rPr>
          <w:rStyle w:val="FootnoteReference"/>
        </w:rPr>
        <w:footnoteReference w:id="1"/>
      </w:r>
    </w:p>
    <w:p w14:paraId="0BCC25FA" w14:textId="77777777" w:rsidR="00B94B2A" w:rsidRPr="00FA08CC" w:rsidRDefault="00B94B2A" w:rsidP="00B94B2A">
      <w:pPr>
        <w:ind w:right="-205"/>
        <w:jc w:val="both"/>
      </w:pPr>
    </w:p>
    <w:p w14:paraId="31D99C59" w14:textId="77777777" w:rsidR="00B94B2A" w:rsidRPr="00FA08CC" w:rsidRDefault="00B94B2A" w:rsidP="00B94B2A">
      <w:pPr>
        <w:ind w:right="-205"/>
        <w:jc w:val="both"/>
        <w:rPr>
          <w:rFonts w:cs="Arial"/>
          <w:color w:val="000000"/>
        </w:rPr>
      </w:pPr>
      <w:r w:rsidRPr="00FA08CC">
        <w:rPr>
          <w:rFonts w:eastAsia="Times New Roman" w:cs="Arial"/>
          <w:lang w:eastAsia="en-AU"/>
        </w:rPr>
        <w:t xml:space="preserve">CLC Tas </w:t>
      </w:r>
      <w:r w:rsidRPr="00FA08CC">
        <w:rPr>
          <w:rFonts w:cs="Arial"/>
        </w:rPr>
        <w:t>is the peak body representing the interests of eight community legal centres (CLCs) located throughout Tasmania. We are a member-based, independent, not-for-profit and incorporated organisation that</w:t>
      </w:r>
      <w:r w:rsidRPr="00FA08CC">
        <w:rPr>
          <w:rFonts w:cs="Arial"/>
          <w:color w:val="000000"/>
        </w:rPr>
        <w:t xml:space="preserve"> advocates for law reform on a range of public interest matters aimed at improving access to justice, reducing discrimination and protecting and promoting human rights. </w:t>
      </w:r>
    </w:p>
    <w:p w14:paraId="044FC27A" w14:textId="77777777" w:rsidR="00B94B2A" w:rsidRPr="00FA08CC" w:rsidRDefault="00B94B2A" w:rsidP="00B94B2A">
      <w:pPr>
        <w:ind w:right="-205"/>
        <w:jc w:val="both"/>
        <w:rPr>
          <w:rFonts w:cs="Arial"/>
        </w:rPr>
      </w:pPr>
    </w:p>
    <w:p w14:paraId="65C4C030" w14:textId="1506D56E" w:rsidR="00950BEE" w:rsidRPr="00950BEE" w:rsidRDefault="00950BEE" w:rsidP="00B94B2A">
      <w:pPr>
        <w:ind w:right="-205"/>
        <w:jc w:val="both"/>
        <w:rPr>
          <w:rFonts w:cs="Arial"/>
          <w:color w:val="000000" w:themeColor="text1"/>
          <w:lang w:val="en-US"/>
        </w:rPr>
      </w:pPr>
      <w:r w:rsidRPr="00950BEE">
        <w:rPr>
          <w:rFonts w:cs="Arial"/>
          <w:color w:val="000000" w:themeColor="text1"/>
        </w:rPr>
        <w:t xml:space="preserve">We strongly support many of the reforms outlined in the consultation paper including that family violence </w:t>
      </w:r>
      <w:r>
        <w:rPr>
          <w:rFonts w:cs="Arial"/>
          <w:color w:val="000000" w:themeColor="text1"/>
        </w:rPr>
        <w:t xml:space="preserve">victims not be </w:t>
      </w:r>
      <w:r w:rsidRPr="00950BEE">
        <w:rPr>
          <w:rFonts w:cs="Arial"/>
          <w:color w:val="000000" w:themeColor="text1"/>
        </w:rPr>
        <w:t xml:space="preserve">prosecuted for breaches </w:t>
      </w:r>
      <w:r w:rsidR="002B510A">
        <w:rPr>
          <w:color w:val="000000" w:themeColor="text1"/>
          <w:lang w:val="en-US"/>
        </w:rPr>
        <w:t xml:space="preserve">of </w:t>
      </w:r>
      <w:r w:rsidRPr="00950BEE">
        <w:rPr>
          <w:color w:val="000000" w:themeColor="text1"/>
          <w:lang w:val="en-US"/>
        </w:rPr>
        <w:t xml:space="preserve">a protected family violence order; the removal of imminence from self-defence </w:t>
      </w:r>
      <w:r w:rsidRPr="00950BEE">
        <w:rPr>
          <w:rFonts w:cs="Arial"/>
          <w:color w:val="000000" w:themeColor="text1"/>
          <w:lang w:val="en-US"/>
        </w:rPr>
        <w:t xml:space="preserve">in circumstances in which family violence </w:t>
      </w:r>
      <w:r w:rsidR="002B510A">
        <w:rPr>
          <w:rFonts w:cs="Arial"/>
          <w:color w:val="000000" w:themeColor="text1"/>
          <w:lang w:val="en-US"/>
        </w:rPr>
        <w:t>is</w:t>
      </w:r>
      <w:r w:rsidRPr="00950BEE">
        <w:rPr>
          <w:rFonts w:cs="Arial"/>
          <w:color w:val="000000" w:themeColor="text1"/>
          <w:lang w:val="en-US"/>
        </w:rPr>
        <w:t xml:space="preserve"> proved; </w:t>
      </w:r>
      <w:r w:rsidRPr="00950BEE">
        <w:rPr>
          <w:color w:val="000000" w:themeColor="text1"/>
          <w:lang w:val="en-US"/>
        </w:rPr>
        <w:t xml:space="preserve">the ability of </w:t>
      </w:r>
      <w:r w:rsidR="002B510A">
        <w:rPr>
          <w:color w:val="000000" w:themeColor="text1"/>
          <w:lang w:val="en-US"/>
        </w:rPr>
        <w:t>the</w:t>
      </w:r>
      <w:r w:rsidRPr="00950BEE">
        <w:rPr>
          <w:color w:val="000000" w:themeColor="text1"/>
          <w:lang w:val="en-US"/>
        </w:rPr>
        <w:t xml:space="preserve"> courts to declare a person a ‘persistent </w:t>
      </w:r>
      <w:r w:rsidR="00D87E4B">
        <w:rPr>
          <w:color w:val="000000" w:themeColor="text1"/>
          <w:lang w:val="en-US"/>
        </w:rPr>
        <w:t>perpetrator of family violence’</w:t>
      </w:r>
      <w:r w:rsidRPr="00950BEE">
        <w:rPr>
          <w:color w:val="000000" w:themeColor="text1"/>
          <w:lang w:val="en-US"/>
        </w:rPr>
        <w:t xml:space="preserve"> and </w:t>
      </w:r>
      <w:r w:rsidR="002B510A">
        <w:rPr>
          <w:color w:val="000000" w:themeColor="text1"/>
          <w:lang w:val="en-US"/>
        </w:rPr>
        <w:t>finally</w:t>
      </w:r>
      <w:r w:rsidR="00D87E4B">
        <w:rPr>
          <w:color w:val="000000" w:themeColor="text1"/>
          <w:lang w:val="en-US"/>
        </w:rPr>
        <w:t>;</w:t>
      </w:r>
      <w:r w:rsidR="002B510A">
        <w:rPr>
          <w:color w:val="000000" w:themeColor="text1"/>
          <w:lang w:val="en-US"/>
        </w:rPr>
        <w:t xml:space="preserve"> the use of </w:t>
      </w:r>
      <w:r w:rsidRPr="00950BEE">
        <w:rPr>
          <w:color w:val="000000" w:themeColor="text1"/>
          <w:lang w:val="en-US"/>
        </w:rPr>
        <w:t>sentence</w:t>
      </w:r>
      <w:r w:rsidR="002B510A">
        <w:rPr>
          <w:color w:val="000000" w:themeColor="text1"/>
          <w:lang w:val="en-US"/>
        </w:rPr>
        <w:t>s</w:t>
      </w:r>
      <w:r w:rsidRPr="00950BEE">
        <w:rPr>
          <w:color w:val="000000" w:themeColor="text1"/>
          <w:lang w:val="en-US"/>
        </w:rPr>
        <w:t xml:space="preserve"> that focus on the underlying causes of the offender’s behavior rather than the offence committed.</w:t>
      </w:r>
      <w:r w:rsidR="002B510A">
        <w:rPr>
          <w:color w:val="000000" w:themeColor="text1"/>
          <w:lang w:val="en-US"/>
        </w:rPr>
        <w:t xml:space="preserve"> We also </w:t>
      </w:r>
      <w:r w:rsidR="00D87E4B">
        <w:rPr>
          <w:color w:val="000000" w:themeColor="text1"/>
          <w:lang w:val="en-US"/>
        </w:rPr>
        <w:t>strongly recommend that the Government</w:t>
      </w:r>
      <w:r w:rsidR="002B510A">
        <w:rPr>
          <w:color w:val="000000" w:themeColor="text1"/>
          <w:lang w:val="en-US"/>
        </w:rPr>
        <w:t xml:space="preserve"> consider a number of reforms to the </w:t>
      </w:r>
      <w:r w:rsidR="002B510A" w:rsidRPr="00D87E4B">
        <w:rPr>
          <w:i/>
          <w:color w:val="000000" w:themeColor="text1"/>
          <w:lang w:val="en-US"/>
        </w:rPr>
        <w:t>Residential Tenancy Act 1997</w:t>
      </w:r>
      <w:r w:rsidR="002B510A">
        <w:rPr>
          <w:color w:val="000000" w:themeColor="text1"/>
          <w:lang w:val="en-US"/>
        </w:rPr>
        <w:t xml:space="preserve"> (Tas) that currently have unfair and unjust outcomes for victims of family violence. </w:t>
      </w:r>
    </w:p>
    <w:p w14:paraId="15A035F7" w14:textId="77777777" w:rsidR="00A72317" w:rsidRDefault="00A72317" w:rsidP="00E068FE">
      <w:pPr>
        <w:jc w:val="both"/>
        <w:rPr>
          <w:b/>
          <w:i/>
        </w:rPr>
      </w:pPr>
    </w:p>
    <w:p w14:paraId="31115BD1" w14:textId="77777777" w:rsidR="00D87E4B" w:rsidRDefault="00D87E4B" w:rsidP="00E068FE">
      <w:pPr>
        <w:jc w:val="both"/>
        <w:rPr>
          <w:b/>
          <w:i/>
        </w:rPr>
      </w:pPr>
    </w:p>
    <w:p w14:paraId="01FC23EA" w14:textId="77777777" w:rsidR="00D87E4B" w:rsidRDefault="00D87E4B" w:rsidP="00E068FE">
      <w:pPr>
        <w:jc w:val="both"/>
        <w:rPr>
          <w:b/>
          <w:i/>
        </w:rPr>
      </w:pPr>
    </w:p>
    <w:p w14:paraId="4FEA3461" w14:textId="77777777" w:rsidR="007916CC" w:rsidRDefault="007916CC" w:rsidP="00E068FE">
      <w:pPr>
        <w:jc w:val="both"/>
        <w:rPr>
          <w:b/>
          <w:i/>
        </w:rPr>
      </w:pPr>
    </w:p>
    <w:p w14:paraId="66E83EAF" w14:textId="77777777" w:rsidR="007916CC" w:rsidRDefault="007916CC" w:rsidP="00E068FE">
      <w:pPr>
        <w:jc w:val="both"/>
        <w:rPr>
          <w:b/>
          <w:i/>
        </w:rPr>
      </w:pPr>
    </w:p>
    <w:p w14:paraId="211C4A0F" w14:textId="77777777" w:rsidR="00B94B2A" w:rsidRPr="00E068FE" w:rsidRDefault="00B94B2A" w:rsidP="00E068FE">
      <w:pPr>
        <w:jc w:val="both"/>
        <w:rPr>
          <w:i/>
          <w:lang w:val="en-US"/>
        </w:rPr>
      </w:pPr>
      <w:r w:rsidRPr="00E068FE">
        <w:rPr>
          <w:b/>
          <w:i/>
        </w:rPr>
        <w:lastRenderedPageBreak/>
        <w:t>Issue 1:</w:t>
      </w:r>
      <w:r w:rsidRPr="00E068FE">
        <w:rPr>
          <w:i/>
        </w:rPr>
        <w:t xml:space="preserve"> </w:t>
      </w:r>
      <w:r w:rsidRPr="00E068FE">
        <w:rPr>
          <w:i/>
          <w:lang w:val="en-US"/>
        </w:rPr>
        <w:t xml:space="preserve">Should the current legislation be amended to provide that a person protected by a family violence order cannot be charged with an offence of instigating, abetting, or aiding the breach of a protection order? </w:t>
      </w:r>
    </w:p>
    <w:p w14:paraId="5551ED33" w14:textId="77777777" w:rsidR="00B94B2A" w:rsidRDefault="00B94B2A" w:rsidP="00B94B2A"/>
    <w:p w14:paraId="2694C145" w14:textId="2EB297C1" w:rsidR="0062573D" w:rsidRDefault="00A72317" w:rsidP="0062573D">
      <w:pPr>
        <w:pStyle w:val="NoSpacing"/>
        <w:jc w:val="both"/>
        <w:rPr>
          <w:lang w:val="en-US"/>
        </w:rPr>
      </w:pPr>
      <w:r>
        <w:rPr>
          <w:lang w:val="en-US"/>
        </w:rPr>
        <w:t>We are very concerned that protected persons continue to be prosecuted for breaches of aiding or abetting a breach of a protected family violence order (PFVO).</w:t>
      </w:r>
      <w:r w:rsidR="003835BC">
        <w:rPr>
          <w:lang w:val="en-US"/>
        </w:rPr>
        <w:t xml:space="preserve"> </w:t>
      </w:r>
      <w:r w:rsidR="001E3B18">
        <w:rPr>
          <w:lang w:val="en-US"/>
        </w:rPr>
        <w:t>We strongl</w:t>
      </w:r>
      <w:r w:rsidR="0036417A">
        <w:rPr>
          <w:lang w:val="en-US"/>
        </w:rPr>
        <w:t>y believe that the focus of family violence legislation</w:t>
      </w:r>
      <w:r w:rsidR="001E3B18">
        <w:rPr>
          <w:lang w:val="en-US"/>
        </w:rPr>
        <w:t xml:space="preserve"> should be on ensuring that the perpetrator adheres to any and all conditions imposed as part of a PFVO and not that the protected person ensure that it is not breached. </w:t>
      </w:r>
      <w:r w:rsidR="0036417A">
        <w:rPr>
          <w:lang w:val="en-US"/>
        </w:rPr>
        <w:t xml:space="preserve">In other words, the onus should be the offender rather than the protected person. </w:t>
      </w:r>
      <w:r w:rsidR="0062573D">
        <w:rPr>
          <w:lang w:val="en-US"/>
        </w:rPr>
        <w:t>We are also concerned that some protected persons may feel uncomfortable about reporting breaches because it may lead to them also being charged. As the Women’s Legal Service has previously noted:</w:t>
      </w:r>
      <w:r w:rsidR="0062573D">
        <w:rPr>
          <w:rStyle w:val="FootnoteReference"/>
          <w:lang w:val="en-US"/>
        </w:rPr>
        <w:footnoteReference w:id="2"/>
      </w:r>
    </w:p>
    <w:p w14:paraId="33C74C1C" w14:textId="77777777" w:rsidR="0062573D" w:rsidRDefault="0062573D" w:rsidP="0062573D">
      <w:pPr>
        <w:pStyle w:val="NoSpacing"/>
        <w:jc w:val="both"/>
        <w:rPr>
          <w:lang w:val="en-US"/>
        </w:rPr>
      </w:pPr>
    </w:p>
    <w:p w14:paraId="7FBF920E" w14:textId="77777777" w:rsidR="0062573D" w:rsidRPr="00E21961" w:rsidRDefault="0062573D" w:rsidP="0062573D">
      <w:pPr>
        <w:ind w:left="426" w:right="645"/>
        <w:jc w:val="both"/>
        <w:rPr>
          <w:rFonts w:eastAsia="Times New Roman" w:cs="Times New Roman"/>
          <w:sz w:val="22"/>
          <w:szCs w:val="22"/>
        </w:rPr>
      </w:pPr>
      <w:r w:rsidRPr="00E21961">
        <w:rPr>
          <w:rFonts w:eastAsia="Times New Roman" w:cs="Times New Roman"/>
          <w:sz w:val="22"/>
          <w:szCs w:val="22"/>
        </w:rPr>
        <w:t xml:space="preserve">In our experience, charging a victim or threatening to charge a victim with instigating a breach undermines their confidence in the legal system and results in the victim being less likely to report any future breaches. It further victimises them and fails to take into account the vulnerability of family violence victims and the dynamic of power and control that exists in relationships dominated by family violence. </w:t>
      </w:r>
    </w:p>
    <w:p w14:paraId="1B8B821F" w14:textId="6851F031" w:rsidR="0062573D" w:rsidRDefault="0062573D" w:rsidP="001E3B18">
      <w:pPr>
        <w:pStyle w:val="NoSpacing"/>
        <w:jc w:val="both"/>
        <w:rPr>
          <w:lang w:val="en-US"/>
        </w:rPr>
      </w:pPr>
      <w:r>
        <w:rPr>
          <w:lang w:val="en-US"/>
        </w:rPr>
        <w:t xml:space="preserve"> </w:t>
      </w:r>
    </w:p>
    <w:p w14:paraId="1E18DC0C" w14:textId="14749A49" w:rsidR="0062573D" w:rsidRDefault="0062573D" w:rsidP="0062573D">
      <w:pPr>
        <w:pStyle w:val="NoSpacing"/>
        <w:jc w:val="both"/>
        <w:rPr>
          <w:lang w:val="en-US"/>
        </w:rPr>
      </w:pPr>
      <w:r>
        <w:rPr>
          <w:lang w:val="en-US"/>
        </w:rPr>
        <w:t>We are also concerned that p</w:t>
      </w:r>
      <w:r w:rsidRPr="008D3B87">
        <w:rPr>
          <w:lang w:val="en-US"/>
        </w:rPr>
        <w:t xml:space="preserve">rosecuting protected persons also disadvantages persons from non-English </w:t>
      </w:r>
      <w:r>
        <w:rPr>
          <w:lang w:val="en-US"/>
        </w:rPr>
        <w:t xml:space="preserve">speaking </w:t>
      </w:r>
      <w:r w:rsidRPr="008D3B87">
        <w:rPr>
          <w:lang w:val="en-US"/>
        </w:rPr>
        <w:t xml:space="preserve">backgrounds </w:t>
      </w:r>
      <w:r w:rsidR="0079063B">
        <w:rPr>
          <w:lang w:val="en-US"/>
        </w:rPr>
        <w:t xml:space="preserve">as well as those </w:t>
      </w:r>
      <w:r w:rsidRPr="008D3B87">
        <w:rPr>
          <w:lang w:val="en-US"/>
        </w:rPr>
        <w:t xml:space="preserve">who may not fully understand </w:t>
      </w:r>
      <w:r>
        <w:rPr>
          <w:lang w:val="en-US"/>
        </w:rPr>
        <w:t xml:space="preserve">the </w:t>
      </w:r>
      <w:r w:rsidRPr="008D3B87">
        <w:rPr>
          <w:lang w:val="en-US"/>
        </w:rPr>
        <w:t>conditions of the order or the ramifications of breaching the order.</w:t>
      </w:r>
      <w:r w:rsidR="0079063B">
        <w:rPr>
          <w:rStyle w:val="FootnoteReference"/>
          <w:lang w:val="en-US"/>
        </w:rPr>
        <w:footnoteReference w:id="3"/>
      </w:r>
      <w:r w:rsidR="00BF04EF">
        <w:rPr>
          <w:lang w:val="en-US"/>
        </w:rPr>
        <w:t xml:space="preserve"> </w:t>
      </w:r>
      <w:r>
        <w:rPr>
          <w:lang w:val="en-US"/>
        </w:rPr>
        <w:t>This may</w:t>
      </w:r>
      <w:r w:rsidRPr="008D3B87">
        <w:rPr>
          <w:lang w:val="en-US"/>
        </w:rPr>
        <w:t xml:space="preserve"> lead to protected pe</w:t>
      </w:r>
      <w:r>
        <w:rPr>
          <w:lang w:val="en-US"/>
        </w:rPr>
        <w:t xml:space="preserve">rsons receiving a </w:t>
      </w:r>
      <w:r w:rsidRPr="008D3B87">
        <w:rPr>
          <w:lang w:val="en-US"/>
        </w:rPr>
        <w:t>conviction and possible imprisonment.</w:t>
      </w:r>
    </w:p>
    <w:p w14:paraId="3ABE7F64" w14:textId="77777777" w:rsidR="0062573D" w:rsidRDefault="0062573D" w:rsidP="0062573D">
      <w:pPr>
        <w:pStyle w:val="NoSpacing"/>
        <w:jc w:val="both"/>
        <w:rPr>
          <w:lang w:val="en-US"/>
        </w:rPr>
      </w:pPr>
    </w:p>
    <w:p w14:paraId="1CFFBBE8" w14:textId="6FCBC4D8" w:rsidR="001E3B18" w:rsidRDefault="001E3B18" w:rsidP="0062573D">
      <w:pPr>
        <w:pStyle w:val="NoSpacing"/>
        <w:jc w:val="both"/>
        <w:rPr>
          <w:lang w:val="en-US"/>
        </w:rPr>
      </w:pPr>
      <w:r>
        <w:rPr>
          <w:lang w:val="en-US"/>
        </w:rPr>
        <w:t xml:space="preserve">In our opinion, the continued prosecution of protected persons is contrary to the objects of the </w:t>
      </w:r>
      <w:r w:rsidRPr="00C301D3">
        <w:rPr>
          <w:i/>
          <w:lang w:val="en-US"/>
        </w:rPr>
        <w:t>Family Violence Act</w:t>
      </w:r>
      <w:r>
        <w:rPr>
          <w:i/>
          <w:lang w:val="en-US"/>
        </w:rPr>
        <w:t xml:space="preserve"> 2004 </w:t>
      </w:r>
      <w:r w:rsidRPr="001E3B18">
        <w:rPr>
          <w:lang w:val="en-US"/>
        </w:rPr>
        <w:t>(Tas)</w:t>
      </w:r>
      <w:r>
        <w:rPr>
          <w:lang w:val="en-US"/>
        </w:rPr>
        <w:t xml:space="preserve"> which states that the safety, psychological wellbeing and interests of persons affected by family violence are the paramount considerations. </w:t>
      </w:r>
    </w:p>
    <w:p w14:paraId="774B80AF" w14:textId="77777777" w:rsidR="0062573D" w:rsidRDefault="0062573D" w:rsidP="0062573D">
      <w:pPr>
        <w:pStyle w:val="NoSpacing"/>
        <w:jc w:val="both"/>
        <w:rPr>
          <w:lang w:val="en-US"/>
        </w:rPr>
      </w:pPr>
    </w:p>
    <w:p w14:paraId="4305AFDE" w14:textId="17DFFF1C" w:rsidR="00B94B2A" w:rsidRDefault="0013771C" w:rsidP="001233A0">
      <w:pPr>
        <w:pStyle w:val="NoSpacing"/>
        <w:jc w:val="both"/>
        <w:rPr>
          <w:lang w:val="en-US"/>
        </w:rPr>
      </w:pPr>
      <w:r w:rsidRPr="0013771C">
        <w:rPr>
          <w:lang w:val="en-US"/>
        </w:rPr>
        <w:t xml:space="preserve">We strongly support the amendment of section 73 of the </w:t>
      </w:r>
      <w:r w:rsidRPr="0013771C">
        <w:rPr>
          <w:rFonts w:cs="Times"/>
          <w:i/>
          <w:lang w:val="en-US"/>
        </w:rPr>
        <w:t>Justices Act 1959</w:t>
      </w:r>
      <w:r w:rsidRPr="0013771C">
        <w:rPr>
          <w:rFonts w:cs="Times"/>
          <w:lang w:val="en-US"/>
        </w:rPr>
        <w:t xml:space="preserve"> (Tas) so that </w:t>
      </w:r>
      <w:r w:rsidRPr="0013771C">
        <w:rPr>
          <w:lang w:val="en-US"/>
        </w:rPr>
        <w:t>victims of family violence, who have obtained a protection order, cannot be charged with instigating or aiding or abetting a breach.</w:t>
      </w:r>
      <w:r w:rsidR="008D3B87">
        <w:rPr>
          <w:lang w:val="en-US"/>
        </w:rPr>
        <w:t xml:space="preserve"> </w:t>
      </w:r>
      <w:r w:rsidR="00E068FE">
        <w:rPr>
          <w:lang w:val="en-US"/>
        </w:rPr>
        <w:t xml:space="preserve">In our opinion such a reform is in keeping with the long established common law principle </w:t>
      </w:r>
      <w:r w:rsidR="00E068FE" w:rsidRPr="008D3B87">
        <w:rPr>
          <w:lang w:val="en-US"/>
        </w:rPr>
        <w:t>that a</w:t>
      </w:r>
      <w:r w:rsidR="00E068FE">
        <w:rPr>
          <w:lang w:val="en-US"/>
        </w:rPr>
        <w:t xml:space="preserve"> </w:t>
      </w:r>
      <w:r w:rsidR="00E068FE" w:rsidRPr="008D3B87">
        <w:rPr>
          <w:lang w:val="en-US"/>
        </w:rPr>
        <w:t xml:space="preserve">person cannot be convicted of aiding and abetting the commission of an offence </w:t>
      </w:r>
      <w:r w:rsidR="001A1526">
        <w:rPr>
          <w:lang w:val="en-US"/>
        </w:rPr>
        <w:t>in</w:t>
      </w:r>
      <w:r w:rsidR="00E068FE" w:rsidRPr="008D3B87">
        <w:rPr>
          <w:lang w:val="en-US"/>
        </w:rPr>
        <w:t xml:space="preserve"> which they are the victim</w:t>
      </w:r>
      <w:r w:rsidR="00E068FE">
        <w:rPr>
          <w:lang w:val="en-US"/>
        </w:rPr>
        <w:t>.</w:t>
      </w:r>
      <w:r w:rsidR="00E068FE" w:rsidRPr="00355894">
        <w:rPr>
          <w:vertAlign w:val="superscript"/>
          <w:lang w:val="en-US"/>
        </w:rPr>
        <w:footnoteReference w:id="4"/>
      </w:r>
      <w:r w:rsidR="003835BC">
        <w:rPr>
          <w:lang w:val="en-US"/>
        </w:rPr>
        <w:t xml:space="preserve"> Finally, reform will ensure that resources are directed at the prosecution of offenders rather than the protected person.</w:t>
      </w:r>
      <w:r w:rsidR="003835BC" w:rsidRPr="00A02926">
        <w:rPr>
          <w:vertAlign w:val="superscript"/>
          <w:lang w:val="en-US"/>
        </w:rPr>
        <w:t xml:space="preserve"> </w:t>
      </w:r>
    </w:p>
    <w:p w14:paraId="53A422C5" w14:textId="77777777" w:rsidR="00B94B2A" w:rsidRDefault="00B94B2A" w:rsidP="00B94B2A">
      <w:pPr>
        <w:rPr>
          <w:lang w:val="en-US"/>
        </w:rPr>
      </w:pPr>
    </w:p>
    <w:p w14:paraId="66993C1D" w14:textId="77777777" w:rsidR="00D87E4B" w:rsidRDefault="00D87E4B" w:rsidP="00CF35FA">
      <w:pPr>
        <w:rPr>
          <w:b/>
          <w:i/>
          <w:lang w:val="en-US"/>
        </w:rPr>
      </w:pPr>
    </w:p>
    <w:p w14:paraId="6C42C3B8" w14:textId="77777777" w:rsidR="00AC1B5A" w:rsidRDefault="00AC1B5A" w:rsidP="00CF35FA">
      <w:pPr>
        <w:rPr>
          <w:b/>
          <w:i/>
          <w:lang w:val="en-US"/>
        </w:rPr>
      </w:pPr>
    </w:p>
    <w:p w14:paraId="6408E5B6" w14:textId="77777777" w:rsidR="00CF35FA" w:rsidRPr="001872FF" w:rsidRDefault="00CF35FA" w:rsidP="00CF35FA">
      <w:pPr>
        <w:rPr>
          <w:i/>
          <w:lang w:val="en-US"/>
        </w:rPr>
      </w:pPr>
      <w:r w:rsidRPr="001872FF">
        <w:rPr>
          <w:b/>
          <w:i/>
          <w:lang w:val="en-US"/>
        </w:rPr>
        <w:t>Issue 2</w:t>
      </w:r>
      <w:r w:rsidRPr="001872FF">
        <w:rPr>
          <w:i/>
          <w:lang w:val="en-US"/>
        </w:rPr>
        <w:t xml:space="preserve">: Should Tasmania’s family violence legislation include provisions for mandatory reporting of family violence? </w:t>
      </w:r>
    </w:p>
    <w:p w14:paraId="446162F0" w14:textId="77777777" w:rsidR="00CF35FA" w:rsidRPr="00395BD4" w:rsidRDefault="00CF35FA" w:rsidP="00CF35FA">
      <w:pPr>
        <w:rPr>
          <w:lang w:val="en-US"/>
        </w:rPr>
      </w:pPr>
    </w:p>
    <w:p w14:paraId="153C0D44" w14:textId="6C0005C8" w:rsidR="008534F8" w:rsidRDefault="00BB3B27" w:rsidP="00BB3B27">
      <w:pPr>
        <w:jc w:val="both"/>
        <w:rPr>
          <w:lang w:val="en-US"/>
        </w:rPr>
      </w:pPr>
      <w:r>
        <w:rPr>
          <w:lang w:val="en-US"/>
        </w:rPr>
        <w:t>With data continuing to demonstrate that family violence is underreported we recogni</w:t>
      </w:r>
      <w:r w:rsidR="0036417A">
        <w:rPr>
          <w:lang w:val="en-US"/>
        </w:rPr>
        <w:t>s</w:t>
      </w:r>
      <w:r>
        <w:rPr>
          <w:lang w:val="en-US"/>
        </w:rPr>
        <w:t xml:space="preserve">e that mandatory reporting has the potential to bring </w:t>
      </w:r>
      <w:r w:rsidR="0036417A">
        <w:rPr>
          <w:lang w:val="en-US"/>
        </w:rPr>
        <w:t xml:space="preserve">offending behavior to the attention of authorities </w:t>
      </w:r>
      <w:r w:rsidR="00CF35FA" w:rsidRPr="00BB3B27">
        <w:rPr>
          <w:lang w:val="en-US"/>
        </w:rPr>
        <w:t xml:space="preserve">that may not </w:t>
      </w:r>
      <w:r>
        <w:rPr>
          <w:lang w:val="en-US"/>
        </w:rPr>
        <w:t xml:space="preserve">otherwise </w:t>
      </w:r>
      <w:r w:rsidR="00CF35FA" w:rsidRPr="00BB3B27">
        <w:rPr>
          <w:lang w:val="en-US"/>
        </w:rPr>
        <w:t>be reported.</w:t>
      </w:r>
      <w:r w:rsidR="00CF35FA">
        <w:rPr>
          <w:rStyle w:val="FootnoteReference"/>
          <w:lang w:val="en-US"/>
        </w:rPr>
        <w:footnoteReference w:id="5"/>
      </w:r>
      <w:r w:rsidR="00CF35FA" w:rsidRPr="00BB3B27">
        <w:rPr>
          <w:lang w:val="en-US"/>
        </w:rPr>
        <w:t xml:space="preserve"> </w:t>
      </w:r>
      <w:r w:rsidR="001D62EC">
        <w:rPr>
          <w:lang w:val="en-US"/>
        </w:rPr>
        <w:t>We also acknowledge that m</w:t>
      </w:r>
      <w:r w:rsidR="00CF35FA" w:rsidRPr="00BB3B27">
        <w:rPr>
          <w:lang w:val="en-US"/>
        </w:rPr>
        <w:t xml:space="preserve">andatory reporting </w:t>
      </w:r>
      <w:r w:rsidR="008534F8">
        <w:rPr>
          <w:lang w:val="en-US"/>
        </w:rPr>
        <w:t xml:space="preserve">aligns with community expectations that </w:t>
      </w:r>
      <w:r w:rsidR="00CF35FA" w:rsidRPr="00BB3B27">
        <w:rPr>
          <w:lang w:val="en-US"/>
        </w:rPr>
        <w:t>serious offence</w:t>
      </w:r>
      <w:r w:rsidR="008534F8">
        <w:rPr>
          <w:lang w:val="en-US"/>
        </w:rPr>
        <w:t xml:space="preserve">s be reported to the authorities. </w:t>
      </w:r>
    </w:p>
    <w:p w14:paraId="62B89F5F" w14:textId="77777777" w:rsidR="008534F8" w:rsidRDefault="008534F8" w:rsidP="00BB3B27">
      <w:pPr>
        <w:jc w:val="both"/>
        <w:rPr>
          <w:lang w:val="en-US"/>
        </w:rPr>
      </w:pPr>
    </w:p>
    <w:p w14:paraId="1EE0A954" w14:textId="4999C599" w:rsidR="00AE3B93" w:rsidRPr="00950BEE" w:rsidRDefault="008534F8" w:rsidP="00AE3B93">
      <w:pPr>
        <w:jc w:val="both"/>
        <w:rPr>
          <w:rFonts w:eastAsia="Times New Roman" w:cs="Times New Roman"/>
        </w:rPr>
      </w:pPr>
      <w:r w:rsidRPr="00950BEE">
        <w:rPr>
          <w:lang w:val="en-US"/>
        </w:rPr>
        <w:t xml:space="preserve">However, in our opinion the disadvantages of mandatory reporting of family violence outweigh the benefits. First, there is no evidence </w:t>
      </w:r>
      <w:r w:rsidR="00CF35FA" w:rsidRPr="00950BEE">
        <w:rPr>
          <w:lang w:val="en-US"/>
        </w:rPr>
        <w:t>that mandatory reporting of family violence improves the safety of victims.</w:t>
      </w:r>
      <w:r w:rsidR="00CF35FA" w:rsidRPr="00950BEE">
        <w:rPr>
          <w:vertAlign w:val="superscript"/>
          <w:lang w:val="en-US"/>
        </w:rPr>
        <w:footnoteReference w:id="6"/>
      </w:r>
      <w:r w:rsidR="00CF35FA" w:rsidRPr="00950BEE">
        <w:rPr>
          <w:lang w:val="en-US"/>
        </w:rPr>
        <w:t xml:space="preserve"> </w:t>
      </w:r>
      <w:r w:rsidR="007B6DA3" w:rsidRPr="00950BEE">
        <w:rPr>
          <w:lang w:val="en-US"/>
        </w:rPr>
        <w:t xml:space="preserve">We are also concerned </w:t>
      </w:r>
      <w:r w:rsidR="00CF35FA" w:rsidRPr="00950BEE">
        <w:rPr>
          <w:lang w:val="en-US"/>
        </w:rPr>
        <w:t xml:space="preserve">that </w:t>
      </w:r>
      <w:r w:rsidR="007B6DA3" w:rsidRPr="00950BEE">
        <w:rPr>
          <w:lang w:val="en-US"/>
        </w:rPr>
        <w:t xml:space="preserve">some victims </w:t>
      </w:r>
      <w:r w:rsidR="00CF35FA" w:rsidRPr="00950BEE">
        <w:rPr>
          <w:lang w:val="en-US"/>
        </w:rPr>
        <w:t xml:space="preserve">may not seek medical attention for injuries incurred through family violence. </w:t>
      </w:r>
      <w:r w:rsidR="003D7B8F" w:rsidRPr="00950BEE">
        <w:rPr>
          <w:lang w:val="en-US"/>
        </w:rPr>
        <w:t>Finally,</w:t>
      </w:r>
      <w:r w:rsidR="00AE3B93" w:rsidRPr="00950BEE">
        <w:rPr>
          <w:lang w:val="en-US"/>
        </w:rPr>
        <w:t xml:space="preserve"> </w:t>
      </w:r>
      <w:r w:rsidR="003D7B8F" w:rsidRPr="00950BEE">
        <w:rPr>
          <w:lang w:val="en-US"/>
        </w:rPr>
        <w:t>we are</w:t>
      </w:r>
      <w:r w:rsidR="00AE3B93" w:rsidRPr="00950BEE">
        <w:rPr>
          <w:lang w:val="en-US"/>
        </w:rPr>
        <w:t xml:space="preserve"> concerned that victims lose their autonomy, potentially resulting in increased risk of harm. As the</w:t>
      </w:r>
      <w:r w:rsidR="00AE3B93" w:rsidRPr="00950BEE">
        <w:rPr>
          <w:rFonts w:eastAsia="Times New Roman" w:cs="Times New Roman"/>
        </w:rPr>
        <w:t xml:space="preserve"> National President of the Australian Association of Social Workers, Professor Bob Lonne has previously observed:</w:t>
      </w:r>
      <w:r w:rsidR="003D7B8F" w:rsidRPr="00950BEE">
        <w:rPr>
          <w:rStyle w:val="FootnoteReference"/>
          <w:rFonts w:eastAsia="Times New Roman" w:cs="Times New Roman"/>
        </w:rPr>
        <w:footnoteReference w:id="7"/>
      </w:r>
    </w:p>
    <w:p w14:paraId="69A6924F" w14:textId="77777777" w:rsidR="00AE3B93" w:rsidRDefault="00AE3B93" w:rsidP="00AE3B93">
      <w:pPr>
        <w:jc w:val="both"/>
        <w:rPr>
          <w:rFonts w:ascii="Times" w:eastAsia="Times New Roman" w:hAnsi="Times" w:cs="Times New Roman"/>
          <w:sz w:val="26"/>
          <w:szCs w:val="26"/>
        </w:rPr>
      </w:pPr>
    </w:p>
    <w:p w14:paraId="754A0A78" w14:textId="746C2E71" w:rsidR="00AE3B93" w:rsidRPr="00AE3B93" w:rsidRDefault="00AE3B93" w:rsidP="007916CC">
      <w:pPr>
        <w:ind w:left="426" w:right="645"/>
        <w:jc w:val="both"/>
        <w:rPr>
          <w:rFonts w:ascii="Times" w:eastAsia="Times New Roman" w:hAnsi="Times" w:cs="Times New Roman"/>
          <w:sz w:val="22"/>
          <w:szCs w:val="22"/>
        </w:rPr>
      </w:pPr>
      <w:r w:rsidRPr="00AE3B93">
        <w:rPr>
          <w:sz w:val="22"/>
          <w:szCs w:val="22"/>
        </w:rPr>
        <w:t>… a victim of family violence doesn’t always want the police to come round, as it doesn’t always lead to a resolution and can sometimes make the problem worse. Removing the power of the victim to decide when the police are notified makes the victim even more powerless in what is already a powerless family situation.</w:t>
      </w:r>
    </w:p>
    <w:p w14:paraId="24AB63E9" w14:textId="5D3B88F7" w:rsidR="00AE3B93" w:rsidRDefault="00AE3B93" w:rsidP="008534F8">
      <w:pPr>
        <w:jc w:val="both"/>
        <w:rPr>
          <w:lang w:val="en-US"/>
        </w:rPr>
      </w:pPr>
    </w:p>
    <w:p w14:paraId="5D85FE4B" w14:textId="6BEEB6D2" w:rsidR="00CF35FA" w:rsidRPr="00950BEE" w:rsidRDefault="00950BEE" w:rsidP="00950BEE">
      <w:pPr>
        <w:jc w:val="both"/>
        <w:rPr>
          <w:lang w:val="en-US"/>
        </w:rPr>
      </w:pPr>
      <w:r>
        <w:rPr>
          <w:lang w:val="en-US"/>
        </w:rPr>
        <w:t xml:space="preserve">In summary, we do not support the introduction of </w:t>
      </w:r>
      <w:r w:rsidR="00CF35FA">
        <w:rPr>
          <w:lang w:val="en-US"/>
        </w:rPr>
        <w:t>mandatory reporti</w:t>
      </w:r>
      <w:r>
        <w:rPr>
          <w:lang w:val="en-US"/>
        </w:rPr>
        <w:t>ng for family violence</w:t>
      </w:r>
      <w:r w:rsidR="00CF35FA">
        <w:rPr>
          <w:lang w:val="en-US"/>
        </w:rPr>
        <w:t>.</w:t>
      </w:r>
    </w:p>
    <w:p w14:paraId="78796447" w14:textId="77777777" w:rsidR="00CF35FA" w:rsidRPr="00950BEE" w:rsidRDefault="00CF35FA" w:rsidP="00B94B2A">
      <w:pPr>
        <w:rPr>
          <w:b/>
          <w:lang w:val="en-US"/>
        </w:rPr>
      </w:pPr>
    </w:p>
    <w:p w14:paraId="5AD6AF97" w14:textId="77777777" w:rsidR="00B94B2A" w:rsidRPr="001872FF" w:rsidRDefault="00B94B2A" w:rsidP="00B94B2A">
      <w:pPr>
        <w:rPr>
          <w:i/>
          <w:lang w:val="en-US"/>
        </w:rPr>
      </w:pPr>
      <w:r w:rsidRPr="001872FF">
        <w:rPr>
          <w:b/>
          <w:i/>
          <w:lang w:val="en-US"/>
        </w:rPr>
        <w:t>Issue 3:</w:t>
      </w:r>
      <w:r w:rsidRPr="001872FF">
        <w:rPr>
          <w:i/>
          <w:lang w:val="en-US"/>
        </w:rPr>
        <w:t xml:space="preserve"> Should the definition of ‘family relationship’ in the Family Violence Act 2004 be extended to a broader number of family members who are victims of family violence? If so, who should be covered.</w:t>
      </w:r>
    </w:p>
    <w:p w14:paraId="06A339D4" w14:textId="77777777" w:rsidR="00AD3BAD" w:rsidRDefault="00AD3BAD" w:rsidP="00AD3BAD">
      <w:pPr>
        <w:rPr>
          <w:lang w:val="en-US"/>
        </w:rPr>
      </w:pPr>
    </w:p>
    <w:p w14:paraId="3EEE2181" w14:textId="4AA10AB8" w:rsidR="00AD3BAD" w:rsidRDefault="00AD3BAD" w:rsidP="00606436">
      <w:pPr>
        <w:jc w:val="both"/>
        <w:rPr>
          <w:lang w:val="en-US"/>
        </w:rPr>
      </w:pPr>
      <w:r>
        <w:rPr>
          <w:lang w:val="en-US"/>
        </w:rPr>
        <w:t xml:space="preserve">We do not support the broadening of ‘family relationship’ in the </w:t>
      </w:r>
      <w:r w:rsidRPr="00AD3BAD">
        <w:rPr>
          <w:i/>
          <w:lang w:val="en-US"/>
        </w:rPr>
        <w:t>Family Violence Act 2004</w:t>
      </w:r>
      <w:r>
        <w:rPr>
          <w:lang w:val="en-US"/>
        </w:rPr>
        <w:t xml:space="preserve"> (Tas)</w:t>
      </w:r>
      <w:r w:rsidR="00582292">
        <w:rPr>
          <w:lang w:val="en-US"/>
        </w:rPr>
        <w:t xml:space="preserve"> to include </w:t>
      </w:r>
      <w:r w:rsidR="00FA19D5">
        <w:rPr>
          <w:lang w:val="en-US"/>
        </w:rPr>
        <w:t xml:space="preserve">either </w:t>
      </w:r>
      <w:r w:rsidR="00582292">
        <w:rPr>
          <w:lang w:val="en-US"/>
        </w:rPr>
        <w:t>child or elder abuse</w:t>
      </w:r>
      <w:r w:rsidR="00FA19D5">
        <w:rPr>
          <w:lang w:val="en-US"/>
        </w:rPr>
        <w:t xml:space="preserve"> as we believe that </w:t>
      </w:r>
      <w:r w:rsidR="0036417A">
        <w:rPr>
          <w:lang w:val="en-US"/>
        </w:rPr>
        <w:t xml:space="preserve">legislative protections are either already in existence </w:t>
      </w:r>
      <w:r w:rsidR="00606436">
        <w:rPr>
          <w:lang w:val="en-US"/>
        </w:rPr>
        <w:t>or should be treated as a distinct area of law</w:t>
      </w:r>
      <w:r w:rsidR="00582292">
        <w:rPr>
          <w:lang w:val="en-US"/>
        </w:rPr>
        <w:t xml:space="preserve">. </w:t>
      </w:r>
      <w:r>
        <w:rPr>
          <w:lang w:val="en-US"/>
        </w:rPr>
        <w:t xml:space="preserve">  </w:t>
      </w:r>
    </w:p>
    <w:p w14:paraId="116C1C4D" w14:textId="77777777" w:rsidR="00AD3BAD" w:rsidRDefault="00AD3BAD" w:rsidP="00606436">
      <w:pPr>
        <w:jc w:val="both"/>
        <w:rPr>
          <w:lang w:val="en-US"/>
        </w:rPr>
      </w:pPr>
    </w:p>
    <w:p w14:paraId="46C1E628" w14:textId="0E65014A" w:rsidR="00582292" w:rsidRPr="00582292" w:rsidRDefault="00582292" w:rsidP="00606436">
      <w:pPr>
        <w:jc w:val="both"/>
        <w:rPr>
          <w:i/>
          <w:lang w:val="en-US"/>
        </w:rPr>
      </w:pPr>
      <w:r w:rsidRPr="00582292">
        <w:rPr>
          <w:i/>
          <w:lang w:val="en-US"/>
        </w:rPr>
        <w:t>- child abuse</w:t>
      </w:r>
    </w:p>
    <w:p w14:paraId="5F2F8364" w14:textId="7A88FCD8" w:rsidR="00A763D6" w:rsidRDefault="00D1790D" w:rsidP="00606436">
      <w:pPr>
        <w:jc w:val="both"/>
        <w:rPr>
          <w:lang w:val="en-US"/>
        </w:rPr>
      </w:pPr>
      <w:r>
        <w:rPr>
          <w:lang w:val="en-US"/>
        </w:rPr>
        <w:t>The</w:t>
      </w:r>
      <w:r w:rsidR="00582292">
        <w:rPr>
          <w:lang w:val="en-US"/>
        </w:rPr>
        <w:t xml:space="preserve"> inclusion of </w:t>
      </w:r>
      <w:r w:rsidR="00B94B2A" w:rsidRPr="00582292">
        <w:rPr>
          <w:lang w:val="en-US"/>
        </w:rPr>
        <w:t xml:space="preserve">child abuse </w:t>
      </w:r>
      <w:r w:rsidR="00582292">
        <w:rPr>
          <w:lang w:val="en-US"/>
        </w:rPr>
        <w:t xml:space="preserve">in the </w:t>
      </w:r>
      <w:r>
        <w:rPr>
          <w:lang w:val="en-US"/>
        </w:rPr>
        <w:t xml:space="preserve">Acts </w:t>
      </w:r>
      <w:r w:rsidR="00582292">
        <w:rPr>
          <w:lang w:val="en-US"/>
        </w:rPr>
        <w:t xml:space="preserve">definition of ‘family relationship’ </w:t>
      </w:r>
      <w:r>
        <w:rPr>
          <w:lang w:val="en-US"/>
        </w:rPr>
        <w:t xml:space="preserve">is unnecessary </w:t>
      </w:r>
      <w:r w:rsidR="0036417A">
        <w:rPr>
          <w:lang w:val="en-US"/>
        </w:rPr>
        <w:t>because there is already appropriate protection in existing legislation</w:t>
      </w:r>
      <w:r w:rsidR="00582292">
        <w:rPr>
          <w:lang w:val="en-US"/>
        </w:rPr>
        <w:t>.</w:t>
      </w:r>
      <w:r w:rsidR="00B94B2A" w:rsidRPr="0067201E">
        <w:rPr>
          <w:vertAlign w:val="superscript"/>
          <w:lang w:val="en-US"/>
        </w:rPr>
        <w:footnoteReference w:id="8"/>
      </w:r>
      <w:r w:rsidR="00B94B2A" w:rsidRPr="00582292">
        <w:rPr>
          <w:lang w:val="en-US"/>
        </w:rPr>
        <w:t xml:space="preserve"> </w:t>
      </w:r>
      <w:r w:rsidR="00C41FC7">
        <w:rPr>
          <w:lang w:val="en-US"/>
        </w:rPr>
        <w:t>We believe</w:t>
      </w:r>
      <w:r w:rsidR="00B94B2A" w:rsidRPr="00582292">
        <w:rPr>
          <w:lang w:val="en-US"/>
        </w:rPr>
        <w:t xml:space="preserve"> that violence against children should be </w:t>
      </w:r>
      <w:r w:rsidR="00C41FC7">
        <w:rPr>
          <w:lang w:val="en-US"/>
        </w:rPr>
        <w:t>treated as</w:t>
      </w:r>
      <w:r w:rsidR="00B94B2A" w:rsidRPr="00582292">
        <w:rPr>
          <w:lang w:val="en-US"/>
        </w:rPr>
        <w:t xml:space="preserve"> a </w:t>
      </w:r>
      <w:r w:rsidR="00C41FC7">
        <w:rPr>
          <w:lang w:val="en-US"/>
        </w:rPr>
        <w:t>distinct</w:t>
      </w:r>
      <w:r w:rsidR="00B94B2A" w:rsidRPr="00582292">
        <w:rPr>
          <w:lang w:val="en-US"/>
        </w:rPr>
        <w:t xml:space="preserve"> area of law </w:t>
      </w:r>
      <w:r w:rsidR="00C41FC7">
        <w:rPr>
          <w:lang w:val="en-US"/>
        </w:rPr>
        <w:t>with its own specialist</w:t>
      </w:r>
      <w:r w:rsidR="00B94B2A" w:rsidRPr="00582292">
        <w:rPr>
          <w:lang w:val="en-US"/>
        </w:rPr>
        <w:t xml:space="preserve"> services, procedure</w:t>
      </w:r>
      <w:r w:rsidR="00C41FC7">
        <w:rPr>
          <w:lang w:val="en-US"/>
        </w:rPr>
        <w:t>s</w:t>
      </w:r>
      <w:r w:rsidR="00B94B2A" w:rsidRPr="00582292">
        <w:rPr>
          <w:lang w:val="en-US"/>
        </w:rPr>
        <w:t xml:space="preserve"> and practitioners.</w:t>
      </w:r>
      <w:r w:rsidR="00C41FC7">
        <w:rPr>
          <w:lang w:val="en-US"/>
        </w:rPr>
        <w:t xml:space="preserve"> We are also concerne</w:t>
      </w:r>
      <w:r w:rsidR="00A763D6">
        <w:rPr>
          <w:lang w:val="en-US"/>
        </w:rPr>
        <w:t>d that there may be a blurring of lines when acting on behalf of a child victim in relation to an act of family violence given the differences in the court’s treatment of adults and children.</w:t>
      </w:r>
    </w:p>
    <w:p w14:paraId="25E71A8A" w14:textId="77777777" w:rsidR="00A763D6" w:rsidRDefault="00A763D6" w:rsidP="00582292">
      <w:pPr>
        <w:rPr>
          <w:lang w:val="en-US"/>
        </w:rPr>
      </w:pPr>
    </w:p>
    <w:p w14:paraId="53478B91" w14:textId="02486292" w:rsidR="00A763D6" w:rsidRPr="00A763D6" w:rsidRDefault="00A763D6" w:rsidP="00A763D6">
      <w:pPr>
        <w:rPr>
          <w:i/>
          <w:lang w:val="en-US"/>
        </w:rPr>
      </w:pPr>
      <w:r w:rsidRPr="00A763D6">
        <w:rPr>
          <w:i/>
        </w:rPr>
        <w:t>- e</w:t>
      </w:r>
      <w:r w:rsidR="00B94B2A" w:rsidRPr="00A763D6">
        <w:rPr>
          <w:i/>
          <w:lang w:val="en-US"/>
        </w:rPr>
        <w:t xml:space="preserve">lder abuse </w:t>
      </w:r>
    </w:p>
    <w:p w14:paraId="5BB49F71" w14:textId="24AB2489" w:rsidR="006C301C" w:rsidRDefault="000A3753" w:rsidP="00A9232C">
      <w:pPr>
        <w:jc w:val="both"/>
        <w:rPr>
          <w:rFonts w:eastAsia="Times New Roman" w:cs="Times New Roman"/>
        </w:rPr>
      </w:pPr>
      <w:r w:rsidRPr="006C301C">
        <w:rPr>
          <w:rFonts w:eastAsia="Times New Roman" w:cs="Times New Roman"/>
        </w:rPr>
        <w:t>Whilst elder abuse continues to be underreported, the</w:t>
      </w:r>
      <w:r w:rsidR="00D00BA5" w:rsidRPr="006C301C">
        <w:rPr>
          <w:rFonts w:eastAsia="Times New Roman" w:cs="Times New Roman"/>
        </w:rPr>
        <w:t xml:space="preserve"> available </w:t>
      </w:r>
      <w:r w:rsidRPr="006C301C">
        <w:rPr>
          <w:rFonts w:eastAsia="Times New Roman" w:cs="Times New Roman"/>
        </w:rPr>
        <w:t xml:space="preserve">data </w:t>
      </w:r>
      <w:r w:rsidR="00280C73">
        <w:rPr>
          <w:rFonts w:eastAsia="Times New Roman" w:cs="Times New Roman"/>
        </w:rPr>
        <w:t xml:space="preserve">outlined in </w:t>
      </w:r>
      <w:r w:rsidR="00280C73">
        <w:rPr>
          <w:lang w:val="en-US"/>
        </w:rPr>
        <w:t xml:space="preserve">Lacey’s article </w:t>
      </w:r>
      <w:r w:rsidR="00280C73" w:rsidRPr="00B7690C">
        <w:rPr>
          <w:i/>
          <w:lang w:val="en-US"/>
        </w:rPr>
        <w:t>Neglectful to the Point of Cruelty? Elder Abuse and the Rights of Older Persons in Australi</w:t>
      </w:r>
      <w:r w:rsidR="00280C73">
        <w:rPr>
          <w:i/>
          <w:lang w:val="en-US"/>
        </w:rPr>
        <w:t xml:space="preserve">a </w:t>
      </w:r>
      <w:r w:rsidRPr="006C301C">
        <w:rPr>
          <w:rFonts w:eastAsia="Times New Roman" w:cs="Times New Roman"/>
        </w:rPr>
        <w:t xml:space="preserve">indicates that between two and </w:t>
      </w:r>
      <w:r w:rsidR="00D00BA5" w:rsidRPr="006C301C">
        <w:rPr>
          <w:rFonts w:eastAsia="Times New Roman" w:cs="Times New Roman"/>
        </w:rPr>
        <w:t>five per cent</w:t>
      </w:r>
      <w:r w:rsidRPr="006C301C">
        <w:rPr>
          <w:rFonts w:eastAsia="Times New Roman" w:cs="Times New Roman"/>
        </w:rPr>
        <w:t xml:space="preserve"> </w:t>
      </w:r>
      <w:r w:rsidR="00D00BA5" w:rsidRPr="006C301C">
        <w:rPr>
          <w:rFonts w:eastAsia="Times New Roman" w:cs="Times New Roman"/>
        </w:rPr>
        <w:t>of Australians over the age of 65 yea</w:t>
      </w:r>
      <w:r w:rsidRPr="006C301C">
        <w:rPr>
          <w:rFonts w:eastAsia="Times New Roman" w:cs="Times New Roman"/>
        </w:rPr>
        <w:t xml:space="preserve">rs have experienced abuse, that up to 80 </w:t>
      </w:r>
      <w:r w:rsidR="00D00BA5" w:rsidRPr="006C301C">
        <w:rPr>
          <w:rFonts w:eastAsia="Times New Roman" w:cs="Times New Roman"/>
        </w:rPr>
        <w:t>per cent</w:t>
      </w:r>
      <w:r w:rsidRPr="006C301C">
        <w:rPr>
          <w:rFonts w:eastAsia="Times New Roman" w:cs="Times New Roman"/>
        </w:rPr>
        <w:t xml:space="preserve"> </w:t>
      </w:r>
      <w:r w:rsidR="00D00BA5" w:rsidRPr="006C301C">
        <w:rPr>
          <w:rFonts w:eastAsia="Times New Roman" w:cs="Times New Roman"/>
        </w:rPr>
        <w:t>of perpetrators are family me</w:t>
      </w:r>
      <w:r w:rsidRPr="006C301C">
        <w:rPr>
          <w:rFonts w:eastAsia="Times New Roman" w:cs="Times New Roman"/>
        </w:rPr>
        <w:t>mbers of the victims</w:t>
      </w:r>
      <w:r w:rsidR="00D00BA5" w:rsidRPr="006C301C">
        <w:rPr>
          <w:rFonts w:eastAsia="Times New Roman" w:cs="Times New Roman"/>
        </w:rPr>
        <w:t>, that financial and p</w:t>
      </w:r>
      <w:r w:rsidRPr="006C301C">
        <w:rPr>
          <w:rFonts w:eastAsia="Times New Roman" w:cs="Times New Roman"/>
        </w:rPr>
        <w:t xml:space="preserve">sychological abuse are the most </w:t>
      </w:r>
      <w:r w:rsidR="00D00BA5" w:rsidRPr="006C301C">
        <w:rPr>
          <w:rFonts w:eastAsia="Times New Roman" w:cs="Times New Roman"/>
        </w:rPr>
        <w:t>common forms of abuse, and that women are t</w:t>
      </w:r>
      <w:r w:rsidRPr="006C301C">
        <w:rPr>
          <w:rFonts w:eastAsia="Times New Roman" w:cs="Times New Roman"/>
        </w:rPr>
        <w:t xml:space="preserve">wice as likely to be victims of </w:t>
      </w:r>
      <w:r w:rsidR="00D00BA5" w:rsidRPr="006C301C">
        <w:rPr>
          <w:rFonts w:eastAsia="Times New Roman" w:cs="Times New Roman"/>
        </w:rPr>
        <w:t>abuse.</w:t>
      </w:r>
      <w:r w:rsidR="006C301C" w:rsidRPr="006C301C">
        <w:rPr>
          <w:rStyle w:val="FootnoteReference"/>
          <w:rFonts w:eastAsia="Times New Roman" w:cs="Times New Roman"/>
        </w:rPr>
        <w:footnoteReference w:id="9"/>
      </w:r>
    </w:p>
    <w:p w14:paraId="5F3D14F6" w14:textId="77777777" w:rsidR="006C301C" w:rsidRDefault="006C301C" w:rsidP="00A9232C">
      <w:pPr>
        <w:jc w:val="both"/>
        <w:rPr>
          <w:rFonts w:eastAsia="Times New Roman" w:cs="Times New Roman"/>
        </w:rPr>
      </w:pPr>
    </w:p>
    <w:p w14:paraId="109FD303" w14:textId="5E4BC933" w:rsidR="001430CF" w:rsidRPr="006C301C" w:rsidRDefault="006C301C" w:rsidP="00A9232C">
      <w:pPr>
        <w:jc w:val="both"/>
        <w:rPr>
          <w:rFonts w:eastAsia="Times New Roman" w:cs="Times New Roman"/>
        </w:rPr>
      </w:pPr>
      <w:r>
        <w:rPr>
          <w:lang w:val="en-US"/>
        </w:rPr>
        <w:t>Nevertheless, d</w:t>
      </w:r>
      <w:r w:rsidR="00BF32B8">
        <w:rPr>
          <w:lang w:val="en-US"/>
        </w:rPr>
        <w:t>espite</w:t>
      </w:r>
      <w:r w:rsidR="00B94B2A" w:rsidRPr="00A763D6">
        <w:rPr>
          <w:lang w:val="en-US"/>
        </w:rPr>
        <w:t xml:space="preserve"> </w:t>
      </w:r>
      <w:r w:rsidR="00BF32B8">
        <w:rPr>
          <w:lang w:val="en-US"/>
        </w:rPr>
        <w:t xml:space="preserve">introducing an </w:t>
      </w:r>
      <w:r w:rsidR="00BF32B8" w:rsidRPr="00BF32B8">
        <w:rPr>
          <w:i/>
          <w:lang w:val="en-US"/>
        </w:rPr>
        <w:t>Elder Abuse Prevention Action Plan 2015-2018</w:t>
      </w:r>
      <w:r w:rsidR="00BF32B8">
        <w:rPr>
          <w:lang w:val="en-US"/>
        </w:rPr>
        <w:t xml:space="preserve"> and implementing measures such as a </w:t>
      </w:r>
      <w:r w:rsidR="00606436">
        <w:rPr>
          <w:lang w:val="en-US"/>
        </w:rPr>
        <w:t xml:space="preserve">well-publicized </w:t>
      </w:r>
      <w:r w:rsidR="00B94B2A" w:rsidRPr="00A763D6">
        <w:rPr>
          <w:lang w:val="en-US"/>
        </w:rPr>
        <w:t>advertisement and a</w:t>
      </w:r>
      <w:r w:rsidR="00BF32B8">
        <w:rPr>
          <w:lang w:val="en-US"/>
        </w:rPr>
        <w:t>n elder abuse help</w:t>
      </w:r>
      <w:r w:rsidR="00B94B2A" w:rsidRPr="00A763D6">
        <w:rPr>
          <w:lang w:val="en-US"/>
        </w:rPr>
        <w:t xml:space="preserve">line, </w:t>
      </w:r>
      <w:r w:rsidR="00BF32B8">
        <w:rPr>
          <w:lang w:val="en-US"/>
        </w:rPr>
        <w:t xml:space="preserve">the Tasmanian Government has not introduced any </w:t>
      </w:r>
      <w:r w:rsidR="00B94B2A" w:rsidRPr="00A763D6">
        <w:rPr>
          <w:lang w:val="en-US"/>
        </w:rPr>
        <w:t>law reform specifically relating to elder abuse.</w:t>
      </w:r>
      <w:r w:rsidR="001C33FC">
        <w:rPr>
          <w:lang w:val="en-US"/>
        </w:rPr>
        <w:t xml:space="preserve"> The lack of law reform is particularly worrying given that statistics provided from the Tasmanian Elder Abuse Helpline demonstrate that in 2014/15 there were 259 people who contacted the helpline alleging elder abuse</w:t>
      </w:r>
      <w:r w:rsidR="00A42D4E">
        <w:rPr>
          <w:lang w:val="en-US"/>
        </w:rPr>
        <w:t>.</w:t>
      </w:r>
      <w:r w:rsidR="001430CF">
        <w:rPr>
          <w:rStyle w:val="FootnoteReference"/>
          <w:lang w:val="en-US"/>
        </w:rPr>
        <w:footnoteReference w:id="10"/>
      </w:r>
    </w:p>
    <w:p w14:paraId="5F323E6B" w14:textId="77777777" w:rsidR="001430CF" w:rsidRDefault="001430CF" w:rsidP="00A9232C">
      <w:pPr>
        <w:jc w:val="both"/>
        <w:rPr>
          <w:lang w:val="en-US"/>
        </w:rPr>
      </w:pPr>
    </w:p>
    <w:p w14:paraId="6B971DD3" w14:textId="0D00B94B" w:rsidR="00B7690C" w:rsidRDefault="00A42D4E" w:rsidP="00A9232C">
      <w:pPr>
        <w:jc w:val="both"/>
        <w:rPr>
          <w:lang w:val="en-US"/>
        </w:rPr>
      </w:pPr>
      <w:r>
        <w:rPr>
          <w:lang w:val="en-US"/>
        </w:rPr>
        <w:t>Despite the large number of cases that could potentially be dealt with through the int</w:t>
      </w:r>
      <w:r w:rsidR="00886214">
        <w:rPr>
          <w:lang w:val="en-US"/>
        </w:rPr>
        <w:t>roduction of any</w:t>
      </w:r>
      <w:r>
        <w:rPr>
          <w:lang w:val="en-US"/>
        </w:rPr>
        <w:t xml:space="preserve"> legislative reform</w:t>
      </w:r>
      <w:r w:rsidR="00A9232C">
        <w:rPr>
          <w:lang w:val="en-US"/>
        </w:rPr>
        <w:t>,</w:t>
      </w:r>
      <w:r w:rsidR="00886214">
        <w:rPr>
          <w:lang w:val="en-US"/>
        </w:rPr>
        <w:t xml:space="preserve"> including reform of the </w:t>
      </w:r>
      <w:r w:rsidR="00886214" w:rsidRPr="00886214">
        <w:rPr>
          <w:i/>
          <w:lang w:val="en-US"/>
        </w:rPr>
        <w:t>Family Violence Act 2004</w:t>
      </w:r>
      <w:r w:rsidR="00886214">
        <w:rPr>
          <w:lang w:val="en-US"/>
        </w:rPr>
        <w:t xml:space="preserve"> (Tas)</w:t>
      </w:r>
      <w:r w:rsidR="00A9232C">
        <w:rPr>
          <w:lang w:val="en-US"/>
        </w:rPr>
        <w:t xml:space="preserve"> we believe that elder abuse </w:t>
      </w:r>
      <w:r>
        <w:rPr>
          <w:lang w:val="en-US"/>
        </w:rPr>
        <w:t>is best dealt with through stand-alone legislation</w:t>
      </w:r>
      <w:r w:rsidR="00886214">
        <w:rPr>
          <w:lang w:val="en-US"/>
        </w:rPr>
        <w:t xml:space="preserve"> su</w:t>
      </w:r>
      <w:r w:rsidR="0036417A">
        <w:rPr>
          <w:lang w:val="en-US"/>
        </w:rPr>
        <w:t>ch as that adopted in Scotland</w:t>
      </w:r>
      <w:r w:rsidR="00B7690C">
        <w:rPr>
          <w:lang w:val="en-US"/>
        </w:rPr>
        <w:t>.</w:t>
      </w:r>
      <w:r w:rsidR="0036417A">
        <w:rPr>
          <w:rStyle w:val="FootnoteReference"/>
          <w:lang w:val="en-US"/>
        </w:rPr>
        <w:footnoteReference w:id="11"/>
      </w:r>
      <w:r w:rsidR="00B7690C">
        <w:rPr>
          <w:lang w:val="en-US"/>
        </w:rPr>
        <w:t xml:space="preserve"> In Lacey’s</w:t>
      </w:r>
      <w:r w:rsidR="00886214">
        <w:rPr>
          <w:lang w:val="en-US"/>
        </w:rPr>
        <w:t xml:space="preserve"> article </w:t>
      </w:r>
      <w:r w:rsidR="00886214" w:rsidRPr="00B7690C">
        <w:rPr>
          <w:i/>
          <w:lang w:val="en-US"/>
        </w:rPr>
        <w:t xml:space="preserve">Neglectful to the Point of Cruelty? Elder Abuse and the Rights of Older </w:t>
      </w:r>
      <w:r w:rsidR="00B7690C" w:rsidRPr="00B7690C">
        <w:rPr>
          <w:i/>
          <w:lang w:val="en-US"/>
        </w:rPr>
        <w:t>Persons in Australia</w:t>
      </w:r>
      <w:r w:rsidR="009A356D">
        <w:rPr>
          <w:lang w:val="en-US"/>
        </w:rPr>
        <w:t>, the author summarises its</w:t>
      </w:r>
      <w:r w:rsidR="00B7690C">
        <w:rPr>
          <w:lang w:val="en-US"/>
        </w:rPr>
        <w:t xml:space="preserve"> important features:</w:t>
      </w:r>
      <w:r w:rsidR="00B7690C">
        <w:rPr>
          <w:rStyle w:val="FootnoteReference"/>
          <w:lang w:val="en-US"/>
        </w:rPr>
        <w:footnoteReference w:id="12"/>
      </w:r>
      <w:r w:rsidR="00B7690C">
        <w:rPr>
          <w:lang w:val="en-US"/>
        </w:rPr>
        <w:t xml:space="preserve"> </w:t>
      </w:r>
    </w:p>
    <w:p w14:paraId="4293202C" w14:textId="77777777" w:rsidR="00B7690C" w:rsidRDefault="00B7690C" w:rsidP="00A9232C">
      <w:pPr>
        <w:jc w:val="both"/>
        <w:rPr>
          <w:lang w:val="en-US"/>
        </w:rPr>
      </w:pPr>
    </w:p>
    <w:p w14:paraId="687173FE" w14:textId="77777777" w:rsidR="009A356D" w:rsidRPr="004A2D06" w:rsidRDefault="00B7690C" w:rsidP="007916CC">
      <w:pPr>
        <w:pStyle w:val="ListParagraph"/>
        <w:numPr>
          <w:ilvl w:val="0"/>
          <w:numId w:val="3"/>
        </w:numPr>
        <w:ind w:right="645"/>
        <w:jc w:val="both"/>
        <w:rPr>
          <w:rFonts w:eastAsia="Times New Roman" w:cs="Times New Roman"/>
          <w:i/>
          <w:sz w:val="22"/>
          <w:szCs w:val="22"/>
        </w:rPr>
      </w:pPr>
      <w:r w:rsidRPr="004A2D06">
        <w:rPr>
          <w:rFonts w:eastAsia="Times New Roman" w:cs="Times New Roman"/>
          <w:i/>
          <w:sz w:val="22"/>
          <w:szCs w:val="22"/>
        </w:rPr>
        <w:t>The Act addresses ‘harm’ as opposed to ‘abuse’, and is aimed at safeguarding all ‘adults at risk’ of harm (people who are unable to safeguard their own wellbeing, property, rights or other interests, are at risk of harm, and, because they are</w:t>
      </w:r>
      <w:r w:rsidR="009743A9" w:rsidRPr="004A2D06">
        <w:rPr>
          <w:rFonts w:eastAsia="Times New Roman" w:cs="Times New Roman"/>
          <w:i/>
          <w:sz w:val="22"/>
          <w:szCs w:val="22"/>
        </w:rPr>
        <w:t xml:space="preserve"> </w:t>
      </w:r>
      <w:r w:rsidRPr="004A2D06">
        <w:rPr>
          <w:rFonts w:eastAsia="Times New Roman" w:cs="Times New Roman"/>
          <w:i/>
          <w:sz w:val="22"/>
          <w:szCs w:val="22"/>
        </w:rPr>
        <w:t>affected by disability, mental disorder, illness or physical or mental infirmity, are more vulnerable to being harmed than adults who are not so affected).</w:t>
      </w:r>
    </w:p>
    <w:p w14:paraId="1D2C415A" w14:textId="77777777" w:rsidR="009A356D" w:rsidRPr="004A2D06" w:rsidRDefault="009A356D" w:rsidP="007916CC">
      <w:pPr>
        <w:ind w:left="786" w:right="645"/>
        <w:jc w:val="both"/>
        <w:rPr>
          <w:rFonts w:eastAsia="Times New Roman" w:cs="Times New Roman"/>
          <w:i/>
          <w:sz w:val="22"/>
          <w:szCs w:val="22"/>
        </w:rPr>
      </w:pPr>
    </w:p>
    <w:p w14:paraId="0026FEC7" w14:textId="77777777" w:rsidR="009A356D" w:rsidRPr="004A2D06" w:rsidRDefault="00B7690C" w:rsidP="007916CC">
      <w:pPr>
        <w:pStyle w:val="ListParagraph"/>
        <w:numPr>
          <w:ilvl w:val="0"/>
          <w:numId w:val="3"/>
        </w:numPr>
        <w:ind w:right="645"/>
        <w:jc w:val="both"/>
        <w:rPr>
          <w:rFonts w:eastAsia="Times New Roman" w:cs="Times New Roman"/>
          <w:i/>
          <w:sz w:val="22"/>
          <w:szCs w:val="22"/>
        </w:rPr>
      </w:pPr>
      <w:r w:rsidRPr="004A2D06">
        <w:rPr>
          <w:rFonts w:eastAsia="Times New Roman" w:cs="Times New Roman"/>
          <w:i/>
          <w:sz w:val="22"/>
          <w:szCs w:val="22"/>
        </w:rPr>
        <w:t>The Act confers powers on councils to conduct inquiries, investigations and visits and to seek formal assessment, removal, banning and protection orders from the courts.</w:t>
      </w:r>
    </w:p>
    <w:p w14:paraId="34D9E698" w14:textId="77777777" w:rsidR="009A356D" w:rsidRPr="004A2D06" w:rsidRDefault="009A356D" w:rsidP="007916CC">
      <w:pPr>
        <w:ind w:right="645"/>
        <w:jc w:val="both"/>
        <w:rPr>
          <w:rFonts w:eastAsia="Times New Roman" w:cs="Times New Roman"/>
          <w:i/>
          <w:sz w:val="22"/>
          <w:szCs w:val="22"/>
        </w:rPr>
      </w:pPr>
    </w:p>
    <w:p w14:paraId="7B052598" w14:textId="77777777" w:rsidR="009A356D" w:rsidRPr="004A2D06" w:rsidRDefault="00B7690C" w:rsidP="007916CC">
      <w:pPr>
        <w:pStyle w:val="ListParagraph"/>
        <w:numPr>
          <w:ilvl w:val="0"/>
          <w:numId w:val="3"/>
        </w:numPr>
        <w:ind w:right="645"/>
        <w:jc w:val="both"/>
        <w:rPr>
          <w:rFonts w:eastAsia="Times New Roman" w:cs="Times New Roman"/>
          <w:i/>
          <w:sz w:val="22"/>
          <w:szCs w:val="22"/>
        </w:rPr>
      </w:pPr>
      <w:r w:rsidRPr="004A2D06">
        <w:rPr>
          <w:rFonts w:eastAsia="Times New Roman" w:cs="Times New Roman"/>
          <w:i/>
          <w:sz w:val="22"/>
          <w:szCs w:val="22"/>
        </w:rPr>
        <w:t>Intervention can only be carried out where it will provide benefit to the adult and must involve an approach which is the least restrictive option to the adult’s freedom.</w:t>
      </w:r>
    </w:p>
    <w:p w14:paraId="448B7E5C" w14:textId="77777777" w:rsidR="009A356D" w:rsidRPr="004A2D06" w:rsidRDefault="009A356D" w:rsidP="007916CC">
      <w:pPr>
        <w:ind w:right="645"/>
        <w:jc w:val="both"/>
        <w:rPr>
          <w:rFonts w:eastAsia="Times New Roman" w:cs="Times New Roman"/>
          <w:i/>
          <w:sz w:val="22"/>
          <w:szCs w:val="22"/>
        </w:rPr>
      </w:pPr>
    </w:p>
    <w:p w14:paraId="219C6BDE" w14:textId="77777777" w:rsidR="009A356D" w:rsidRPr="004A2D06" w:rsidRDefault="00B7690C" w:rsidP="007916CC">
      <w:pPr>
        <w:pStyle w:val="ListParagraph"/>
        <w:numPr>
          <w:ilvl w:val="0"/>
          <w:numId w:val="3"/>
        </w:numPr>
        <w:ind w:right="645"/>
        <w:jc w:val="both"/>
        <w:rPr>
          <w:rFonts w:eastAsia="Times New Roman" w:cs="Times New Roman"/>
          <w:i/>
          <w:sz w:val="22"/>
          <w:szCs w:val="22"/>
        </w:rPr>
      </w:pPr>
      <w:r w:rsidRPr="004A2D06">
        <w:rPr>
          <w:rFonts w:eastAsia="Times New Roman" w:cs="Times New Roman"/>
          <w:i/>
          <w:sz w:val="22"/>
          <w:szCs w:val="22"/>
        </w:rPr>
        <w:t>Certain bodies and office holders must, so far as is consistent with the proper exercise of their functions, cooperate with a council conducting inquiries.</w:t>
      </w:r>
      <w:r w:rsidR="009743A9" w:rsidRPr="004A2D06">
        <w:rPr>
          <w:rFonts w:eastAsia="Times New Roman" w:cs="Times New Roman"/>
          <w:i/>
          <w:sz w:val="22"/>
          <w:szCs w:val="22"/>
        </w:rPr>
        <w:t xml:space="preserve"> </w:t>
      </w:r>
      <w:r w:rsidRPr="004A2D06">
        <w:rPr>
          <w:rFonts w:eastAsia="Times New Roman" w:cs="Times New Roman"/>
          <w:i/>
          <w:sz w:val="22"/>
          <w:szCs w:val="22"/>
        </w:rPr>
        <w:t>If a public body or office-holder believes that a person is an adult at risk of harm and that action needs to be taken under Part I of the</w:t>
      </w:r>
      <w:r w:rsidR="009743A9" w:rsidRPr="004A2D06">
        <w:rPr>
          <w:rFonts w:eastAsia="Times New Roman" w:cs="Times New Roman"/>
          <w:i/>
          <w:sz w:val="22"/>
          <w:szCs w:val="22"/>
        </w:rPr>
        <w:t xml:space="preserve"> </w:t>
      </w:r>
      <w:r w:rsidRPr="004A2D06">
        <w:rPr>
          <w:rFonts w:eastAsia="Times New Roman" w:cs="Times New Roman"/>
          <w:i/>
          <w:sz w:val="22"/>
          <w:szCs w:val="22"/>
        </w:rPr>
        <w:t>Act, then the facts and circumstances of the case must be reported to the council for the area in which it considers the person to be located.</w:t>
      </w:r>
    </w:p>
    <w:p w14:paraId="05E46471" w14:textId="77777777" w:rsidR="009A356D" w:rsidRPr="004A2D06" w:rsidRDefault="009A356D" w:rsidP="007916CC">
      <w:pPr>
        <w:ind w:right="645"/>
        <w:jc w:val="both"/>
        <w:rPr>
          <w:rFonts w:eastAsia="Times New Roman" w:cs="Times New Roman"/>
          <w:i/>
          <w:sz w:val="22"/>
          <w:szCs w:val="22"/>
        </w:rPr>
      </w:pPr>
    </w:p>
    <w:p w14:paraId="712253A7" w14:textId="08E2F52D" w:rsidR="00B7690C" w:rsidRPr="004A2D06" w:rsidRDefault="00B7690C" w:rsidP="007916CC">
      <w:pPr>
        <w:pStyle w:val="ListParagraph"/>
        <w:numPr>
          <w:ilvl w:val="0"/>
          <w:numId w:val="3"/>
        </w:numPr>
        <w:ind w:right="645"/>
        <w:jc w:val="both"/>
        <w:rPr>
          <w:rFonts w:eastAsia="Times New Roman" w:cs="Times New Roman"/>
          <w:i/>
          <w:sz w:val="22"/>
          <w:szCs w:val="22"/>
        </w:rPr>
      </w:pPr>
      <w:r w:rsidRPr="004A2D06">
        <w:rPr>
          <w:rFonts w:eastAsia="Times New Roman" w:cs="Times New Roman"/>
          <w:i/>
          <w:sz w:val="22"/>
          <w:szCs w:val="22"/>
        </w:rPr>
        <w:t>The Act is accompanied by a Code of Practice for Local Authorities and Practitioners Exercising Functions under Part I of the Act, which provides practical guidance for implementation of the Act.</w:t>
      </w:r>
    </w:p>
    <w:p w14:paraId="5433A18D" w14:textId="1F600B02" w:rsidR="00A42D4E" w:rsidRPr="00703D62" w:rsidRDefault="00886214" w:rsidP="00A9232C">
      <w:pPr>
        <w:jc w:val="both"/>
        <w:rPr>
          <w:lang w:val="en-US"/>
        </w:rPr>
      </w:pPr>
      <w:r w:rsidRPr="00703D62">
        <w:rPr>
          <w:lang w:val="en-US"/>
        </w:rPr>
        <w:t xml:space="preserve">    </w:t>
      </w:r>
    </w:p>
    <w:p w14:paraId="65DC8651" w14:textId="651FBA9A" w:rsidR="00941994" w:rsidRDefault="006C301C" w:rsidP="00703D62">
      <w:pPr>
        <w:jc w:val="both"/>
        <w:rPr>
          <w:lang w:val="en-US"/>
        </w:rPr>
      </w:pPr>
      <w:r w:rsidRPr="00703D62">
        <w:rPr>
          <w:lang w:val="en-US"/>
        </w:rPr>
        <w:t xml:space="preserve">Elder abuse unlike family violence is not carried out exclusively in a family or domestic setting with </w:t>
      </w:r>
      <w:r w:rsidR="00757D37">
        <w:rPr>
          <w:lang w:val="en-US"/>
        </w:rPr>
        <w:t>some</w:t>
      </w:r>
      <w:r w:rsidRPr="00703D62">
        <w:rPr>
          <w:lang w:val="en-US"/>
        </w:rPr>
        <w:t xml:space="preserve"> elderly people abused </w:t>
      </w:r>
      <w:r w:rsidR="00757D37">
        <w:rPr>
          <w:lang w:val="en-US"/>
        </w:rPr>
        <w:t xml:space="preserve">psychologically, </w:t>
      </w:r>
      <w:r w:rsidRPr="00703D62">
        <w:rPr>
          <w:lang w:val="en-US"/>
        </w:rPr>
        <w:t>economically or physically by their care</w:t>
      </w:r>
      <w:r w:rsidR="00941994">
        <w:rPr>
          <w:lang w:val="en-US"/>
        </w:rPr>
        <w:t>r, acquaintances or other persons</w:t>
      </w:r>
      <w:r w:rsidRPr="00703D62">
        <w:rPr>
          <w:lang w:val="en-US"/>
        </w:rPr>
        <w:t xml:space="preserve"> in positions of trust.</w:t>
      </w:r>
      <w:r w:rsidRPr="00703D62">
        <w:rPr>
          <w:vertAlign w:val="superscript"/>
          <w:lang w:val="en-US"/>
        </w:rPr>
        <w:footnoteReference w:id="13"/>
      </w:r>
      <w:r w:rsidR="00757D37">
        <w:rPr>
          <w:lang w:val="en-US"/>
        </w:rPr>
        <w:t xml:space="preserve"> As well, m</w:t>
      </w:r>
      <w:r w:rsidRPr="00703D62">
        <w:rPr>
          <w:lang w:val="en-US"/>
        </w:rPr>
        <w:t>ost elder abuse is economic and psychological rather than of a violent nature</w:t>
      </w:r>
      <w:r w:rsidR="00941994">
        <w:rPr>
          <w:lang w:val="en-US"/>
        </w:rPr>
        <w:t xml:space="preserve"> with recent data provided by the Tasmanian Elder Abuse Helpline observing that </w:t>
      </w:r>
      <w:r w:rsidR="00114B0B">
        <w:rPr>
          <w:lang w:val="en-US"/>
        </w:rPr>
        <w:t xml:space="preserve">88 per cent of cases involved psychological/emotional abuse, </w:t>
      </w:r>
      <w:r w:rsidR="00941994">
        <w:rPr>
          <w:lang w:val="en-US"/>
        </w:rPr>
        <w:t xml:space="preserve">financial/material abuse </w:t>
      </w:r>
      <w:r w:rsidR="00C05EA2">
        <w:rPr>
          <w:lang w:val="en-US"/>
        </w:rPr>
        <w:t>amounted to</w:t>
      </w:r>
      <w:r w:rsidR="00941994">
        <w:rPr>
          <w:lang w:val="en-US"/>
        </w:rPr>
        <w:t xml:space="preserve"> 68 per cent of all elder abuse ca</w:t>
      </w:r>
      <w:r w:rsidR="00C05EA2">
        <w:rPr>
          <w:lang w:val="en-US"/>
        </w:rPr>
        <w:t>ses and physical abuse amounted to 32 per cent of</w:t>
      </w:r>
      <w:r w:rsidR="00941994">
        <w:rPr>
          <w:lang w:val="en-US"/>
        </w:rPr>
        <w:t xml:space="preserve"> elder abuse cases.</w:t>
      </w:r>
      <w:r w:rsidR="00941994">
        <w:rPr>
          <w:rStyle w:val="FootnoteReference"/>
          <w:lang w:val="en-US"/>
        </w:rPr>
        <w:footnoteReference w:id="14"/>
      </w:r>
      <w:r w:rsidR="00941994">
        <w:rPr>
          <w:lang w:val="en-US"/>
        </w:rPr>
        <w:t xml:space="preserve">    </w:t>
      </w:r>
    </w:p>
    <w:p w14:paraId="0ABA16DE" w14:textId="77777777" w:rsidR="006C301C" w:rsidRDefault="006C301C" w:rsidP="00A9232C">
      <w:pPr>
        <w:jc w:val="both"/>
        <w:rPr>
          <w:lang w:val="en-US"/>
        </w:rPr>
      </w:pPr>
    </w:p>
    <w:p w14:paraId="7081017F" w14:textId="5260AFF7" w:rsidR="00114B0B" w:rsidRDefault="009A356D" w:rsidP="00114B0B">
      <w:pPr>
        <w:jc w:val="both"/>
      </w:pPr>
      <w:r>
        <w:rPr>
          <w:lang w:val="en-US"/>
        </w:rPr>
        <w:t>In our opinion</w:t>
      </w:r>
      <w:r w:rsidR="00200CDB">
        <w:rPr>
          <w:lang w:val="en-US"/>
        </w:rPr>
        <w:t>, broadening family violence to include elder abuse is a crude mechanism that is more easil</w:t>
      </w:r>
      <w:r w:rsidR="00993C19">
        <w:rPr>
          <w:lang w:val="en-US"/>
        </w:rPr>
        <w:t>y dealt with through stand-</w:t>
      </w:r>
      <w:r w:rsidR="00200CDB">
        <w:rPr>
          <w:lang w:val="en-US"/>
        </w:rPr>
        <w:t>alone legislation.</w:t>
      </w:r>
      <w:r w:rsidR="00C05EA2">
        <w:rPr>
          <w:lang w:val="en-US"/>
        </w:rPr>
        <w:t xml:space="preserve"> </w:t>
      </w:r>
      <w:r w:rsidR="00C05EA2" w:rsidRPr="00703D62">
        <w:rPr>
          <w:lang w:val="en-US"/>
        </w:rPr>
        <w:t xml:space="preserve">Existing family violence legislation will not effectively deal with elder abuse, which often focuses on preventing the alleged abuser from continuing to </w:t>
      </w:r>
      <w:r w:rsidR="00757D37">
        <w:rPr>
          <w:lang w:val="en-US"/>
        </w:rPr>
        <w:t>physically abuse the victim. In our opinion, e</w:t>
      </w:r>
      <w:r w:rsidR="00C05EA2" w:rsidRPr="00703D62">
        <w:rPr>
          <w:lang w:val="en-US"/>
        </w:rPr>
        <w:t>lder abuse legislation needs to address the fact that most elder abuse is abuse of already vulnerable adults and that most abuse is fin</w:t>
      </w:r>
      <w:r w:rsidR="00C05EA2">
        <w:rPr>
          <w:lang w:val="en-US"/>
        </w:rPr>
        <w:t>anci</w:t>
      </w:r>
      <w:r w:rsidR="00C05EA2" w:rsidRPr="00703D62">
        <w:rPr>
          <w:lang w:val="en-US"/>
        </w:rPr>
        <w:t xml:space="preserve">al </w:t>
      </w:r>
      <w:r w:rsidR="00C05EA2">
        <w:rPr>
          <w:lang w:val="en-US"/>
        </w:rPr>
        <w:t>and psychological</w:t>
      </w:r>
      <w:r w:rsidR="00114B0B">
        <w:rPr>
          <w:lang w:val="en-US"/>
        </w:rPr>
        <w:t>/emotional</w:t>
      </w:r>
      <w:r w:rsidR="00C05EA2">
        <w:rPr>
          <w:lang w:val="en-US"/>
        </w:rPr>
        <w:t xml:space="preserve"> </w:t>
      </w:r>
      <w:r w:rsidR="00C05EA2" w:rsidRPr="00703D62">
        <w:rPr>
          <w:lang w:val="en-US"/>
        </w:rPr>
        <w:t xml:space="preserve">and </w:t>
      </w:r>
      <w:r w:rsidR="00114B0B">
        <w:rPr>
          <w:lang w:val="en-US"/>
        </w:rPr>
        <w:t xml:space="preserve">may not be easily solved through </w:t>
      </w:r>
      <w:r w:rsidR="00C05EA2" w:rsidRPr="00703D62">
        <w:rPr>
          <w:lang w:val="en-US"/>
        </w:rPr>
        <w:t xml:space="preserve">the imposition of a PFVO. </w:t>
      </w:r>
    </w:p>
    <w:p w14:paraId="07A8FB27" w14:textId="77777777" w:rsidR="00114B0B" w:rsidRDefault="00114B0B" w:rsidP="00114B0B">
      <w:pPr>
        <w:jc w:val="both"/>
      </w:pPr>
    </w:p>
    <w:p w14:paraId="4A2537D0" w14:textId="3D7726FB" w:rsidR="00B94B2A" w:rsidRPr="00114B0B" w:rsidRDefault="00B94B2A" w:rsidP="00114B0B">
      <w:pPr>
        <w:jc w:val="both"/>
        <w:rPr>
          <w:i/>
          <w:lang w:val="en-US"/>
        </w:rPr>
      </w:pPr>
      <w:r w:rsidRPr="00114B0B">
        <w:rPr>
          <w:b/>
          <w:i/>
          <w:lang w:val="en-US"/>
        </w:rPr>
        <w:t>Issue 4:</w:t>
      </w:r>
      <w:r w:rsidRPr="00114B0B">
        <w:rPr>
          <w:i/>
          <w:lang w:val="en-US"/>
        </w:rPr>
        <w:t xml:space="preserve"> Should the Criminal Code Act 1924 be amended to provide that a person may have an honest belief tha</w:t>
      </w:r>
      <w:r w:rsidR="00114B0B" w:rsidRPr="00114B0B">
        <w:rPr>
          <w:i/>
          <w:lang w:val="en-US"/>
        </w:rPr>
        <w:t>t they are acting in self-defenc</w:t>
      </w:r>
      <w:r w:rsidRPr="00114B0B">
        <w:rPr>
          <w:i/>
          <w:lang w:val="en-US"/>
        </w:rPr>
        <w:t xml:space="preserve">e and that their conduct may be regarded as a reasonable response in the circumstances as the person perceives them to be even if the person is responding to a harm that is not immediate or that appears to be trivial? </w:t>
      </w:r>
    </w:p>
    <w:p w14:paraId="1F1F4C5E" w14:textId="77777777" w:rsidR="00114B0B" w:rsidRDefault="00114B0B" w:rsidP="00114B0B">
      <w:pPr>
        <w:jc w:val="both"/>
        <w:rPr>
          <w:lang w:val="en-US"/>
        </w:rPr>
      </w:pPr>
    </w:p>
    <w:p w14:paraId="79CE4CC8" w14:textId="5F626D20" w:rsidR="00D72AEF" w:rsidRDefault="00D72AEF" w:rsidP="00D72AEF">
      <w:pPr>
        <w:jc w:val="both"/>
        <w:rPr>
          <w:rFonts w:cs="Arial"/>
          <w:color w:val="000000"/>
          <w:lang w:val="en-US"/>
        </w:rPr>
      </w:pPr>
      <w:r>
        <w:t xml:space="preserve">In March 2015 we provided a response to the Tasmanian Law Reform Institute’s </w:t>
      </w:r>
      <w:r w:rsidRPr="00D72AEF">
        <w:rPr>
          <w:i/>
        </w:rPr>
        <w:t>Review of the Law relating to Self-Defence</w:t>
      </w:r>
      <w:r>
        <w:t>.</w:t>
      </w:r>
      <w:r>
        <w:rPr>
          <w:rStyle w:val="FootnoteReference"/>
        </w:rPr>
        <w:footnoteReference w:id="15"/>
      </w:r>
      <w:r>
        <w:t xml:space="preserve"> Our response strongly supported </w:t>
      </w:r>
      <w:r w:rsidR="006C118B" w:rsidRPr="00B10735">
        <w:rPr>
          <w:rFonts w:cs="Arial"/>
          <w:color w:val="000000"/>
          <w:lang w:val="en-US"/>
        </w:rPr>
        <w:t xml:space="preserve">amendments to the </w:t>
      </w:r>
      <w:r w:rsidRPr="00B10735">
        <w:rPr>
          <w:rFonts w:cs="Arial"/>
          <w:i/>
          <w:color w:val="000000"/>
          <w:lang w:val="en-US"/>
        </w:rPr>
        <w:t>Criminal Code Act 1924</w:t>
      </w:r>
      <w:r w:rsidR="0029255D">
        <w:rPr>
          <w:rFonts w:cs="Arial"/>
          <w:color w:val="000000"/>
          <w:lang w:val="en-US"/>
        </w:rPr>
        <w:t xml:space="preserve"> (Tas) </w:t>
      </w:r>
      <w:r>
        <w:rPr>
          <w:rFonts w:cs="Arial"/>
          <w:color w:val="000000"/>
          <w:lang w:val="en-US"/>
        </w:rPr>
        <w:t>that would</w:t>
      </w:r>
      <w:r w:rsidR="006C118B" w:rsidRPr="00B10735">
        <w:rPr>
          <w:rFonts w:cs="Arial"/>
          <w:color w:val="000000"/>
          <w:lang w:val="en-US"/>
        </w:rPr>
        <w:t xml:space="preserve"> make it easier for victims o</w:t>
      </w:r>
      <w:r w:rsidR="0029255D">
        <w:rPr>
          <w:rFonts w:cs="Arial"/>
          <w:color w:val="000000"/>
          <w:lang w:val="en-US"/>
        </w:rPr>
        <w:t>f family violence to argue self-</w:t>
      </w:r>
      <w:r w:rsidR="006C118B" w:rsidRPr="00B10735">
        <w:rPr>
          <w:rFonts w:cs="Arial"/>
          <w:color w:val="000000"/>
          <w:lang w:val="en-US"/>
        </w:rPr>
        <w:t xml:space="preserve">defence. </w:t>
      </w:r>
      <w:r>
        <w:rPr>
          <w:rFonts w:cs="Arial"/>
          <w:color w:val="000000"/>
          <w:lang w:val="en-US"/>
        </w:rPr>
        <w:t>We argued that</w:t>
      </w:r>
      <w:r w:rsidR="006C118B" w:rsidRPr="00B10735">
        <w:rPr>
          <w:rFonts w:cs="Arial"/>
          <w:color w:val="000000"/>
          <w:lang w:val="en-US"/>
        </w:rPr>
        <w:t xml:space="preserve"> imminence should not be an essential element of self-defence in circumstan</w:t>
      </w:r>
      <w:r w:rsidR="0029255D">
        <w:rPr>
          <w:rFonts w:cs="Arial"/>
          <w:color w:val="000000"/>
          <w:lang w:val="en-US"/>
        </w:rPr>
        <w:t>ces in which family violence could</w:t>
      </w:r>
      <w:r w:rsidR="006C118B" w:rsidRPr="00B10735">
        <w:rPr>
          <w:rFonts w:cs="Arial"/>
          <w:color w:val="000000"/>
          <w:lang w:val="en-US"/>
        </w:rPr>
        <w:t xml:space="preserve"> be proved.</w:t>
      </w:r>
      <w:r w:rsidR="005B095F">
        <w:rPr>
          <w:rFonts w:cs="Arial"/>
          <w:color w:val="000000"/>
          <w:lang w:val="en-US"/>
        </w:rPr>
        <w:t xml:space="preserve"> O</w:t>
      </w:r>
      <w:r>
        <w:rPr>
          <w:rFonts w:cs="Arial"/>
          <w:color w:val="000000"/>
          <w:lang w:val="en-US"/>
        </w:rPr>
        <w:t>ur submission, which remains relevant to this day noted:</w:t>
      </w:r>
    </w:p>
    <w:p w14:paraId="7C935190" w14:textId="77777777" w:rsidR="00D72AEF" w:rsidRDefault="00D72AEF" w:rsidP="00D72AEF">
      <w:pPr>
        <w:jc w:val="both"/>
        <w:rPr>
          <w:rFonts w:cs="Arial"/>
          <w:color w:val="000000"/>
          <w:lang w:val="en-US"/>
        </w:rPr>
      </w:pPr>
    </w:p>
    <w:p w14:paraId="434994E4" w14:textId="145DC59D" w:rsidR="006C118B" w:rsidRPr="004A2D06" w:rsidRDefault="006C118B" w:rsidP="007916CC">
      <w:pPr>
        <w:ind w:left="426" w:right="645"/>
        <w:jc w:val="both"/>
        <w:rPr>
          <w:rFonts w:cs="Arial"/>
          <w:color w:val="000000"/>
          <w:sz w:val="22"/>
          <w:szCs w:val="22"/>
          <w:lang w:val="en-US"/>
        </w:rPr>
      </w:pPr>
      <w:r w:rsidRPr="004A2D06">
        <w:rPr>
          <w:sz w:val="22"/>
          <w:szCs w:val="22"/>
        </w:rPr>
        <w:t>In a Victorian Law Reform Commission report published in 2004 it was observed that victims of domestic violence will rarely respond to immediate threats but rather will wait until the abusive partner is either asleep or intoxicated</w:t>
      </w:r>
      <w:r w:rsidR="004A2D06">
        <w:rPr>
          <w:sz w:val="22"/>
          <w:szCs w:val="22"/>
        </w:rPr>
        <w:t>.</w:t>
      </w:r>
      <w:r w:rsidRPr="004A2D06">
        <w:rPr>
          <w:rStyle w:val="FootnoteReference"/>
          <w:rFonts w:cs="Times"/>
          <w:sz w:val="22"/>
          <w:szCs w:val="22"/>
        </w:rPr>
        <w:footnoteReference w:id="16"/>
      </w:r>
      <w:r w:rsidRPr="004A2D06">
        <w:rPr>
          <w:sz w:val="22"/>
          <w:szCs w:val="22"/>
        </w:rPr>
        <w:t xml:space="preserve"> The VLRC report went on to acknowledge that this has traditionally been an impediment to claims that the victim of family violence was acting in self-defence given the wide-spread perception that the defence applies to ‘one-off’ spontaneous encounters in which generally men of relatively equal strength are involved in a fight. This perception may adversely influence a jury’s assessment of self-defence because of their belief that the threat lacked immediacy, the threat appeared to be of a minor nature or that the accused should have escaped or sought help. These perceptions can be remedied through express legislative reform specifying that imminence is not necessary where self-defence is raised in the context of family violence. Specifically, we recommend adoption of the Victorian model which makes it clear that self-defence can be raised even if ‘responding to a harm that is not immediate…’.</w:t>
      </w:r>
      <w:r w:rsidRPr="004A2D06">
        <w:rPr>
          <w:rStyle w:val="FootnoteReference"/>
          <w:rFonts w:cs="Times"/>
          <w:sz w:val="22"/>
          <w:szCs w:val="22"/>
        </w:rPr>
        <w:footnoteReference w:id="17"/>
      </w:r>
      <w:r w:rsidRPr="004A2D06">
        <w:rPr>
          <w:sz w:val="22"/>
          <w:szCs w:val="22"/>
        </w:rPr>
        <w:t xml:space="preserve"> </w:t>
      </w:r>
    </w:p>
    <w:p w14:paraId="78E1CD29" w14:textId="77777777" w:rsidR="006C118B" w:rsidRPr="004A2D06" w:rsidRDefault="006C118B" w:rsidP="007916CC">
      <w:pPr>
        <w:pStyle w:val="NoSpacing"/>
        <w:ind w:left="426" w:right="645"/>
        <w:jc w:val="both"/>
        <w:rPr>
          <w:rFonts w:cs="Times"/>
          <w:b/>
          <w:i/>
          <w:sz w:val="22"/>
          <w:szCs w:val="22"/>
        </w:rPr>
      </w:pPr>
    </w:p>
    <w:p w14:paraId="09889209" w14:textId="77777777" w:rsidR="006C118B" w:rsidRPr="004A2D06" w:rsidRDefault="006C118B" w:rsidP="007916CC">
      <w:pPr>
        <w:pStyle w:val="NoSpacing"/>
        <w:ind w:left="426" w:right="645"/>
        <w:jc w:val="both"/>
        <w:rPr>
          <w:b/>
          <w:i/>
          <w:sz w:val="22"/>
          <w:szCs w:val="22"/>
        </w:rPr>
      </w:pPr>
      <w:r w:rsidRPr="004A2D06">
        <w:rPr>
          <w:sz w:val="22"/>
          <w:szCs w:val="22"/>
        </w:rPr>
        <w:t xml:space="preserve">We strongly recommend amendments to Tasmania’s criminal law that will facilitate the reception of evidence of family violence in relation to the defence of self-defence. Sections 322J and 322M of Victoria’s </w:t>
      </w:r>
      <w:r w:rsidRPr="004A2D06">
        <w:rPr>
          <w:i/>
          <w:sz w:val="22"/>
          <w:szCs w:val="22"/>
        </w:rPr>
        <w:t>Crimes Act 1958</w:t>
      </w:r>
      <w:r w:rsidRPr="004A2D06">
        <w:rPr>
          <w:sz w:val="22"/>
          <w:szCs w:val="22"/>
        </w:rPr>
        <w:t xml:space="preserve"> provide a good model that should be considered for adoption in Tasmanian law.  </w:t>
      </w:r>
    </w:p>
    <w:p w14:paraId="57572BB9" w14:textId="77777777" w:rsidR="006C118B" w:rsidRPr="004A2D06" w:rsidRDefault="006C118B" w:rsidP="007916CC">
      <w:pPr>
        <w:pStyle w:val="NoSpacing"/>
        <w:ind w:left="426" w:right="645"/>
        <w:jc w:val="both"/>
        <w:rPr>
          <w:b/>
          <w:i/>
          <w:sz w:val="22"/>
          <w:szCs w:val="22"/>
        </w:rPr>
      </w:pPr>
    </w:p>
    <w:p w14:paraId="7D626856" w14:textId="1C2C8EC4" w:rsidR="006C118B" w:rsidRPr="004A2D06" w:rsidRDefault="006C118B" w:rsidP="007916CC">
      <w:pPr>
        <w:pStyle w:val="NoSpacing"/>
        <w:ind w:left="426" w:right="645"/>
        <w:jc w:val="both"/>
        <w:rPr>
          <w:sz w:val="22"/>
          <w:szCs w:val="22"/>
        </w:rPr>
      </w:pPr>
      <w:r w:rsidRPr="004A2D06">
        <w:rPr>
          <w:sz w:val="22"/>
          <w:szCs w:val="22"/>
        </w:rPr>
        <w:t>If the Victorian model were the preferred option, we endorse the recommendation of the Women’s Legal Service that a broad inclusive definition of violence be adopted, rather than being limited. This may be rectified as easily as removing ‘violence means’ and replacin</w:t>
      </w:r>
      <w:r w:rsidR="006B43EF" w:rsidRPr="004A2D06">
        <w:rPr>
          <w:sz w:val="22"/>
          <w:szCs w:val="22"/>
        </w:rPr>
        <w:t>g it with ‘violence includes…’</w:t>
      </w:r>
      <w:r w:rsidRPr="004A2D06">
        <w:rPr>
          <w:sz w:val="22"/>
          <w:szCs w:val="22"/>
        </w:rPr>
        <w:t xml:space="preserve"> </w:t>
      </w:r>
    </w:p>
    <w:p w14:paraId="1AC0EF76" w14:textId="77777777" w:rsidR="00D72AEF" w:rsidRDefault="00D72AEF" w:rsidP="00D72AEF">
      <w:pPr>
        <w:pStyle w:val="NoSpacing"/>
        <w:jc w:val="both"/>
        <w:rPr>
          <w:b/>
          <w:i/>
        </w:rPr>
      </w:pPr>
    </w:p>
    <w:p w14:paraId="4D4E3BDB" w14:textId="77777777" w:rsidR="00006992" w:rsidRDefault="0029255D" w:rsidP="00006992">
      <w:pPr>
        <w:pStyle w:val="NoSpacing"/>
        <w:jc w:val="both"/>
        <w:rPr>
          <w:rFonts w:cs="Arial"/>
          <w:color w:val="000000"/>
          <w:lang w:val="en-US"/>
        </w:rPr>
      </w:pPr>
      <w:r w:rsidRPr="0029255D">
        <w:t>Almost eighteen months after the TLRI’s Final Report was published we strongly support the implementation of its recommendations including specifically</w:t>
      </w:r>
      <w:r>
        <w:t xml:space="preserve"> that</w:t>
      </w:r>
      <w:r>
        <w:rPr>
          <w:rFonts w:cs="Gill Sans MT"/>
          <w:lang w:val="en-US"/>
        </w:rPr>
        <w:t xml:space="preserve"> </w:t>
      </w:r>
      <w:r w:rsidRPr="00B10735">
        <w:rPr>
          <w:rFonts w:cs="Arial"/>
          <w:color w:val="000000"/>
          <w:lang w:val="en-US"/>
        </w:rPr>
        <w:t>imminence should not be an essential element of self-defence in circumstan</w:t>
      </w:r>
      <w:r>
        <w:rPr>
          <w:rFonts w:cs="Arial"/>
          <w:color w:val="000000"/>
          <w:lang w:val="en-US"/>
        </w:rPr>
        <w:t>ces in which family violence could</w:t>
      </w:r>
      <w:r w:rsidRPr="00B10735">
        <w:rPr>
          <w:rFonts w:cs="Arial"/>
          <w:color w:val="000000"/>
          <w:lang w:val="en-US"/>
        </w:rPr>
        <w:t xml:space="preserve"> be proved.</w:t>
      </w:r>
      <w:r>
        <w:rPr>
          <w:rStyle w:val="FootnoteReference"/>
          <w:rFonts w:cs="Arial"/>
          <w:color w:val="000000"/>
          <w:lang w:val="en-US"/>
        </w:rPr>
        <w:footnoteReference w:id="18"/>
      </w:r>
    </w:p>
    <w:p w14:paraId="5D548020" w14:textId="77777777" w:rsidR="00074260" w:rsidRDefault="00074260" w:rsidP="00074260">
      <w:pPr>
        <w:jc w:val="both"/>
        <w:rPr>
          <w:b/>
          <w:i/>
          <w:lang w:val="en-US"/>
        </w:rPr>
      </w:pPr>
    </w:p>
    <w:p w14:paraId="6C0816E7" w14:textId="77777777" w:rsidR="00903340" w:rsidRDefault="00903340" w:rsidP="00903340">
      <w:pPr>
        <w:pStyle w:val="NoSpacing"/>
        <w:jc w:val="both"/>
        <w:rPr>
          <w:i/>
          <w:lang w:val="en-US"/>
        </w:rPr>
      </w:pPr>
      <w:r w:rsidRPr="00006992">
        <w:rPr>
          <w:b/>
          <w:i/>
          <w:lang w:val="en-US"/>
        </w:rPr>
        <w:t>Issue 5</w:t>
      </w:r>
      <w:r w:rsidRPr="00006992">
        <w:rPr>
          <w:i/>
          <w:lang w:val="en-US"/>
        </w:rPr>
        <w:t xml:space="preserve">: Should the law be amended to provide, where a matter is discontinued without hearing and an acquittal is entered because of no evidence being tendered, that the evidence may be admissible as relationship, tendency or coincidence evidence in the family violence context? </w:t>
      </w:r>
    </w:p>
    <w:p w14:paraId="77310600" w14:textId="77777777" w:rsidR="00903340" w:rsidRPr="004E2847" w:rsidRDefault="00903340" w:rsidP="00903340">
      <w:pPr>
        <w:pStyle w:val="NoSpacing"/>
        <w:jc w:val="both"/>
        <w:rPr>
          <w:lang w:val="en-US"/>
        </w:rPr>
      </w:pPr>
    </w:p>
    <w:p w14:paraId="7B039682" w14:textId="555E0B8E" w:rsidR="00903340" w:rsidRDefault="00903340" w:rsidP="00903340">
      <w:pPr>
        <w:pStyle w:val="NoSpacing"/>
        <w:jc w:val="both"/>
        <w:rPr>
          <w:lang w:val="en-US"/>
        </w:rPr>
      </w:pPr>
      <w:r>
        <w:rPr>
          <w:lang w:val="en-US"/>
        </w:rPr>
        <w:t xml:space="preserve">We do not believe that </w:t>
      </w:r>
      <w:r w:rsidR="004E2847">
        <w:rPr>
          <w:lang w:val="en-US"/>
        </w:rPr>
        <w:t xml:space="preserve">evidence should be admitted </w:t>
      </w:r>
      <w:r>
        <w:rPr>
          <w:lang w:val="en-US"/>
        </w:rPr>
        <w:t>where a matter is discontinued without hearing and an acquittal is entered because of no evidence being tendered. In our opinion, such reform would remove</w:t>
      </w:r>
      <w:r w:rsidRPr="00903340">
        <w:rPr>
          <w:lang w:val="en-US"/>
        </w:rPr>
        <w:t xml:space="preserve"> key principles of natural justice</w:t>
      </w:r>
      <w:r>
        <w:rPr>
          <w:lang w:val="en-US"/>
        </w:rPr>
        <w:t xml:space="preserve"> including</w:t>
      </w:r>
      <w:r w:rsidRPr="00903340">
        <w:rPr>
          <w:lang w:val="en-US"/>
        </w:rPr>
        <w:t xml:space="preserve"> the presumption of innocence and that the onus of p</w:t>
      </w:r>
      <w:r>
        <w:rPr>
          <w:lang w:val="en-US"/>
        </w:rPr>
        <w:t xml:space="preserve">roof rests on the prosecution. </w:t>
      </w:r>
      <w:r w:rsidR="004E2847">
        <w:rPr>
          <w:lang w:val="en-US"/>
        </w:rPr>
        <w:t xml:space="preserve">We believe that the proposed reforms would not </w:t>
      </w:r>
      <w:r w:rsidRPr="00903340">
        <w:rPr>
          <w:lang w:val="en-US"/>
        </w:rPr>
        <w:t xml:space="preserve">allow tendency and coincidence evidence into criminal proceeding but rather </w:t>
      </w:r>
      <w:r w:rsidR="004E2847">
        <w:rPr>
          <w:lang w:val="en-US"/>
        </w:rPr>
        <w:t xml:space="preserve">would allow the </w:t>
      </w:r>
      <w:r w:rsidRPr="00903340">
        <w:rPr>
          <w:lang w:val="en-US"/>
        </w:rPr>
        <w:t xml:space="preserve">prosecution to adduce evidence of a previous criminal proceeding in which no finding of guilt was made. </w:t>
      </w:r>
      <w:r w:rsidR="004E2847">
        <w:rPr>
          <w:lang w:val="en-US"/>
        </w:rPr>
        <w:t>It is likely that the admission of such</w:t>
      </w:r>
      <w:r w:rsidRPr="00903340">
        <w:rPr>
          <w:lang w:val="en-US"/>
        </w:rPr>
        <w:t xml:space="preserve"> evidence would be highly </w:t>
      </w:r>
      <w:r w:rsidR="004E2847">
        <w:rPr>
          <w:lang w:val="en-US"/>
        </w:rPr>
        <w:t>prejudicial to the defendant. Such admissions</w:t>
      </w:r>
      <w:r w:rsidRPr="00903340">
        <w:rPr>
          <w:lang w:val="en-US"/>
        </w:rPr>
        <w:t xml:space="preserve"> would also have the effect of allowing the court to make a finding of guilt because o</w:t>
      </w:r>
      <w:r w:rsidR="004E2847">
        <w:rPr>
          <w:lang w:val="en-US"/>
        </w:rPr>
        <w:t>f a previous legal proceeding</w:t>
      </w:r>
      <w:r w:rsidRPr="00903340">
        <w:rPr>
          <w:lang w:val="en-US"/>
        </w:rPr>
        <w:t xml:space="preserve"> which prosecution chose not to </w:t>
      </w:r>
      <w:r w:rsidR="004E2847">
        <w:rPr>
          <w:lang w:val="en-US"/>
        </w:rPr>
        <w:t>prosecute</w:t>
      </w:r>
      <w:r w:rsidRPr="00903340">
        <w:rPr>
          <w:lang w:val="en-US"/>
        </w:rPr>
        <w:t xml:space="preserve">. </w:t>
      </w:r>
      <w:r w:rsidR="008016C6">
        <w:rPr>
          <w:lang w:val="en-US"/>
        </w:rPr>
        <w:t>Further, w</w:t>
      </w:r>
      <w:r w:rsidR="004E2847">
        <w:rPr>
          <w:lang w:val="en-US"/>
        </w:rPr>
        <w:t xml:space="preserve">e note that there </w:t>
      </w:r>
      <w:r w:rsidRPr="00903340">
        <w:rPr>
          <w:lang w:val="en-US"/>
        </w:rPr>
        <w:t xml:space="preserve">are </w:t>
      </w:r>
      <w:r w:rsidR="004E2847">
        <w:rPr>
          <w:lang w:val="en-US"/>
        </w:rPr>
        <w:t>a number of</w:t>
      </w:r>
      <w:r w:rsidRPr="00903340">
        <w:rPr>
          <w:lang w:val="en-US"/>
        </w:rPr>
        <w:t xml:space="preserve"> reasons that prosecution </w:t>
      </w:r>
      <w:r w:rsidR="004E2847">
        <w:rPr>
          <w:lang w:val="en-US"/>
        </w:rPr>
        <w:t>choose not to proceed, including the defendant’</w:t>
      </w:r>
      <w:r w:rsidRPr="00903340">
        <w:rPr>
          <w:lang w:val="en-US"/>
        </w:rPr>
        <w:t>s inn</w:t>
      </w:r>
      <w:r w:rsidR="004E2847">
        <w:rPr>
          <w:lang w:val="en-US"/>
        </w:rPr>
        <w:t>ocence</w:t>
      </w:r>
      <w:r w:rsidRPr="00903340">
        <w:rPr>
          <w:lang w:val="en-US"/>
        </w:rPr>
        <w:t xml:space="preserve"> or </w:t>
      </w:r>
      <w:r w:rsidR="004E2847">
        <w:rPr>
          <w:lang w:val="en-US"/>
        </w:rPr>
        <w:t xml:space="preserve">that </w:t>
      </w:r>
      <w:r w:rsidRPr="00903340">
        <w:rPr>
          <w:lang w:val="en-US"/>
        </w:rPr>
        <w:t>subsequent investigation</w:t>
      </w:r>
      <w:r w:rsidR="004E2847">
        <w:rPr>
          <w:lang w:val="en-US"/>
        </w:rPr>
        <w:t>s do</w:t>
      </w:r>
      <w:r w:rsidRPr="00903340">
        <w:rPr>
          <w:lang w:val="en-US"/>
        </w:rPr>
        <w:t xml:space="preserve"> not support a </w:t>
      </w:r>
      <w:r w:rsidR="004E2847">
        <w:rPr>
          <w:lang w:val="en-US"/>
        </w:rPr>
        <w:t xml:space="preserve">finding of guilty. </w:t>
      </w:r>
    </w:p>
    <w:p w14:paraId="75FC53E6" w14:textId="77777777" w:rsidR="000B5C2A" w:rsidRDefault="000B5C2A" w:rsidP="00903340">
      <w:pPr>
        <w:pStyle w:val="NoSpacing"/>
        <w:jc w:val="both"/>
        <w:rPr>
          <w:lang w:val="en-US"/>
        </w:rPr>
      </w:pPr>
    </w:p>
    <w:p w14:paraId="3C4E3467" w14:textId="77777777" w:rsidR="000B5C2A" w:rsidRPr="000B5C2A" w:rsidRDefault="000B5C2A" w:rsidP="000B5C2A">
      <w:pPr>
        <w:pStyle w:val="NoSpacing"/>
        <w:rPr>
          <w:i/>
          <w:lang w:val="en-US"/>
        </w:rPr>
      </w:pPr>
      <w:r w:rsidRPr="000B5C2A">
        <w:rPr>
          <w:b/>
          <w:i/>
          <w:lang w:val="en-US"/>
        </w:rPr>
        <w:t>Issue 6</w:t>
      </w:r>
      <w:r w:rsidRPr="000B5C2A">
        <w:rPr>
          <w:i/>
          <w:lang w:val="en-US"/>
        </w:rPr>
        <w:t xml:space="preserve">: Should there be the creation of legislative provisions to provide for a court to declare at the time of sentencing a repeat family violence perpetrator to be a persistent perpetrator of family violence? </w:t>
      </w:r>
    </w:p>
    <w:p w14:paraId="7B6DE88C" w14:textId="77777777" w:rsidR="000B5C2A" w:rsidRPr="000B5C2A" w:rsidRDefault="000B5C2A" w:rsidP="000B5C2A">
      <w:pPr>
        <w:pStyle w:val="NoSpacing"/>
        <w:rPr>
          <w:i/>
          <w:lang w:val="en-US"/>
        </w:rPr>
      </w:pPr>
    </w:p>
    <w:p w14:paraId="1F3D20E5" w14:textId="77777777" w:rsidR="000B5C2A" w:rsidRPr="000B5C2A" w:rsidRDefault="000B5C2A" w:rsidP="000B5C2A">
      <w:pPr>
        <w:pStyle w:val="NoSpacing"/>
        <w:ind w:left="720"/>
        <w:rPr>
          <w:i/>
          <w:lang w:val="en-US"/>
        </w:rPr>
      </w:pPr>
      <w:r w:rsidRPr="000B5C2A">
        <w:rPr>
          <w:b/>
          <w:i/>
          <w:lang w:val="en-US"/>
        </w:rPr>
        <w:t>Issue 6A:</w:t>
      </w:r>
      <w:r w:rsidRPr="000B5C2A">
        <w:rPr>
          <w:i/>
          <w:lang w:val="en-US"/>
        </w:rPr>
        <w:t xml:space="preserve"> If so, what conditions should the court consider in making a declaration? </w:t>
      </w:r>
    </w:p>
    <w:p w14:paraId="0723C3FE" w14:textId="77777777" w:rsidR="000B5C2A" w:rsidRPr="000B5C2A" w:rsidRDefault="000B5C2A" w:rsidP="000B5C2A">
      <w:pPr>
        <w:pStyle w:val="NoSpacing"/>
        <w:ind w:left="720"/>
        <w:rPr>
          <w:i/>
          <w:lang w:val="en-US"/>
        </w:rPr>
      </w:pPr>
      <w:r w:rsidRPr="000B5C2A">
        <w:rPr>
          <w:b/>
          <w:i/>
          <w:lang w:val="en-US"/>
        </w:rPr>
        <w:t>Issue 6B:</w:t>
      </w:r>
      <w:r w:rsidRPr="000B5C2A">
        <w:rPr>
          <w:i/>
          <w:lang w:val="en-US"/>
        </w:rPr>
        <w:t xml:space="preserve"> Should there be provision for a persistent perpetrator of family violence declaration to be removed and if so how should this occur?</w:t>
      </w:r>
    </w:p>
    <w:p w14:paraId="1A214DFD" w14:textId="77777777" w:rsidR="000B5C2A" w:rsidRDefault="000B5C2A" w:rsidP="000B5C2A">
      <w:pPr>
        <w:pStyle w:val="NoSpacing"/>
        <w:rPr>
          <w:lang w:val="en-US"/>
        </w:rPr>
      </w:pPr>
    </w:p>
    <w:p w14:paraId="53B1FDA0" w14:textId="67F63AFC" w:rsidR="00903340" w:rsidRDefault="000B5C2A" w:rsidP="000B5C2A">
      <w:pPr>
        <w:pStyle w:val="NoSpacing"/>
        <w:jc w:val="both"/>
        <w:rPr>
          <w:lang w:val="en-US"/>
        </w:rPr>
      </w:pPr>
      <w:r>
        <w:rPr>
          <w:lang w:val="en-US"/>
        </w:rPr>
        <w:t xml:space="preserve">We support the ability of Tasmania’s courts to </w:t>
      </w:r>
      <w:r w:rsidR="009E42D6">
        <w:rPr>
          <w:lang w:val="en-US"/>
        </w:rPr>
        <w:t>declare a person</w:t>
      </w:r>
      <w:r w:rsidRPr="000B5C2A">
        <w:rPr>
          <w:lang w:val="en-US"/>
        </w:rPr>
        <w:t xml:space="preserve"> a ‘persistent perpetrator of family violence’</w:t>
      </w:r>
      <w:r>
        <w:rPr>
          <w:lang w:val="en-US"/>
        </w:rPr>
        <w:t xml:space="preserve">. In our opinion, such reform is likely to have a number of advantages. </w:t>
      </w:r>
      <w:r w:rsidRPr="000B5C2A">
        <w:rPr>
          <w:lang w:val="en-US"/>
        </w:rPr>
        <w:t>One advantage is that declaring a</w:t>
      </w:r>
      <w:r w:rsidR="009E42D6">
        <w:rPr>
          <w:lang w:val="en-US"/>
        </w:rPr>
        <w:t xml:space="preserve">n offender </w:t>
      </w:r>
      <w:r w:rsidRPr="000B5C2A">
        <w:rPr>
          <w:lang w:val="en-US"/>
        </w:rPr>
        <w:t>a PPF</w:t>
      </w:r>
      <w:r>
        <w:rPr>
          <w:lang w:val="en-US"/>
        </w:rPr>
        <w:t>V</w:t>
      </w:r>
      <w:r w:rsidRPr="000B5C2A">
        <w:rPr>
          <w:lang w:val="en-US"/>
        </w:rPr>
        <w:t xml:space="preserve"> will allow for </w:t>
      </w:r>
      <w:r>
        <w:rPr>
          <w:lang w:val="en-US"/>
        </w:rPr>
        <w:t xml:space="preserve">expeditious </w:t>
      </w:r>
      <w:r w:rsidRPr="000B5C2A">
        <w:rPr>
          <w:lang w:val="en-US"/>
        </w:rPr>
        <w:t xml:space="preserve">identification </w:t>
      </w:r>
      <w:r w:rsidR="009E42D6">
        <w:rPr>
          <w:lang w:val="en-US"/>
        </w:rPr>
        <w:t xml:space="preserve">as well as acting as a red flag in family violence and other </w:t>
      </w:r>
      <w:r w:rsidR="00C1184B">
        <w:rPr>
          <w:lang w:val="en-US"/>
        </w:rPr>
        <w:t>legal proceedings</w:t>
      </w:r>
      <w:r w:rsidR="00717072">
        <w:rPr>
          <w:lang w:val="en-US"/>
        </w:rPr>
        <w:t>. An</w:t>
      </w:r>
      <w:r w:rsidRPr="000B5C2A">
        <w:rPr>
          <w:lang w:val="en-US"/>
        </w:rPr>
        <w:t xml:space="preserve">other advantage is that </w:t>
      </w:r>
      <w:r w:rsidR="00717072">
        <w:rPr>
          <w:lang w:val="en-US"/>
        </w:rPr>
        <w:t>the proposed reform</w:t>
      </w:r>
      <w:r w:rsidRPr="000B5C2A">
        <w:rPr>
          <w:lang w:val="en-US"/>
        </w:rPr>
        <w:t xml:space="preserve"> does not appear to be a compulsory declaration </w:t>
      </w:r>
      <w:r w:rsidR="00C1184B">
        <w:rPr>
          <w:lang w:val="en-US"/>
        </w:rPr>
        <w:t xml:space="preserve">that </w:t>
      </w:r>
      <w:r w:rsidRPr="000B5C2A">
        <w:rPr>
          <w:lang w:val="en-US"/>
        </w:rPr>
        <w:t>the court must make if the</w:t>
      </w:r>
      <w:r w:rsidR="00C1184B">
        <w:rPr>
          <w:lang w:val="en-US"/>
        </w:rPr>
        <w:t>re is a finding of guilt for a</w:t>
      </w:r>
      <w:r w:rsidRPr="000B5C2A">
        <w:rPr>
          <w:lang w:val="en-US"/>
        </w:rPr>
        <w:t xml:space="preserve"> family violence offence (such as breach of FVO). Rather</w:t>
      </w:r>
      <w:r w:rsidR="00E77AC9">
        <w:rPr>
          <w:lang w:val="en-US"/>
        </w:rPr>
        <w:t>,</w:t>
      </w:r>
      <w:r w:rsidRPr="000B5C2A">
        <w:rPr>
          <w:lang w:val="en-US"/>
        </w:rPr>
        <w:t xml:space="preserve"> the court would have </w:t>
      </w:r>
      <w:r w:rsidR="00E77AC9">
        <w:rPr>
          <w:lang w:val="en-US"/>
        </w:rPr>
        <w:t xml:space="preserve">the ability </w:t>
      </w:r>
      <w:r w:rsidRPr="000B5C2A">
        <w:rPr>
          <w:lang w:val="en-US"/>
        </w:rPr>
        <w:t xml:space="preserve">to assess a </w:t>
      </w:r>
      <w:r>
        <w:rPr>
          <w:lang w:val="en-US"/>
        </w:rPr>
        <w:t>set of criteria and make a judg</w:t>
      </w:r>
      <w:r w:rsidRPr="000B5C2A">
        <w:rPr>
          <w:lang w:val="en-US"/>
        </w:rPr>
        <w:t xml:space="preserve">ment of that basis. </w:t>
      </w:r>
      <w:r w:rsidR="00E77AC9">
        <w:rPr>
          <w:lang w:val="en-US"/>
        </w:rPr>
        <w:t>However, we</w:t>
      </w:r>
      <w:r w:rsidRPr="000B5C2A">
        <w:rPr>
          <w:lang w:val="en-US"/>
        </w:rPr>
        <w:t xml:space="preserve"> </w:t>
      </w:r>
      <w:r w:rsidR="00E77AC9">
        <w:rPr>
          <w:lang w:val="en-US"/>
        </w:rPr>
        <w:t>also support</w:t>
      </w:r>
      <w:r>
        <w:rPr>
          <w:lang w:val="en-US"/>
        </w:rPr>
        <w:t xml:space="preserve"> the notion that there sh</w:t>
      </w:r>
      <w:r w:rsidRPr="000B5C2A">
        <w:rPr>
          <w:lang w:val="en-US"/>
        </w:rPr>
        <w:t>ould be a mechanism for the removal of the declaration</w:t>
      </w:r>
      <w:r w:rsidR="00E77AC9">
        <w:rPr>
          <w:lang w:val="en-US"/>
        </w:rPr>
        <w:t xml:space="preserve"> particularly where there has not been a transgression for a number of years and a rehabilitation program has been successfully completed. </w:t>
      </w:r>
    </w:p>
    <w:p w14:paraId="0AB99A10" w14:textId="77777777" w:rsidR="000B5C2A" w:rsidRPr="000B5C2A" w:rsidRDefault="000B5C2A" w:rsidP="000B5C2A">
      <w:pPr>
        <w:pStyle w:val="NoSpacing"/>
        <w:rPr>
          <w:lang w:val="en-US"/>
        </w:rPr>
      </w:pPr>
    </w:p>
    <w:p w14:paraId="50F7C199" w14:textId="77777777" w:rsidR="00074260" w:rsidRDefault="00FC6EF6" w:rsidP="00074260">
      <w:pPr>
        <w:jc w:val="both"/>
        <w:rPr>
          <w:i/>
          <w:lang w:val="en-US"/>
        </w:rPr>
      </w:pPr>
      <w:r w:rsidRPr="00074260">
        <w:rPr>
          <w:b/>
          <w:i/>
          <w:lang w:val="en-US"/>
        </w:rPr>
        <w:t>Issue 7:</w:t>
      </w:r>
      <w:r w:rsidRPr="00074260">
        <w:rPr>
          <w:rFonts w:cs="Times"/>
          <w:i/>
          <w:lang w:val="en-US"/>
        </w:rPr>
        <w:t xml:space="preserve"> </w:t>
      </w:r>
      <w:r w:rsidRPr="00074260">
        <w:rPr>
          <w:i/>
          <w:lang w:val="en-US"/>
        </w:rPr>
        <w:t>Should there be a persistent perpetrator of family violence register and should information about persons on the register be publicly available or available only for limited purposes?</w:t>
      </w:r>
    </w:p>
    <w:p w14:paraId="4472B4D5" w14:textId="77777777" w:rsidR="00074260" w:rsidRDefault="00074260" w:rsidP="00074260">
      <w:pPr>
        <w:jc w:val="both"/>
        <w:rPr>
          <w:i/>
          <w:lang w:val="en-US"/>
        </w:rPr>
      </w:pPr>
    </w:p>
    <w:p w14:paraId="7E7AEEBE" w14:textId="77777777" w:rsidR="001C2831" w:rsidRDefault="002D3858" w:rsidP="001C2831">
      <w:pPr>
        <w:jc w:val="both"/>
        <w:rPr>
          <w:lang w:val="en-US"/>
        </w:rPr>
      </w:pPr>
      <w:r w:rsidRPr="005D0083">
        <w:rPr>
          <w:lang w:val="en-US"/>
        </w:rPr>
        <w:t xml:space="preserve">The </w:t>
      </w:r>
      <w:r w:rsidR="000D3DB1" w:rsidRPr="005D0083">
        <w:rPr>
          <w:lang w:val="en-US"/>
        </w:rPr>
        <w:t xml:space="preserve">advantage of </w:t>
      </w:r>
      <w:r w:rsidR="00092296" w:rsidRPr="005D0083">
        <w:rPr>
          <w:lang w:val="en-US"/>
        </w:rPr>
        <w:t>introducing</w:t>
      </w:r>
      <w:r w:rsidR="000D3DB1" w:rsidRPr="005D0083">
        <w:rPr>
          <w:lang w:val="en-US"/>
        </w:rPr>
        <w:t xml:space="preserve"> a</w:t>
      </w:r>
      <w:r w:rsidR="00FC6EF6" w:rsidRPr="005D0083">
        <w:rPr>
          <w:lang w:val="en-US"/>
        </w:rPr>
        <w:t xml:space="preserve"> </w:t>
      </w:r>
      <w:r w:rsidR="000D3DB1" w:rsidRPr="005D0083">
        <w:rPr>
          <w:lang w:val="en-US"/>
        </w:rPr>
        <w:t xml:space="preserve">persistent perpetrator of family violence </w:t>
      </w:r>
      <w:r w:rsidR="00FC6EF6" w:rsidRPr="005D0083">
        <w:rPr>
          <w:lang w:val="en-US"/>
        </w:rPr>
        <w:t xml:space="preserve">register </w:t>
      </w:r>
      <w:r w:rsidR="005D0083" w:rsidRPr="005D0083">
        <w:rPr>
          <w:lang w:val="en-US"/>
        </w:rPr>
        <w:t xml:space="preserve">is that it </w:t>
      </w:r>
      <w:r w:rsidR="005D0083" w:rsidRPr="005D0083">
        <w:rPr>
          <w:rFonts w:cs="Helvetica"/>
          <w:lang w:val="en-US"/>
        </w:rPr>
        <w:t>gives individuals information that may help them to make a more informed choice about their relationship.</w:t>
      </w:r>
      <w:r w:rsidR="005D0083" w:rsidRPr="005D0083">
        <w:rPr>
          <w:lang w:val="en-US"/>
        </w:rPr>
        <w:t xml:space="preserve"> </w:t>
      </w:r>
      <w:r w:rsidR="00AE2D8A" w:rsidRPr="005D0083">
        <w:rPr>
          <w:lang w:val="en-US"/>
        </w:rPr>
        <w:t xml:space="preserve">Such disclosures may highlight a long </w:t>
      </w:r>
      <w:r w:rsidR="00092296" w:rsidRPr="005D0083">
        <w:rPr>
          <w:lang w:val="en-US"/>
        </w:rPr>
        <w:t>history of family violence that</w:t>
      </w:r>
      <w:r w:rsidR="00AE2D8A" w:rsidRPr="005D0083">
        <w:rPr>
          <w:lang w:val="en-US"/>
        </w:rPr>
        <w:t xml:space="preserve"> </w:t>
      </w:r>
      <w:r w:rsidR="006B43EF">
        <w:rPr>
          <w:lang w:val="en-US"/>
        </w:rPr>
        <w:t>may</w:t>
      </w:r>
      <w:r w:rsidR="00AE2D8A" w:rsidRPr="005D0083">
        <w:rPr>
          <w:lang w:val="en-US"/>
        </w:rPr>
        <w:t xml:space="preserve"> discourage the continuation of the relationship or encourage reporting of future incidents of family violence.</w:t>
      </w:r>
    </w:p>
    <w:p w14:paraId="430C992E" w14:textId="77777777" w:rsidR="001C2831" w:rsidRDefault="001C2831" w:rsidP="001C2831">
      <w:pPr>
        <w:jc w:val="both"/>
        <w:rPr>
          <w:lang w:val="en-US"/>
        </w:rPr>
      </w:pPr>
    </w:p>
    <w:p w14:paraId="3BE1BD52" w14:textId="15189731" w:rsidR="001C2831" w:rsidRPr="00C650C7" w:rsidRDefault="001C2831" w:rsidP="001C2831">
      <w:pPr>
        <w:jc w:val="both"/>
        <w:rPr>
          <w:rFonts w:cs="Times"/>
          <w:lang w:val="en-US"/>
        </w:rPr>
      </w:pPr>
      <w:r>
        <w:rPr>
          <w:lang w:val="en-US"/>
        </w:rPr>
        <w:t xml:space="preserve">However, the proposed register also raises a number of concerns </w:t>
      </w:r>
      <w:r>
        <w:rPr>
          <w:rFonts w:cs="Times"/>
          <w:lang w:val="en-US"/>
        </w:rPr>
        <w:t>including the potential for abuse</w:t>
      </w:r>
      <w:r w:rsidR="00C650C7">
        <w:rPr>
          <w:rFonts w:cs="Times"/>
          <w:lang w:val="en-US"/>
        </w:rPr>
        <w:t xml:space="preserve"> and that applicants may be given a false sense of security given the significant underreporting of family violence. Finally, we would note that </w:t>
      </w:r>
      <w:r>
        <w:rPr>
          <w:rFonts w:cs="Times"/>
          <w:lang w:val="en-US"/>
        </w:rPr>
        <w:t xml:space="preserve">adequate funding of specialist family violence support services </w:t>
      </w:r>
      <w:r w:rsidR="00C650C7">
        <w:rPr>
          <w:rFonts w:cs="Times"/>
          <w:lang w:val="en-US"/>
        </w:rPr>
        <w:t xml:space="preserve">would need to be assured </w:t>
      </w:r>
      <w:r>
        <w:rPr>
          <w:rFonts w:cs="Times"/>
          <w:lang w:val="en-US"/>
        </w:rPr>
        <w:t xml:space="preserve">both during and following the disclosure process, including where there is a refusal to disclosure. </w:t>
      </w:r>
    </w:p>
    <w:p w14:paraId="06DA50DA" w14:textId="77777777" w:rsidR="00E01FEA" w:rsidRDefault="00E01FEA" w:rsidP="00076909">
      <w:pPr>
        <w:jc w:val="both"/>
        <w:rPr>
          <w:lang w:val="en-US"/>
        </w:rPr>
      </w:pPr>
    </w:p>
    <w:p w14:paraId="6B930C09" w14:textId="77777777" w:rsidR="003E3EBF" w:rsidRDefault="00E01FEA" w:rsidP="003E3EBF">
      <w:pPr>
        <w:jc w:val="both"/>
        <w:rPr>
          <w:rFonts w:cs="Times"/>
          <w:bCs/>
          <w:iCs/>
          <w:lang w:val="en-US"/>
        </w:rPr>
      </w:pPr>
      <w:r w:rsidRPr="00E01FEA">
        <w:rPr>
          <w:lang w:val="en-US"/>
        </w:rPr>
        <w:t>In NSW where a</w:t>
      </w:r>
      <w:r w:rsidR="00FC6EF6" w:rsidRPr="00E01FEA">
        <w:rPr>
          <w:lang w:val="en-US"/>
        </w:rPr>
        <w:t xml:space="preserve"> </w:t>
      </w:r>
      <w:r w:rsidRPr="00E01FEA">
        <w:rPr>
          <w:lang w:val="en-US"/>
        </w:rPr>
        <w:t>pilot</w:t>
      </w:r>
      <w:r w:rsidR="003842C0" w:rsidRPr="00E01FEA">
        <w:rPr>
          <w:lang w:val="en-US"/>
        </w:rPr>
        <w:t xml:space="preserve"> has</w:t>
      </w:r>
      <w:r w:rsidRPr="00E01FEA">
        <w:rPr>
          <w:lang w:val="en-US"/>
        </w:rPr>
        <w:t xml:space="preserve"> been in place since March 2015, </w:t>
      </w:r>
      <w:r w:rsidR="003842C0" w:rsidRPr="00E01FEA">
        <w:rPr>
          <w:lang w:val="en-US"/>
        </w:rPr>
        <w:t>a domestic partner</w:t>
      </w:r>
      <w:r w:rsidRPr="00E01FEA">
        <w:rPr>
          <w:lang w:val="en-US"/>
        </w:rPr>
        <w:t xml:space="preserve"> or concerned </w:t>
      </w:r>
      <w:r w:rsidR="003842C0" w:rsidRPr="00E01FEA">
        <w:rPr>
          <w:lang w:val="en-US"/>
        </w:rPr>
        <w:t xml:space="preserve">third </w:t>
      </w:r>
      <w:r w:rsidRPr="00E01FEA">
        <w:rPr>
          <w:lang w:val="en-US"/>
        </w:rPr>
        <w:t xml:space="preserve">party </w:t>
      </w:r>
      <w:r w:rsidR="00FC6EF6" w:rsidRPr="00E01FEA">
        <w:rPr>
          <w:lang w:val="en-US"/>
        </w:rPr>
        <w:t>can request information about previous convictions for family violence.</w:t>
      </w:r>
      <w:r w:rsidRPr="00E01FEA">
        <w:rPr>
          <w:lang w:val="en-US"/>
        </w:rPr>
        <w:t xml:space="preserve"> Relevant offences include personal violence offences commi</w:t>
      </w:r>
      <w:r w:rsidR="00076909">
        <w:rPr>
          <w:lang w:val="en-US"/>
        </w:rPr>
        <w:t xml:space="preserve">tted in a domestic relationship, breaches </w:t>
      </w:r>
      <w:r w:rsidRPr="00E01FEA">
        <w:rPr>
          <w:lang w:val="en-US"/>
        </w:rPr>
        <w:t>and certain specific personal violence offences committed out</w:t>
      </w:r>
      <w:r w:rsidR="00076909">
        <w:rPr>
          <w:lang w:val="en-US"/>
        </w:rPr>
        <w:t>side of a domestic relationship</w:t>
      </w:r>
      <w:r w:rsidR="005E634D">
        <w:rPr>
          <w:lang w:val="en-US"/>
        </w:rPr>
        <w:t>.</w:t>
      </w:r>
      <w:r w:rsidR="005E634D">
        <w:rPr>
          <w:rStyle w:val="FootnoteReference"/>
          <w:lang w:val="en-US"/>
        </w:rPr>
        <w:footnoteReference w:id="19"/>
      </w:r>
      <w:r w:rsidR="003E3EBF">
        <w:rPr>
          <w:lang w:val="en-US"/>
        </w:rPr>
        <w:t xml:space="preserve"> Importantly, </w:t>
      </w:r>
      <w:r w:rsidR="003E3EBF">
        <w:rPr>
          <w:rFonts w:cs="Times"/>
          <w:lang w:val="en-US"/>
        </w:rPr>
        <w:t>t</w:t>
      </w:r>
      <w:r w:rsidR="003E3EBF" w:rsidRPr="00074260">
        <w:rPr>
          <w:rFonts w:cs="Times"/>
          <w:lang w:val="en-US"/>
        </w:rPr>
        <w:t xml:space="preserve">he pilot is subject to the </w:t>
      </w:r>
      <w:r w:rsidR="003E3EBF" w:rsidRPr="00074260">
        <w:rPr>
          <w:rFonts w:cs="Times"/>
          <w:bCs/>
          <w:i/>
          <w:iCs/>
          <w:lang w:val="en-US"/>
        </w:rPr>
        <w:t>Privacy and Personal Information Protection Act 1998</w:t>
      </w:r>
      <w:r w:rsidR="003E3EBF" w:rsidRPr="00074260">
        <w:rPr>
          <w:rFonts w:cs="Times"/>
          <w:bCs/>
          <w:iCs/>
          <w:lang w:val="en-US"/>
        </w:rPr>
        <w:t xml:space="preserve"> (NSW)</w:t>
      </w:r>
      <w:r w:rsidR="003E3EBF">
        <w:rPr>
          <w:rFonts w:cs="Times"/>
          <w:bCs/>
          <w:iCs/>
          <w:lang w:val="en-US"/>
        </w:rPr>
        <w:t>,</w:t>
      </w:r>
      <w:r w:rsidR="003E3EBF" w:rsidRPr="00074260">
        <w:rPr>
          <w:rFonts w:cs="Times"/>
          <w:bCs/>
          <w:iCs/>
          <w:lang w:val="en-US"/>
        </w:rPr>
        <w:t xml:space="preserve"> which provides certain safeguards about the disclosure of information. These safeguards would have to be </w:t>
      </w:r>
      <w:r w:rsidR="003E3EBF">
        <w:rPr>
          <w:rFonts w:cs="Times"/>
          <w:bCs/>
          <w:iCs/>
          <w:lang w:val="en-US"/>
        </w:rPr>
        <w:t xml:space="preserve">a part of any Tasmanian scheme. </w:t>
      </w:r>
    </w:p>
    <w:p w14:paraId="067D8717" w14:textId="77777777" w:rsidR="003E3EBF" w:rsidRDefault="003E3EBF" w:rsidP="003E3EBF">
      <w:pPr>
        <w:jc w:val="both"/>
        <w:rPr>
          <w:rFonts w:cs="Times"/>
          <w:bCs/>
          <w:iCs/>
          <w:lang w:val="en-US"/>
        </w:rPr>
      </w:pPr>
    </w:p>
    <w:p w14:paraId="3ECCA85B" w14:textId="33257D63" w:rsidR="00074260" w:rsidRPr="003E3EBF" w:rsidRDefault="003E3EBF" w:rsidP="003E3EBF">
      <w:pPr>
        <w:jc w:val="both"/>
        <w:rPr>
          <w:rFonts w:cs="Times"/>
          <w:bCs/>
          <w:iCs/>
          <w:lang w:val="en-US"/>
        </w:rPr>
      </w:pPr>
      <w:r>
        <w:rPr>
          <w:rFonts w:cs="Times"/>
          <w:bCs/>
          <w:iCs/>
          <w:lang w:val="en-US"/>
        </w:rPr>
        <w:t>As it stands,</w:t>
      </w:r>
      <w:r w:rsidR="00FC6EF6" w:rsidRPr="00074260">
        <w:rPr>
          <w:lang w:val="en-US"/>
        </w:rPr>
        <w:t xml:space="preserve"> </w:t>
      </w:r>
      <w:r>
        <w:rPr>
          <w:lang w:val="en-US"/>
        </w:rPr>
        <w:t xml:space="preserve">the </w:t>
      </w:r>
      <w:r w:rsidR="00FC6EF6" w:rsidRPr="00074260">
        <w:rPr>
          <w:lang w:val="en-US"/>
        </w:rPr>
        <w:t xml:space="preserve">consultation paper notes that only a declared persistent perpetrator of family violence would appear on the scheme. </w:t>
      </w:r>
      <w:r w:rsidR="003842C0">
        <w:rPr>
          <w:lang w:val="en-US"/>
        </w:rPr>
        <w:t>In other words, n</w:t>
      </w:r>
      <w:r w:rsidR="00FC6EF6" w:rsidRPr="00074260">
        <w:rPr>
          <w:lang w:val="en-US"/>
        </w:rPr>
        <w:t xml:space="preserve">ot every perpetrator of family violence would be declared and therefore not </w:t>
      </w:r>
      <w:r w:rsidR="001C2831">
        <w:rPr>
          <w:lang w:val="en-US"/>
        </w:rPr>
        <w:t xml:space="preserve">all </w:t>
      </w:r>
      <w:r w:rsidR="00FC6EF6" w:rsidRPr="00074260">
        <w:rPr>
          <w:lang w:val="en-US"/>
        </w:rPr>
        <w:t>offender</w:t>
      </w:r>
      <w:r w:rsidR="001C2831">
        <w:rPr>
          <w:lang w:val="en-US"/>
        </w:rPr>
        <w:t>s</w:t>
      </w:r>
      <w:r w:rsidR="003842C0">
        <w:rPr>
          <w:lang w:val="en-US"/>
        </w:rPr>
        <w:t xml:space="preserve"> of family violence</w:t>
      </w:r>
      <w:r w:rsidR="00FC6EF6" w:rsidRPr="00074260">
        <w:rPr>
          <w:lang w:val="en-US"/>
        </w:rPr>
        <w:t xml:space="preserve"> would appear on the register. This would mean that low level offending such as breaching a F</w:t>
      </w:r>
      <w:r w:rsidR="00B416FC">
        <w:rPr>
          <w:lang w:val="en-US"/>
        </w:rPr>
        <w:t xml:space="preserve">amily </w:t>
      </w:r>
      <w:r w:rsidR="00FC6EF6" w:rsidRPr="00074260">
        <w:rPr>
          <w:lang w:val="en-US"/>
        </w:rPr>
        <w:t>V</w:t>
      </w:r>
      <w:r w:rsidR="00B416FC">
        <w:rPr>
          <w:lang w:val="en-US"/>
        </w:rPr>
        <w:t xml:space="preserve">iolence </w:t>
      </w:r>
      <w:r w:rsidR="00FC6EF6" w:rsidRPr="00074260">
        <w:rPr>
          <w:lang w:val="en-US"/>
        </w:rPr>
        <w:t>O</w:t>
      </w:r>
      <w:r w:rsidR="00B416FC">
        <w:rPr>
          <w:lang w:val="en-US"/>
        </w:rPr>
        <w:t>rder</w:t>
      </w:r>
      <w:r w:rsidR="00FC6EF6" w:rsidRPr="00074260">
        <w:rPr>
          <w:lang w:val="en-US"/>
        </w:rPr>
        <w:t xml:space="preserve"> through electronic communication may not be recorded, </w:t>
      </w:r>
      <w:r w:rsidR="003842C0">
        <w:rPr>
          <w:lang w:val="en-US"/>
        </w:rPr>
        <w:t>and/</w:t>
      </w:r>
      <w:r w:rsidR="00FC6EF6" w:rsidRPr="00074260">
        <w:rPr>
          <w:lang w:val="en-US"/>
        </w:rPr>
        <w:t>or family violence offending that is not of a persistent nature.</w:t>
      </w:r>
      <w:r>
        <w:rPr>
          <w:lang w:val="en-US"/>
        </w:rPr>
        <w:t xml:space="preserve"> </w:t>
      </w:r>
      <w:r>
        <w:rPr>
          <w:rFonts w:cs="Times"/>
          <w:bCs/>
          <w:iCs/>
          <w:lang w:val="en-US"/>
        </w:rPr>
        <w:t>The</w:t>
      </w:r>
      <w:r w:rsidRPr="00074260">
        <w:rPr>
          <w:rFonts w:cs="Times"/>
          <w:bCs/>
          <w:iCs/>
          <w:lang w:val="en-US"/>
        </w:rPr>
        <w:t xml:space="preserve"> </w:t>
      </w:r>
      <w:r>
        <w:rPr>
          <w:rFonts w:cs="Times"/>
          <w:bCs/>
          <w:iCs/>
          <w:lang w:val="en-US"/>
        </w:rPr>
        <w:t>consultation</w:t>
      </w:r>
      <w:r w:rsidRPr="00074260">
        <w:rPr>
          <w:rFonts w:cs="Times"/>
          <w:bCs/>
          <w:iCs/>
          <w:lang w:val="en-US"/>
        </w:rPr>
        <w:t xml:space="preserve"> paper </w:t>
      </w:r>
      <w:r>
        <w:rPr>
          <w:rFonts w:cs="Times"/>
          <w:bCs/>
          <w:iCs/>
          <w:lang w:val="en-US"/>
        </w:rPr>
        <w:t xml:space="preserve">also </w:t>
      </w:r>
      <w:r w:rsidRPr="00074260">
        <w:rPr>
          <w:rFonts w:cs="Times"/>
          <w:bCs/>
          <w:iCs/>
          <w:lang w:val="en-US"/>
        </w:rPr>
        <w:t>does not address whether interstate priors would be available for disclosure.</w:t>
      </w:r>
    </w:p>
    <w:p w14:paraId="523EB315" w14:textId="77777777" w:rsidR="007563A2" w:rsidRDefault="007563A2" w:rsidP="007563A2">
      <w:pPr>
        <w:jc w:val="both"/>
        <w:rPr>
          <w:rFonts w:cs="Times"/>
          <w:bCs/>
          <w:iCs/>
          <w:lang w:val="en-US"/>
        </w:rPr>
      </w:pPr>
    </w:p>
    <w:p w14:paraId="3C85A01C" w14:textId="4125C3AC" w:rsidR="007563A2" w:rsidRDefault="007563A2" w:rsidP="007563A2">
      <w:pPr>
        <w:jc w:val="both"/>
        <w:rPr>
          <w:rFonts w:cs="Times"/>
          <w:bCs/>
          <w:iCs/>
          <w:lang w:val="en-US"/>
        </w:rPr>
      </w:pPr>
      <w:r>
        <w:rPr>
          <w:rFonts w:cs="Times"/>
          <w:bCs/>
          <w:iCs/>
          <w:lang w:val="en-US"/>
        </w:rPr>
        <w:t>We believe</w:t>
      </w:r>
      <w:r w:rsidRPr="00074260">
        <w:rPr>
          <w:rFonts w:cs="Times"/>
          <w:bCs/>
          <w:iCs/>
          <w:lang w:val="en-US"/>
        </w:rPr>
        <w:t xml:space="preserve"> that more information is needed before any decision can be made concerning the </w:t>
      </w:r>
      <w:r w:rsidR="003E3EBF">
        <w:rPr>
          <w:rFonts w:cs="Times"/>
          <w:bCs/>
          <w:iCs/>
          <w:lang w:val="en-US"/>
        </w:rPr>
        <w:t>introduction of a</w:t>
      </w:r>
      <w:r w:rsidRPr="00074260">
        <w:rPr>
          <w:rFonts w:cs="Times"/>
          <w:bCs/>
          <w:iCs/>
          <w:lang w:val="en-US"/>
        </w:rPr>
        <w:t xml:space="preserve"> family violence register.</w:t>
      </w:r>
    </w:p>
    <w:p w14:paraId="26BBBFA6" w14:textId="77777777" w:rsidR="008836AF" w:rsidRDefault="008836AF" w:rsidP="007563A2">
      <w:pPr>
        <w:jc w:val="both"/>
        <w:rPr>
          <w:rFonts w:cs="Times"/>
          <w:bCs/>
          <w:iCs/>
          <w:lang w:val="en-US"/>
        </w:rPr>
      </w:pPr>
    </w:p>
    <w:p w14:paraId="15A13F35" w14:textId="77777777" w:rsidR="008836AF" w:rsidRPr="00AE1F10" w:rsidRDefault="008836AF" w:rsidP="008836AF">
      <w:pPr>
        <w:pStyle w:val="NoSpacing"/>
        <w:rPr>
          <w:i/>
          <w:lang w:val="en-US"/>
        </w:rPr>
      </w:pPr>
      <w:r w:rsidRPr="00AE1F10">
        <w:rPr>
          <w:b/>
          <w:i/>
          <w:lang w:val="en-US"/>
        </w:rPr>
        <w:t>Issue 7B</w:t>
      </w:r>
      <w:r w:rsidRPr="00AE1F10">
        <w:rPr>
          <w:i/>
          <w:lang w:val="en-US"/>
        </w:rPr>
        <w:t xml:space="preserve">: What conditions should a court impose on persistent perpetrators of family violence at sentencing? </w:t>
      </w:r>
    </w:p>
    <w:p w14:paraId="66028122" w14:textId="77777777" w:rsidR="008836AF" w:rsidRDefault="008836AF" w:rsidP="008836AF">
      <w:pPr>
        <w:pStyle w:val="NoSpacing"/>
        <w:rPr>
          <w:lang w:val="en-US"/>
        </w:rPr>
      </w:pPr>
    </w:p>
    <w:p w14:paraId="0920EDFD" w14:textId="77777777" w:rsidR="008836AF" w:rsidRDefault="008836AF" w:rsidP="008836AF">
      <w:pPr>
        <w:pStyle w:val="NoSpacing"/>
        <w:jc w:val="both"/>
        <w:rPr>
          <w:lang w:val="en-US"/>
        </w:rPr>
      </w:pPr>
      <w:r>
        <w:rPr>
          <w:lang w:val="en-US"/>
        </w:rPr>
        <w:t xml:space="preserve">We are broadly supportive of any sentence that focuses on the underlying causes of the offender’s behavior rather than the offence committed. </w:t>
      </w:r>
      <w:r w:rsidRPr="00FC6EF6">
        <w:rPr>
          <w:lang w:val="en-US"/>
        </w:rPr>
        <w:t>Currently</w:t>
      </w:r>
      <w:r>
        <w:rPr>
          <w:lang w:val="en-US"/>
        </w:rPr>
        <w:t>,</w:t>
      </w:r>
      <w:r w:rsidRPr="00FC6EF6">
        <w:rPr>
          <w:lang w:val="en-US"/>
        </w:rPr>
        <w:t xml:space="preserve"> the Family Violence Offender Intervention Program</w:t>
      </w:r>
      <w:r w:rsidRPr="00FC6EF6">
        <w:rPr>
          <w:b/>
          <w:lang w:val="en-US"/>
        </w:rPr>
        <w:t xml:space="preserve"> </w:t>
      </w:r>
      <w:r w:rsidRPr="00E50B0F">
        <w:rPr>
          <w:lang w:val="en-US"/>
        </w:rPr>
        <w:t>(FVOIP)</w:t>
      </w:r>
      <w:r>
        <w:rPr>
          <w:b/>
          <w:lang w:val="en-US"/>
        </w:rPr>
        <w:t xml:space="preserve"> </w:t>
      </w:r>
      <w:r w:rsidRPr="00FC6EF6">
        <w:rPr>
          <w:lang w:val="en-US"/>
        </w:rPr>
        <w:t xml:space="preserve">is the only state government run family violence intervention program. </w:t>
      </w:r>
      <w:r>
        <w:rPr>
          <w:lang w:val="en-US"/>
        </w:rPr>
        <w:t>We are concerned as the Women’s Legal Service has previously observed that Magistrates are hesitant to refer offenders to the program, that the Government has not evaluated the program and that it is extremely under resourced.</w:t>
      </w:r>
      <w:r>
        <w:rPr>
          <w:rStyle w:val="FootnoteReference"/>
          <w:lang w:val="en-US"/>
        </w:rPr>
        <w:footnoteReference w:id="20"/>
      </w:r>
      <w:r>
        <w:rPr>
          <w:lang w:val="en-US"/>
        </w:rPr>
        <w:t xml:space="preserve"> In 2013-14 for example, 47 offenders commenced the program with 39 offenders completing the program.</w:t>
      </w:r>
      <w:r>
        <w:rPr>
          <w:rStyle w:val="FootnoteReference"/>
          <w:lang w:val="en-US"/>
        </w:rPr>
        <w:footnoteReference w:id="21"/>
      </w:r>
      <w:r>
        <w:rPr>
          <w:lang w:val="en-US"/>
        </w:rPr>
        <w:t xml:space="preserve"> Unfortunately, as the Sentencing Advisory Council has noted “the numbers represent only a very small proportion of the total number of offenders”.</w:t>
      </w:r>
      <w:r>
        <w:rPr>
          <w:rStyle w:val="FootnoteReference"/>
          <w:lang w:val="en-US"/>
        </w:rPr>
        <w:footnoteReference w:id="22"/>
      </w:r>
      <w:r>
        <w:rPr>
          <w:lang w:val="en-US"/>
        </w:rPr>
        <w:t xml:space="preserve"> </w:t>
      </w:r>
    </w:p>
    <w:p w14:paraId="4F56C752" w14:textId="77777777" w:rsidR="008836AF" w:rsidRDefault="008836AF" w:rsidP="008836AF">
      <w:pPr>
        <w:pStyle w:val="NoSpacing"/>
        <w:jc w:val="both"/>
        <w:rPr>
          <w:lang w:val="en-US"/>
        </w:rPr>
      </w:pPr>
    </w:p>
    <w:p w14:paraId="4F296869" w14:textId="77777777" w:rsidR="008836AF" w:rsidRDefault="008836AF" w:rsidP="008836AF">
      <w:pPr>
        <w:pStyle w:val="NoSpacing"/>
        <w:jc w:val="both"/>
        <w:rPr>
          <w:lang w:val="en-US"/>
        </w:rPr>
      </w:pPr>
      <w:r>
        <w:rPr>
          <w:lang w:val="en-US"/>
        </w:rPr>
        <w:t>We believe that there should be a broadening of the eligibility criteria for the FVOIP so that it includes women and more than just those offenders at high-risk of re-offending. Other rehabilitative programs that should be considered include alcohol and other drug treatment,</w:t>
      </w:r>
      <w:r>
        <w:rPr>
          <w:rStyle w:val="FootnoteReference"/>
          <w:lang w:val="en-US"/>
        </w:rPr>
        <w:footnoteReference w:id="23"/>
      </w:r>
      <w:r>
        <w:rPr>
          <w:lang w:val="en-US"/>
        </w:rPr>
        <w:t xml:space="preserve"> anger management, mental health, and appropriate relationship, financial and personal counselling. In short, all perpetrators of family violence deemed suitable should be able to access a rehabilitative program including the </w:t>
      </w:r>
      <w:r w:rsidRPr="00E50B0F">
        <w:rPr>
          <w:lang w:val="en-US"/>
        </w:rPr>
        <w:t>FVOIP</w:t>
      </w:r>
      <w:r>
        <w:rPr>
          <w:lang w:val="en-US"/>
        </w:rPr>
        <w:t xml:space="preserve"> that addresses their underlying behavior. In facilitating access to these rehabilitation programs we would recommend the use of deferred sentences. However, as we have previously observed:</w:t>
      </w:r>
      <w:r>
        <w:rPr>
          <w:rStyle w:val="FootnoteReference"/>
          <w:lang w:val="en-US"/>
        </w:rPr>
        <w:footnoteReference w:id="24"/>
      </w:r>
    </w:p>
    <w:p w14:paraId="029752E6" w14:textId="77777777" w:rsidR="008836AF" w:rsidRDefault="008836AF" w:rsidP="008836AF">
      <w:pPr>
        <w:pStyle w:val="NoSpacing"/>
        <w:jc w:val="both"/>
        <w:rPr>
          <w:lang w:val="en-US"/>
        </w:rPr>
      </w:pPr>
    </w:p>
    <w:p w14:paraId="0253F15D" w14:textId="77777777" w:rsidR="008836AF" w:rsidRPr="00E21961" w:rsidRDefault="008836AF" w:rsidP="007916CC">
      <w:pPr>
        <w:pStyle w:val="NoSpacing"/>
        <w:tabs>
          <w:tab w:val="left" w:pos="8222"/>
        </w:tabs>
        <w:ind w:left="426" w:right="645"/>
        <w:jc w:val="both"/>
        <w:rPr>
          <w:sz w:val="22"/>
          <w:szCs w:val="22"/>
          <w:lang w:val="en-US"/>
        </w:rPr>
      </w:pPr>
      <w:r w:rsidRPr="00E21961">
        <w:rPr>
          <w:rFonts w:cs="Arial"/>
          <w:sz w:val="22"/>
          <w:szCs w:val="22"/>
        </w:rPr>
        <w:t>It must also be noted that if the principle of equality before the law is to be upheld there must be appropriate funding provided for deferred sentences and in particular the provision of assessment and participation in a reintegration program. It is essential that these services are available to all offenders and not just those with financial means. It would be extremely concerning if a paucity of funding resulted in the wealthy having the means to access assessment or participation in a reintegration program and thereby avoid imprisonment while the financially disadvantaged were sentenced to imprisonment due to their impecuniosity.</w:t>
      </w:r>
    </w:p>
    <w:p w14:paraId="695F2BEA" w14:textId="77777777" w:rsidR="008836AF" w:rsidRDefault="008836AF" w:rsidP="008836AF">
      <w:pPr>
        <w:pStyle w:val="NoSpacing"/>
        <w:jc w:val="both"/>
        <w:rPr>
          <w:lang w:val="en-US"/>
        </w:rPr>
      </w:pPr>
    </w:p>
    <w:p w14:paraId="25DD7F15" w14:textId="77777777" w:rsidR="00A979CB" w:rsidRPr="00A979CB" w:rsidRDefault="00A979CB" w:rsidP="00A979CB">
      <w:pPr>
        <w:pStyle w:val="NoSpacing"/>
        <w:jc w:val="both"/>
        <w:rPr>
          <w:i/>
          <w:lang w:val="en-US"/>
        </w:rPr>
      </w:pPr>
      <w:r w:rsidRPr="00A979CB">
        <w:rPr>
          <w:b/>
          <w:i/>
          <w:lang w:val="en-US"/>
        </w:rPr>
        <w:t>Issue 7C</w:t>
      </w:r>
      <w:r w:rsidRPr="00A979CB">
        <w:rPr>
          <w:i/>
          <w:lang w:val="en-US"/>
        </w:rPr>
        <w:t xml:space="preserve">: Should a police officer of the rank of inspector or above or authorised by the Commissioner of Police, have the power to refuse bail in the case of a persistent perpetrator of family violence for a minimum mandatory period? </w:t>
      </w:r>
    </w:p>
    <w:p w14:paraId="3D61095E" w14:textId="77777777" w:rsidR="00A979CB" w:rsidRPr="00A979CB" w:rsidRDefault="00A979CB" w:rsidP="00A979CB">
      <w:pPr>
        <w:pStyle w:val="NoSpacing"/>
        <w:jc w:val="both"/>
        <w:rPr>
          <w:i/>
          <w:lang w:val="en-US"/>
        </w:rPr>
      </w:pPr>
      <w:r w:rsidRPr="00A979CB">
        <w:rPr>
          <w:b/>
          <w:i/>
          <w:lang w:val="en-US"/>
        </w:rPr>
        <w:t>Issue 7D</w:t>
      </w:r>
      <w:r w:rsidRPr="00A979CB">
        <w:rPr>
          <w:i/>
          <w:lang w:val="en-US"/>
        </w:rPr>
        <w:t xml:space="preserve">: If so, how long should this period be following arrest for an offence that constitutes family violence, or following contravention a protection order? </w:t>
      </w:r>
    </w:p>
    <w:p w14:paraId="7EEEA3B8" w14:textId="77777777" w:rsidR="00A979CB" w:rsidRDefault="00A979CB" w:rsidP="00A979CB">
      <w:pPr>
        <w:pStyle w:val="NoSpacing"/>
        <w:rPr>
          <w:lang w:val="en-US"/>
        </w:rPr>
      </w:pPr>
    </w:p>
    <w:p w14:paraId="4EB13297" w14:textId="4CB54C38" w:rsidR="00A979CB" w:rsidRPr="007F71E0" w:rsidRDefault="00A979CB" w:rsidP="008F1B7F">
      <w:pPr>
        <w:pStyle w:val="NoSpacing"/>
        <w:jc w:val="both"/>
        <w:rPr>
          <w:lang w:val="en-US"/>
        </w:rPr>
      </w:pPr>
      <w:r>
        <w:rPr>
          <w:lang w:val="en-US"/>
        </w:rPr>
        <w:t>We do</w:t>
      </w:r>
      <w:r w:rsidR="00524F7E">
        <w:rPr>
          <w:lang w:val="en-US"/>
        </w:rPr>
        <w:t xml:space="preserve"> not support the tightening of</w:t>
      </w:r>
      <w:r w:rsidRPr="007F71E0">
        <w:rPr>
          <w:lang w:val="en-US"/>
        </w:rPr>
        <w:t xml:space="preserve"> conditions around family violence bail. </w:t>
      </w:r>
      <w:r>
        <w:rPr>
          <w:lang w:val="en-US"/>
        </w:rPr>
        <w:t>The imposition of a</w:t>
      </w:r>
      <w:r w:rsidRPr="007F71E0">
        <w:rPr>
          <w:lang w:val="en-US"/>
        </w:rPr>
        <w:t xml:space="preserve"> mandatory term of imprisonment where the defendant has not been subject to a finding of guilty is against </w:t>
      </w:r>
      <w:r>
        <w:rPr>
          <w:lang w:val="en-US"/>
        </w:rPr>
        <w:t xml:space="preserve">the </w:t>
      </w:r>
      <w:r w:rsidRPr="007F71E0">
        <w:rPr>
          <w:lang w:val="en-US"/>
        </w:rPr>
        <w:t>principle of natural justice. It also removes from the court its discretion to exerc</w:t>
      </w:r>
      <w:r>
        <w:rPr>
          <w:lang w:val="en-US"/>
        </w:rPr>
        <w:t>ise judg</w:t>
      </w:r>
      <w:r w:rsidRPr="007F71E0">
        <w:rPr>
          <w:lang w:val="en-US"/>
        </w:rPr>
        <w:t>ment on a cas</w:t>
      </w:r>
      <w:r>
        <w:rPr>
          <w:lang w:val="en-US"/>
        </w:rPr>
        <w:t>e</w:t>
      </w:r>
      <w:r w:rsidRPr="007F71E0">
        <w:rPr>
          <w:lang w:val="en-US"/>
        </w:rPr>
        <w:t>-by-case basis. It is al</w:t>
      </w:r>
      <w:r>
        <w:rPr>
          <w:lang w:val="en-US"/>
        </w:rPr>
        <w:t xml:space="preserve">so important to note that the </w:t>
      </w:r>
      <w:r w:rsidRPr="00A979CB">
        <w:rPr>
          <w:i/>
          <w:lang w:val="en-US"/>
        </w:rPr>
        <w:t>Family Violence Act 2004</w:t>
      </w:r>
      <w:r>
        <w:rPr>
          <w:lang w:val="en-US"/>
        </w:rPr>
        <w:t xml:space="preserve"> (Tas)</w:t>
      </w:r>
      <w:r w:rsidRPr="007F71E0">
        <w:rPr>
          <w:lang w:val="en-US"/>
        </w:rPr>
        <w:t xml:space="preserve"> </w:t>
      </w:r>
      <w:r>
        <w:rPr>
          <w:lang w:val="en-US"/>
        </w:rPr>
        <w:t>already invites the M</w:t>
      </w:r>
      <w:r w:rsidRPr="007F71E0">
        <w:rPr>
          <w:lang w:val="en-US"/>
        </w:rPr>
        <w:t xml:space="preserve">agistrate to judge the defendant’s demeanor as well as the likelihood of </w:t>
      </w:r>
      <w:r>
        <w:rPr>
          <w:lang w:val="en-US"/>
        </w:rPr>
        <w:t xml:space="preserve">the defendant </w:t>
      </w:r>
      <w:r w:rsidRPr="007F71E0">
        <w:rPr>
          <w:lang w:val="en-US"/>
        </w:rPr>
        <w:t>committing another family violence offence.</w:t>
      </w:r>
      <w:r>
        <w:rPr>
          <w:rStyle w:val="FootnoteReference"/>
          <w:lang w:val="en-US"/>
        </w:rPr>
        <w:footnoteReference w:id="25"/>
      </w:r>
      <w:r w:rsidRPr="007F71E0">
        <w:rPr>
          <w:lang w:val="en-US"/>
        </w:rPr>
        <w:t xml:space="preserve"> </w:t>
      </w:r>
      <w:r w:rsidR="00C64EDD">
        <w:rPr>
          <w:lang w:val="en-US"/>
        </w:rPr>
        <w:t xml:space="preserve">In our opinion, </w:t>
      </w:r>
      <w:r w:rsidR="008F1B7F">
        <w:rPr>
          <w:lang w:val="en-US"/>
        </w:rPr>
        <w:t xml:space="preserve">the discretion already available to the Magistrate </w:t>
      </w:r>
      <w:r w:rsidRPr="007F71E0">
        <w:rPr>
          <w:lang w:val="en-US"/>
        </w:rPr>
        <w:t xml:space="preserve">strikes the right balance between </w:t>
      </w:r>
      <w:r w:rsidR="008F1B7F">
        <w:rPr>
          <w:lang w:val="en-US"/>
        </w:rPr>
        <w:t xml:space="preserve">the defendant’s right to </w:t>
      </w:r>
      <w:r w:rsidRPr="007F71E0">
        <w:rPr>
          <w:lang w:val="en-US"/>
        </w:rPr>
        <w:t xml:space="preserve">individual freedom and </w:t>
      </w:r>
      <w:r w:rsidR="008F1B7F">
        <w:rPr>
          <w:lang w:val="en-US"/>
        </w:rPr>
        <w:t xml:space="preserve">community </w:t>
      </w:r>
      <w:r w:rsidRPr="007F71E0">
        <w:rPr>
          <w:lang w:val="en-US"/>
        </w:rPr>
        <w:t xml:space="preserve">protection. </w:t>
      </w:r>
    </w:p>
    <w:p w14:paraId="42CBF75D" w14:textId="77777777" w:rsidR="00A979CB" w:rsidRPr="003C04AD" w:rsidRDefault="00A979CB" w:rsidP="00B35089">
      <w:pPr>
        <w:pStyle w:val="NoSpacing"/>
        <w:jc w:val="both"/>
        <w:rPr>
          <w:b/>
          <w:lang w:val="en-US"/>
        </w:rPr>
      </w:pPr>
    </w:p>
    <w:p w14:paraId="3DC3D578" w14:textId="77777777" w:rsidR="00B35089" w:rsidRPr="00B35089" w:rsidRDefault="00B35089" w:rsidP="00B35089">
      <w:pPr>
        <w:pStyle w:val="NoSpacing"/>
        <w:jc w:val="both"/>
        <w:rPr>
          <w:i/>
          <w:lang w:val="en-US"/>
        </w:rPr>
      </w:pPr>
      <w:r w:rsidRPr="00B35089">
        <w:rPr>
          <w:b/>
          <w:i/>
          <w:lang w:val="en-US"/>
        </w:rPr>
        <w:t>Issue 7E</w:t>
      </w:r>
      <w:r w:rsidRPr="00B35089">
        <w:rPr>
          <w:i/>
          <w:lang w:val="en-US"/>
        </w:rPr>
        <w:t xml:space="preserve">: Should a minimum mandatory sentence of imprisonment be imposed for subsequent contraventions of protection orders for the duration of the declaration? and </w:t>
      </w:r>
      <w:r w:rsidRPr="00B35089">
        <w:rPr>
          <w:b/>
          <w:i/>
          <w:lang w:val="en-US"/>
        </w:rPr>
        <w:t>Issue 7F</w:t>
      </w:r>
      <w:r w:rsidRPr="00B35089">
        <w:rPr>
          <w:i/>
          <w:lang w:val="en-US"/>
        </w:rPr>
        <w:t xml:space="preserve">: If so, what mandatory period of imprisonment should be imposed? </w:t>
      </w:r>
    </w:p>
    <w:p w14:paraId="1049E7A7" w14:textId="77777777" w:rsidR="00B35089" w:rsidRDefault="00B35089" w:rsidP="00B35089">
      <w:pPr>
        <w:pStyle w:val="NoSpacing"/>
        <w:rPr>
          <w:lang w:val="en-US"/>
        </w:rPr>
      </w:pPr>
    </w:p>
    <w:p w14:paraId="5F7778E6" w14:textId="1E0A0392" w:rsidR="00195298" w:rsidRDefault="00B35089" w:rsidP="00195298">
      <w:pPr>
        <w:pStyle w:val="NoSpacing"/>
        <w:rPr>
          <w:lang w:val="en-US"/>
        </w:rPr>
      </w:pPr>
      <w:r>
        <w:rPr>
          <w:lang w:val="en-US"/>
        </w:rPr>
        <w:t>We are opposed to mandatory senten</w:t>
      </w:r>
      <w:r w:rsidR="004A2D06">
        <w:rPr>
          <w:lang w:val="en-US"/>
        </w:rPr>
        <w:t>cing</w:t>
      </w:r>
      <w:r w:rsidR="00195298">
        <w:rPr>
          <w:lang w:val="en-US"/>
        </w:rPr>
        <w:t xml:space="preserve">. </w:t>
      </w:r>
      <w:r w:rsidR="009F1505">
        <w:rPr>
          <w:lang w:val="en-US"/>
        </w:rPr>
        <w:t>We have consistently expressed our opposition to mandatory sentencing</w:t>
      </w:r>
      <w:r w:rsidR="009F1505">
        <w:rPr>
          <w:rStyle w:val="FootnoteReference"/>
          <w:lang w:val="en-US"/>
        </w:rPr>
        <w:footnoteReference w:id="26"/>
      </w:r>
      <w:r w:rsidR="009F1505">
        <w:rPr>
          <w:lang w:val="en-US"/>
        </w:rPr>
        <w:t xml:space="preserve"> and i</w:t>
      </w:r>
      <w:r w:rsidR="00195298">
        <w:rPr>
          <w:lang w:val="en-US"/>
        </w:rPr>
        <w:t xml:space="preserve">n an earlier response to a Government </w:t>
      </w:r>
      <w:r w:rsidR="004A2D06">
        <w:rPr>
          <w:lang w:val="en-US"/>
        </w:rPr>
        <w:t xml:space="preserve">review </w:t>
      </w:r>
      <w:r w:rsidR="002052E6">
        <w:rPr>
          <w:lang w:val="en-US"/>
        </w:rPr>
        <w:t xml:space="preserve">we </w:t>
      </w:r>
      <w:r w:rsidR="00195298">
        <w:rPr>
          <w:lang w:val="en-US"/>
        </w:rPr>
        <w:t>listed our reasons as follows</w:t>
      </w:r>
      <w:r w:rsidR="002052E6">
        <w:rPr>
          <w:lang w:val="en-US"/>
        </w:rPr>
        <w:t>:</w:t>
      </w:r>
      <w:r w:rsidR="00710BE7">
        <w:rPr>
          <w:rStyle w:val="FootnoteReference"/>
          <w:lang w:val="en-US"/>
        </w:rPr>
        <w:footnoteReference w:id="27"/>
      </w:r>
    </w:p>
    <w:p w14:paraId="365DA3D3" w14:textId="77777777" w:rsidR="00195298" w:rsidRDefault="00195298" w:rsidP="00195298">
      <w:pPr>
        <w:pStyle w:val="NoSpacing"/>
        <w:rPr>
          <w:lang w:val="en-US"/>
        </w:rPr>
      </w:pPr>
    </w:p>
    <w:p w14:paraId="396B2814" w14:textId="0566086B" w:rsidR="00195298" w:rsidRPr="009F1505" w:rsidRDefault="00195298" w:rsidP="007916CC">
      <w:pPr>
        <w:pStyle w:val="NoSpacing"/>
        <w:ind w:left="426" w:right="645"/>
        <w:jc w:val="both"/>
        <w:rPr>
          <w:sz w:val="22"/>
          <w:szCs w:val="22"/>
          <w:lang w:val="en-US"/>
        </w:rPr>
      </w:pPr>
      <w:r w:rsidRPr="009F1505">
        <w:rPr>
          <w:sz w:val="22"/>
          <w:szCs w:val="22"/>
        </w:rPr>
        <w:t>First, there is no reliable evidence to suggest that mandatory minimum sentences reduce the incidence of crime.</w:t>
      </w:r>
      <w:r w:rsidRPr="009F1505">
        <w:rPr>
          <w:rStyle w:val="FootnoteReference"/>
          <w:sz w:val="22"/>
          <w:szCs w:val="22"/>
        </w:rPr>
        <w:footnoteReference w:id="28"/>
      </w:r>
      <w:r w:rsidRPr="009F1505">
        <w:rPr>
          <w:sz w:val="22"/>
          <w:szCs w:val="22"/>
        </w:rPr>
        <w:t xml:space="preserve"> For example, the Victorian Sentencing Advisory Council has previously found that whilst imprisonment has a small general deterrent effect, there is no conclusive evidence to suggest harsher sentences such as a mandatory minimum sentence reduces crime. Rather, the evidence suggests that it is the certainty of apprehension and punishment that acts as a greater deterrent.</w:t>
      </w:r>
      <w:r w:rsidRPr="009F1505">
        <w:rPr>
          <w:rStyle w:val="FootnoteReference"/>
          <w:sz w:val="22"/>
          <w:szCs w:val="22"/>
        </w:rPr>
        <w:footnoteReference w:id="29"/>
      </w:r>
      <w:r w:rsidRPr="009F1505">
        <w:rPr>
          <w:sz w:val="22"/>
          <w:szCs w:val="22"/>
        </w:rPr>
        <w:t xml:space="preserve"> </w:t>
      </w:r>
    </w:p>
    <w:p w14:paraId="5EED4B13" w14:textId="77777777" w:rsidR="00195298" w:rsidRPr="009F1505" w:rsidRDefault="00195298" w:rsidP="007916CC">
      <w:pPr>
        <w:pStyle w:val="NoSpacing"/>
        <w:ind w:left="426" w:right="645"/>
        <w:jc w:val="both"/>
        <w:rPr>
          <w:sz w:val="22"/>
          <w:szCs w:val="22"/>
        </w:rPr>
      </w:pPr>
    </w:p>
    <w:p w14:paraId="50660080" w14:textId="77777777" w:rsidR="00195298" w:rsidRPr="009F1505" w:rsidRDefault="00195298" w:rsidP="007916CC">
      <w:pPr>
        <w:pStyle w:val="NoSpacing"/>
        <w:ind w:left="426" w:right="645"/>
        <w:jc w:val="both"/>
        <w:rPr>
          <w:sz w:val="22"/>
          <w:szCs w:val="22"/>
        </w:rPr>
      </w:pPr>
      <w:r w:rsidRPr="009F1505">
        <w:rPr>
          <w:sz w:val="22"/>
          <w:szCs w:val="22"/>
        </w:rPr>
        <w:t xml:space="preserve">Secondly, mandatory sentencing limits the individual’s right to a fair trial as it imposes an arbitrary sentence, which ignores the unique characteristics of the offence and the offender. Inevitably, such sentences lead to disproportionate terms of imprisonment in light of the particular circumstances of the offender and the offence. </w:t>
      </w:r>
    </w:p>
    <w:p w14:paraId="742E1E37" w14:textId="77777777" w:rsidR="00195298" w:rsidRPr="009F1505" w:rsidRDefault="00195298" w:rsidP="007916CC">
      <w:pPr>
        <w:pStyle w:val="NoSpacing"/>
        <w:ind w:left="426" w:right="645"/>
        <w:jc w:val="both"/>
        <w:rPr>
          <w:sz w:val="22"/>
          <w:szCs w:val="22"/>
        </w:rPr>
      </w:pPr>
    </w:p>
    <w:p w14:paraId="284A1D84" w14:textId="0AA99473" w:rsidR="00195298" w:rsidRPr="009F1505" w:rsidRDefault="00195298" w:rsidP="007916CC">
      <w:pPr>
        <w:pStyle w:val="NoSpacing"/>
        <w:ind w:left="426" w:right="645"/>
        <w:jc w:val="both"/>
        <w:rPr>
          <w:rFonts w:ascii="Cambria" w:hAnsi="Cambria" w:cs="Cambria"/>
          <w:sz w:val="22"/>
          <w:szCs w:val="22"/>
        </w:rPr>
      </w:pPr>
      <w:r w:rsidRPr="009F1505">
        <w:rPr>
          <w:sz w:val="22"/>
          <w:szCs w:val="22"/>
        </w:rPr>
        <w:t>Finally, mandatory sentencing is likely to result in a redistribution of discretion from the courts to the police and prosecuting authorities in order to circumvent mandatory sentencing laws.</w:t>
      </w:r>
      <w:r w:rsidRPr="009F1505">
        <w:rPr>
          <w:rStyle w:val="FootnoteReference"/>
          <w:sz w:val="22"/>
          <w:szCs w:val="22"/>
        </w:rPr>
        <w:footnoteReference w:id="30"/>
      </w:r>
      <w:r w:rsidRPr="009F1505">
        <w:rPr>
          <w:sz w:val="22"/>
          <w:szCs w:val="22"/>
        </w:rPr>
        <w:t xml:space="preserve"> Whilst this may mitigate potential injustices, police and prosecutors do not have the same sentencing expertise as the judiciary. Prosecutorial discretion also creates a non</w:t>
      </w:r>
      <w:r w:rsidR="009F1505" w:rsidRPr="009F1505">
        <w:rPr>
          <w:sz w:val="22"/>
          <w:szCs w:val="22"/>
        </w:rPr>
        <w:t>-</w:t>
      </w:r>
      <w:r w:rsidRPr="009F1505">
        <w:rPr>
          <w:sz w:val="22"/>
          <w:szCs w:val="22"/>
        </w:rPr>
        <w:t>transparent sentencing process.</w:t>
      </w:r>
      <w:r w:rsidRPr="009F1505">
        <w:rPr>
          <w:rStyle w:val="FootnoteReference"/>
          <w:sz w:val="22"/>
          <w:szCs w:val="22"/>
        </w:rPr>
        <w:footnoteReference w:id="31"/>
      </w:r>
      <w:r w:rsidRPr="009F1505">
        <w:rPr>
          <w:sz w:val="22"/>
          <w:szCs w:val="22"/>
        </w:rPr>
        <w:t xml:space="preserve"> </w:t>
      </w:r>
      <w:r w:rsidRPr="009F1505">
        <w:rPr>
          <w:rFonts w:ascii="Cambria" w:hAnsi="Cambria" w:cs="Cambria"/>
          <w:sz w:val="22"/>
          <w:szCs w:val="22"/>
        </w:rPr>
        <w:t xml:space="preserve"> </w:t>
      </w:r>
    </w:p>
    <w:p w14:paraId="29A1926E" w14:textId="77777777" w:rsidR="00B35089" w:rsidRDefault="00B35089" w:rsidP="00195298">
      <w:pPr>
        <w:pStyle w:val="NoSpacing"/>
        <w:ind w:left="426" w:right="503"/>
        <w:jc w:val="both"/>
        <w:rPr>
          <w:rFonts w:cs="Times"/>
          <w:lang w:val="en-US"/>
        </w:rPr>
      </w:pPr>
    </w:p>
    <w:p w14:paraId="00C3760D" w14:textId="77777777" w:rsidR="008836AF" w:rsidRDefault="008836AF" w:rsidP="008836AF">
      <w:pPr>
        <w:pStyle w:val="NoSpacing"/>
        <w:rPr>
          <w:b/>
        </w:rPr>
      </w:pPr>
      <w:r>
        <w:rPr>
          <w:b/>
        </w:rPr>
        <w:t>Other reforms</w:t>
      </w:r>
    </w:p>
    <w:p w14:paraId="6239E545" w14:textId="46938CE1" w:rsidR="00524F7E" w:rsidRPr="00524F7E" w:rsidRDefault="00524F7E" w:rsidP="0015138F">
      <w:pPr>
        <w:pStyle w:val="NoSpacing"/>
        <w:jc w:val="both"/>
      </w:pPr>
      <w:r w:rsidRPr="00524F7E">
        <w:t>As well</w:t>
      </w:r>
      <w:r>
        <w:t xml:space="preserve"> as providing responses to the above questions we are hopeful that consideration could also be given to reforms around residential tenancies and family violence. </w:t>
      </w:r>
      <w:r w:rsidRPr="00524F7E">
        <w:t xml:space="preserve"> </w:t>
      </w:r>
    </w:p>
    <w:p w14:paraId="621D7B9B" w14:textId="77777777" w:rsidR="00524F7E" w:rsidRDefault="00524F7E" w:rsidP="008836AF">
      <w:pPr>
        <w:pStyle w:val="NoSpacing"/>
        <w:rPr>
          <w:b/>
        </w:rPr>
      </w:pPr>
    </w:p>
    <w:p w14:paraId="65947343" w14:textId="77777777" w:rsidR="008836AF" w:rsidRPr="0079180B" w:rsidRDefault="008836AF" w:rsidP="008836AF">
      <w:pPr>
        <w:pStyle w:val="NoSpacing"/>
        <w:rPr>
          <w:b/>
        </w:rPr>
      </w:pPr>
      <w:r>
        <w:rPr>
          <w:b/>
        </w:rPr>
        <w:t>Residential Tenancies and Family Violence</w:t>
      </w:r>
    </w:p>
    <w:p w14:paraId="0B16C76E" w14:textId="77777777" w:rsidR="008836AF" w:rsidRDefault="008836AF" w:rsidP="008836AF">
      <w:pPr>
        <w:pStyle w:val="NoSpacing"/>
        <w:jc w:val="both"/>
        <w:rPr>
          <w:rFonts w:eastAsia="Times New Roman" w:cs="Times New Roman"/>
        </w:rPr>
      </w:pPr>
      <w:r w:rsidRPr="0079180B">
        <w:rPr>
          <w:rFonts w:cs="Times New Roman"/>
        </w:rPr>
        <w:t>A residential ten</w:t>
      </w:r>
      <w:r>
        <w:rPr>
          <w:rFonts w:cs="Times New Roman"/>
        </w:rPr>
        <w:t>ancy agreement</w:t>
      </w:r>
      <w:r w:rsidRPr="0079180B">
        <w:rPr>
          <w:rFonts w:cs="Times New Roman"/>
        </w:rPr>
        <w:t xml:space="preserve"> may be terminated </w:t>
      </w:r>
      <w:r>
        <w:rPr>
          <w:rFonts w:cs="Times New Roman"/>
        </w:rPr>
        <w:t>due to family violence.</w:t>
      </w:r>
      <w:r>
        <w:rPr>
          <w:rStyle w:val="FootnoteReference"/>
          <w:rFonts w:cs="Times New Roman"/>
        </w:rPr>
        <w:footnoteReference w:id="32"/>
      </w:r>
      <w:r>
        <w:rPr>
          <w:rFonts w:cs="Times New Roman"/>
        </w:rPr>
        <w:t xml:space="preserve"> However</w:t>
      </w:r>
      <w:r w:rsidRPr="0079180B">
        <w:rPr>
          <w:rFonts w:eastAsia="Times New Roman" w:cs="Times New Roman"/>
        </w:rPr>
        <w:t>, the order to terminate can only be sought where there is a Family Violence Order in place and both the perpetrator and victim are listed on the agreement.</w:t>
      </w:r>
      <w:r>
        <w:rPr>
          <w:rFonts w:eastAsia="Times New Roman" w:cs="Times New Roman"/>
        </w:rPr>
        <w:t xml:space="preserve"> In practice, the making of such an order will often mean</w:t>
      </w:r>
      <w:r w:rsidRPr="0079180B">
        <w:rPr>
          <w:rFonts w:eastAsia="Times New Roman" w:cs="Times New Roman"/>
        </w:rPr>
        <w:t xml:space="preserve"> that the victim is forced to pay all of the rent and </w:t>
      </w:r>
      <w:r>
        <w:rPr>
          <w:rFonts w:eastAsia="Times New Roman" w:cs="Times New Roman"/>
        </w:rPr>
        <w:t xml:space="preserve">continue to live in a property known to </w:t>
      </w:r>
      <w:r w:rsidRPr="0079180B">
        <w:rPr>
          <w:rFonts w:eastAsia="Times New Roman" w:cs="Times New Roman"/>
        </w:rPr>
        <w:t>the perpetrator</w:t>
      </w:r>
      <w:r>
        <w:rPr>
          <w:rFonts w:eastAsia="Times New Roman" w:cs="Times New Roman"/>
        </w:rPr>
        <w:t xml:space="preserve">. In our experience, some victims are worried for their safety and want to relocate. There may also be occasions where the victim wants to relocate but the perpetrator wants to remain in the property due to work or other commitments. </w:t>
      </w:r>
    </w:p>
    <w:p w14:paraId="03ED9018" w14:textId="77777777" w:rsidR="008836AF" w:rsidRDefault="008836AF" w:rsidP="008836AF">
      <w:pPr>
        <w:pStyle w:val="NoSpacing"/>
        <w:jc w:val="both"/>
        <w:rPr>
          <w:rFonts w:eastAsia="Times New Roman" w:cs="Times New Roman"/>
        </w:rPr>
      </w:pPr>
    </w:p>
    <w:p w14:paraId="4BBDA6FC" w14:textId="77777777" w:rsidR="008836AF" w:rsidRDefault="008836AF" w:rsidP="008836AF">
      <w:pPr>
        <w:pStyle w:val="NoSpacing"/>
        <w:jc w:val="both"/>
        <w:rPr>
          <w:rFonts w:eastAsia="Times New Roman" w:cs="Times New Roman"/>
        </w:rPr>
      </w:pPr>
      <w:r w:rsidRPr="0079180B">
        <w:rPr>
          <w:rFonts w:eastAsia="Times New Roman" w:cs="Times New Roman"/>
        </w:rPr>
        <w:t xml:space="preserve">We strongly recommend that the </w:t>
      </w:r>
      <w:r w:rsidRPr="0079180B">
        <w:rPr>
          <w:rFonts w:eastAsia="Times New Roman" w:cs="Times New Roman"/>
          <w:i/>
        </w:rPr>
        <w:t>Family Violence Act 2004</w:t>
      </w:r>
      <w:r w:rsidRPr="0079180B">
        <w:rPr>
          <w:rFonts w:eastAsia="Times New Roman" w:cs="Times New Roman"/>
        </w:rPr>
        <w:t xml:space="preserve"> (Tas) is amended so that the court is provided with </w:t>
      </w:r>
      <w:r>
        <w:rPr>
          <w:rFonts w:eastAsia="Times New Roman" w:cs="Times New Roman"/>
        </w:rPr>
        <w:t xml:space="preserve">broader powers including </w:t>
      </w:r>
      <w:r w:rsidRPr="0079180B">
        <w:rPr>
          <w:rFonts w:eastAsia="Times New Roman" w:cs="Times New Roman"/>
        </w:rPr>
        <w:t>the ability to terminate the agreement</w:t>
      </w:r>
      <w:r>
        <w:rPr>
          <w:rFonts w:eastAsia="Times New Roman" w:cs="Times New Roman"/>
        </w:rPr>
        <w:t xml:space="preserve"> or</w:t>
      </w:r>
      <w:r w:rsidRPr="0079180B">
        <w:rPr>
          <w:rFonts w:eastAsia="Times New Roman" w:cs="Times New Roman"/>
        </w:rPr>
        <w:t xml:space="preserve">; terminate the </w:t>
      </w:r>
      <w:r>
        <w:rPr>
          <w:rFonts w:eastAsia="Times New Roman" w:cs="Times New Roman"/>
        </w:rPr>
        <w:t>agreement</w:t>
      </w:r>
      <w:r w:rsidRPr="0079180B">
        <w:rPr>
          <w:rFonts w:eastAsia="Times New Roman" w:cs="Times New Roman"/>
        </w:rPr>
        <w:t xml:space="preserve"> and establish a new agreement for the benefit of the victim or; </w:t>
      </w:r>
      <w:r>
        <w:rPr>
          <w:rFonts w:eastAsia="Times New Roman" w:cs="Times New Roman"/>
        </w:rPr>
        <w:t>terminate the agreement</w:t>
      </w:r>
      <w:r w:rsidRPr="0079180B">
        <w:rPr>
          <w:rFonts w:eastAsia="Times New Roman" w:cs="Times New Roman"/>
        </w:rPr>
        <w:t xml:space="preserve"> and establish a new agreement for the benefit of the perpetrator. </w:t>
      </w:r>
      <w:r w:rsidRPr="00810690">
        <w:rPr>
          <w:rFonts w:eastAsia="Times New Roman" w:cs="Times New Roman"/>
        </w:rPr>
        <w:t>This would bring the Act into line with other jurisdictions including New South Wales.</w:t>
      </w:r>
      <w:r>
        <w:rPr>
          <w:rStyle w:val="FootnoteReference"/>
          <w:rFonts w:eastAsia="Times New Roman" w:cs="Times New Roman"/>
        </w:rPr>
        <w:footnoteReference w:id="33"/>
      </w:r>
    </w:p>
    <w:p w14:paraId="45BBE937" w14:textId="77777777" w:rsidR="008836AF" w:rsidRDefault="008836AF" w:rsidP="008836AF">
      <w:pPr>
        <w:pStyle w:val="NoSpacing"/>
        <w:ind w:right="78"/>
        <w:jc w:val="both"/>
        <w:rPr>
          <w:rFonts w:eastAsia="Times New Roman" w:cs="Times New Roman"/>
        </w:rPr>
      </w:pPr>
    </w:p>
    <w:p w14:paraId="54EEAA63" w14:textId="77777777" w:rsidR="008836AF" w:rsidRPr="00F533A9" w:rsidRDefault="008836AF" w:rsidP="008836AF">
      <w:pPr>
        <w:pStyle w:val="NoSpacing"/>
        <w:ind w:right="78"/>
        <w:jc w:val="both"/>
        <w:rPr>
          <w:rFonts w:eastAsia="Times New Roman" w:cs="Times New Roman"/>
          <w:b/>
        </w:rPr>
      </w:pPr>
      <w:r w:rsidRPr="00F533A9">
        <w:rPr>
          <w:rFonts w:eastAsia="Times New Roman" w:cs="Times New Roman"/>
          <w:b/>
        </w:rPr>
        <w:t>Tenant Blacklists</w:t>
      </w:r>
    </w:p>
    <w:p w14:paraId="630B75C6" w14:textId="77777777" w:rsidR="008836AF" w:rsidRDefault="008836AF" w:rsidP="008836AF">
      <w:pPr>
        <w:jc w:val="both"/>
        <w:rPr>
          <w:rFonts w:eastAsia="Times New Roman" w:cs="Times New Roman"/>
        </w:rPr>
      </w:pPr>
      <w:r w:rsidRPr="00EE5EA9">
        <w:rPr>
          <w:rFonts w:eastAsia="Times New Roman" w:cs="Times New Roman"/>
        </w:rPr>
        <w:t xml:space="preserve">The </w:t>
      </w:r>
      <w:r w:rsidRPr="00EE5EA9">
        <w:rPr>
          <w:rFonts w:eastAsia="Times New Roman" w:cs="Times New Roman"/>
          <w:i/>
        </w:rPr>
        <w:t>Residential Tenancy Act 1997</w:t>
      </w:r>
      <w:r w:rsidRPr="00EE5EA9">
        <w:rPr>
          <w:rFonts w:eastAsia="Times New Roman" w:cs="Times New Roman"/>
        </w:rPr>
        <w:t xml:space="preserve"> (Tas)</w:t>
      </w:r>
      <w:r>
        <w:rPr>
          <w:rFonts w:eastAsia="Times New Roman" w:cs="Times New Roman"/>
        </w:rPr>
        <w:t xml:space="preserve"> allows landlords to keep a residential tenancy database (i.e. a blacklist) of tenants who have breached the terms of their lease agreement. Tenants can only be blacklisted for breaches that still require the repayment of monies (unpaid rent or damage to property) or for evictions from an immediate termination.</w:t>
      </w:r>
      <w:r>
        <w:rPr>
          <w:rStyle w:val="FootnoteReference"/>
          <w:rFonts w:eastAsia="Times New Roman" w:cs="Times New Roman"/>
        </w:rPr>
        <w:footnoteReference w:id="34"/>
      </w:r>
      <w:r>
        <w:rPr>
          <w:rFonts w:eastAsia="Times New Roman" w:cs="Times New Roman"/>
        </w:rPr>
        <w:t xml:space="preserve"> </w:t>
      </w:r>
    </w:p>
    <w:p w14:paraId="49B216A7" w14:textId="77777777" w:rsidR="008836AF" w:rsidRDefault="008836AF" w:rsidP="008836AF">
      <w:pPr>
        <w:jc w:val="both"/>
        <w:rPr>
          <w:rFonts w:eastAsia="Times New Roman" w:cs="Times New Roman"/>
        </w:rPr>
      </w:pPr>
    </w:p>
    <w:p w14:paraId="501BE9D2" w14:textId="77777777" w:rsidR="008836AF" w:rsidRDefault="008836AF" w:rsidP="008836AF">
      <w:pPr>
        <w:jc w:val="both"/>
        <w:rPr>
          <w:rFonts w:eastAsia="Times New Roman" w:cs="Times New Roman"/>
        </w:rPr>
      </w:pPr>
      <w:r>
        <w:rPr>
          <w:rFonts w:eastAsia="Times New Roman" w:cs="Times New Roman"/>
        </w:rPr>
        <w:t>In practice, this means that many family violence victims continue to be punished for a perpetrator’s actions. If a victim of family violence applies for a family violence order and the perpetrator is subsequently removed from the agreement, the victim will often be required to pay all of the rent. This may lead to financial hardship and the risk that the victim will fall into rental arrears. If the victim is subsequently evicted due to rental arrears the landlord may blacklist the victim making it difficult to find alternative accommodation. As well, where a victim is evicted from their property due to the perpetrator’s ongoing damage of the property, or where damage has been done to the property by the perpetrator the landlord can have the victim blacklisted.</w:t>
      </w:r>
    </w:p>
    <w:p w14:paraId="59E5FF5E" w14:textId="77777777" w:rsidR="008836AF" w:rsidRDefault="008836AF" w:rsidP="008836AF">
      <w:pPr>
        <w:jc w:val="both"/>
        <w:rPr>
          <w:rFonts w:eastAsia="Times New Roman" w:cs="Times New Roman"/>
        </w:rPr>
      </w:pPr>
    </w:p>
    <w:p w14:paraId="6457285B" w14:textId="0DBDD9EA" w:rsidR="007916CC" w:rsidRDefault="008836AF" w:rsidP="008836AF">
      <w:pPr>
        <w:jc w:val="both"/>
        <w:rPr>
          <w:rFonts w:eastAsia="Times New Roman" w:cs="Times New Roman"/>
        </w:rPr>
      </w:pPr>
      <w:r>
        <w:rPr>
          <w:rFonts w:eastAsia="Times New Roman" w:cs="Times New Roman"/>
        </w:rPr>
        <w:t xml:space="preserve">We strongly recommend that Part 4C of the </w:t>
      </w:r>
      <w:r w:rsidRPr="00921384">
        <w:rPr>
          <w:rFonts w:eastAsia="Times New Roman" w:cs="Times New Roman"/>
          <w:i/>
        </w:rPr>
        <w:t>Residential Tenancy Act 1997</w:t>
      </w:r>
      <w:r>
        <w:rPr>
          <w:rFonts w:eastAsia="Times New Roman" w:cs="Times New Roman"/>
        </w:rPr>
        <w:t xml:space="preserve"> (Tas) is amended to prohibit landlords and real estate agents from blacklisting tenants for actions arising from the actions of the perpetrator including damage to property and unpaid rent.  </w:t>
      </w:r>
    </w:p>
    <w:p w14:paraId="475DA433" w14:textId="77777777" w:rsidR="0015138F" w:rsidRPr="0015138F" w:rsidRDefault="0015138F" w:rsidP="008836AF">
      <w:pPr>
        <w:jc w:val="both"/>
        <w:rPr>
          <w:rFonts w:eastAsia="Times New Roman" w:cs="Times New Roman"/>
        </w:rPr>
      </w:pPr>
    </w:p>
    <w:p w14:paraId="67BA4D8C" w14:textId="77777777" w:rsidR="008836AF" w:rsidRPr="00C165CC" w:rsidRDefault="008836AF" w:rsidP="008836AF">
      <w:pPr>
        <w:jc w:val="both"/>
        <w:rPr>
          <w:rFonts w:eastAsia="Times New Roman" w:cs="Times New Roman"/>
          <w:b/>
        </w:rPr>
      </w:pPr>
      <w:r w:rsidRPr="00C165CC">
        <w:rPr>
          <w:rFonts w:eastAsia="Times New Roman" w:cs="Times New Roman"/>
          <w:b/>
        </w:rPr>
        <w:t>Liability for Actions of Others</w:t>
      </w:r>
    </w:p>
    <w:p w14:paraId="2A3613E7" w14:textId="3C045691" w:rsidR="001872FF" w:rsidRDefault="008836AF" w:rsidP="005D2380">
      <w:pPr>
        <w:jc w:val="both"/>
        <w:rPr>
          <w:rFonts w:eastAsia="Times New Roman" w:cs="Times New Roman"/>
        </w:rPr>
      </w:pPr>
      <w:r>
        <w:rPr>
          <w:rFonts w:eastAsia="Times New Roman" w:cs="Times New Roman"/>
        </w:rPr>
        <w:t xml:space="preserve">The </w:t>
      </w:r>
      <w:r w:rsidRPr="00C165CC">
        <w:rPr>
          <w:rFonts w:eastAsia="Times New Roman" w:cs="Times New Roman"/>
          <w:i/>
        </w:rPr>
        <w:t>Residential Tenancy Act 1997</w:t>
      </w:r>
      <w:r>
        <w:rPr>
          <w:rFonts w:eastAsia="Times New Roman" w:cs="Times New Roman"/>
        </w:rPr>
        <w:t xml:space="preserve"> (Tas) provides that a tenant is liable for any act or omission of persons lawfully on the premises.</w:t>
      </w:r>
      <w:r>
        <w:rPr>
          <w:rStyle w:val="FootnoteReference"/>
          <w:rFonts w:eastAsia="Times New Roman" w:cs="Times New Roman"/>
        </w:rPr>
        <w:footnoteReference w:id="35"/>
      </w:r>
      <w:r>
        <w:rPr>
          <w:rFonts w:eastAsia="Times New Roman" w:cs="Times New Roman"/>
        </w:rPr>
        <w:t xml:space="preserve"> We strongly recommend that the automatic liability of tenants for the acts or omissions of others should be removed in circumstances where tenants can prove that the damage arose from family violence.</w:t>
      </w:r>
      <w:r>
        <w:rPr>
          <w:rStyle w:val="FootnoteReference"/>
          <w:rFonts w:eastAsia="Times New Roman" w:cs="Times New Roman"/>
        </w:rPr>
        <w:footnoteReference w:id="36"/>
      </w:r>
      <w:r>
        <w:rPr>
          <w:rFonts w:eastAsia="Times New Roman" w:cs="Times New Roman"/>
        </w:rPr>
        <w:t xml:space="preserve"> </w:t>
      </w:r>
    </w:p>
    <w:p w14:paraId="184902A9" w14:textId="77777777" w:rsidR="00660EA1" w:rsidRPr="00FA08CC" w:rsidRDefault="00660EA1" w:rsidP="00660EA1">
      <w:pPr>
        <w:ind w:right="-205"/>
        <w:jc w:val="both"/>
        <w:rPr>
          <w:rFonts w:eastAsia="Times New Roman" w:cs="Times New Roman"/>
        </w:rPr>
      </w:pPr>
      <w:r w:rsidRPr="00FA08CC">
        <w:rPr>
          <w:rFonts w:eastAsia="Times New Roman" w:cs="Times New Roman"/>
        </w:rPr>
        <w:t xml:space="preserve">If you have any queries or we can be of any further assistance, please do not hesitate to contact us. </w:t>
      </w:r>
    </w:p>
    <w:p w14:paraId="43F7D600" w14:textId="77777777" w:rsidR="00660EA1" w:rsidRPr="00FA08CC" w:rsidRDefault="00660EA1" w:rsidP="00660EA1">
      <w:pPr>
        <w:ind w:right="-205"/>
        <w:jc w:val="both"/>
        <w:rPr>
          <w:rFonts w:eastAsia="Times New Roman" w:cs="Times New Roman"/>
        </w:rPr>
      </w:pPr>
    </w:p>
    <w:p w14:paraId="15D99837" w14:textId="77777777" w:rsidR="00660EA1" w:rsidRPr="00FA08CC" w:rsidRDefault="00660EA1" w:rsidP="00660EA1">
      <w:pPr>
        <w:ind w:right="-205"/>
        <w:jc w:val="both"/>
        <w:rPr>
          <w:rFonts w:eastAsia="Times New Roman" w:cs="Times New Roman"/>
        </w:rPr>
      </w:pPr>
    </w:p>
    <w:p w14:paraId="57B14421" w14:textId="77777777" w:rsidR="00660EA1" w:rsidRPr="00FA08CC" w:rsidRDefault="00660EA1" w:rsidP="00660EA1">
      <w:pPr>
        <w:ind w:right="-205"/>
        <w:jc w:val="both"/>
        <w:rPr>
          <w:rFonts w:eastAsia="Times New Roman" w:cs="Times New Roman"/>
        </w:rPr>
      </w:pPr>
      <w:r w:rsidRPr="00FA08CC">
        <w:rPr>
          <w:rFonts w:eastAsia="Times New Roman" w:cs="Times New Roman"/>
        </w:rPr>
        <w:t>Yours faithfully,</w:t>
      </w:r>
    </w:p>
    <w:p w14:paraId="468F9123" w14:textId="77777777" w:rsidR="00660EA1" w:rsidRPr="00FA08CC" w:rsidRDefault="00660EA1" w:rsidP="00660EA1">
      <w:pPr>
        <w:ind w:right="-205"/>
        <w:jc w:val="both"/>
        <w:rPr>
          <w:rFonts w:eastAsia="Times New Roman" w:cs="Times New Roman"/>
        </w:rPr>
      </w:pPr>
    </w:p>
    <w:p w14:paraId="0CBFBBD1" w14:textId="77777777" w:rsidR="00660EA1" w:rsidRPr="00FA08CC" w:rsidRDefault="00660EA1" w:rsidP="00660EA1">
      <w:pPr>
        <w:ind w:right="-205"/>
        <w:jc w:val="both"/>
        <w:rPr>
          <w:rFonts w:eastAsia="Times New Roman" w:cs="Times New Roman"/>
        </w:rPr>
      </w:pPr>
    </w:p>
    <w:p w14:paraId="3294FB12" w14:textId="77777777" w:rsidR="00660EA1" w:rsidRPr="00FA08CC" w:rsidRDefault="00660EA1" w:rsidP="00660EA1">
      <w:pPr>
        <w:ind w:right="-205"/>
        <w:jc w:val="both"/>
        <w:rPr>
          <w:rFonts w:eastAsia="Times New Roman" w:cs="Times New Roman"/>
        </w:rPr>
      </w:pPr>
    </w:p>
    <w:p w14:paraId="1870B995" w14:textId="77777777" w:rsidR="00660EA1" w:rsidRPr="00FA08CC" w:rsidRDefault="00660EA1" w:rsidP="00660EA1">
      <w:pPr>
        <w:ind w:right="-205"/>
        <w:jc w:val="both"/>
        <w:rPr>
          <w:rFonts w:eastAsia="Times New Roman" w:cs="Times New Roman"/>
        </w:rPr>
      </w:pPr>
      <w:r w:rsidRPr="00FA08CC">
        <w:rPr>
          <w:rFonts w:eastAsia="Times New Roman" w:cs="Times New Roman"/>
        </w:rPr>
        <w:t>Benedict Bartl</w:t>
      </w:r>
    </w:p>
    <w:p w14:paraId="378C4D04" w14:textId="77777777" w:rsidR="00660EA1" w:rsidRPr="00FA08CC" w:rsidRDefault="00660EA1" w:rsidP="00660EA1">
      <w:pPr>
        <w:ind w:right="-205"/>
        <w:jc w:val="both"/>
        <w:rPr>
          <w:rFonts w:eastAsia="Times New Roman" w:cs="Times New Roman"/>
        </w:rPr>
      </w:pPr>
      <w:r w:rsidRPr="00FA08CC">
        <w:rPr>
          <w:rFonts w:eastAsia="Times New Roman" w:cs="Times New Roman"/>
        </w:rPr>
        <w:t>Policy Officer</w:t>
      </w:r>
    </w:p>
    <w:p w14:paraId="1C735BA9" w14:textId="77777777" w:rsidR="00660EA1" w:rsidRPr="00FA08CC" w:rsidRDefault="00660EA1" w:rsidP="00660EA1">
      <w:pPr>
        <w:pBdr>
          <w:bottom w:val="single" w:sz="6" w:space="1" w:color="auto"/>
        </w:pBdr>
        <w:ind w:right="-205"/>
        <w:jc w:val="both"/>
        <w:rPr>
          <w:rFonts w:eastAsia="Times New Roman" w:cs="Times New Roman"/>
          <w:b/>
        </w:rPr>
      </w:pPr>
      <w:r w:rsidRPr="00FA08CC">
        <w:rPr>
          <w:rFonts w:eastAsia="Times New Roman" w:cs="Times New Roman"/>
          <w:b/>
        </w:rPr>
        <w:t>Community Legal Centres Tasmania</w:t>
      </w:r>
    </w:p>
    <w:p w14:paraId="109027A2" w14:textId="77777777" w:rsidR="00660EA1" w:rsidRPr="00FA08CC" w:rsidRDefault="00660EA1" w:rsidP="00660EA1">
      <w:pPr>
        <w:ind w:right="-205"/>
      </w:pPr>
    </w:p>
    <w:p w14:paraId="6FC24B62" w14:textId="218F7A06" w:rsidR="00660EA1" w:rsidRDefault="00660EA1" w:rsidP="00660EA1">
      <w:pPr>
        <w:jc w:val="both"/>
      </w:pPr>
      <w:bookmarkStart w:id="0" w:name="_GoBack"/>
      <w:bookmarkEnd w:id="0"/>
    </w:p>
    <w:sectPr w:rsidR="00660EA1" w:rsidSect="0025774B">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B8A4A" w14:textId="77777777" w:rsidR="00E01B0B" w:rsidRDefault="00E01B0B" w:rsidP="005D2380">
      <w:r>
        <w:separator/>
      </w:r>
    </w:p>
  </w:endnote>
  <w:endnote w:type="continuationSeparator" w:id="0">
    <w:p w14:paraId="370E88ED" w14:textId="77777777" w:rsidR="00E01B0B" w:rsidRDefault="00E01B0B" w:rsidP="005D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ill Sans MT">
    <w:panose1 w:val="020B0502020104020203"/>
    <w:charset w:val="00"/>
    <w:family w:val="auto"/>
    <w:pitch w:val="variable"/>
    <w:sig w:usb0="00000003" w:usb1="00000000" w:usb2="00000000" w:usb3="00000000" w:csb0="00000003"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BEA7A" w14:textId="77777777" w:rsidR="00E01B0B" w:rsidRDefault="00E01B0B" w:rsidP="00B35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B3B3B" w14:textId="77777777" w:rsidR="00E01B0B" w:rsidRDefault="00E01B0B" w:rsidP="008836A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C13D3" w14:textId="77777777" w:rsidR="00E01B0B" w:rsidRDefault="00E01B0B" w:rsidP="00B350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0EA1">
      <w:rPr>
        <w:rStyle w:val="PageNumber"/>
        <w:noProof/>
      </w:rPr>
      <w:t>1</w:t>
    </w:r>
    <w:r>
      <w:rPr>
        <w:rStyle w:val="PageNumber"/>
      </w:rPr>
      <w:fldChar w:fldCharType="end"/>
    </w:r>
  </w:p>
  <w:p w14:paraId="694AAB57" w14:textId="77777777" w:rsidR="00E01B0B" w:rsidRDefault="00E01B0B" w:rsidP="008836A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60A9" w14:textId="77777777" w:rsidR="00E01B0B" w:rsidRDefault="00E01B0B" w:rsidP="005D2380">
      <w:r>
        <w:separator/>
      </w:r>
    </w:p>
  </w:footnote>
  <w:footnote w:type="continuationSeparator" w:id="0">
    <w:p w14:paraId="2EBF7F1A" w14:textId="77777777" w:rsidR="00E01B0B" w:rsidRDefault="00E01B0B" w:rsidP="005D2380">
      <w:r>
        <w:continuationSeparator/>
      </w:r>
    </w:p>
  </w:footnote>
  <w:footnote w:id="1">
    <w:p w14:paraId="7EDEA089" w14:textId="4D44C4FB" w:rsidR="00E01B0B" w:rsidRPr="00E91951" w:rsidRDefault="00E01B0B" w:rsidP="00B94B2A">
      <w:pPr>
        <w:pStyle w:val="FootnoteText"/>
        <w:rPr>
          <w:sz w:val="20"/>
          <w:szCs w:val="20"/>
          <w:lang w:val="en-US"/>
        </w:rPr>
      </w:pPr>
      <w:r w:rsidRPr="00E91951">
        <w:rPr>
          <w:rStyle w:val="FootnoteReference"/>
        </w:rPr>
        <w:footnoteRef/>
      </w:r>
      <w:r w:rsidRPr="00E91951">
        <w:t xml:space="preserve"> </w:t>
      </w:r>
      <w:r w:rsidRPr="00E91951">
        <w:rPr>
          <w:sz w:val="20"/>
          <w:szCs w:val="20"/>
          <w:lang w:val="en-US"/>
        </w:rPr>
        <w:t>CLC Tas would like to acknowledge</w:t>
      </w:r>
      <w:r>
        <w:rPr>
          <w:sz w:val="20"/>
          <w:szCs w:val="20"/>
          <w:lang w:val="en-US"/>
        </w:rPr>
        <w:t xml:space="preserve"> Alexander Davidson who assisted in the preparation of this response.</w:t>
      </w:r>
    </w:p>
  </w:footnote>
  <w:footnote w:id="2">
    <w:p w14:paraId="54FF7C57" w14:textId="77777777" w:rsidR="00E01B0B" w:rsidRPr="00A72317" w:rsidRDefault="00E01B0B" w:rsidP="0062573D">
      <w:pPr>
        <w:pStyle w:val="FootnoteText"/>
        <w:rPr>
          <w:lang w:val="en-US"/>
        </w:rPr>
      </w:pPr>
      <w:r>
        <w:rPr>
          <w:rStyle w:val="FootnoteReference"/>
        </w:rPr>
        <w:footnoteRef/>
      </w:r>
      <w:r>
        <w:t xml:space="preserve"> </w:t>
      </w:r>
      <w:r w:rsidRPr="00C301D3">
        <w:rPr>
          <w:sz w:val="20"/>
          <w:szCs w:val="20"/>
        </w:rPr>
        <w:t xml:space="preserve">Women’s Legal Service, </w:t>
      </w:r>
      <w:r w:rsidRPr="00C301D3">
        <w:rPr>
          <w:i/>
          <w:sz w:val="20"/>
          <w:szCs w:val="20"/>
          <w:lang w:val="en-US"/>
        </w:rPr>
        <w:t>Their Stories, Our Stories; Tasmanian Women’s Experiences with Family Violence Orders</w:t>
      </w:r>
      <w:r w:rsidRPr="00C301D3">
        <w:rPr>
          <w:sz w:val="20"/>
          <w:szCs w:val="20"/>
          <w:lang w:val="en-US"/>
        </w:rPr>
        <w:t xml:space="preserve"> (June 2015) at 24.</w:t>
      </w:r>
      <w:r>
        <w:rPr>
          <w:lang w:val="en-US"/>
        </w:rPr>
        <w:t xml:space="preserve"> </w:t>
      </w:r>
    </w:p>
  </w:footnote>
  <w:footnote w:id="3">
    <w:p w14:paraId="1F857B93" w14:textId="6DED9BE5" w:rsidR="00E01B0B" w:rsidRPr="0079063B" w:rsidRDefault="00E01B0B">
      <w:pPr>
        <w:pStyle w:val="FootnoteText"/>
        <w:rPr>
          <w:lang w:val="en-US"/>
        </w:rPr>
      </w:pPr>
      <w:r>
        <w:rPr>
          <w:rStyle w:val="FootnoteReference"/>
        </w:rPr>
        <w:footnoteRef/>
      </w:r>
      <w:r>
        <w:t xml:space="preserve"> </w:t>
      </w:r>
      <w:r w:rsidRPr="009B2A23">
        <w:rPr>
          <w:sz w:val="20"/>
          <w:szCs w:val="20"/>
        </w:rPr>
        <w:t xml:space="preserve">For example see ‘Sally’s Story’ in which the </w:t>
      </w:r>
      <w:r>
        <w:rPr>
          <w:sz w:val="20"/>
          <w:szCs w:val="20"/>
        </w:rPr>
        <w:t>police interpretation of the</w:t>
      </w:r>
      <w:r w:rsidRPr="009B2A23">
        <w:rPr>
          <w:sz w:val="20"/>
          <w:szCs w:val="20"/>
        </w:rPr>
        <w:t xml:space="preserve"> PFVO was different </w:t>
      </w:r>
      <w:r>
        <w:rPr>
          <w:sz w:val="20"/>
          <w:szCs w:val="20"/>
        </w:rPr>
        <w:t>to</w:t>
      </w:r>
      <w:r w:rsidRPr="009B2A23">
        <w:rPr>
          <w:sz w:val="20"/>
          <w:szCs w:val="20"/>
        </w:rPr>
        <w:t xml:space="preserve"> that of either the lawyers or the courts. As found in Women’s Legal Service, </w:t>
      </w:r>
      <w:r w:rsidRPr="009B2A23">
        <w:rPr>
          <w:i/>
          <w:sz w:val="20"/>
          <w:szCs w:val="20"/>
          <w:lang w:val="en-US"/>
        </w:rPr>
        <w:t>Their Stories, Our Stories; Tasmanian Women’s Experiences with Family Violence Orders</w:t>
      </w:r>
      <w:r w:rsidRPr="009B2A23">
        <w:rPr>
          <w:sz w:val="20"/>
          <w:szCs w:val="20"/>
          <w:lang w:val="en-US"/>
        </w:rPr>
        <w:t xml:space="preserve"> (June 2015) at 31.</w:t>
      </w:r>
      <w:r>
        <w:rPr>
          <w:lang w:val="en-US"/>
        </w:rPr>
        <w:t xml:space="preserve">   </w:t>
      </w:r>
    </w:p>
  </w:footnote>
  <w:footnote w:id="4">
    <w:p w14:paraId="010A0B9A" w14:textId="584FADD2" w:rsidR="00E01B0B" w:rsidRPr="00C17FDA" w:rsidRDefault="00E01B0B" w:rsidP="00E068FE">
      <w:pPr>
        <w:pStyle w:val="FootnoteText"/>
        <w:rPr>
          <w:lang w:val="en-US"/>
        </w:rPr>
      </w:pPr>
      <w:r w:rsidRPr="00C17FDA">
        <w:rPr>
          <w:rStyle w:val="FootnoteReference"/>
        </w:rPr>
        <w:footnoteRef/>
      </w:r>
      <w:r w:rsidRPr="00C17FDA">
        <w:t xml:space="preserve"> </w:t>
      </w:r>
      <w:r w:rsidRPr="00E068FE">
        <w:rPr>
          <w:i/>
          <w:sz w:val="20"/>
          <w:szCs w:val="20"/>
          <w:lang w:val="en-US"/>
        </w:rPr>
        <w:t>Tyrell</w:t>
      </w:r>
      <w:r w:rsidRPr="00E068FE">
        <w:rPr>
          <w:sz w:val="20"/>
          <w:szCs w:val="20"/>
          <w:lang w:val="en-US"/>
        </w:rPr>
        <w:t xml:space="preserve"> [1894] 1 QB 710. </w:t>
      </w:r>
    </w:p>
  </w:footnote>
  <w:footnote w:id="5">
    <w:p w14:paraId="19D830B5" w14:textId="1683A5A7" w:rsidR="00E01B0B" w:rsidRPr="00AB2564" w:rsidRDefault="00E01B0B" w:rsidP="00CF35FA">
      <w:pPr>
        <w:pStyle w:val="FootnoteText"/>
        <w:rPr>
          <w:lang w:val="en-US"/>
        </w:rPr>
      </w:pPr>
      <w:r w:rsidRPr="00AB2564">
        <w:rPr>
          <w:rStyle w:val="FootnoteReference"/>
        </w:rPr>
        <w:footnoteRef/>
      </w:r>
      <w:r w:rsidRPr="00AB2564">
        <w:t xml:space="preserve"> </w:t>
      </w:r>
      <w:r w:rsidRPr="00202B1E">
        <w:rPr>
          <w:sz w:val="20"/>
          <w:szCs w:val="20"/>
          <w:lang w:val="en-US"/>
        </w:rPr>
        <w:t xml:space="preserve">According to the Australian Bureau of Statistics 64 per cent of family violence physical assaults and 81 per cent of family violence sexual assaults are </w:t>
      </w:r>
      <w:r>
        <w:rPr>
          <w:sz w:val="20"/>
          <w:szCs w:val="20"/>
          <w:lang w:val="en-US"/>
        </w:rPr>
        <w:t>under</w:t>
      </w:r>
      <w:r w:rsidRPr="00202B1E">
        <w:rPr>
          <w:sz w:val="20"/>
          <w:szCs w:val="20"/>
          <w:lang w:val="en-US"/>
        </w:rPr>
        <w:t xml:space="preserve">reported: </w:t>
      </w:r>
      <w:r w:rsidRPr="00202B1E">
        <w:rPr>
          <w:sz w:val="20"/>
          <w:szCs w:val="20"/>
        </w:rPr>
        <w:t xml:space="preserve">Australian Bureau of Statics, </w:t>
      </w:r>
      <w:r w:rsidRPr="00202B1E">
        <w:rPr>
          <w:i/>
          <w:sz w:val="20"/>
          <w:szCs w:val="20"/>
          <w:lang w:val="en-US"/>
        </w:rPr>
        <w:t>Australian Bureau of Statistics (ABS) Personal Safety Survey</w:t>
      </w:r>
      <w:r w:rsidRPr="00202B1E">
        <w:rPr>
          <w:sz w:val="20"/>
          <w:szCs w:val="20"/>
        </w:rPr>
        <w:t xml:space="preserve"> (2005).</w:t>
      </w:r>
    </w:p>
  </w:footnote>
  <w:footnote w:id="6">
    <w:p w14:paraId="15D15644" w14:textId="12189B45" w:rsidR="00E01B0B" w:rsidRPr="00AB2564" w:rsidRDefault="00E01B0B" w:rsidP="00CF35FA">
      <w:pPr>
        <w:pStyle w:val="FootnoteText"/>
      </w:pPr>
      <w:r w:rsidRPr="00AB2564">
        <w:rPr>
          <w:rStyle w:val="FootnoteReference"/>
        </w:rPr>
        <w:footnoteRef/>
      </w:r>
      <w:r w:rsidRPr="00AB2564">
        <w:t xml:space="preserve"> </w:t>
      </w:r>
      <w:r w:rsidRPr="00A37336">
        <w:rPr>
          <w:sz w:val="20"/>
          <w:szCs w:val="20"/>
        </w:rPr>
        <w:t xml:space="preserve">Australian Law Reform Commission, </w:t>
      </w:r>
      <w:r w:rsidRPr="00A37336">
        <w:rPr>
          <w:bCs/>
          <w:i/>
          <w:sz w:val="20"/>
          <w:szCs w:val="20"/>
          <w:lang w:val="en-US"/>
        </w:rPr>
        <w:t>Family Violence —A National Legal Response</w:t>
      </w:r>
      <w:r w:rsidRPr="00A37336">
        <w:rPr>
          <w:sz w:val="20"/>
          <w:szCs w:val="20"/>
        </w:rPr>
        <w:t xml:space="preserve"> (October 2010) at 362</w:t>
      </w:r>
      <w:r>
        <w:rPr>
          <w:sz w:val="20"/>
          <w:szCs w:val="20"/>
        </w:rPr>
        <w:t>.</w:t>
      </w:r>
    </w:p>
  </w:footnote>
  <w:footnote w:id="7">
    <w:p w14:paraId="615B7BEF" w14:textId="562E860C" w:rsidR="00E01B0B" w:rsidRPr="003D7B8F" w:rsidRDefault="00E01B0B">
      <w:pPr>
        <w:pStyle w:val="FootnoteText"/>
        <w:rPr>
          <w:lang w:val="en-US"/>
        </w:rPr>
      </w:pPr>
      <w:r>
        <w:rPr>
          <w:rStyle w:val="FootnoteReference"/>
        </w:rPr>
        <w:footnoteRef/>
      </w:r>
      <w:r>
        <w:t xml:space="preserve"> </w:t>
      </w:r>
      <w:r w:rsidRPr="00A37336">
        <w:rPr>
          <w:sz w:val="20"/>
          <w:szCs w:val="20"/>
        </w:rPr>
        <w:t xml:space="preserve">Australian Law Reform Commission, </w:t>
      </w:r>
      <w:r w:rsidRPr="00A37336">
        <w:rPr>
          <w:bCs/>
          <w:i/>
          <w:sz w:val="20"/>
          <w:szCs w:val="20"/>
          <w:lang w:val="en-US"/>
        </w:rPr>
        <w:t>Family Violence —A National Legal Response</w:t>
      </w:r>
      <w:r w:rsidRPr="00A37336">
        <w:rPr>
          <w:sz w:val="20"/>
          <w:szCs w:val="20"/>
        </w:rPr>
        <w:t xml:space="preserve"> (October 2010) at 362.</w:t>
      </w:r>
      <w:r>
        <w:rPr>
          <w:sz w:val="20"/>
          <w:szCs w:val="20"/>
        </w:rPr>
        <w:t xml:space="preserve"> </w:t>
      </w:r>
    </w:p>
  </w:footnote>
  <w:footnote w:id="8">
    <w:p w14:paraId="094D9495" w14:textId="2F332619" w:rsidR="00E01B0B" w:rsidRPr="00AB2564" w:rsidRDefault="00E01B0B" w:rsidP="00B94B2A">
      <w:pPr>
        <w:pStyle w:val="FootnoteText"/>
        <w:rPr>
          <w:lang w:val="en-US"/>
        </w:rPr>
      </w:pPr>
      <w:r w:rsidRPr="00AB2564">
        <w:rPr>
          <w:rStyle w:val="FootnoteReference"/>
        </w:rPr>
        <w:footnoteRef/>
      </w:r>
      <w:r w:rsidRPr="00AB2564">
        <w:t xml:space="preserve"> </w:t>
      </w:r>
      <w:r w:rsidRPr="00D1790D">
        <w:rPr>
          <w:i/>
          <w:sz w:val="20"/>
          <w:szCs w:val="20"/>
          <w:lang w:val="en-US"/>
        </w:rPr>
        <w:t>Children, Young Persons and Their Families Act 1997</w:t>
      </w:r>
      <w:r w:rsidRPr="00D1790D">
        <w:rPr>
          <w:sz w:val="20"/>
          <w:szCs w:val="20"/>
          <w:lang w:val="en-US"/>
        </w:rPr>
        <w:t xml:space="preserve"> (Tas); </w:t>
      </w:r>
      <w:r w:rsidRPr="00D1790D">
        <w:rPr>
          <w:i/>
          <w:sz w:val="20"/>
          <w:szCs w:val="20"/>
          <w:lang w:val="en-US"/>
        </w:rPr>
        <w:t>Youth Justice Act 1997</w:t>
      </w:r>
      <w:r w:rsidRPr="00D1790D">
        <w:rPr>
          <w:sz w:val="20"/>
          <w:szCs w:val="20"/>
          <w:lang w:val="en-US"/>
        </w:rPr>
        <w:t xml:space="preserve"> (Tas); </w:t>
      </w:r>
      <w:r w:rsidRPr="00D1790D">
        <w:rPr>
          <w:i/>
          <w:sz w:val="20"/>
          <w:szCs w:val="20"/>
          <w:lang w:val="en-US"/>
        </w:rPr>
        <w:t>Justices Act 1959</w:t>
      </w:r>
      <w:r w:rsidRPr="00D1790D">
        <w:rPr>
          <w:sz w:val="20"/>
          <w:szCs w:val="20"/>
          <w:lang w:val="en-US"/>
        </w:rPr>
        <w:t xml:space="preserve"> (Tas);</w:t>
      </w:r>
      <w:r w:rsidRPr="00D1790D">
        <w:rPr>
          <w:rFonts w:eastAsia="MS Mincho" w:cs="MS Mincho"/>
          <w:sz w:val="20"/>
          <w:szCs w:val="20"/>
          <w:lang w:val="en-US"/>
        </w:rPr>
        <w:t xml:space="preserve"> </w:t>
      </w:r>
      <w:r w:rsidRPr="00D1790D">
        <w:rPr>
          <w:i/>
          <w:sz w:val="20"/>
          <w:szCs w:val="20"/>
          <w:lang w:val="en-US"/>
        </w:rPr>
        <w:t>Magistrates Court (Children's Division) Act 1998</w:t>
      </w:r>
      <w:r w:rsidRPr="00D1790D">
        <w:rPr>
          <w:sz w:val="20"/>
          <w:szCs w:val="20"/>
          <w:lang w:val="en-US"/>
        </w:rPr>
        <w:t xml:space="preserve"> (Tas); </w:t>
      </w:r>
      <w:r w:rsidRPr="00D1790D">
        <w:rPr>
          <w:i/>
          <w:sz w:val="20"/>
          <w:szCs w:val="20"/>
          <w:lang w:val="en-US"/>
        </w:rPr>
        <w:t>Justices (Restraint Orders) Rules 2013</w:t>
      </w:r>
      <w:r w:rsidRPr="00D1790D">
        <w:rPr>
          <w:sz w:val="20"/>
          <w:szCs w:val="20"/>
          <w:lang w:val="en-US"/>
        </w:rPr>
        <w:t xml:space="preserve"> (Tas).</w:t>
      </w:r>
      <w:r w:rsidRPr="00AB2564">
        <w:rPr>
          <w:lang w:val="en-US"/>
        </w:rPr>
        <w:t xml:space="preserve"> </w:t>
      </w:r>
    </w:p>
  </w:footnote>
  <w:footnote w:id="9">
    <w:p w14:paraId="079772C4" w14:textId="28D782B5" w:rsidR="00E01B0B" w:rsidRPr="00D00BA5" w:rsidRDefault="00E01B0B" w:rsidP="006C301C">
      <w:pPr>
        <w:pStyle w:val="FootnoteText"/>
        <w:rPr>
          <w:lang w:val="en-US"/>
        </w:rPr>
      </w:pPr>
      <w:r>
        <w:rPr>
          <w:rStyle w:val="FootnoteReference"/>
        </w:rPr>
        <w:footnoteRef/>
      </w:r>
      <w:r>
        <w:t xml:space="preserve"> </w:t>
      </w:r>
      <w:r w:rsidRPr="009743A9">
        <w:rPr>
          <w:sz w:val="20"/>
          <w:szCs w:val="20"/>
          <w:lang w:val="en-US"/>
        </w:rPr>
        <w:t xml:space="preserve">Wendy Lacey, Neglectful to the Point of Cruelty? Elder Abuse and the Rights of Older Persons in Australia (2014) 36(1) </w:t>
      </w:r>
      <w:r w:rsidRPr="009743A9">
        <w:rPr>
          <w:i/>
          <w:sz w:val="20"/>
          <w:szCs w:val="20"/>
          <w:lang w:val="en-US"/>
        </w:rPr>
        <w:t>Sydney Law Review</w:t>
      </w:r>
      <w:r>
        <w:rPr>
          <w:sz w:val="20"/>
          <w:szCs w:val="20"/>
          <w:lang w:val="en-US"/>
        </w:rPr>
        <w:t xml:space="preserve"> 99 at 100-101</w:t>
      </w:r>
      <w:r w:rsidRPr="009743A9">
        <w:rPr>
          <w:sz w:val="20"/>
          <w:szCs w:val="20"/>
          <w:lang w:val="en-US"/>
        </w:rPr>
        <w:t>.</w:t>
      </w:r>
    </w:p>
  </w:footnote>
  <w:footnote w:id="10">
    <w:p w14:paraId="78EC6895" w14:textId="0AB974BB" w:rsidR="00E01B0B" w:rsidRPr="00A06A49" w:rsidRDefault="00E01B0B" w:rsidP="001430CF">
      <w:pPr>
        <w:pStyle w:val="FootnoteText"/>
        <w:rPr>
          <w:lang w:val="en-US"/>
        </w:rPr>
      </w:pPr>
      <w:r>
        <w:rPr>
          <w:rStyle w:val="FootnoteReference"/>
        </w:rPr>
        <w:footnoteRef/>
      </w:r>
      <w:r>
        <w:t xml:space="preserve"> </w:t>
      </w:r>
      <w:r w:rsidRPr="00A9232C">
        <w:rPr>
          <w:sz w:val="20"/>
          <w:szCs w:val="20"/>
          <w:lang w:val="en-US"/>
        </w:rPr>
        <w:t>Advocacy Tasmania, Annual Report 2014-15</w:t>
      </w:r>
      <w:r>
        <w:rPr>
          <w:sz w:val="20"/>
          <w:szCs w:val="20"/>
          <w:lang w:val="en-US"/>
        </w:rPr>
        <w:t xml:space="preserve"> at 12</w:t>
      </w:r>
      <w:r w:rsidRPr="00A9232C">
        <w:rPr>
          <w:sz w:val="20"/>
          <w:szCs w:val="20"/>
          <w:lang w:val="en-US"/>
        </w:rPr>
        <w:t xml:space="preserve">. </w:t>
      </w:r>
    </w:p>
  </w:footnote>
  <w:footnote w:id="11">
    <w:p w14:paraId="6FD13993" w14:textId="46A6E48F" w:rsidR="00E01B0B" w:rsidRPr="00757D37" w:rsidRDefault="00E01B0B">
      <w:pPr>
        <w:pStyle w:val="FootnoteText"/>
        <w:rPr>
          <w:sz w:val="20"/>
          <w:szCs w:val="20"/>
          <w:lang w:val="en-US"/>
        </w:rPr>
      </w:pPr>
      <w:r>
        <w:rPr>
          <w:rStyle w:val="FootnoteReference"/>
        </w:rPr>
        <w:footnoteRef/>
      </w:r>
      <w:r>
        <w:t xml:space="preserve"> </w:t>
      </w:r>
      <w:r w:rsidRPr="00757D37">
        <w:rPr>
          <w:i/>
          <w:sz w:val="20"/>
          <w:szCs w:val="20"/>
          <w:lang w:val="en-US"/>
        </w:rPr>
        <w:t xml:space="preserve">Adult Support and Protection Act 2007 </w:t>
      </w:r>
      <w:r w:rsidRPr="00757D37">
        <w:rPr>
          <w:sz w:val="20"/>
          <w:szCs w:val="20"/>
          <w:lang w:val="en-US"/>
        </w:rPr>
        <w:t>(Scotland).</w:t>
      </w:r>
      <w:r w:rsidRPr="00757D37">
        <w:rPr>
          <w:i/>
          <w:sz w:val="20"/>
          <w:szCs w:val="20"/>
          <w:lang w:val="en-US"/>
        </w:rPr>
        <w:t xml:space="preserve"> </w:t>
      </w:r>
    </w:p>
  </w:footnote>
  <w:footnote w:id="12">
    <w:p w14:paraId="329119CC" w14:textId="64170DC3" w:rsidR="00E01B0B" w:rsidRPr="00B7690C" w:rsidRDefault="00E01B0B">
      <w:pPr>
        <w:pStyle w:val="FootnoteText"/>
        <w:rPr>
          <w:lang w:val="en-US"/>
        </w:rPr>
      </w:pPr>
      <w:r>
        <w:rPr>
          <w:rStyle w:val="FootnoteReference"/>
        </w:rPr>
        <w:footnoteRef/>
      </w:r>
      <w:r>
        <w:t xml:space="preserve"> </w:t>
      </w:r>
      <w:r w:rsidRPr="009743A9">
        <w:rPr>
          <w:sz w:val="20"/>
          <w:szCs w:val="20"/>
          <w:lang w:val="en-US"/>
        </w:rPr>
        <w:t xml:space="preserve">Wendy Lacey, Neglectful to the Point of Cruelty? Elder Abuse and the Rights of Older Persons in Australia (2014) 36(1) </w:t>
      </w:r>
      <w:r w:rsidRPr="009743A9">
        <w:rPr>
          <w:i/>
          <w:sz w:val="20"/>
          <w:szCs w:val="20"/>
          <w:lang w:val="en-US"/>
        </w:rPr>
        <w:t>Sydney Law Review</w:t>
      </w:r>
      <w:r w:rsidRPr="009743A9">
        <w:rPr>
          <w:sz w:val="20"/>
          <w:szCs w:val="20"/>
          <w:lang w:val="en-US"/>
        </w:rPr>
        <w:t xml:space="preserve"> 99 at 121.</w:t>
      </w:r>
      <w:r>
        <w:rPr>
          <w:lang w:val="en-US"/>
        </w:rPr>
        <w:t xml:space="preserve"> </w:t>
      </w:r>
    </w:p>
  </w:footnote>
  <w:footnote w:id="13">
    <w:p w14:paraId="545556CC" w14:textId="0F668E2C" w:rsidR="00E01B0B" w:rsidRPr="00AB2564" w:rsidRDefault="00E01B0B" w:rsidP="006C301C">
      <w:pPr>
        <w:pStyle w:val="FootnoteText"/>
        <w:rPr>
          <w:lang w:val="en-US"/>
        </w:rPr>
      </w:pPr>
      <w:r w:rsidRPr="00AB2564">
        <w:rPr>
          <w:rStyle w:val="FootnoteReference"/>
        </w:rPr>
        <w:footnoteRef/>
      </w:r>
      <w:r w:rsidRPr="00AB2564">
        <w:t xml:space="preserve"> </w:t>
      </w:r>
      <w:r w:rsidRPr="00703D62">
        <w:rPr>
          <w:sz w:val="20"/>
          <w:szCs w:val="20"/>
        </w:rPr>
        <w:t xml:space="preserve">Freda </w:t>
      </w:r>
      <w:r w:rsidRPr="00703D62">
        <w:rPr>
          <w:sz w:val="20"/>
          <w:szCs w:val="20"/>
          <w:lang w:val="en-US"/>
        </w:rPr>
        <w:t xml:space="preserve">Vrantsidis, Briony Dow, Melanie Joosten, Mandy Walmsley &amp; Jenny Blakey, </w:t>
      </w:r>
      <w:r w:rsidRPr="00703D62">
        <w:rPr>
          <w:i/>
          <w:iCs/>
          <w:sz w:val="20"/>
          <w:szCs w:val="20"/>
          <w:lang w:val="en-US"/>
        </w:rPr>
        <w:t xml:space="preserve">The Older Person’s Experience: Outcomes of Interventions into Elder Abuse, </w:t>
      </w:r>
      <w:r w:rsidRPr="00703D62">
        <w:rPr>
          <w:sz w:val="20"/>
          <w:szCs w:val="20"/>
          <w:lang w:val="en-US"/>
        </w:rPr>
        <w:t>Lord Mayor’s Charitable Foundation, 2016. </w:t>
      </w:r>
    </w:p>
  </w:footnote>
  <w:footnote w:id="14">
    <w:p w14:paraId="72BCFDCE" w14:textId="561F03BE" w:rsidR="00E01B0B" w:rsidRPr="00941994" w:rsidRDefault="00E01B0B">
      <w:pPr>
        <w:pStyle w:val="FootnoteText"/>
        <w:rPr>
          <w:lang w:val="en-US"/>
        </w:rPr>
      </w:pPr>
      <w:r>
        <w:rPr>
          <w:rStyle w:val="FootnoteReference"/>
        </w:rPr>
        <w:footnoteRef/>
      </w:r>
      <w:r>
        <w:t xml:space="preserve"> </w:t>
      </w:r>
      <w:r w:rsidRPr="00A9232C">
        <w:rPr>
          <w:sz w:val="20"/>
          <w:szCs w:val="20"/>
          <w:lang w:val="en-US"/>
        </w:rPr>
        <w:t>Advocacy Tasmania, Annual Report 2014-15</w:t>
      </w:r>
      <w:r>
        <w:rPr>
          <w:sz w:val="20"/>
          <w:szCs w:val="20"/>
          <w:lang w:val="en-US"/>
        </w:rPr>
        <w:t xml:space="preserve"> at 12</w:t>
      </w:r>
      <w:r w:rsidRPr="00A9232C">
        <w:rPr>
          <w:sz w:val="20"/>
          <w:szCs w:val="20"/>
          <w:lang w:val="en-US"/>
        </w:rPr>
        <w:t>.</w:t>
      </w:r>
      <w:r>
        <w:rPr>
          <w:lang w:val="en-US"/>
        </w:rPr>
        <w:t xml:space="preserve">   </w:t>
      </w:r>
    </w:p>
  </w:footnote>
  <w:footnote w:id="15">
    <w:p w14:paraId="2A9F3218" w14:textId="48D1E5CF" w:rsidR="00E01B0B" w:rsidRPr="00D72AEF" w:rsidRDefault="00E01B0B">
      <w:pPr>
        <w:pStyle w:val="FootnoteText"/>
        <w:rPr>
          <w:lang w:val="en-US"/>
        </w:rPr>
      </w:pPr>
      <w:r>
        <w:rPr>
          <w:rStyle w:val="FootnoteReference"/>
        </w:rPr>
        <w:footnoteRef/>
      </w:r>
      <w:r>
        <w:t xml:space="preserve"> </w:t>
      </w:r>
      <w:r w:rsidRPr="0029255D">
        <w:rPr>
          <w:sz w:val="20"/>
          <w:szCs w:val="20"/>
        </w:rPr>
        <w:t xml:space="preserve">Tasmanian Law Reform Institute, </w:t>
      </w:r>
      <w:r w:rsidRPr="0029255D">
        <w:rPr>
          <w:i/>
          <w:sz w:val="20"/>
          <w:szCs w:val="20"/>
        </w:rPr>
        <w:t>Review of the Law relating to Self-Defence</w:t>
      </w:r>
      <w:r w:rsidRPr="0029255D">
        <w:rPr>
          <w:sz w:val="20"/>
          <w:szCs w:val="20"/>
        </w:rPr>
        <w:t>, Report No. 20 (October 2015).</w:t>
      </w:r>
      <w:r>
        <w:t xml:space="preserve">  </w:t>
      </w:r>
    </w:p>
  </w:footnote>
  <w:footnote w:id="16">
    <w:p w14:paraId="19BC9C26" w14:textId="77777777" w:rsidR="00E01B0B" w:rsidRPr="00B10735" w:rsidRDefault="00E01B0B" w:rsidP="006C118B">
      <w:pPr>
        <w:pStyle w:val="FootnoteText"/>
        <w:rPr>
          <w:lang w:val="en-US"/>
        </w:rPr>
      </w:pPr>
      <w:r w:rsidRPr="00B10735">
        <w:rPr>
          <w:rStyle w:val="FootnoteReference"/>
        </w:rPr>
        <w:footnoteRef/>
      </w:r>
      <w:r w:rsidRPr="00B10735">
        <w:t xml:space="preserve"> </w:t>
      </w:r>
      <w:r w:rsidRPr="00B10735">
        <w:rPr>
          <w:rFonts w:eastAsia="Times New Roman"/>
          <w:sz w:val="20"/>
          <w:szCs w:val="20"/>
        </w:rPr>
        <w:t>Victorian Law Reform Commission, Defences to Homicide: Final Report (2004) at [3.11].</w:t>
      </w:r>
    </w:p>
  </w:footnote>
  <w:footnote w:id="17">
    <w:p w14:paraId="73BF1E8A" w14:textId="77777777" w:rsidR="00E01B0B" w:rsidRPr="00B10735" w:rsidRDefault="00E01B0B" w:rsidP="006C118B">
      <w:pPr>
        <w:pStyle w:val="FootnoteText"/>
        <w:rPr>
          <w:lang w:val="en-US"/>
        </w:rPr>
      </w:pPr>
      <w:r w:rsidRPr="00B10735">
        <w:rPr>
          <w:rStyle w:val="FootnoteReference"/>
        </w:rPr>
        <w:footnoteRef/>
      </w:r>
      <w:r w:rsidRPr="00B10735">
        <w:t xml:space="preserve"> </w:t>
      </w:r>
      <w:r w:rsidRPr="00B10735">
        <w:rPr>
          <w:rFonts w:cs="Times"/>
          <w:sz w:val="20"/>
          <w:szCs w:val="20"/>
          <w:lang w:val="en-US"/>
        </w:rPr>
        <w:t xml:space="preserve">Sections 9AH and 322M of the </w:t>
      </w:r>
      <w:r w:rsidRPr="00B10735">
        <w:rPr>
          <w:rFonts w:cs="Times"/>
          <w:i/>
          <w:sz w:val="20"/>
          <w:szCs w:val="20"/>
          <w:lang w:val="en-US"/>
        </w:rPr>
        <w:t>Crimes Act 1958</w:t>
      </w:r>
      <w:r w:rsidRPr="00B10735">
        <w:rPr>
          <w:rFonts w:cs="Times"/>
          <w:sz w:val="20"/>
          <w:szCs w:val="20"/>
          <w:lang w:val="en-US"/>
        </w:rPr>
        <w:t xml:space="preserve"> (Vic). The Victorian provisions were also recommended in Australian Law Reform Commission and New South Wales Law Reform Commission, </w:t>
      </w:r>
      <w:r w:rsidRPr="00B10735">
        <w:rPr>
          <w:rFonts w:cs="Times"/>
          <w:i/>
          <w:sz w:val="20"/>
          <w:szCs w:val="20"/>
          <w:lang w:val="en-US"/>
        </w:rPr>
        <w:t>Family Violence – A National Legal Response</w:t>
      </w:r>
      <w:r w:rsidRPr="00B10735">
        <w:rPr>
          <w:rFonts w:cs="Times"/>
          <w:sz w:val="20"/>
          <w:szCs w:val="20"/>
          <w:lang w:val="en-US"/>
        </w:rPr>
        <w:t>, ALRC Final Report 114; NSWLRC Final Report 128 (2010) at [14.5]-[14.38].</w:t>
      </w:r>
    </w:p>
  </w:footnote>
  <w:footnote w:id="18">
    <w:p w14:paraId="07064BA1" w14:textId="7AD1E4B4" w:rsidR="00E01B0B" w:rsidRPr="0029255D" w:rsidRDefault="00E01B0B">
      <w:pPr>
        <w:pStyle w:val="FootnoteText"/>
        <w:rPr>
          <w:lang w:val="en-US"/>
        </w:rPr>
      </w:pPr>
      <w:r>
        <w:rPr>
          <w:rStyle w:val="FootnoteReference"/>
        </w:rPr>
        <w:footnoteRef/>
      </w:r>
      <w:r>
        <w:t xml:space="preserve"> </w:t>
      </w:r>
      <w:r w:rsidRPr="0029255D">
        <w:rPr>
          <w:sz w:val="20"/>
          <w:szCs w:val="20"/>
        </w:rPr>
        <w:t xml:space="preserve">Tasmanian Law Reform Institute, </w:t>
      </w:r>
      <w:r w:rsidRPr="0029255D">
        <w:rPr>
          <w:i/>
          <w:sz w:val="20"/>
          <w:szCs w:val="20"/>
        </w:rPr>
        <w:t>Review of the Law relating to Self-Defence</w:t>
      </w:r>
      <w:r w:rsidRPr="0029255D">
        <w:rPr>
          <w:sz w:val="20"/>
          <w:szCs w:val="20"/>
        </w:rPr>
        <w:t>, Report No. 20 (October 2015)</w:t>
      </w:r>
      <w:r>
        <w:rPr>
          <w:sz w:val="20"/>
          <w:szCs w:val="20"/>
        </w:rPr>
        <w:t xml:space="preserve"> at viii. </w:t>
      </w:r>
    </w:p>
  </w:footnote>
  <w:footnote w:id="19">
    <w:p w14:paraId="3A0949AB" w14:textId="38D3B725" w:rsidR="00E01B0B" w:rsidRPr="005E634D" w:rsidRDefault="00E01B0B">
      <w:pPr>
        <w:pStyle w:val="FootnoteText"/>
        <w:rPr>
          <w:lang w:val="en-US"/>
        </w:rPr>
      </w:pPr>
      <w:r>
        <w:rPr>
          <w:rStyle w:val="FootnoteReference"/>
        </w:rPr>
        <w:footnoteRef/>
      </w:r>
      <w:r>
        <w:t xml:space="preserve"> </w:t>
      </w:r>
      <w:r w:rsidRPr="005E634D">
        <w:rPr>
          <w:sz w:val="20"/>
          <w:szCs w:val="20"/>
          <w:lang w:val="en-US"/>
        </w:rPr>
        <w:t>Offences and orders that will not be disclosed under the NSW scheme include spent convictions and apprehended domestic violence orders.</w:t>
      </w:r>
    </w:p>
  </w:footnote>
  <w:footnote w:id="20">
    <w:p w14:paraId="0324AA84" w14:textId="20F6C5FE" w:rsidR="00E01B0B" w:rsidRPr="00C46CD9" w:rsidRDefault="00E01B0B" w:rsidP="008836AF">
      <w:pPr>
        <w:pStyle w:val="FootnoteText"/>
        <w:rPr>
          <w:lang w:val="en-US"/>
        </w:rPr>
      </w:pPr>
      <w:r>
        <w:rPr>
          <w:rStyle w:val="FootnoteReference"/>
        </w:rPr>
        <w:footnoteRef/>
      </w:r>
      <w:r>
        <w:t xml:space="preserve"> </w:t>
      </w:r>
      <w:r w:rsidRPr="00C301D3">
        <w:rPr>
          <w:sz w:val="20"/>
          <w:szCs w:val="20"/>
        </w:rPr>
        <w:t xml:space="preserve">Women’s Legal Service, </w:t>
      </w:r>
      <w:r>
        <w:rPr>
          <w:i/>
          <w:sz w:val="20"/>
          <w:szCs w:val="20"/>
          <w:lang w:val="en-US"/>
        </w:rPr>
        <w:t>Processes for family violence matters in the Magistrates Court: review and recommendations</w:t>
      </w:r>
      <w:r>
        <w:rPr>
          <w:sz w:val="20"/>
          <w:szCs w:val="20"/>
          <w:lang w:val="en-US"/>
        </w:rPr>
        <w:t xml:space="preserve"> (December 2014) at 19. </w:t>
      </w:r>
    </w:p>
  </w:footnote>
  <w:footnote w:id="21">
    <w:p w14:paraId="30AE351D" w14:textId="77777777" w:rsidR="00E01B0B" w:rsidRPr="00E50B0F" w:rsidRDefault="00E01B0B" w:rsidP="008836AF">
      <w:pPr>
        <w:pStyle w:val="FootnoteText"/>
        <w:rPr>
          <w:lang w:val="en-US"/>
        </w:rPr>
      </w:pPr>
      <w:r>
        <w:rPr>
          <w:rStyle w:val="FootnoteReference"/>
        </w:rPr>
        <w:footnoteRef/>
      </w:r>
      <w:r>
        <w:t xml:space="preserve"> </w:t>
      </w:r>
      <w:r w:rsidRPr="00E50B0F">
        <w:rPr>
          <w:sz w:val="20"/>
          <w:szCs w:val="20"/>
          <w:lang w:val="en-US"/>
        </w:rPr>
        <w:t xml:space="preserve">Sentencing Advisory Council, </w:t>
      </w:r>
      <w:r w:rsidRPr="00E50B0F">
        <w:rPr>
          <w:i/>
          <w:sz w:val="20"/>
          <w:szCs w:val="20"/>
          <w:lang w:val="en-US"/>
        </w:rPr>
        <w:t>Sentencing of Adult Family Violence Offenders</w:t>
      </w:r>
      <w:r w:rsidRPr="00E50B0F">
        <w:rPr>
          <w:sz w:val="20"/>
          <w:szCs w:val="20"/>
          <w:lang w:val="en-US"/>
        </w:rPr>
        <w:t xml:space="preserve"> (Final Report No. 5: October 2015) at 42.</w:t>
      </w:r>
    </w:p>
  </w:footnote>
  <w:footnote w:id="22">
    <w:p w14:paraId="263864FE" w14:textId="77777777" w:rsidR="00E01B0B" w:rsidRPr="005423E7" w:rsidRDefault="00E01B0B" w:rsidP="008836AF">
      <w:pPr>
        <w:pStyle w:val="FootnoteText"/>
        <w:rPr>
          <w:lang w:val="en-US"/>
        </w:rPr>
      </w:pPr>
      <w:r>
        <w:rPr>
          <w:rStyle w:val="FootnoteReference"/>
        </w:rPr>
        <w:footnoteRef/>
      </w:r>
      <w:r>
        <w:t xml:space="preserve"> </w:t>
      </w:r>
      <w:r w:rsidRPr="00E50B0F">
        <w:rPr>
          <w:sz w:val="20"/>
          <w:szCs w:val="20"/>
          <w:lang w:val="en-US"/>
        </w:rPr>
        <w:t xml:space="preserve">Sentencing Advisory Council, </w:t>
      </w:r>
      <w:r w:rsidRPr="00E50B0F">
        <w:rPr>
          <w:i/>
          <w:sz w:val="20"/>
          <w:szCs w:val="20"/>
          <w:lang w:val="en-US"/>
        </w:rPr>
        <w:t>Sentencing of Adult Family Violence Offenders</w:t>
      </w:r>
      <w:r w:rsidRPr="00E50B0F">
        <w:rPr>
          <w:sz w:val="20"/>
          <w:szCs w:val="20"/>
          <w:lang w:val="en-US"/>
        </w:rPr>
        <w:t xml:space="preserve"> (Final Report No. 5: October 2015) at 42.</w:t>
      </w:r>
      <w:r>
        <w:rPr>
          <w:lang w:val="en-US"/>
        </w:rPr>
        <w:t xml:space="preserve"> </w:t>
      </w:r>
    </w:p>
  </w:footnote>
  <w:footnote w:id="23">
    <w:p w14:paraId="5C872B61" w14:textId="77777777" w:rsidR="00E01B0B" w:rsidRPr="007120B4" w:rsidRDefault="00E01B0B" w:rsidP="008836AF">
      <w:pPr>
        <w:pStyle w:val="FootnoteText"/>
        <w:rPr>
          <w:lang w:val="en-US"/>
        </w:rPr>
      </w:pPr>
      <w:r>
        <w:rPr>
          <w:rStyle w:val="FootnoteReference"/>
        </w:rPr>
        <w:footnoteRef/>
      </w:r>
      <w:r>
        <w:t xml:space="preserve"> </w:t>
      </w:r>
      <w:r w:rsidRPr="000700FD">
        <w:rPr>
          <w:sz w:val="20"/>
          <w:szCs w:val="20"/>
        </w:rPr>
        <w:t xml:space="preserve">Currently, eligibility to the Court Mandated Diversion program is excluded for many family violence offenders: section 27B(1)(a)(ii) of the </w:t>
      </w:r>
      <w:r w:rsidRPr="000700FD">
        <w:rPr>
          <w:i/>
          <w:sz w:val="20"/>
          <w:szCs w:val="20"/>
        </w:rPr>
        <w:t>Sentencing Act 1997</w:t>
      </w:r>
      <w:r w:rsidRPr="000700FD">
        <w:rPr>
          <w:sz w:val="20"/>
          <w:szCs w:val="20"/>
        </w:rPr>
        <w:t xml:space="preserve"> (Tas).</w:t>
      </w:r>
      <w:r>
        <w:rPr>
          <w:sz w:val="20"/>
          <w:szCs w:val="20"/>
        </w:rPr>
        <w:t xml:space="preserve"> </w:t>
      </w:r>
    </w:p>
  </w:footnote>
  <w:footnote w:id="24">
    <w:p w14:paraId="4898108A" w14:textId="77777777" w:rsidR="00E01B0B" w:rsidRPr="00E21961" w:rsidRDefault="00E01B0B" w:rsidP="008836AF">
      <w:pPr>
        <w:pStyle w:val="FootnoteText"/>
        <w:rPr>
          <w:lang w:val="en-US"/>
        </w:rPr>
      </w:pPr>
      <w:r>
        <w:rPr>
          <w:rStyle w:val="FootnoteReference"/>
        </w:rPr>
        <w:footnoteRef/>
      </w:r>
      <w:r>
        <w:t xml:space="preserve"> </w:t>
      </w:r>
      <w:r w:rsidRPr="00E21961">
        <w:rPr>
          <w:sz w:val="20"/>
          <w:szCs w:val="20"/>
        </w:rPr>
        <w:t xml:space="preserve">Community Legal Centres Tasmania, </w:t>
      </w:r>
      <w:r w:rsidRPr="00710BE7">
        <w:rPr>
          <w:sz w:val="20"/>
          <w:szCs w:val="20"/>
        </w:rPr>
        <w:t>Submission to the</w:t>
      </w:r>
      <w:r w:rsidRPr="00E21961">
        <w:rPr>
          <w:i/>
          <w:sz w:val="20"/>
          <w:szCs w:val="20"/>
        </w:rPr>
        <w:t xml:space="preserve"> Sentencing Legislation Amendment Bill 2016 </w:t>
      </w:r>
      <w:r w:rsidRPr="00710BE7">
        <w:rPr>
          <w:sz w:val="20"/>
          <w:szCs w:val="20"/>
        </w:rPr>
        <w:t>(Tas)</w:t>
      </w:r>
      <w:r w:rsidRPr="00E21961">
        <w:rPr>
          <w:sz w:val="20"/>
          <w:szCs w:val="20"/>
        </w:rPr>
        <w:t xml:space="preserve"> (September 2016). As found at </w:t>
      </w:r>
      <w:hyperlink r:id="rId1" w:history="1">
        <w:r w:rsidRPr="00E21961">
          <w:rPr>
            <w:rStyle w:val="Hyperlink"/>
            <w:sz w:val="20"/>
            <w:szCs w:val="20"/>
          </w:rPr>
          <w:t>http://www.clctas.org.au/what/reform/</w:t>
        </w:r>
      </w:hyperlink>
      <w:r w:rsidRPr="00E21961">
        <w:rPr>
          <w:sz w:val="20"/>
          <w:szCs w:val="20"/>
        </w:rPr>
        <w:t xml:space="preserve"> (Accessed 31 January 2017).</w:t>
      </w:r>
      <w:r>
        <w:t xml:space="preserve"> </w:t>
      </w:r>
    </w:p>
  </w:footnote>
  <w:footnote w:id="25">
    <w:p w14:paraId="09EAE358" w14:textId="2313CA2E" w:rsidR="00E01B0B" w:rsidRPr="00A979CB" w:rsidRDefault="00E01B0B">
      <w:pPr>
        <w:pStyle w:val="FootnoteText"/>
        <w:rPr>
          <w:lang w:val="en-US"/>
        </w:rPr>
      </w:pPr>
      <w:r>
        <w:rPr>
          <w:rStyle w:val="FootnoteReference"/>
        </w:rPr>
        <w:footnoteRef/>
      </w:r>
      <w:r>
        <w:t xml:space="preserve"> </w:t>
      </w:r>
      <w:r w:rsidRPr="00A979CB">
        <w:rPr>
          <w:sz w:val="20"/>
          <w:szCs w:val="20"/>
          <w:lang w:val="en-US"/>
        </w:rPr>
        <w:t xml:space="preserve">Section 12 of the </w:t>
      </w:r>
      <w:r w:rsidRPr="00A979CB">
        <w:rPr>
          <w:i/>
          <w:sz w:val="20"/>
          <w:szCs w:val="20"/>
          <w:lang w:val="en-US"/>
        </w:rPr>
        <w:t>Family Violence Act 2004</w:t>
      </w:r>
      <w:r w:rsidRPr="00A979CB">
        <w:rPr>
          <w:sz w:val="20"/>
          <w:szCs w:val="20"/>
          <w:lang w:val="en-US"/>
        </w:rPr>
        <w:t xml:space="preserve"> (Tas).</w:t>
      </w:r>
      <w:r>
        <w:rPr>
          <w:lang w:val="en-US"/>
        </w:rPr>
        <w:t xml:space="preserve"> </w:t>
      </w:r>
    </w:p>
  </w:footnote>
  <w:footnote w:id="26">
    <w:p w14:paraId="0137BD47" w14:textId="357C82B1" w:rsidR="00E01B0B" w:rsidRPr="00A979CB" w:rsidRDefault="00E01B0B">
      <w:pPr>
        <w:pStyle w:val="FootnoteText"/>
        <w:rPr>
          <w:rFonts w:eastAsia="Times New Roman" w:cs="Times New Roman"/>
          <w:sz w:val="20"/>
          <w:szCs w:val="20"/>
        </w:rPr>
      </w:pPr>
      <w:r>
        <w:rPr>
          <w:rStyle w:val="FootnoteReference"/>
        </w:rPr>
        <w:footnoteRef/>
      </w:r>
      <w:r>
        <w:t xml:space="preserve"> </w:t>
      </w:r>
      <w:r w:rsidRPr="00A979CB">
        <w:rPr>
          <w:sz w:val="20"/>
          <w:szCs w:val="20"/>
          <w:lang w:val="en-US"/>
        </w:rPr>
        <w:t xml:space="preserve">See for example, </w:t>
      </w:r>
      <w:r w:rsidRPr="00A979CB">
        <w:rPr>
          <w:rFonts w:eastAsia="Times New Roman" w:cs="Times New Roman"/>
          <w:sz w:val="20"/>
          <w:szCs w:val="20"/>
        </w:rPr>
        <w:t xml:space="preserve">Consultation on the </w:t>
      </w:r>
      <w:r w:rsidRPr="00A979CB">
        <w:rPr>
          <w:rStyle w:val="Emphasis"/>
          <w:rFonts w:eastAsia="Times New Roman" w:cs="Times New Roman"/>
          <w:sz w:val="20"/>
          <w:szCs w:val="20"/>
        </w:rPr>
        <w:t xml:space="preserve">Sentencing Amendment (Assaults on Frontline Workers) Bill 2016 </w:t>
      </w:r>
      <w:r w:rsidRPr="00A979CB">
        <w:rPr>
          <w:rStyle w:val="Emphasis"/>
          <w:rFonts w:eastAsia="Times New Roman" w:cs="Times New Roman"/>
          <w:i w:val="0"/>
          <w:sz w:val="20"/>
          <w:szCs w:val="20"/>
        </w:rPr>
        <w:t>(Tas)</w:t>
      </w:r>
      <w:r w:rsidRPr="00A979CB">
        <w:rPr>
          <w:rStyle w:val="Emphasis"/>
          <w:rFonts w:eastAsia="Times New Roman" w:cs="Times New Roman"/>
          <w:sz w:val="20"/>
          <w:szCs w:val="20"/>
        </w:rPr>
        <w:t xml:space="preserve"> </w:t>
      </w:r>
      <w:r w:rsidRPr="00A979CB">
        <w:rPr>
          <w:rFonts w:eastAsia="Times New Roman" w:cs="Times New Roman"/>
          <w:sz w:val="20"/>
          <w:szCs w:val="20"/>
        </w:rPr>
        <w:t xml:space="preserve">(October 2016); Comment on the </w:t>
      </w:r>
      <w:r w:rsidRPr="00A979CB">
        <w:rPr>
          <w:rStyle w:val="Emphasis"/>
          <w:rFonts w:eastAsia="Times New Roman" w:cs="Times New Roman"/>
          <w:sz w:val="20"/>
          <w:szCs w:val="20"/>
        </w:rPr>
        <w:t>Firearms (Miscellaneous Amendments) Bill 2015</w:t>
      </w:r>
      <w:r w:rsidRPr="00A979CB">
        <w:rPr>
          <w:rFonts w:eastAsia="Times New Roman" w:cs="Times New Roman"/>
          <w:sz w:val="20"/>
          <w:szCs w:val="20"/>
        </w:rPr>
        <w:t xml:space="preserve"> (April 2015); Consultation on the </w:t>
      </w:r>
      <w:r w:rsidRPr="00A979CB">
        <w:rPr>
          <w:rFonts w:eastAsia="Times New Roman" w:cs="Times New Roman"/>
          <w:i/>
          <w:sz w:val="20"/>
          <w:szCs w:val="20"/>
        </w:rPr>
        <w:t>Workplace (Protection from Protesters) Bill 2014</w:t>
      </w:r>
      <w:r w:rsidRPr="00A979CB">
        <w:rPr>
          <w:rFonts w:eastAsia="Times New Roman" w:cs="Times New Roman"/>
          <w:sz w:val="20"/>
          <w:szCs w:val="20"/>
        </w:rPr>
        <w:t xml:space="preserve"> (November 2014); Consultation into </w:t>
      </w:r>
      <w:r w:rsidRPr="00A979CB">
        <w:rPr>
          <w:rStyle w:val="Emphasis"/>
          <w:rFonts w:eastAsia="Times New Roman" w:cs="Times New Roman"/>
          <w:sz w:val="20"/>
          <w:szCs w:val="20"/>
        </w:rPr>
        <w:t>Sex Offence Sentencing</w:t>
      </w:r>
      <w:r w:rsidRPr="00A979CB">
        <w:rPr>
          <w:rFonts w:eastAsia="Times New Roman" w:cs="Times New Roman"/>
          <w:sz w:val="20"/>
          <w:szCs w:val="20"/>
        </w:rPr>
        <w:t xml:space="preserve"> (June 2013); Consultation into </w:t>
      </w:r>
      <w:r w:rsidRPr="00A979CB">
        <w:rPr>
          <w:rFonts w:eastAsia="Times New Roman" w:cs="Times New Roman"/>
          <w:i/>
          <w:sz w:val="20"/>
          <w:szCs w:val="20"/>
        </w:rPr>
        <w:t>Sentencing of Assaults against Emergency Service Workers</w:t>
      </w:r>
      <w:r w:rsidRPr="00A979CB">
        <w:rPr>
          <w:rFonts w:eastAsia="Times New Roman" w:cs="Times New Roman"/>
          <w:sz w:val="20"/>
          <w:szCs w:val="20"/>
        </w:rPr>
        <w:t xml:space="preserve"> (August 2012).</w:t>
      </w:r>
    </w:p>
  </w:footnote>
  <w:footnote w:id="27">
    <w:p w14:paraId="10261103" w14:textId="063A2819" w:rsidR="00E01B0B" w:rsidRPr="00710BE7" w:rsidRDefault="00E01B0B">
      <w:pPr>
        <w:pStyle w:val="FootnoteText"/>
        <w:rPr>
          <w:lang w:val="en-US"/>
        </w:rPr>
      </w:pPr>
      <w:r>
        <w:rPr>
          <w:rStyle w:val="FootnoteReference"/>
        </w:rPr>
        <w:footnoteRef/>
      </w:r>
      <w:r>
        <w:t xml:space="preserve"> </w:t>
      </w:r>
      <w:r w:rsidRPr="00B467A0">
        <w:rPr>
          <w:sz w:val="20"/>
          <w:szCs w:val="20"/>
        </w:rPr>
        <w:t xml:space="preserve">Community Legal Centres Tasmania, </w:t>
      </w:r>
      <w:r w:rsidRPr="00B467A0">
        <w:rPr>
          <w:rFonts w:eastAsia="Times New Roman" w:cs="Times New Roman"/>
          <w:sz w:val="20"/>
          <w:szCs w:val="20"/>
        </w:rPr>
        <w:t xml:space="preserve">Comment on the </w:t>
      </w:r>
      <w:r w:rsidRPr="00B467A0">
        <w:rPr>
          <w:rStyle w:val="Emphasis"/>
          <w:rFonts w:eastAsia="Times New Roman" w:cs="Times New Roman"/>
          <w:sz w:val="20"/>
          <w:szCs w:val="20"/>
        </w:rPr>
        <w:t>Firearms (Miscellaneous Amendments) Bill 2015</w:t>
      </w:r>
      <w:r w:rsidRPr="00B467A0">
        <w:rPr>
          <w:rFonts w:eastAsia="Times New Roman" w:cs="Times New Roman"/>
          <w:sz w:val="20"/>
          <w:szCs w:val="20"/>
        </w:rPr>
        <w:t xml:space="preserve"> (April 2015)</w:t>
      </w:r>
      <w:r w:rsidRPr="00B467A0">
        <w:rPr>
          <w:sz w:val="20"/>
          <w:szCs w:val="20"/>
        </w:rPr>
        <w:t>.</w:t>
      </w:r>
      <w:r>
        <w:rPr>
          <w:sz w:val="20"/>
          <w:szCs w:val="20"/>
        </w:rPr>
        <w:t xml:space="preserve"> </w:t>
      </w:r>
      <w:r w:rsidRPr="00E21961">
        <w:rPr>
          <w:sz w:val="20"/>
          <w:szCs w:val="20"/>
        </w:rPr>
        <w:t xml:space="preserve">As found at </w:t>
      </w:r>
      <w:hyperlink r:id="rId2" w:history="1">
        <w:r w:rsidRPr="00E21961">
          <w:rPr>
            <w:rStyle w:val="Hyperlink"/>
            <w:sz w:val="20"/>
            <w:szCs w:val="20"/>
          </w:rPr>
          <w:t>http://www.clctas.org.au/what/reform/</w:t>
        </w:r>
      </w:hyperlink>
      <w:r w:rsidRPr="00E21961">
        <w:rPr>
          <w:sz w:val="20"/>
          <w:szCs w:val="20"/>
        </w:rPr>
        <w:t xml:space="preserve"> (Accessed 31 January 2017).</w:t>
      </w:r>
    </w:p>
  </w:footnote>
  <w:footnote w:id="28">
    <w:p w14:paraId="3E5B1C68" w14:textId="25B8A871" w:rsidR="00E01B0B" w:rsidRPr="00644C29" w:rsidRDefault="00E01B0B" w:rsidP="00195298">
      <w:pPr>
        <w:rPr>
          <w:sz w:val="22"/>
          <w:szCs w:val="22"/>
        </w:rPr>
      </w:pPr>
      <w:r w:rsidRPr="00644C29">
        <w:rPr>
          <w:rStyle w:val="FootnoteReference"/>
          <w:sz w:val="22"/>
          <w:szCs w:val="22"/>
        </w:rPr>
        <w:footnoteRef/>
      </w:r>
      <w:r w:rsidRPr="00644C29">
        <w:rPr>
          <w:sz w:val="22"/>
          <w:szCs w:val="22"/>
        </w:rPr>
        <w:t xml:space="preserve"> </w:t>
      </w:r>
      <w:r>
        <w:rPr>
          <w:sz w:val="20"/>
          <w:szCs w:val="20"/>
        </w:rPr>
        <w:t xml:space="preserve">Dato’ Param Cumaraswamy, </w:t>
      </w:r>
      <w:r w:rsidRPr="00A10237">
        <w:rPr>
          <w:sz w:val="20"/>
          <w:szCs w:val="20"/>
        </w:rPr>
        <w:t>Mandatory sentencing: the indi</w:t>
      </w:r>
      <w:r>
        <w:rPr>
          <w:sz w:val="20"/>
          <w:szCs w:val="20"/>
        </w:rPr>
        <w:t xml:space="preserve">vidual and social costs </w:t>
      </w:r>
      <w:r w:rsidRPr="00A10237">
        <w:rPr>
          <w:sz w:val="20"/>
          <w:szCs w:val="20"/>
        </w:rPr>
        <w:t xml:space="preserve">(2011) 7(2) </w:t>
      </w:r>
      <w:r w:rsidRPr="00A10237">
        <w:rPr>
          <w:i/>
          <w:sz w:val="20"/>
          <w:szCs w:val="20"/>
        </w:rPr>
        <w:t>Australian Journal of Human Rights</w:t>
      </w:r>
      <w:r w:rsidRPr="00A10237">
        <w:rPr>
          <w:sz w:val="20"/>
          <w:szCs w:val="20"/>
        </w:rPr>
        <w:t>.</w:t>
      </w:r>
    </w:p>
  </w:footnote>
  <w:footnote w:id="29">
    <w:p w14:paraId="485D9840" w14:textId="307E5844" w:rsidR="00E01B0B" w:rsidRPr="00644C29" w:rsidRDefault="00E01B0B" w:rsidP="00195298">
      <w:pPr>
        <w:pStyle w:val="FootnoteText"/>
        <w:rPr>
          <w:sz w:val="22"/>
          <w:szCs w:val="22"/>
        </w:rPr>
      </w:pPr>
      <w:r w:rsidRPr="00644C29">
        <w:rPr>
          <w:rStyle w:val="FootnoteReference"/>
          <w:sz w:val="22"/>
          <w:szCs w:val="22"/>
        </w:rPr>
        <w:footnoteRef/>
      </w:r>
      <w:r w:rsidRPr="00644C29">
        <w:rPr>
          <w:sz w:val="22"/>
          <w:szCs w:val="22"/>
        </w:rPr>
        <w:t xml:space="preserve"> </w:t>
      </w:r>
      <w:r w:rsidRPr="00A10237">
        <w:rPr>
          <w:rFonts w:cs="Times"/>
          <w:sz w:val="20"/>
          <w:szCs w:val="20"/>
        </w:rPr>
        <w:t>Sentencing Advisory Council, Does Imprisonment Deter? A Review of the Evidence,</w:t>
      </w:r>
      <w:r>
        <w:rPr>
          <w:rFonts w:cs="Times"/>
          <w:sz w:val="20"/>
          <w:szCs w:val="20"/>
        </w:rPr>
        <w:t xml:space="preserve"> (April 2011: Melbourne, 14, 16</w:t>
      </w:r>
      <w:r w:rsidRPr="00A10237">
        <w:rPr>
          <w:rFonts w:cs="Times"/>
          <w:sz w:val="20"/>
          <w:szCs w:val="20"/>
        </w:rPr>
        <w:t>.</w:t>
      </w:r>
    </w:p>
  </w:footnote>
  <w:footnote w:id="30">
    <w:p w14:paraId="49A69A41" w14:textId="77777777" w:rsidR="00E01B0B" w:rsidRPr="00644C29" w:rsidRDefault="00E01B0B" w:rsidP="00195298">
      <w:pPr>
        <w:pStyle w:val="FootnoteText"/>
        <w:rPr>
          <w:sz w:val="22"/>
          <w:szCs w:val="22"/>
        </w:rPr>
      </w:pPr>
      <w:r w:rsidRPr="00644C29">
        <w:rPr>
          <w:rStyle w:val="FootnoteReference"/>
          <w:sz w:val="22"/>
          <w:szCs w:val="22"/>
        </w:rPr>
        <w:footnoteRef/>
      </w:r>
      <w:r w:rsidRPr="00644C29">
        <w:rPr>
          <w:sz w:val="22"/>
          <w:szCs w:val="22"/>
        </w:rPr>
        <w:t xml:space="preserve"> </w:t>
      </w:r>
      <w:r w:rsidRPr="00BB7307">
        <w:rPr>
          <w:sz w:val="20"/>
          <w:szCs w:val="20"/>
        </w:rPr>
        <w:t>Queensland Law Society, ‘Mandatory sentencing laws policy position’ (2014) 1.</w:t>
      </w:r>
    </w:p>
  </w:footnote>
  <w:footnote w:id="31">
    <w:p w14:paraId="177882A3" w14:textId="77777777" w:rsidR="00E01B0B" w:rsidRPr="00644C29" w:rsidRDefault="00E01B0B" w:rsidP="00195298">
      <w:pPr>
        <w:pStyle w:val="FootnoteText"/>
        <w:rPr>
          <w:sz w:val="22"/>
          <w:szCs w:val="22"/>
        </w:rPr>
      </w:pPr>
      <w:r w:rsidRPr="00644C29">
        <w:rPr>
          <w:rStyle w:val="FootnoteReference"/>
          <w:sz w:val="22"/>
          <w:szCs w:val="22"/>
        </w:rPr>
        <w:footnoteRef/>
      </w:r>
      <w:r>
        <w:rPr>
          <w:sz w:val="22"/>
          <w:szCs w:val="22"/>
        </w:rPr>
        <w:t xml:space="preserve"> </w:t>
      </w:r>
      <w:r w:rsidRPr="00BB7307">
        <w:rPr>
          <w:sz w:val="20"/>
          <w:szCs w:val="20"/>
        </w:rPr>
        <w:t>Queensland Law Society, ‘Mandatory sentencing laws policy position’ (2014) 1.</w:t>
      </w:r>
    </w:p>
  </w:footnote>
  <w:footnote w:id="32">
    <w:p w14:paraId="5F228B75" w14:textId="77777777" w:rsidR="00E01B0B" w:rsidRPr="001F2D43" w:rsidRDefault="00E01B0B" w:rsidP="008836AF">
      <w:pPr>
        <w:pStyle w:val="FootnoteText"/>
        <w:rPr>
          <w:lang w:val="en-US"/>
        </w:rPr>
      </w:pPr>
      <w:r>
        <w:rPr>
          <w:rStyle w:val="FootnoteReference"/>
        </w:rPr>
        <w:footnoteRef/>
      </w:r>
      <w:r>
        <w:t xml:space="preserve"> </w:t>
      </w:r>
      <w:r w:rsidRPr="001F2D43">
        <w:rPr>
          <w:sz w:val="20"/>
          <w:szCs w:val="20"/>
          <w:lang w:val="en-US"/>
        </w:rPr>
        <w:t xml:space="preserve">Section 17 of the </w:t>
      </w:r>
      <w:r w:rsidRPr="001F2D43">
        <w:rPr>
          <w:i/>
          <w:sz w:val="20"/>
          <w:szCs w:val="20"/>
          <w:lang w:val="en-US"/>
        </w:rPr>
        <w:t>Family Violence Act 2004</w:t>
      </w:r>
      <w:r w:rsidRPr="001F2D43">
        <w:rPr>
          <w:sz w:val="20"/>
          <w:szCs w:val="20"/>
          <w:lang w:val="en-US"/>
        </w:rPr>
        <w:t xml:space="preserve"> (Tas).</w:t>
      </w:r>
      <w:r>
        <w:rPr>
          <w:lang w:val="en-US"/>
        </w:rPr>
        <w:t xml:space="preserve"> </w:t>
      </w:r>
    </w:p>
  </w:footnote>
  <w:footnote w:id="33">
    <w:p w14:paraId="4B4CEFBB" w14:textId="77777777" w:rsidR="00E01B0B" w:rsidRPr="00810690" w:rsidRDefault="00E01B0B" w:rsidP="008836AF">
      <w:pPr>
        <w:pStyle w:val="FootnoteText"/>
        <w:rPr>
          <w:lang w:val="en-US"/>
        </w:rPr>
      </w:pPr>
      <w:r>
        <w:rPr>
          <w:rStyle w:val="FootnoteReference"/>
        </w:rPr>
        <w:footnoteRef/>
      </w:r>
      <w:r>
        <w:t xml:space="preserve"> </w:t>
      </w:r>
      <w:r w:rsidRPr="005A5E9F">
        <w:rPr>
          <w:sz w:val="20"/>
          <w:szCs w:val="20"/>
          <w:lang w:val="en-US"/>
        </w:rPr>
        <w:t xml:space="preserve">Section 102 of the </w:t>
      </w:r>
      <w:r w:rsidRPr="005A5E9F">
        <w:rPr>
          <w:i/>
          <w:sz w:val="20"/>
          <w:szCs w:val="20"/>
          <w:lang w:val="en-US"/>
        </w:rPr>
        <w:t>Residential Tenancies Act 2010</w:t>
      </w:r>
      <w:r w:rsidRPr="005A5E9F">
        <w:rPr>
          <w:sz w:val="20"/>
          <w:szCs w:val="20"/>
          <w:lang w:val="en-US"/>
        </w:rPr>
        <w:t xml:space="preserve"> (NSW). See also section 44 of the </w:t>
      </w:r>
      <w:r w:rsidRPr="005A5E9F">
        <w:rPr>
          <w:i/>
          <w:sz w:val="20"/>
          <w:szCs w:val="20"/>
          <w:lang w:val="en-US"/>
        </w:rPr>
        <w:t>Residential Tenancies Act 1997</w:t>
      </w:r>
      <w:r w:rsidRPr="005A5E9F">
        <w:rPr>
          <w:sz w:val="20"/>
          <w:szCs w:val="20"/>
          <w:lang w:val="en-US"/>
        </w:rPr>
        <w:t xml:space="preserve"> (ACT).</w:t>
      </w:r>
      <w:r>
        <w:rPr>
          <w:lang w:val="en-US"/>
        </w:rPr>
        <w:t xml:space="preserve"> </w:t>
      </w:r>
    </w:p>
  </w:footnote>
  <w:footnote w:id="34">
    <w:p w14:paraId="6195A5CF" w14:textId="77777777" w:rsidR="00E01B0B" w:rsidRPr="00F533A9" w:rsidRDefault="00E01B0B" w:rsidP="008836AF">
      <w:pPr>
        <w:pStyle w:val="FootnoteText"/>
        <w:rPr>
          <w:lang w:val="en-US"/>
        </w:rPr>
      </w:pPr>
      <w:r>
        <w:rPr>
          <w:rStyle w:val="FootnoteReference"/>
        </w:rPr>
        <w:footnoteRef/>
      </w:r>
      <w:r>
        <w:t xml:space="preserve"> </w:t>
      </w:r>
      <w:r w:rsidRPr="00F533A9">
        <w:rPr>
          <w:sz w:val="20"/>
          <w:szCs w:val="20"/>
          <w:lang w:val="en-US"/>
        </w:rPr>
        <w:t xml:space="preserve">Section 41 of the </w:t>
      </w:r>
      <w:r w:rsidRPr="00F533A9">
        <w:rPr>
          <w:i/>
          <w:sz w:val="20"/>
          <w:szCs w:val="20"/>
          <w:lang w:val="en-US"/>
        </w:rPr>
        <w:t>Residential Tenancy Act 1997</w:t>
      </w:r>
      <w:r w:rsidRPr="00F533A9">
        <w:rPr>
          <w:sz w:val="20"/>
          <w:szCs w:val="20"/>
          <w:lang w:val="en-US"/>
        </w:rPr>
        <w:t xml:space="preserve"> (Tas).</w:t>
      </w:r>
      <w:r>
        <w:rPr>
          <w:lang w:val="en-US"/>
        </w:rPr>
        <w:t xml:space="preserve"> </w:t>
      </w:r>
    </w:p>
  </w:footnote>
  <w:footnote w:id="35">
    <w:p w14:paraId="4506DDFA" w14:textId="77777777" w:rsidR="00E01B0B" w:rsidRPr="00C165CC" w:rsidRDefault="00E01B0B" w:rsidP="008836AF">
      <w:pPr>
        <w:pStyle w:val="FootnoteText"/>
        <w:rPr>
          <w:lang w:val="en-US"/>
        </w:rPr>
      </w:pPr>
      <w:r>
        <w:rPr>
          <w:rStyle w:val="FootnoteReference"/>
        </w:rPr>
        <w:footnoteRef/>
      </w:r>
      <w:r>
        <w:t xml:space="preserve"> </w:t>
      </w:r>
      <w:r>
        <w:rPr>
          <w:sz w:val="20"/>
          <w:szCs w:val="20"/>
          <w:lang w:val="en-US"/>
        </w:rPr>
        <w:t>Section 59</w:t>
      </w:r>
      <w:r w:rsidRPr="00F533A9">
        <w:rPr>
          <w:sz w:val="20"/>
          <w:szCs w:val="20"/>
          <w:lang w:val="en-US"/>
        </w:rPr>
        <w:t xml:space="preserve"> of the </w:t>
      </w:r>
      <w:r w:rsidRPr="00F533A9">
        <w:rPr>
          <w:i/>
          <w:sz w:val="20"/>
          <w:szCs w:val="20"/>
          <w:lang w:val="en-US"/>
        </w:rPr>
        <w:t>Residential Tenancy Act 1997</w:t>
      </w:r>
      <w:r w:rsidRPr="00F533A9">
        <w:rPr>
          <w:sz w:val="20"/>
          <w:szCs w:val="20"/>
          <w:lang w:val="en-US"/>
        </w:rPr>
        <w:t xml:space="preserve"> (Tas).</w:t>
      </w:r>
    </w:p>
  </w:footnote>
  <w:footnote w:id="36">
    <w:p w14:paraId="337E8940" w14:textId="77777777" w:rsidR="00E01B0B" w:rsidRPr="008C572D" w:rsidRDefault="00E01B0B" w:rsidP="008836AF">
      <w:pPr>
        <w:pStyle w:val="FootnoteText"/>
        <w:rPr>
          <w:lang w:val="en-US"/>
        </w:rPr>
      </w:pPr>
      <w:r>
        <w:rPr>
          <w:rStyle w:val="FootnoteReference"/>
        </w:rPr>
        <w:footnoteRef/>
      </w:r>
      <w:r>
        <w:t xml:space="preserve"> </w:t>
      </w:r>
      <w:r w:rsidRPr="008C572D">
        <w:rPr>
          <w:sz w:val="20"/>
          <w:szCs w:val="20"/>
          <w:lang w:val="en-US"/>
        </w:rPr>
        <w:t xml:space="preserve">This would bring Tasmania into line with other jurisdictions including </w:t>
      </w:r>
      <w:r>
        <w:rPr>
          <w:sz w:val="20"/>
          <w:szCs w:val="20"/>
          <w:lang w:val="en-US"/>
        </w:rPr>
        <w:t xml:space="preserve">section 233C of the </w:t>
      </w:r>
      <w:r w:rsidRPr="002A0465">
        <w:rPr>
          <w:i/>
          <w:sz w:val="20"/>
          <w:szCs w:val="20"/>
          <w:lang w:val="en-US"/>
        </w:rPr>
        <w:t>Residential Tenancies Act 1997</w:t>
      </w:r>
      <w:r>
        <w:rPr>
          <w:sz w:val="20"/>
          <w:szCs w:val="20"/>
          <w:lang w:val="en-US"/>
        </w:rPr>
        <w:t xml:space="preserve"> (Vic) and </w:t>
      </w:r>
      <w:r w:rsidRPr="008C572D">
        <w:rPr>
          <w:sz w:val="20"/>
          <w:szCs w:val="20"/>
          <w:lang w:val="en-US"/>
        </w:rPr>
        <w:t xml:space="preserve">section 89A(11) of the </w:t>
      </w:r>
      <w:r w:rsidRPr="008C572D">
        <w:rPr>
          <w:i/>
          <w:sz w:val="20"/>
          <w:szCs w:val="20"/>
          <w:lang w:val="en-US"/>
        </w:rPr>
        <w:t>Residential Tenancies Act 1995</w:t>
      </w:r>
      <w:r>
        <w:rPr>
          <w:sz w:val="20"/>
          <w:szCs w:val="20"/>
          <w:lang w:val="en-US"/>
        </w:rPr>
        <w:t xml:space="preserve"> (SA). </w:t>
      </w:r>
      <w:r w:rsidRPr="008C572D">
        <w:rPr>
          <w:sz w:val="20"/>
          <w:szCs w:val="20"/>
          <w:lang w:val="en-US"/>
        </w:rPr>
        <w:t xml:space="preserve"> </w:t>
      </w:r>
      <w:r>
        <w:rPr>
          <w:sz w:val="20"/>
          <w:szCs w:val="20"/>
          <w:lang w:val="en-US"/>
        </w:rPr>
        <w:t xml:space="preserve">The </w:t>
      </w:r>
      <w:r w:rsidRPr="008C572D">
        <w:rPr>
          <w:sz w:val="20"/>
          <w:szCs w:val="20"/>
          <w:lang w:val="en-US"/>
        </w:rPr>
        <w:t xml:space="preserve">New South Wales </w:t>
      </w:r>
      <w:r>
        <w:rPr>
          <w:sz w:val="20"/>
          <w:szCs w:val="20"/>
          <w:lang w:val="en-US"/>
        </w:rPr>
        <w:t xml:space="preserve">Government </w:t>
      </w:r>
      <w:r w:rsidRPr="008C572D">
        <w:rPr>
          <w:sz w:val="20"/>
          <w:szCs w:val="20"/>
          <w:lang w:val="en-US"/>
        </w:rPr>
        <w:t xml:space="preserve">has also recently recommended that a like provision be introduced, see Lucy Cormack, </w:t>
      </w:r>
      <w:r>
        <w:rPr>
          <w:sz w:val="20"/>
          <w:szCs w:val="20"/>
          <w:lang w:val="en-US"/>
        </w:rPr>
        <w:t>‘</w:t>
      </w:r>
      <w:r w:rsidRPr="008C572D">
        <w:rPr>
          <w:sz w:val="20"/>
          <w:szCs w:val="20"/>
          <w:lang w:val="en-US"/>
        </w:rPr>
        <w:t>Domestic violence victims given the power to terminate rental contracts early</w:t>
      </w:r>
      <w:r>
        <w:rPr>
          <w:sz w:val="20"/>
          <w:szCs w:val="20"/>
          <w:lang w:val="en-US"/>
        </w:rPr>
        <w:t>’</w:t>
      </w:r>
      <w:r w:rsidRPr="008C572D">
        <w:rPr>
          <w:sz w:val="20"/>
          <w:szCs w:val="20"/>
          <w:lang w:val="en-US"/>
        </w:rPr>
        <w:t xml:space="preserve">, </w:t>
      </w:r>
      <w:r w:rsidRPr="008C572D">
        <w:rPr>
          <w:i/>
          <w:sz w:val="20"/>
          <w:szCs w:val="20"/>
          <w:lang w:val="en-US"/>
        </w:rPr>
        <w:t>Sydney Morning Herald</w:t>
      </w:r>
      <w:r w:rsidRPr="008C572D">
        <w:rPr>
          <w:sz w:val="20"/>
          <w:szCs w:val="20"/>
          <w:lang w:val="en-US"/>
        </w:rPr>
        <w:t xml:space="preserve">, 5 July 2016. As found at </w:t>
      </w:r>
      <w:hyperlink r:id="rId3" w:history="1">
        <w:r w:rsidRPr="008C572D">
          <w:rPr>
            <w:rStyle w:val="Hyperlink"/>
            <w:sz w:val="20"/>
            <w:szCs w:val="20"/>
            <w:lang w:val="en-US"/>
          </w:rPr>
          <w:t>http://www.smh.com.au/business/consumer-affairs/domestic-violence-victims-given-the-power-to-terminate-rental-contracts-early-20160704-gpy1ky.html</w:t>
        </w:r>
      </w:hyperlink>
      <w:r w:rsidRPr="008C572D">
        <w:rPr>
          <w:sz w:val="20"/>
          <w:szCs w:val="20"/>
          <w:lang w:val="en-US"/>
        </w:rPr>
        <w:t xml:space="preserve"> (Accessed 30 January 2017).</w:t>
      </w:r>
      <w:r>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4B55460"/>
    <w:multiLevelType w:val="hybridMultilevel"/>
    <w:tmpl w:val="3BFE0B80"/>
    <w:lvl w:ilvl="0" w:tplc="A8A8CF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6485E"/>
    <w:multiLevelType w:val="hybridMultilevel"/>
    <w:tmpl w:val="3BFE0B80"/>
    <w:lvl w:ilvl="0" w:tplc="A8A8CFC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B0502B"/>
    <w:multiLevelType w:val="hybridMultilevel"/>
    <w:tmpl w:val="A1FCBF2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380"/>
    <w:rsid w:val="00006992"/>
    <w:rsid w:val="0003691B"/>
    <w:rsid w:val="0006067B"/>
    <w:rsid w:val="0006641F"/>
    <w:rsid w:val="000700FD"/>
    <w:rsid w:val="00074260"/>
    <w:rsid w:val="00076909"/>
    <w:rsid w:val="00086A32"/>
    <w:rsid w:val="00092296"/>
    <w:rsid w:val="000A3753"/>
    <w:rsid w:val="000B4B74"/>
    <w:rsid w:val="000B5C2A"/>
    <w:rsid w:val="000D3DB1"/>
    <w:rsid w:val="00114B0B"/>
    <w:rsid w:val="0012123E"/>
    <w:rsid w:val="001233A0"/>
    <w:rsid w:val="001376D5"/>
    <w:rsid w:val="0013771C"/>
    <w:rsid w:val="001430CF"/>
    <w:rsid w:val="001446F2"/>
    <w:rsid w:val="0015138F"/>
    <w:rsid w:val="001872FF"/>
    <w:rsid w:val="00195298"/>
    <w:rsid w:val="001A1526"/>
    <w:rsid w:val="001C2831"/>
    <w:rsid w:val="001C33FC"/>
    <w:rsid w:val="001D62EC"/>
    <w:rsid w:val="001E3B18"/>
    <w:rsid w:val="00200CDB"/>
    <w:rsid w:val="00202B1E"/>
    <w:rsid w:val="002052E6"/>
    <w:rsid w:val="00225716"/>
    <w:rsid w:val="0025774B"/>
    <w:rsid w:val="00280C73"/>
    <w:rsid w:val="0029255D"/>
    <w:rsid w:val="002A0465"/>
    <w:rsid w:val="002B15C5"/>
    <w:rsid w:val="002B510A"/>
    <w:rsid w:val="002D3858"/>
    <w:rsid w:val="002E25FD"/>
    <w:rsid w:val="002F3196"/>
    <w:rsid w:val="00321571"/>
    <w:rsid w:val="0036417A"/>
    <w:rsid w:val="00366432"/>
    <w:rsid w:val="003835BC"/>
    <w:rsid w:val="003842C0"/>
    <w:rsid w:val="003C04AD"/>
    <w:rsid w:val="003D7B8F"/>
    <w:rsid w:val="003E3EBF"/>
    <w:rsid w:val="00423B32"/>
    <w:rsid w:val="004A2D06"/>
    <w:rsid w:val="004C0469"/>
    <w:rsid w:val="004E2847"/>
    <w:rsid w:val="00524F7E"/>
    <w:rsid w:val="005423E7"/>
    <w:rsid w:val="00582292"/>
    <w:rsid w:val="005A5E9F"/>
    <w:rsid w:val="005B095F"/>
    <w:rsid w:val="005D0083"/>
    <w:rsid w:val="005D2380"/>
    <w:rsid w:val="005E634D"/>
    <w:rsid w:val="00606436"/>
    <w:rsid w:val="0062573D"/>
    <w:rsid w:val="00660EA1"/>
    <w:rsid w:val="006B43EF"/>
    <w:rsid w:val="006C017D"/>
    <w:rsid w:val="006C118B"/>
    <w:rsid w:val="006C301C"/>
    <w:rsid w:val="00703D62"/>
    <w:rsid w:val="00710BE7"/>
    <w:rsid w:val="007120B4"/>
    <w:rsid w:val="007127F1"/>
    <w:rsid w:val="00717072"/>
    <w:rsid w:val="0074566D"/>
    <w:rsid w:val="007545D7"/>
    <w:rsid w:val="007563A2"/>
    <w:rsid w:val="00757D37"/>
    <w:rsid w:val="0079063B"/>
    <w:rsid w:val="007916CC"/>
    <w:rsid w:val="007B6DA3"/>
    <w:rsid w:val="008016C6"/>
    <w:rsid w:val="00802F6D"/>
    <w:rsid w:val="00810690"/>
    <w:rsid w:val="00841F35"/>
    <w:rsid w:val="008534F8"/>
    <w:rsid w:val="00872640"/>
    <w:rsid w:val="008836AF"/>
    <w:rsid w:val="00886214"/>
    <w:rsid w:val="008A6742"/>
    <w:rsid w:val="008A7E6E"/>
    <w:rsid w:val="008B1E75"/>
    <w:rsid w:val="008C572D"/>
    <w:rsid w:val="008D3B87"/>
    <w:rsid w:val="008F1B7F"/>
    <w:rsid w:val="00903340"/>
    <w:rsid w:val="00941994"/>
    <w:rsid w:val="00950BEE"/>
    <w:rsid w:val="009743A9"/>
    <w:rsid w:val="00993C19"/>
    <w:rsid w:val="00995C0D"/>
    <w:rsid w:val="009A356D"/>
    <w:rsid w:val="009B2A23"/>
    <w:rsid w:val="009D1DC9"/>
    <w:rsid w:val="009E42D6"/>
    <w:rsid w:val="009F1505"/>
    <w:rsid w:val="00A02926"/>
    <w:rsid w:val="00A06A49"/>
    <w:rsid w:val="00A37336"/>
    <w:rsid w:val="00A42D4E"/>
    <w:rsid w:val="00A72317"/>
    <w:rsid w:val="00A763D6"/>
    <w:rsid w:val="00A9232C"/>
    <w:rsid w:val="00A979CB"/>
    <w:rsid w:val="00AC1B5A"/>
    <w:rsid w:val="00AD3BAD"/>
    <w:rsid w:val="00AE1F10"/>
    <w:rsid w:val="00AE2D8A"/>
    <w:rsid w:val="00AE3B93"/>
    <w:rsid w:val="00B35089"/>
    <w:rsid w:val="00B35BB8"/>
    <w:rsid w:val="00B416FC"/>
    <w:rsid w:val="00B43C4C"/>
    <w:rsid w:val="00B467A0"/>
    <w:rsid w:val="00B7690C"/>
    <w:rsid w:val="00B94B2A"/>
    <w:rsid w:val="00BB3B27"/>
    <w:rsid w:val="00BE6E77"/>
    <w:rsid w:val="00BF04EF"/>
    <w:rsid w:val="00BF32B8"/>
    <w:rsid w:val="00C05EA2"/>
    <w:rsid w:val="00C1184B"/>
    <w:rsid w:val="00C301D3"/>
    <w:rsid w:val="00C41FC7"/>
    <w:rsid w:val="00C46CD9"/>
    <w:rsid w:val="00C51FC6"/>
    <w:rsid w:val="00C64EDD"/>
    <w:rsid w:val="00C650C7"/>
    <w:rsid w:val="00C93E3A"/>
    <w:rsid w:val="00CD59FA"/>
    <w:rsid w:val="00CF35FA"/>
    <w:rsid w:val="00D00BA5"/>
    <w:rsid w:val="00D02C1B"/>
    <w:rsid w:val="00D1790D"/>
    <w:rsid w:val="00D65DD1"/>
    <w:rsid w:val="00D72AEF"/>
    <w:rsid w:val="00D87E4B"/>
    <w:rsid w:val="00E01B0B"/>
    <w:rsid w:val="00E01FEA"/>
    <w:rsid w:val="00E068FE"/>
    <w:rsid w:val="00E21961"/>
    <w:rsid w:val="00E44C1D"/>
    <w:rsid w:val="00E50B0F"/>
    <w:rsid w:val="00E76A26"/>
    <w:rsid w:val="00E77AC9"/>
    <w:rsid w:val="00EB45E8"/>
    <w:rsid w:val="00F163A3"/>
    <w:rsid w:val="00FA19D5"/>
    <w:rsid w:val="00FC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7D0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80"/>
    <w:rPr>
      <w:lang w:val="en-AU"/>
    </w:rPr>
  </w:style>
  <w:style w:type="paragraph" w:styleId="Heading2">
    <w:name w:val="heading 2"/>
    <w:basedOn w:val="Normal"/>
    <w:link w:val="Heading2Char"/>
    <w:uiPriority w:val="9"/>
    <w:qFormat/>
    <w:rsid w:val="0088621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380"/>
    <w:rPr>
      <w:lang w:val="en-AU"/>
    </w:rPr>
  </w:style>
  <w:style w:type="paragraph" w:styleId="FootnoteText">
    <w:name w:val="footnote text"/>
    <w:basedOn w:val="Normal"/>
    <w:link w:val="FootnoteTextChar"/>
    <w:uiPriority w:val="99"/>
    <w:unhideWhenUsed/>
    <w:rsid w:val="005D2380"/>
  </w:style>
  <w:style w:type="character" w:customStyle="1" w:styleId="FootnoteTextChar">
    <w:name w:val="Footnote Text Char"/>
    <w:basedOn w:val="DefaultParagraphFont"/>
    <w:link w:val="FootnoteText"/>
    <w:uiPriority w:val="99"/>
    <w:rsid w:val="005D2380"/>
    <w:rPr>
      <w:lang w:val="en-AU"/>
    </w:rPr>
  </w:style>
  <w:style w:type="character" w:styleId="FootnoteReference">
    <w:name w:val="footnote reference"/>
    <w:basedOn w:val="DefaultParagraphFont"/>
    <w:uiPriority w:val="99"/>
    <w:unhideWhenUsed/>
    <w:rsid w:val="005D2380"/>
    <w:rPr>
      <w:vertAlign w:val="superscript"/>
    </w:rPr>
  </w:style>
  <w:style w:type="paragraph" w:styleId="ListParagraph">
    <w:name w:val="List Paragraph"/>
    <w:basedOn w:val="Normal"/>
    <w:uiPriority w:val="34"/>
    <w:qFormat/>
    <w:rsid w:val="00B94B2A"/>
    <w:pPr>
      <w:ind w:left="720"/>
      <w:contextualSpacing/>
    </w:pPr>
  </w:style>
  <w:style w:type="paragraph" w:styleId="BalloonText">
    <w:name w:val="Balloon Text"/>
    <w:basedOn w:val="Normal"/>
    <w:link w:val="BalloonTextChar"/>
    <w:uiPriority w:val="99"/>
    <w:semiHidden/>
    <w:unhideWhenUsed/>
    <w:rsid w:val="00B94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B2A"/>
    <w:rPr>
      <w:rFonts w:ascii="Lucida Grande" w:hAnsi="Lucida Grande" w:cs="Lucida Grande"/>
      <w:sz w:val="18"/>
      <w:szCs w:val="18"/>
      <w:lang w:val="en-AU"/>
    </w:rPr>
  </w:style>
  <w:style w:type="character" w:styleId="Hyperlink">
    <w:name w:val="Hyperlink"/>
    <w:basedOn w:val="DefaultParagraphFont"/>
    <w:uiPriority w:val="99"/>
    <w:unhideWhenUsed/>
    <w:rsid w:val="00872640"/>
    <w:rPr>
      <w:color w:val="0000FF" w:themeColor="hyperlink"/>
      <w:u w:val="single"/>
    </w:rPr>
  </w:style>
  <w:style w:type="character" w:customStyle="1" w:styleId="Heading2Char">
    <w:name w:val="Heading 2 Char"/>
    <w:basedOn w:val="DefaultParagraphFont"/>
    <w:link w:val="Heading2"/>
    <w:uiPriority w:val="9"/>
    <w:rsid w:val="00886214"/>
    <w:rPr>
      <w:rFonts w:ascii="Times" w:hAnsi="Times"/>
      <w:b/>
      <w:bCs/>
      <w:sz w:val="36"/>
      <w:szCs w:val="36"/>
      <w:lang w:val="en-AU"/>
    </w:rPr>
  </w:style>
  <w:style w:type="character" w:styleId="FollowedHyperlink">
    <w:name w:val="FollowedHyperlink"/>
    <w:basedOn w:val="DefaultParagraphFont"/>
    <w:uiPriority w:val="99"/>
    <w:semiHidden/>
    <w:unhideWhenUsed/>
    <w:rsid w:val="0029255D"/>
    <w:rPr>
      <w:color w:val="800080" w:themeColor="followedHyperlink"/>
      <w:u w:val="single"/>
    </w:rPr>
  </w:style>
  <w:style w:type="paragraph" w:styleId="Footer">
    <w:name w:val="footer"/>
    <w:basedOn w:val="Normal"/>
    <w:link w:val="FooterChar"/>
    <w:uiPriority w:val="99"/>
    <w:unhideWhenUsed/>
    <w:rsid w:val="008836AF"/>
    <w:pPr>
      <w:tabs>
        <w:tab w:val="center" w:pos="4320"/>
        <w:tab w:val="right" w:pos="8640"/>
      </w:tabs>
    </w:pPr>
  </w:style>
  <w:style w:type="character" w:customStyle="1" w:styleId="FooterChar">
    <w:name w:val="Footer Char"/>
    <w:basedOn w:val="DefaultParagraphFont"/>
    <w:link w:val="Footer"/>
    <w:uiPriority w:val="99"/>
    <w:rsid w:val="008836AF"/>
    <w:rPr>
      <w:lang w:val="en-AU"/>
    </w:rPr>
  </w:style>
  <w:style w:type="character" w:styleId="PageNumber">
    <w:name w:val="page number"/>
    <w:basedOn w:val="DefaultParagraphFont"/>
    <w:uiPriority w:val="99"/>
    <w:semiHidden/>
    <w:unhideWhenUsed/>
    <w:rsid w:val="008836AF"/>
  </w:style>
  <w:style w:type="character" w:styleId="Emphasis">
    <w:name w:val="Emphasis"/>
    <w:basedOn w:val="DefaultParagraphFont"/>
    <w:uiPriority w:val="20"/>
    <w:qFormat/>
    <w:rsid w:val="00710BE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380"/>
    <w:rPr>
      <w:lang w:val="en-AU"/>
    </w:rPr>
  </w:style>
  <w:style w:type="paragraph" w:styleId="Heading2">
    <w:name w:val="heading 2"/>
    <w:basedOn w:val="Normal"/>
    <w:link w:val="Heading2Char"/>
    <w:uiPriority w:val="9"/>
    <w:qFormat/>
    <w:rsid w:val="0088621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380"/>
    <w:rPr>
      <w:lang w:val="en-AU"/>
    </w:rPr>
  </w:style>
  <w:style w:type="paragraph" w:styleId="FootnoteText">
    <w:name w:val="footnote text"/>
    <w:basedOn w:val="Normal"/>
    <w:link w:val="FootnoteTextChar"/>
    <w:uiPriority w:val="99"/>
    <w:unhideWhenUsed/>
    <w:rsid w:val="005D2380"/>
  </w:style>
  <w:style w:type="character" w:customStyle="1" w:styleId="FootnoteTextChar">
    <w:name w:val="Footnote Text Char"/>
    <w:basedOn w:val="DefaultParagraphFont"/>
    <w:link w:val="FootnoteText"/>
    <w:uiPriority w:val="99"/>
    <w:rsid w:val="005D2380"/>
    <w:rPr>
      <w:lang w:val="en-AU"/>
    </w:rPr>
  </w:style>
  <w:style w:type="character" w:styleId="FootnoteReference">
    <w:name w:val="footnote reference"/>
    <w:basedOn w:val="DefaultParagraphFont"/>
    <w:uiPriority w:val="99"/>
    <w:unhideWhenUsed/>
    <w:rsid w:val="005D2380"/>
    <w:rPr>
      <w:vertAlign w:val="superscript"/>
    </w:rPr>
  </w:style>
  <w:style w:type="paragraph" w:styleId="ListParagraph">
    <w:name w:val="List Paragraph"/>
    <w:basedOn w:val="Normal"/>
    <w:uiPriority w:val="34"/>
    <w:qFormat/>
    <w:rsid w:val="00B94B2A"/>
    <w:pPr>
      <w:ind w:left="720"/>
      <w:contextualSpacing/>
    </w:pPr>
  </w:style>
  <w:style w:type="paragraph" w:styleId="BalloonText">
    <w:name w:val="Balloon Text"/>
    <w:basedOn w:val="Normal"/>
    <w:link w:val="BalloonTextChar"/>
    <w:uiPriority w:val="99"/>
    <w:semiHidden/>
    <w:unhideWhenUsed/>
    <w:rsid w:val="00B94B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4B2A"/>
    <w:rPr>
      <w:rFonts w:ascii="Lucida Grande" w:hAnsi="Lucida Grande" w:cs="Lucida Grande"/>
      <w:sz w:val="18"/>
      <w:szCs w:val="18"/>
      <w:lang w:val="en-AU"/>
    </w:rPr>
  </w:style>
  <w:style w:type="character" w:styleId="Hyperlink">
    <w:name w:val="Hyperlink"/>
    <w:basedOn w:val="DefaultParagraphFont"/>
    <w:uiPriority w:val="99"/>
    <w:unhideWhenUsed/>
    <w:rsid w:val="00872640"/>
    <w:rPr>
      <w:color w:val="0000FF" w:themeColor="hyperlink"/>
      <w:u w:val="single"/>
    </w:rPr>
  </w:style>
  <w:style w:type="character" w:customStyle="1" w:styleId="Heading2Char">
    <w:name w:val="Heading 2 Char"/>
    <w:basedOn w:val="DefaultParagraphFont"/>
    <w:link w:val="Heading2"/>
    <w:uiPriority w:val="9"/>
    <w:rsid w:val="00886214"/>
    <w:rPr>
      <w:rFonts w:ascii="Times" w:hAnsi="Times"/>
      <w:b/>
      <w:bCs/>
      <w:sz w:val="36"/>
      <w:szCs w:val="36"/>
      <w:lang w:val="en-AU"/>
    </w:rPr>
  </w:style>
  <w:style w:type="character" w:styleId="FollowedHyperlink">
    <w:name w:val="FollowedHyperlink"/>
    <w:basedOn w:val="DefaultParagraphFont"/>
    <w:uiPriority w:val="99"/>
    <w:semiHidden/>
    <w:unhideWhenUsed/>
    <w:rsid w:val="0029255D"/>
    <w:rPr>
      <w:color w:val="800080" w:themeColor="followedHyperlink"/>
      <w:u w:val="single"/>
    </w:rPr>
  </w:style>
  <w:style w:type="paragraph" w:styleId="Footer">
    <w:name w:val="footer"/>
    <w:basedOn w:val="Normal"/>
    <w:link w:val="FooterChar"/>
    <w:uiPriority w:val="99"/>
    <w:unhideWhenUsed/>
    <w:rsid w:val="008836AF"/>
    <w:pPr>
      <w:tabs>
        <w:tab w:val="center" w:pos="4320"/>
        <w:tab w:val="right" w:pos="8640"/>
      </w:tabs>
    </w:pPr>
  </w:style>
  <w:style w:type="character" w:customStyle="1" w:styleId="FooterChar">
    <w:name w:val="Footer Char"/>
    <w:basedOn w:val="DefaultParagraphFont"/>
    <w:link w:val="Footer"/>
    <w:uiPriority w:val="99"/>
    <w:rsid w:val="008836AF"/>
    <w:rPr>
      <w:lang w:val="en-AU"/>
    </w:rPr>
  </w:style>
  <w:style w:type="character" w:styleId="PageNumber">
    <w:name w:val="page number"/>
    <w:basedOn w:val="DefaultParagraphFont"/>
    <w:uiPriority w:val="99"/>
    <w:semiHidden/>
    <w:unhideWhenUsed/>
    <w:rsid w:val="008836AF"/>
  </w:style>
  <w:style w:type="character" w:styleId="Emphasis">
    <w:name w:val="Emphasis"/>
    <w:basedOn w:val="DefaultParagraphFont"/>
    <w:uiPriority w:val="20"/>
    <w:qFormat/>
    <w:rsid w:val="00710B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48935">
      <w:bodyDiv w:val="1"/>
      <w:marLeft w:val="0"/>
      <w:marRight w:val="0"/>
      <w:marTop w:val="0"/>
      <w:marBottom w:val="0"/>
      <w:divBdr>
        <w:top w:val="none" w:sz="0" w:space="0" w:color="auto"/>
        <w:left w:val="none" w:sz="0" w:space="0" w:color="auto"/>
        <w:bottom w:val="none" w:sz="0" w:space="0" w:color="auto"/>
        <w:right w:val="none" w:sz="0" w:space="0" w:color="auto"/>
      </w:divBdr>
      <w:divsChild>
        <w:div w:id="1694572210">
          <w:marLeft w:val="0"/>
          <w:marRight w:val="0"/>
          <w:marTop w:val="0"/>
          <w:marBottom w:val="0"/>
          <w:divBdr>
            <w:top w:val="none" w:sz="0" w:space="0" w:color="auto"/>
            <w:left w:val="none" w:sz="0" w:space="0" w:color="auto"/>
            <w:bottom w:val="none" w:sz="0" w:space="0" w:color="auto"/>
            <w:right w:val="none" w:sz="0" w:space="0" w:color="auto"/>
          </w:divBdr>
        </w:div>
        <w:div w:id="619071547">
          <w:marLeft w:val="0"/>
          <w:marRight w:val="0"/>
          <w:marTop w:val="0"/>
          <w:marBottom w:val="0"/>
          <w:divBdr>
            <w:top w:val="none" w:sz="0" w:space="0" w:color="auto"/>
            <w:left w:val="none" w:sz="0" w:space="0" w:color="auto"/>
            <w:bottom w:val="none" w:sz="0" w:space="0" w:color="auto"/>
            <w:right w:val="none" w:sz="0" w:space="0" w:color="auto"/>
          </w:divBdr>
        </w:div>
        <w:div w:id="474222916">
          <w:marLeft w:val="0"/>
          <w:marRight w:val="0"/>
          <w:marTop w:val="0"/>
          <w:marBottom w:val="0"/>
          <w:divBdr>
            <w:top w:val="none" w:sz="0" w:space="0" w:color="auto"/>
            <w:left w:val="none" w:sz="0" w:space="0" w:color="auto"/>
            <w:bottom w:val="none" w:sz="0" w:space="0" w:color="auto"/>
            <w:right w:val="none" w:sz="0" w:space="0" w:color="auto"/>
          </w:divBdr>
        </w:div>
        <w:div w:id="1727411196">
          <w:marLeft w:val="0"/>
          <w:marRight w:val="0"/>
          <w:marTop w:val="0"/>
          <w:marBottom w:val="0"/>
          <w:divBdr>
            <w:top w:val="none" w:sz="0" w:space="0" w:color="auto"/>
            <w:left w:val="none" w:sz="0" w:space="0" w:color="auto"/>
            <w:bottom w:val="none" w:sz="0" w:space="0" w:color="auto"/>
            <w:right w:val="none" w:sz="0" w:space="0" w:color="auto"/>
          </w:divBdr>
        </w:div>
        <w:div w:id="1927418942">
          <w:marLeft w:val="0"/>
          <w:marRight w:val="0"/>
          <w:marTop w:val="0"/>
          <w:marBottom w:val="0"/>
          <w:divBdr>
            <w:top w:val="none" w:sz="0" w:space="0" w:color="auto"/>
            <w:left w:val="none" w:sz="0" w:space="0" w:color="auto"/>
            <w:bottom w:val="none" w:sz="0" w:space="0" w:color="auto"/>
            <w:right w:val="none" w:sz="0" w:space="0" w:color="auto"/>
          </w:divBdr>
        </w:div>
        <w:div w:id="645475912">
          <w:marLeft w:val="0"/>
          <w:marRight w:val="0"/>
          <w:marTop w:val="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1544437927">
          <w:marLeft w:val="0"/>
          <w:marRight w:val="0"/>
          <w:marTop w:val="0"/>
          <w:marBottom w:val="0"/>
          <w:divBdr>
            <w:top w:val="none" w:sz="0" w:space="0" w:color="auto"/>
            <w:left w:val="none" w:sz="0" w:space="0" w:color="auto"/>
            <w:bottom w:val="none" w:sz="0" w:space="0" w:color="auto"/>
            <w:right w:val="none" w:sz="0" w:space="0" w:color="auto"/>
          </w:divBdr>
        </w:div>
        <w:div w:id="1959330386">
          <w:marLeft w:val="0"/>
          <w:marRight w:val="0"/>
          <w:marTop w:val="0"/>
          <w:marBottom w:val="0"/>
          <w:divBdr>
            <w:top w:val="none" w:sz="0" w:space="0" w:color="auto"/>
            <w:left w:val="none" w:sz="0" w:space="0" w:color="auto"/>
            <w:bottom w:val="none" w:sz="0" w:space="0" w:color="auto"/>
            <w:right w:val="none" w:sz="0" w:space="0" w:color="auto"/>
          </w:divBdr>
        </w:div>
        <w:div w:id="452288002">
          <w:marLeft w:val="0"/>
          <w:marRight w:val="0"/>
          <w:marTop w:val="0"/>
          <w:marBottom w:val="0"/>
          <w:divBdr>
            <w:top w:val="none" w:sz="0" w:space="0" w:color="auto"/>
            <w:left w:val="none" w:sz="0" w:space="0" w:color="auto"/>
            <w:bottom w:val="none" w:sz="0" w:space="0" w:color="auto"/>
            <w:right w:val="none" w:sz="0" w:space="0" w:color="auto"/>
          </w:divBdr>
        </w:div>
      </w:divsChild>
    </w:div>
    <w:div w:id="524096076">
      <w:bodyDiv w:val="1"/>
      <w:marLeft w:val="0"/>
      <w:marRight w:val="0"/>
      <w:marTop w:val="0"/>
      <w:marBottom w:val="0"/>
      <w:divBdr>
        <w:top w:val="none" w:sz="0" w:space="0" w:color="auto"/>
        <w:left w:val="none" w:sz="0" w:space="0" w:color="auto"/>
        <w:bottom w:val="none" w:sz="0" w:space="0" w:color="auto"/>
        <w:right w:val="none" w:sz="0" w:space="0" w:color="auto"/>
      </w:divBdr>
      <w:divsChild>
        <w:div w:id="481238239">
          <w:marLeft w:val="0"/>
          <w:marRight w:val="0"/>
          <w:marTop w:val="0"/>
          <w:marBottom w:val="0"/>
          <w:divBdr>
            <w:top w:val="none" w:sz="0" w:space="0" w:color="auto"/>
            <w:left w:val="none" w:sz="0" w:space="0" w:color="auto"/>
            <w:bottom w:val="none" w:sz="0" w:space="0" w:color="auto"/>
            <w:right w:val="none" w:sz="0" w:space="0" w:color="auto"/>
          </w:divBdr>
        </w:div>
        <w:div w:id="811171542">
          <w:marLeft w:val="0"/>
          <w:marRight w:val="0"/>
          <w:marTop w:val="0"/>
          <w:marBottom w:val="0"/>
          <w:divBdr>
            <w:top w:val="none" w:sz="0" w:space="0" w:color="auto"/>
            <w:left w:val="none" w:sz="0" w:space="0" w:color="auto"/>
            <w:bottom w:val="none" w:sz="0" w:space="0" w:color="auto"/>
            <w:right w:val="none" w:sz="0" w:space="0" w:color="auto"/>
          </w:divBdr>
        </w:div>
        <w:div w:id="19551492">
          <w:marLeft w:val="0"/>
          <w:marRight w:val="0"/>
          <w:marTop w:val="0"/>
          <w:marBottom w:val="0"/>
          <w:divBdr>
            <w:top w:val="none" w:sz="0" w:space="0" w:color="auto"/>
            <w:left w:val="none" w:sz="0" w:space="0" w:color="auto"/>
            <w:bottom w:val="none" w:sz="0" w:space="0" w:color="auto"/>
            <w:right w:val="none" w:sz="0" w:space="0" w:color="auto"/>
          </w:divBdr>
        </w:div>
        <w:div w:id="363987538">
          <w:marLeft w:val="0"/>
          <w:marRight w:val="0"/>
          <w:marTop w:val="0"/>
          <w:marBottom w:val="0"/>
          <w:divBdr>
            <w:top w:val="none" w:sz="0" w:space="0" w:color="auto"/>
            <w:left w:val="none" w:sz="0" w:space="0" w:color="auto"/>
            <w:bottom w:val="none" w:sz="0" w:space="0" w:color="auto"/>
            <w:right w:val="none" w:sz="0" w:space="0" w:color="auto"/>
          </w:divBdr>
        </w:div>
        <w:div w:id="232207995">
          <w:marLeft w:val="0"/>
          <w:marRight w:val="0"/>
          <w:marTop w:val="0"/>
          <w:marBottom w:val="0"/>
          <w:divBdr>
            <w:top w:val="none" w:sz="0" w:space="0" w:color="auto"/>
            <w:left w:val="none" w:sz="0" w:space="0" w:color="auto"/>
            <w:bottom w:val="none" w:sz="0" w:space="0" w:color="auto"/>
            <w:right w:val="none" w:sz="0" w:space="0" w:color="auto"/>
          </w:divBdr>
        </w:div>
        <w:div w:id="660353882">
          <w:marLeft w:val="0"/>
          <w:marRight w:val="0"/>
          <w:marTop w:val="0"/>
          <w:marBottom w:val="0"/>
          <w:divBdr>
            <w:top w:val="none" w:sz="0" w:space="0" w:color="auto"/>
            <w:left w:val="none" w:sz="0" w:space="0" w:color="auto"/>
            <w:bottom w:val="none" w:sz="0" w:space="0" w:color="auto"/>
            <w:right w:val="none" w:sz="0" w:space="0" w:color="auto"/>
          </w:divBdr>
        </w:div>
        <w:div w:id="399449621">
          <w:marLeft w:val="0"/>
          <w:marRight w:val="0"/>
          <w:marTop w:val="0"/>
          <w:marBottom w:val="0"/>
          <w:divBdr>
            <w:top w:val="none" w:sz="0" w:space="0" w:color="auto"/>
            <w:left w:val="none" w:sz="0" w:space="0" w:color="auto"/>
            <w:bottom w:val="none" w:sz="0" w:space="0" w:color="auto"/>
            <w:right w:val="none" w:sz="0" w:space="0" w:color="auto"/>
          </w:divBdr>
        </w:div>
        <w:div w:id="191067496">
          <w:marLeft w:val="0"/>
          <w:marRight w:val="0"/>
          <w:marTop w:val="0"/>
          <w:marBottom w:val="0"/>
          <w:divBdr>
            <w:top w:val="none" w:sz="0" w:space="0" w:color="auto"/>
            <w:left w:val="none" w:sz="0" w:space="0" w:color="auto"/>
            <w:bottom w:val="none" w:sz="0" w:space="0" w:color="auto"/>
            <w:right w:val="none" w:sz="0" w:space="0" w:color="auto"/>
          </w:divBdr>
        </w:div>
        <w:div w:id="1173639960">
          <w:marLeft w:val="0"/>
          <w:marRight w:val="0"/>
          <w:marTop w:val="0"/>
          <w:marBottom w:val="0"/>
          <w:divBdr>
            <w:top w:val="none" w:sz="0" w:space="0" w:color="auto"/>
            <w:left w:val="none" w:sz="0" w:space="0" w:color="auto"/>
            <w:bottom w:val="none" w:sz="0" w:space="0" w:color="auto"/>
            <w:right w:val="none" w:sz="0" w:space="0" w:color="auto"/>
          </w:divBdr>
        </w:div>
        <w:div w:id="1766144197">
          <w:marLeft w:val="0"/>
          <w:marRight w:val="0"/>
          <w:marTop w:val="0"/>
          <w:marBottom w:val="0"/>
          <w:divBdr>
            <w:top w:val="none" w:sz="0" w:space="0" w:color="auto"/>
            <w:left w:val="none" w:sz="0" w:space="0" w:color="auto"/>
            <w:bottom w:val="none" w:sz="0" w:space="0" w:color="auto"/>
            <w:right w:val="none" w:sz="0" w:space="0" w:color="auto"/>
          </w:divBdr>
        </w:div>
        <w:div w:id="87971582">
          <w:marLeft w:val="0"/>
          <w:marRight w:val="0"/>
          <w:marTop w:val="0"/>
          <w:marBottom w:val="0"/>
          <w:divBdr>
            <w:top w:val="none" w:sz="0" w:space="0" w:color="auto"/>
            <w:left w:val="none" w:sz="0" w:space="0" w:color="auto"/>
            <w:bottom w:val="none" w:sz="0" w:space="0" w:color="auto"/>
            <w:right w:val="none" w:sz="0" w:space="0" w:color="auto"/>
          </w:divBdr>
        </w:div>
        <w:div w:id="13697269">
          <w:marLeft w:val="0"/>
          <w:marRight w:val="0"/>
          <w:marTop w:val="0"/>
          <w:marBottom w:val="0"/>
          <w:divBdr>
            <w:top w:val="none" w:sz="0" w:space="0" w:color="auto"/>
            <w:left w:val="none" w:sz="0" w:space="0" w:color="auto"/>
            <w:bottom w:val="none" w:sz="0" w:space="0" w:color="auto"/>
            <w:right w:val="none" w:sz="0" w:space="0" w:color="auto"/>
          </w:divBdr>
        </w:div>
        <w:div w:id="863791077">
          <w:marLeft w:val="0"/>
          <w:marRight w:val="0"/>
          <w:marTop w:val="0"/>
          <w:marBottom w:val="0"/>
          <w:divBdr>
            <w:top w:val="none" w:sz="0" w:space="0" w:color="auto"/>
            <w:left w:val="none" w:sz="0" w:space="0" w:color="auto"/>
            <w:bottom w:val="none" w:sz="0" w:space="0" w:color="auto"/>
            <w:right w:val="none" w:sz="0" w:space="0" w:color="auto"/>
          </w:divBdr>
        </w:div>
        <w:div w:id="1770391974">
          <w:marLeft w:val="0"/>
          <w:marRight w:val="0"/>
          <w:marTop w:val="0"/>
          <w:marBottom w:val="0"/>
          <w:divBdr>
            <w:top w:val="none" w:sz="0" w:space="0" w:color="auto"/>
            <w:left w:val="none" w:sz="0" w:space="0" w:color="auto"/>
            <w:bottom w:val="none" w:sz="0" w:space="0" w:color="auto"/>
            <w:right w:val="none" w:sz="0" w:space="0" w:color="auto"/>
          </w:divBdr>
        </w:div>
      </w:divsChild>
    </w:div>
    <w:div w:id="732504549">
      <w:bodyDiv w:val="1"/>
      <w:marLeft w:val="0"/>
      <w:marRight w:val="0"/>
      <w:marTop w:val="0"/>
      <w:marBottom w:val="0"/>
      <w:divBdr>
        <w:top w:val="none" w:sz="0" w:space="0" w:color="auto"/>
        <w:left w:val="none" w:sz="0" w:space="0" w:color="auto"/>
        <w:bottom w:val="none" w:sz="0" w:space="0" w:color="auto"/>
        <w:right w:val="none" w:sz="0" w:space="0" w:color="auto"/>
      </w:divBdr>
      <w:divsChild>
        <w:div w:id="1578399333">
          <w:marLeft w:val="0"/>
          <w:marRight w:val="0"/>
          <w:marTop w:val="0"/>
          <w:marBottom w:val="0"/>
          <w:divBdr>
            <w:top w:val="none" w:sz="0" w:space="0" w:color="auto"/>
            <w:left w:val="none" w:sz="0" w:space="0" w:color="auto"/>
            <w:bottom w:val="none" w:sz="0" w:space="0" w:color="auto"/>
            <w:right w:val="none" w:sz="0" w:space="0" w:color="auto"/>
          </w:divBdr>
        </w:div>
        <w:div w:id="661394260">
          <w:marLeft w:val="0"/>
          <w:marRight w:val="0"/>
          <w:marTop w:val="0"/>
          <w:marBottom w:val="0"/>
          <w:divBdr>
            <w:top w:val="none" w:sz="0" w:space="0" w:color="auto"/>
            <w:left w:val="none" w:sz="0" w:space="0" w:color="auto"/>
            <w:bottom w:val="none" w:sz="0" w:space="0" w:color="auto"/>
            <w:right w:val="none" w:sz="0" w:space="0" w:color="auto"/>
          </w:divBdr>
        </w:div>
        <w:div w:id="434984833">
          <w:marLeft w:val="0"/>
          <w:marRight w:val="0"/>
          <w:marTop w:val="0"/>
          <w:marBottom w:val="0"/>
          <w:divBdr>
            <w:top w:val="none" w:sz="0" w:space="0" w:color="auto"/>
            <w:left w:val="none" w:sz="0" w:space="0" w:color="auto"/>
            <w:bottom w:val="none" w:sz="0" w:space="0" w:color="auto"/>
            <w:right w:val="none" w:sz="0" w:space="0" w:color="auto"/>
          </w:divBdr>
        </w:div>
        <w:div w:id="183635830">
          <w:marLeft w:val="0"/>
          <w:marRight w:val="0"/>
          <w:marTop w:val="0"/>
          <w:marBottom w:val="0"/>
          <w:divBdr>
            <w:top w:val="none" w:sz="0" w:space="0" w:color="auto"/>
            <w:left w:val="none" w:sz="0" w:space="0" w:color="auto"/>
            <w:bottom w:val="none" w:sz="0" w:space="0" w:color="auto"/>
            <w:right w:val="none" w:sz="0" w:space="0" w:color="auto"/>
          </w:divBdr>
        </w:div>
        <w:div w:id="718090919">
          <w:marLeft w:val="0"/>
          <w:marRight w:val="0"/>
          <w:marTop w:val="0"/>
          <w:marBottom w:val="0"/>
          <w:divBdr>
            <w:top w:val="none" w:sz="0" w:space="0" w:color="auto"/>
            <w:left w:val="none" w:sz="0" w:space="0" w:color="auto"/>
            <w:bottom w:val="none" w:sz="0" w:space="0" w:color="auto"/>
            <w:right w:val="none" w:sz="0" w:space="0" w:color="auto"/>
          </w:divBdr>
        </w:div>
        <w:div w:id="1008826466">
          <w:marLeft w:val="0"/>
          <w:marRight w:val="0"/>
          <w:marTop w:val="0"/>
          <w:marBottom w:val="0"/>
          <w:divBdr>
            <w:top w:val="none" w:sz="0" w:space="0" w:color="auto"/>
            <w:left w:val="none" w:sz="0" w:space="0" w:color="auto"/>
            <w:bottom w:val="none" w:sz="0" w:space="0" w:color="auto"/>
            <w:right w:val="none" w:sz="0" w:space="0" w:color="auto"/>
          </w:divBdr>
        </w:div>
        <w:div w:id="1992903354">
          <w:marLeft w:val="0"/>
          <w:marRight w:val="0"/>
          <w:marTop w:val="0"/>
          <w:marBottom w:val="0"/>
          <w:divBdr>
            <w:top w:val="none" w:sz="0" w:space="0" w:color="auto"/>
            <w:left w:val="none" w:sz="0" w:space="0" w:color="auto"/>
            <w:bottom w:val="none" w:sz="0" w:space="0" w:color="auto"/>
            <w:right w:val="none" w:sz="0" w:space="0" w:color="auto"/>
          </w:divBdr>
        </w:div>
        <w:div w:id="1669402871">
          <w:marLeft w:val="0"/>
          <w:marRight w:val="0"/>
          <w:marTop w:val="0"/>
          <w:marBottom w:val="0"/>
          <w:divBdr>
            <w:top w:val="none" w:sz="0" w:space="0" w:color="auto"/>
            <w:left w:val="none" w:sz="0" w:space="0" w:color="auto"/>
            <w:bottom w:val="none" w:sz="0" w:space="0" w:color="auto"/>
            <w:right w:val="none" w:sz="0" w:space="0" w:color="auto"/>
          </w:divBdr>
        </w:div>
        <w:div w:id="1547906419">
          <w:marLeft w:val="0"/>
          <w:marRight w:val="0"/>
          <w:marTop w:val="0"/>
          <w:marBottom w:val="0"/>
          <w:divBdr>
            <w:top w:val="none" w:sz="0" w:space="0" w:color="auto"/>
            <w:left w:val="none" w:sz="0" w:space="0" w:color="auto"/>
            <w:bottom w:val="none" w:sz="0" w:space="0" w:color="auto"/>
            <w:right w:val="none" w:sz="0" w:space="0" w:color="auto"/>
          </w:divBdr>
        </w:div>
        <w:div w:id="830875247">
          <w:marLeft w:val="0"/>
          <w:marRight w:val="0"/>
          <w:marTop w:val="0"/>
          <w:marBottom w:val="0"/>
          <w:divBdr>
            <w:top w:val="none" w:sz="0" w:space="0" w:color="auto"/>
            <w:left w:val="none" w:sz="0" w:space="0" w:color="auto"/>
            <w:bottom w:val="none" w:sz="0" w:space="0" w:color="auto"/>
            <w:right w:val="none" w:sz="0" w:space="0" w:color="auto"/>
          </w:divBdr>
        </w:div>
        <w:div w:id="290329848">
          <w:marLeft w:val="0"/>
          <w:marRight w:val="0"/>
          <w:marTop w:val="0"/>
          <w:marBottom w:val="0"/>
          <w:divBdr>
            <w:top w:val="none" w:sz="0" w:space="0" w:color="auto"/>
            <w:left w:val="none" w:sz="0" w:space="0" w:color="auto"/>
            <w:bottom w:val="none" w:sz="0" w:space="0" w:color="auto"/>
            <w:right w:val="none" w:sz="0" w:space="0" w:color="auto"/>
          </w:divBdr>
        </w:div>
        <w:div w:id="1989432688">
          <w:marLeft w:val="0"/>
          <w:marRight w:val="0"/>
          <w:marTop w:val="0"/>
          <w:marBottom w:val="0"/>
          <w:divBdr>
            <w:top w:val="none" w:sz="0" w:space="0" w:color="auto"/>
            <w:left w:val="none" w:sz="0" w:space="0" w:color="auto"/>
            <w:bottom w:val="none" w:sz="0" w:space="0" w:color="auto"/>
            <w:right w:val="none" w:sz="0" w:space="0" w:color="auto"/>
          </w:divBdr>
        </w:div>
        <w:div w:id="1263299399">
          <w:marLeft w:val="0"/>
          <w:marRight w:val="0"/>
          <w:marTop w:val="0"/>
          <w:marBottom w:val="0"/>
          <w:divBdr>
            <w:top w:val="none" w:sz="0" w:space="0" w:color="auto"/>
            <w:left w:val="none" w:sz="0" w:space="0" w:color="auto"/>
            <w:bottom w:val="none" w:sz="0" w:space="0" w:color="auto"/>
            <w:right w:val="none" w:sz="0" w:space="0" w:color="auto"/>
          </w:divBdr>
        </w:div>
        <w:div w:id="574315154">
          <w:marLeft w:val="0"/>
          <w:marRight w:val="0"/>
          <w:marTop w:val="0"/>
          <w:marBottom w:val="0"/>
          <w:divBdr>
            <w:top w:val="none" w:sz="0" w:space="0" w:color="auto"/>
            <w:left w:val="none" w:sz="0" w:space="0" w:color="auto"/>
            <w:bottom w:val="none" w:sz="0" w:space="0" w:color="auto"/>
            <w:right w:val="none" w:sz="0" w:space="0" w:color="auto"/>
          </w:divBdr>
        </w:div>
      </w:divsChild>
    </w:div>
    <w:div w:id="802387692">
      <w:bodyDiv w:val="1"/>
      <w:marLeft w:val="0"/>
      <w:marRight w:val="0"/>
      <w:marTop w:val="0"/>
      <w:marBottom w:val="0"/>
      <w:divBdr>
        <w:top w:val="none" w:sz="0" w:space="0" w:color="auto"/>
        <w:left w:val="none" w:sz="0" w:space="0" w:color="auto"/>
        <w:bottom w:val="none" w:sz="0" w:space="0" w:color="auto"/>
        <w:right w:val="none" w:sz="0" w:space="0" w:color="auto"/>
      </w:divBdr>
      <w:divsChild>
        <w:div w:id="1836147702">
          <w:marLeft w:val="0"/>
          <w:marRight w:val="0"/>
          <w:marTop w:val="0"/>
          <w:marBottom w:val="0"/>
          <w:divBdr>
            <w:top w:val="none" w:sz="0" w:space="0" w:color="auto"/>
            <w:left w:val="none" w:sz="0" w:space="0" w:color="auto"/>
            <w:bottom w:val="none" w:sz="0" w:space="0" w:color="auto"/>
            <w:right w:val="none" w:sz="0" w:space="0" w:color="auto"/>
          </w:divBdr>
        </w:div>
        <w:div w:id="200748345">
          <w:marLeft w:val="0"/>
          <w:marRight w:val="0"/>
          <w:marTop w:val="0"/>
          <w:marBottom w:val="0"/>
          <w:divBdr>
            <w:top w:val="none" w:sz="0" w:space="0" w:color="auto"/>
            <w:left w:val="none" w:sz="0" w:space="0" w:color="auto"/>
            <w:bottom w:val="none" w:sz="0" w:space="0" w:color="auto"/>
            <w:right w:val="none" w:sz="0" w:space="0" w:color="auto"/>
          </w:divBdr>
        </w:div>
        <w:div w:id="200752092">
          <w:marLeft w:val="0"/>
          <w:marRight w:val="0"/>
          <w:marTop w:val="0"/>
          <w:marBottom w:val="0"/>
          <w:divBdr>
            <w:top w:val="none" w:sz="0" w:space="0" w:color="auto"/>
            <w:left w:val="none" w:sz="0" w:space="0" w:color="auto"/>
            <w:bottom w:val="none" w:sz="0" w:space="0" w:color="auto"/>
            <w:right w:val="none" w:sz="0" w:space="0" w:color="auto"/>
          </w:divBdr>
        </w:div>
        <w:div w:id="302976692">
          <w:marLeft w:val="0"/>
          <w:marRight w:val="0"/>
          <w:marTop w:val="0"/>
          <w:marBottom w:val="0"/>
          <w:divBdr>
            <w:top w:val="none" w:sz="0" w:space="0" w:color="auto"/>
            <w:left w:val="none" w:sz="0" w:space="0" w:color="auto"/>
            <w:bottom w:val="none" w:sz="0" w:space="0" w:color="auto"/>
            <w:right w:val="none" w:sz="0" w:space="0" w:color="auto"/>
          </w:divBdr>
        </w:div>
        <w:div w:id="432362913">
          <w:marLeft w:val="0"/>
          <w:marRight w:val="0"/>
          <w:marTop w:val="0"/>
          <w:marBottom w:val="0"/>
          <w:divBdr>
            <w:top w:val="none" w:sz="0" w:space="0" w:color="auto"/>
            <w:left w:val="none" w:sz="0" w:space="0" w:color="auto"/>
            <w:bottom w:val="none" w:sz="0" w:space="0" w:color="auto"/>
            <w:right w:val="none" w:sz="0" w:space="0" w:color="auto"/>
          </w:divBdr>
        </w:div>
        <w:div w:id="459885779">
          <w:marLeft w:val="0"/>
          <w:marRight w:val="0"/>
          <w:marTop w:val="0"/>
          <w:marBottom w:val="0"/>
          <w:divBdr>
            <w:top w:val="none" w:sz="0" w:space="0" w:color="auto"/>
            <w:left w:val="none" w:sz="0" w:space="0" w:color="auto"/>
            <w:bottom w:val="none" w:sz="0" w:space="0" w:color="auto"/>
            <w:right w:val="none" w:sz="0" w:space="0" w:color="auto"/>
          </w:divBdr>
        </w:div>
        <w:div w:id="1236746905">
          <w:marLeft w:val="0"/>
          <w:marRight w:val="0"/>
          <w:marTop w:val="0"/>
          <w:marBottom w:val="0"/>
          <w:divBdr>
            <w:top w:val="none" w:sz="0" w:space="0" w:color="auto"/>
            <w:left w:val="none" w:sz="0" w:space="0" w:color="auto"/>
            <w:bottom w:val="none" w:sz="0" w:space="0" w:color="auto"/>
            <w:right w:val="none" w:sz="0" w:space="0" w:color="auto"/>
          </w:divBdr>
        </w:div>
        <w:div w:id="50617731">
          <w:marLeft w:val="0"/>
          <w:marRight w:val="0"/>
          <w:marTop w:val="0"/>
          <w:marBottom w:val="0"/>
          <w:divBdr>
            <w:top w:val="none" w:sz="0" w:space="0" w:color="auto"/>
            <w:left w:val="none" w:sz="0" w:space="0" w:color="auto"/>
            <w:bottom w:val="none" w:sz="0" w:space="0" w:color="auto"/>
            <w:right w:val="none" w:sz="0" w:space="0" w:color="auto"/>
          </w:divBdr>
        </w:div>
        <w:div w:id="194466596">
          <w:marLeft w:val="0"/>
          <w:marRight w:val="0"/>
          <w:marTop w:val="0"/>
          <w:marBottom w:val="0"/>
          <w:divBdr>
            <w:top w:val="none" w:sz="0" w:space="0" w:color="auto"/>
            <w:left w:val="none" w:sz="0" w:space="0" w:color="auto"/>
            <w:bottom w:val="none" w:sz="0" w:space="0" w:color="auto"/>
            <w:right w:val="none" w:sz="0" w:space="0" w:color="auto"/>
          </w:divBdr>
        </w:div>
        <w:div w:id="766849092">
          <w:marLeft w:val="0"/>
          <w:marRight w:val="0"/>
          <w:marTop w:val="0"/>
          <w:marBottom w:val="0"/>
          <w:divBdr>
            <w:top w:val="none" w:sz="0" w:space="0" w:color="auto"/>
            <w:left w:val="none" w:sz="0" w:space="0" w:color="auto"/>
            <w:bottom w:val="none" w:sz="0" w:space="0" w:color="auto"/>
            <w:right w:val="none" w:sz="0" w:space="0" w:color="auto"/>
          </w:divBdr>
        </w:div>
        <w:div w:id="926108787">
          <w:marLeft w:val="0"/>
          <w:marRight w:val="0"/>
          <w:marTop w:val="0"/>
          <w:marBottom w:val="0"/>
          <w:divBdr>
            <w:top w:val="none" w:sz="0" w:space="0" w:color="auto"/>
            <w:left w:val="none" w:sz="0" w:space="0" w:color="auto"/>
            <w:bottom w:val="none" w:sz="0" w:space="0" w:color="auto"/>
            <w:right w:val="none" w:sz="0" w:space="0" w:color="auto"/>
          </w:divBdr>
        </w:div>
        <w:div w:id="2051495877">
          <w:marLeft w:val="0"/>
          <w:marRight w:val="0"/>
          <w:marTop w:val="0"/>
          <w:marBottom w:val="0"/>
          <w:divBdr>
            <w:top w:val="none" w:sz="0" w:space="0" w:color="auto"/>
            <w:left w:val="none" w:sz="0" w:space="0" w:color="auto"/>
            <w:bottom w:val="none" w:sz="0" w:space="0" w:color="auto"/>
            <w:right w:val="none" w:sz="0" w:space="0" w:color="auto"/>
          </w:divBdr>
        </w:div>
        <w:div w:id="1369379952">
          <w:marLeft w:val="0"/>
          <w:marRight w:val="0"/>
          <w:marTop w:val="0"/>
          <w:marBottom w:val="0"/>
          <w:divBdr>
            <w:top w:val="none" w:sz="0" w:space="0" w:color="auto"/>
            <w:left w:val="none" w:sz="0" w:space="0" w:color="auto"/>
            <w:bottom w:val="none" w:sz="0" w:space="0" w:color="auto"/>
            <w:right w:val="none" w:sz="0" w:space="0" w:color="auto"/>
          </w:divBdr>
        </w:div>
        <w:div w:id="527451827">
          <w:marLeft w:val="0"/>
          <w:marRight w:val="0"/>
          <w:marTop w:val="0"/>
          <w:marBottom w:val="0"/>
          <w:divBdr>
            <w:top w:val="none" w:sz="0" w:space="0" w:color="auto"/>
            <w:left w:val="none" w:sz="0" w:space="0" w:color="auto"/>
            <w:bottom w:val="none" w:sz="0" w:space="0" w:color="auto"/>
            <w:right w:val="none" w:sz="0" w:space="0" w:color="auto"/>
          </w:divBdr>
        </w:div>
        <w:div w:id="1490055203">
          <w:marLeft w:val="0"/>
          <w:marRight w:val="0"/>
          <w:marTop w:val="0"/>
          <w:marBottom w:val="0"/>
          <w:divBdr>
            <w:top w:val="none" w:sz="0" w:space="0" w:color="auto"/>
            <w:left w:val="none" w:sz="0" w:space="0" w:color="auto"/>
            <w:bottom w:val="none" w:sz="0" w:space="0" w:color="auto"/>
            <w:right w:val="none" w:sz="0" w:space="0" w:color="auto"/>
          </w:divBdr>
        </w:div>
        <w:div w:id="206842002">
          <w:marLeft w:val="0"/>
          <w:marRight w:val="0"/>
          <w:marTop w:val="0"/>
          <w:marBottom w:val="0"/>
          <w:divBdr>
            <w:top w:val="none" w:sz="0" w:space="0" w:color="auto"/>
            <w:left w:val="none" w:sz="0" w:space="0" w:color="auto"/>
            <w:bottom w:val="none" w:sz="0" w:space="0" w:color="auto"/>
            <w:right w:val="none" w:sz="0" w:space="0" w:color="auto"/>
          </w:divBdr>
        </w:div>
        <w:div w:id="1987780143">
          <w:marLeft w:val="0"/>
          <w:marRight w:val="0"/>
          <w:marTop w:val="0"/>
          <w:marBottom w:val="0"/>
          <w:divBdr>
            <w:top w:val="none" w:sz="0" w:space="0" w:color="auto"/>
            <w:left w:val="none" w:sz="0" w:space="0" w:color="auto"/>
            <w:bottom w:val="none" w:sz="0" w:space="0" w:color="auto"/>
            <w:right w:val="none" w:sz="0" w:space="0" w:color="auto"/>
          </w:divBdr>
        </w:div>
        <w:div w:id="303700887">
          <w:marLeft w:val="0"/>
          <w:marRight w:val="0"/>
          <w:marTop w:val="0"/>
          <w:marBottom w:val="0"/>
          <w:divBdr>
            <w:top w:val="none" w:sz="0" w:space="0" w:color="auto"/>
            <w:left w:val="none" w:sz="0" w:space="0" w:color="auto"/>
            <w:bottom w:val="none" w:sz="0" w:space="0" w:color="auto"/>
            <w:right w:val="none" w:sz="0" w:space="0" w:color="auto"/>
          </w:divBdr>
        </w:div>
        <w:div w:id="1893424636">
          <w:marLeft w:val="0"/>
          <w:marRight w:val="0"/>
          <w:marTop w:val="0"/>
          <w:marBottom w:val="0"/>
          <w:divBdr>
            <w:top w:val="none" w:sz="0" w:space="0" w:color="auto"/>
            <w:left w:val="none" w:sz="0" w:space="0" w:color="auto"/>
            <w:bottom w:val="none" w:sz="0" w:space="0" w:color="auto"/>
            <w:right w:val="none" w:sz="0" w:space="0" w:color="auto"/>
          </w:divBdr>
        </w:div>
        <w:div w:id="879443399">
          <w:marLeft w:val="0"/>
          <w:marRight w:val="0"/>
          <w:marTop w:val="0"/>
          <w:marBottom w:val="0"/>
          <w:divBdr>
            <w:top w:val="none" w:sz="0" w:space="0" w:color="auto"/>
            <w:left w:val="none" w:sz="0" w:space="0" w:color="auto"/>
            <w:bottom w:val="none" w:sz="0" w:space="0" w:color="auto"/>
            <w:right w:val="none" w:sz="0" w:space="0" w:color="auto"/>
          </w:divBdr>
        </w:div>
        <w:div w:id="357659173">
          <w:marLeft w:val="0"/>
          <w:marRight w:val="0"/>
          <w:marTop w:val="0"/>
          <w:marBottom w:val="0"/>
          <w:divBdr>
            <w:top w:val="none" w:sz="0" w:space="0" w:color="auto"/>
            <w:left w:val="none" w:sz="0" w:space="0" w:color="auto"/>
            <w:bottom w:val="none" w:sz="0" w:space="0" w:color="auto"/>
            <w:right w:val="none" w:sz="0" w:space="0" w:color="auto"/>
          </w:divBdr>
        </w:div>
        <w:div w:id="250747985">
          <w:marLeft w:val="0"/>
          <w:marRight w:val="0"/>
          <w:marTop w:val="0"/>
          <w:marBottom w:val="0"/>
          <w:divBdr>
            <w:top w:val="none" w:sz="0" w:space="0" w:color="auto"/>
            <w:left w:val="none" w:sz="0" w:space="0" w:color="auto"/>
            <w:bottom w:val="none" w:sz="0" w:space="0" w:color="auto"/>
            <w:right w:val="none" w:sz="0" w:space="0" w:color="auto"/>
          </w:divBdr>
        </w:div>
        <w:div w:id="1359551988">
          <w:marLeft w:val="0"/>
          <w:marRight w:val="0"/>
          <w:marTop w:val="0"/>
          <w:marBottom w:val="0"/>
          <w:divBdr>
            <w:top w:val="none" w:sz="0" w:space="0" w:color="auto"/>
            <w:left w:val="none" w:sz="0" w:space="0" w:color="auto"/>
            <w:bottom w:val="none" w:sz="0" w:space="0" w:color="auto"/>
            <w:right w:val="none" w:sz="0" w:space="0" w:color="auto"/>
          </w:divBdr>
        </w:div>
        <w:div w:id="509105712">
          <w:marLeft w:val="0"/>
          <w:marRight w:val="0"/>
          <w:marTop w:val="0"/>
          <w:marBottom w:val="0"/>
          <w:divBdr>
            <w:top w:val="none" w:sz="0" w:space="0" w:color="auto"/>
            <w:left w:val="none" w:sz="0" w:space="0" w:color="auto"/>
            <w:bottom w:val="none" w:sz="0" w:space="0" w:color="auto"/>
            <w:right w:val="none" w:sz="0" w:space="0" w:color="auto"/>
          </w:divBdr>
        </w:div>
        <w:div w:id="327096341">
          <w:marLeft w:val="0"/>
          <w:marRight w:val="0"/>
          <w:marTop w:val="0"/>
          <w:marBottom w:val="0"/>
          <w:divBdr>
            <w:top w:val="none" w:sz="0" w:space="0" w:color="auto"/>
            <w:left w:val="none" w:sz="0" w:space="0" w:color="auto"/>
            <w:bottom w:val="none" w:sz="0" w:space="0" w:color="auto"/>
            <w:right w:val="none" w:sz="0" w:space="0" w:color="auto"/>
          </w:divBdr>
        </w:div>
        <w:div w:id="1682001874">
          <w:marLeft w:val="0"/>
          <w:marRight w:val="0"/>
          <w:marTop w:val="0"/>
          <w:marBottom w:val="0"/>
          <w:divBdr>
            <w:top w:val="none" w:sz="0" w:space="0" w:color="auto"/>
            <w:left w:val="none" w:sz="0" w:space="0" w:color="auto"/>
            <w:bottom w:val="none" w:sz="0" w:space="0" w:color="auto"/>
            <w:right w:val="none" w:sz="0" w:space="0" w:color="auto"/>
          </w:divBdr>
        </w:div>
        <w:div w:id="945619175">
          <w:marLeft w:val="0"/>
          <w:marRight w:val="0"/>
          <w:marTop w:val="0"/>
          <w:marBottom w:val="0"/>
          <w:divBdr>
            <w:top w:val="none" w:sz="0" w:space="0" w:color="auto"/>
            <w:left w:val="none" w:sz="0" w:space="0" w:color="auto"/>
            <w:bottom w:val="none" w:sz="0" w:space="0" w:color="auto"/>
            <w:right w:val="none" w:sz="0" w:space="0" w:color="auto"/>
          </w:divBdr>
        </w:div>
        <w:div w:id="953440754">
          <w:marLeft w:val="0"/>
          <w:marRight w:val="0"/>
          <w:marTop w:val="0"/>
          <w:marBottom w:val="0"/>
          <w:divBdr>
            <w:top w:val="none" w:sz="0" w:space="0" w:color="auto"/>
            <w:left w:val="none" w:sz="0" w:space="0" w:color="auto"/>
            <w:bottom w:val="none" w:sz="0" w:space="0" w:color="auto"/>
            <w:right w:val="none" w:sz="0" w:space="0" w:color="auto"/>
          </w:divBdr>
        </w:div>
        <w:div w:id="935791608">
          <w:marLeft w:val="0"/>
          <w:marRight w:val="0"/>
          <w:marTop w:val="0"/>
          <w:marBottom w:val="0"/>
          <w:divBdr>
            <w:top w:val="none" w:sz="0" w:space="0" w:color="auto"/>
            <w:left w:val="none" w:sz="0" w:space="0" w:color="auto"/>
            <w:bottom w:val="none" w:sz="0" w:space="0" w:color="auto"/>
            <w:right w:val="none" w:sz="0" w:space="0" w:color="auto"/>
          </w:divBdr>
        </w:div>
        <w:div w:id="1103764183">
          <w:marLeft w:val="0"/>
          <w:marRight w:val="0"/>
          <w:marTop w:val="0"/>
          <w:marBottom w:val="0"/>
          <w:divBdr>
            <w:top w:val="none" w:sz="0" w:space="0" w:color="auto"/>
            <w:left w:val="none" w:sz="0" w:space="0" w:color="auto"/>
            <w:bottom w:val="none" w:sz="0" w:space="0" w:color="auto"/>
            <w:right w:val="none" w:sz="0" w:space="0" w:color="auto"/>
          </w:divBdr>
        </w:div>
        <w:div w:id="719473055">
          <w:marLeft w:val="0"/>
          <w:marRight w:val="0"/>
          <w:marTop w:val="0"/>
          <w:marBottom w:val="0"/>
          <w:divBdr>
            <w:top w:val="none" w:sz="0" w:space="0" w:color="auto"/>
            <w:left w:val="none" w:sz="0" w:space="0" w:color="auto"/>
            <w:bottom w:val="none" w:sz="0" w:space="0" w:color="auto"/>
            <w:right w:val="none" w:sz="0" w:space="0" w:color="auto"/>
          </w:divBdr>
        </w:div>
        <w:div w:id="1947075553">
          <w:marLeft w:val="0"/>
          <w:marRight w:val="0"/>
          <w:marTop w:val="0"/>
          <w:marBottom w:val="0"/>
          <w:divBdr>
            <w:top w:val="none" w:sz="0" w:space="0" w:color="auto"/>
            <w:left w:val="none" w:sz="0" w:space="0" w:color="auto"/>
            <w:bottom w:val="none" w:sz="0" w:space="0" w:color="auto"/>
            <w:right w:val="none" w:sz="0" w:space="0" w:color="auto"/>
          </w:divBdr>
        </w:div>
        <w:div w:id="1377854650">
          <w:marLeft w:val="0"/>
          <w:marRight w:val="0"/>
          <w:marTop w:val="0"/>
          <w:marBottom w:val="0"/>
          <w:divBdr>
            <w:top w:val="none" w:sz="0" w:space="0" w:color="auto"/>
            <w:left w:val="none" w:sz="0" w:space="0" w:color="auto"/>
            <w:bottom w:val="none" w:sz="0" w:space="0" w:color="auto"/>
            <w:right w:val="none" w:sz="0" w:space="0" w:color="auto"/>
          </w:divBdr>
        </w:div>
        <w:div w:id="1222908002">
          <w:marLeft w:val="0"/>
          <w:marRight w:val="0"/>
          <w:marTop w:val="0"/>
          <w:marBottom w:val="0"/>
          <w:divBdr>
            <w:top w:val="none" w:sz="0" w:space="0" w:color="auto"/>
            <w:left w:val="none" w:sz="0" w:space="0" w:color="auto"/>
            <w:bottom w:val="none" w:sz="0" w:space="0" w:color="auto"/>
            <w:right w:val="none" w:sz="0" w:space="0" w:color="auto"/>
          </w:divBdr>
        </w:div>
        <w:div w:id="35282746">
          <w:marLeft w:val="0"/>
          <w:marRight w:val="0"/>
          <w:marTop w:val="0"/>
          <w:marBottom w:val="0"/>
          <w:divBdr>
            <w:top w:val="none" w:sz="0" w:space="0" w:color="auto"/>
            <w:left w:val="none" w:sz="0" w:space="0" w:color="auto"/>
            <w:bottom w:val="none" w:sz="0" w:space="0" w:color="auto"/>
            <w:right w:val="none" w:sz="0" w:space="0" w:color="auto"/>
          </w:divBdr>
        </w:div>
        <w:div w:id="1536964232">
          <w:marLeft w:val="0"/>
          <w:marRight w:val="0"/>
          <w:marTop w:val="0"/>
          <w:marBottom w:val="0"/>
          <w:divBdr>
            <w:top w:val="none" w:sz="0" w:space="0" w:color="auto"/>
            <w:left w:val="none" w:sz="0" w:space="0" w:color="auto"/>
            <w:bottom w:val="none" w:sz="0" w:space="0" w:color="auto"/>
            <w:right w:val="none" w:sz="0" w:space="0" w:color="auto"/>
          </w:divBdr>
        </w:div>
        <w:div w:id="105853500">
          <w:marLeft w:val="0"/>
          <w:marRight w:val="0"/>
          <w:marTop w:val="0"/>
          <w:marBottom w:val="0"/>
          <w:divBdr>
            <w:top w:val="none" w:sz="0" w:space="0" w:color="auto"/>
            <w:left w:val="none" w:sz="0" w:space="0" w:color="auto"/>
            <w:bottom w:val="none" w:sz="0" w:space="0" w:color="auto"/>
            <w:right w:val="none" w:sz="0" w:space="0" w:color="auto"/>
          </w:divBdr>
        </w:div>
        <w:div w:id="1179464095">
          <w:marLeft w:val="0"/>
          <w:marRight w:val="0"/>
          <w:marTop w:val="0"/>
          <w:marBottom w:val="0"/>
          <w:divBdr>
            <w:top w:val="none" w:sz="0" w:space="0" w:color="auto"/>
            <w:left w:val="none" w:sz="0" w:space="0" w:color="auto"/>
            <w:bottom w:val="none" w:sz="0" w:space="0" w:color="auto"/>
            <w:right w:val="none" w:sz="0" w:space="0" w:color="auto"/>
          </w:divBdr>
        </w:div>
        <w:div w:id="894969396">
          <w:marLeft w:val="0"/>
          <w:marRight w:val="0"/>
          <w:marTop w:val="0"/>
          <w:marBottom w:val="0"/>
          <w:divBdr>
            <w:top w:val="none" w:sz="0" w:space="0" w:color="auto"/>
            <w:left w:val="none" w:sz="0" w:space="0" w:color="auto"/>
            <w:bottom w:val="none" w:sz="0" w:space="0" w:color="auto"/>
            <w:right w:val="none" w:sz="0" w:space="0" w:color="auto"/>
          </w:divBdr>
        </w:div>
        <w:div w:id="747922771">
          <w:marLeft w:val="0"/>
          <w:marRight w:val="0"/>
          <w:marTop w:val="0"/>
          <w:marBottom w:val="0"/>
          <w:divBdr>
            <w:top w:val="none" w:sz="0" w:space="0" w:color="auto"/>
            <w:left w:val="none" w:sz="0" w:space="0" w:color="auto"/>
            <w:bottom w:val="none" w:sz="0" w:space="0" w:color="auto"/>
            <w:right w:val="none" w:sz="0" w:space="0" w:color="auto"/>
          </w:divBdr>
        </w:div>
        <w:div w:id="1348825856">
          <w:marLeft w:val="0"/>
          <w:marRight w:val="0"/>
          <w:marTop w:val="0"/>
          <w:marBottom w:val="0"/>
          <w:divBdr>
            <w:top w:val="none" w:sz="0" w:space="0" w:color="auto"/>
            <w:left w:val="none" w:sz="0" w:space="0" w:color="auto"/>
            <w:bottom w:val="none" w:sz="0" w:space="0" w:color="auto"/>
            <w:right w:val="none" w:sz="0" w:space="0" w:color="auto"/>
          </w:divBdr>
        </w:div>
        <w:div w:id="71466441">
          <w:marLeft w:val="0"/>
          <w:marRight w:val="0"/>
          <w:marTop w:val="0"/>
          <w:marBottom w:val="0"/>
          <w:divBdr>
            <w:top w:val="none" w:sz="0" w:space="0" w:color="auto"/>
            <w:left w:val="none" w:sz="0" w:space="0" w:color="auto"/>
            <w:bottom w:val="none" w:sz="0" w:space="0" w:color="auto"/>
            <w:right w:val="none" w:sz="0" w:space="0" w:color="auto"/>
          </w:divBdr>
        </w:div>
        <w:div w:id="1207987128">
          <w:marLeft w:val="0"/>
          <w:marRight w:val="0"/>
          <w:marTop w:val="0"/>
          <w:marBottom w:val="0"/>
          <w:divBdr>
            <w:top w:val="none" w:sz="0" w:space="0" w:color="auto"/>
            <w:left w:val="none" w:sz="0" w:space="0" w:color="auto"/>
            <w:bottom w:val="none" w:sz="0" w:space="0" w:color="auto"/>
            <w:right w:val="none" w:sz="0" w:space="0" w:color="auto"/>
          </w:divBdr>
        </w:div>
        <w:div w:id="440955145">
          <w:marLeft w:val="0"/>
          <w:marRight w:val="0"/>
          <w:marTop w:val="0"/>
          <w:marBottom w:val="0"/>
          <w:divBdr>
            <w:top w:val="none" w:sz="0" w:space="0" w:color="auto"/>
            <w:left w:val="none" w:sz="0" w:space="0" w:color="auto"/>
            <w:bottom w:val="none" w:sz="0" w:space="0" w:color="auto"/>
            <w:right w:val="none" w:sz="0" w:space="0" w:color="auto"/>
          </w:divBdr>
        </w:div>
        <w:div w:id="80375387">
          <w:marLeft w:val="0"/>
          <w:marRight w:val="0"/>
          <w:marTop w:val="0"/>
          <w:marBottom w:val="0"/>
          <w:divBdr>
            <w:top w:val="none" w:sz="0" w:space="0" w:color="auto"/>
            <w:left w:val="none" w:sz="0" w:space="0" w:color="auto"/>
            <w:bottom w:val="none" w:sz="0" w:space="0" w:color="auto"/>
            <w:right w:val="none" w:sz="0" w:space="0" w:color="auto"/>
          </w:divBdr>
        </w:div>
      </w:divsChild>
    </w:div>
    <w:div w:id="1119908006">
      <w:bodyDiv w:val="1"/>
      <w:marLeft w:val="0"/>
      <w:marRight w:val="0"/>
      <w:marTop w:val="0"/>
      <w:marBottom w:val="0"/>
      <w:divBdr>
        <w:top w:val="none" w:sz="0" w:space="0" w:color="auto"/>
        <w:left w:val="none" w:sz="0" w:space="0" w:color="auto"/>
        <w:bottom w:val="none" w:sz="0" w:space="0" w:color="auto"/>
        <w:right w:val="none" w:sz="0" w:space="0" w:color="auto"/>
      </w:divBdr>
      <w:divsChild>
        <w:div w:id="747964583">
          <w:marLeft w:val="0"/>
          <w:marRight w:val="0"/>
          <w:marTop w:val="0"/>
          <w:marBottom w:val="0"/>
          <w:divBdr>
            <w:top w:val="none" w:sz="0" w:space="0" w:color="auto"/>
            <w:left w:val="none" w:sz="0" w:space="0" w:color="auto"/>
            <w:bottom w:val="none" w:sz="0" w:space="0" w:color="auto"/>
            <w:right w:val="none" w:sz="0" w:space="0" w:color="auto"/>
          </w:divBdr>
        </w:div>
        <w:div w:id="1860043572">
          <w:marLeft w:val="0"/>
          <w:marRight w:val="0"/>
          <w:marTop w:val="0"/>
          <w:marBottom w:val="0"/>
          <w:divBdr>
            <w:top w:val="none" w:sz="0" w:space="0" w:color="auto"/>
            <w:left w:val="none" w:sz="0" w:space="0" w:color="auto"/>
            <w:bottom w:val="none" w:sz="0" w:space="0" w:color="auto"/>
            <w:right w:val="none" w:sz="0" w:space="0" w:color="auto"/>
          </w:divBdr>
        </w:div>
        <w:div w:id="1891728358">
          <w:marLeft w:val="0"/>
          <w:marRight w:val="0"/>
          <w:marTop w:val="0"/>
          <w:marBottom w:val="0"/>
          <w:divBdr>
            <w:top w:val="none" w:sz="0" w:space="0" w:color="auto"/>
            <w:left w:val="none" w:sz="0" w:space="0" w:color="auto"/>
            <w:bottom w:val="none" w:sz="0" w:space="0" w:color="auto"/>
            <w:right w:val="none" w:sz="0" w:space="0" w:color="auto"/>
          </w:divBdr>
        </w:div>
        <w:div w:id="1664239605">
          <w:marLeft w:val="0"/>
          <w:marRight w:val="0"/>
          <w:marTop w:val="0"/>
          <w:marBottom w:val="0"/>
          <w:divBdr>
            <w:top w:val="none" w:sz="0" w:space="0" w:color="auto"/>
            <w:left w:val="none" w:sz="0" w:space="0" w:color="auto"/>
            <w:bottom w:val="none" w:sz="0" w:space="0" w:color="auto"/>
            <w:right w:val="none" w:sz="0" w:space="0" w:color="auto"/>
          </w:divBdr>
        </w:div>
        <w:div w:id="340401758">
          <w:marLeft w:val="0"/>
          <w:marRight w:val="0"/>
          <w:marTop w:val="0"/>
          <w:marBottom w:val="0"/>
          <w:divBdr>
            <w:top w:val="none" w:sz="0" w:space="0" w:color="auto"/>
            <w:left w:val="none" w:sz="0" w:space="0" w:color="auto"/>
            <w:bottom w:val="none" w:sz="0" w:space="0" w:color="auto"/>
            <w:right w:val="none" w:sz="0" w:space="0" w:color="auto"/>
          </w:divBdr>
        </w:div>
        <w:div w:id="101072120">
          <w:marLeft w:val="0"/>
          <w:marRight w:val="0"/>
          <w:marTop w:val="0"/>
          <w:marBottom w:val="0"/>
          <w:divBdr>
            <w:top w:val="none" w:sz="0" w:space="0" w:color="auto"/>
            <w:left w:val="none" w:sz="0" w:space="0" w:color="auto"/>
            <w:bottom w:val="none" w:sz="0" w:space="0" w:color="auto"/>
            <w:right w:val="none" w:sz="0" w:space="0" w:color="auto"/>
          </w:divBdr>
        </w:div>
        <w:div w:id="11688946">
          <w:marLeft w:val="0"/>
          <w:marRight w:val="0"/>
          <w:marTop w:val="0"/>
          <w:marBottom w:val="0"/>
          <w:divBdr>
            <w:top w:val="none" w:sz="0" w:space="0" w:color="auto"/>
            <w:left w:val="none" w:sz="0" w:space="0" w:color="auto"/>
            <w:bottom w:val="none" w:sz="0" w:space="0" w:color="auto"/>
            <w:right w:val="none" w:sz="0" w:space="0" w:color="auto"/>
          </w:divBdr>
        </w:div>
        <w:div w:id="1840995886">
          <w:marLeft w:val="0"/>
          <w:marRight w:val="0"/>
          <w:marTop w:val="0"/>
          <w:marBottom w:val="0"/>
          <w:divBdr>
            <w:top w:val="none" w:sz="0" w:space="0" w:color="auto"/>
            <w:left w:val="none" w:sz="0" w:space="0" w:color="auto"/>
            <w:bottom w:val="none" w:sz="0" w:space="0" w:color="auto"/>
            <w:right w:val="none" w:sz="0" w:space="0" w:color="auto"/>
          </w:divBdr>
        </w:div>
        <w:div w:id="932082999">
          <w:marLeft w:val="0"/>
          <w:marRight w:val="0"/>
          <w:marTop w:val="0"/>
          <w:marBottom w:val="0"/>
          <w:divBdr>
            <w:top w:val="none" w:sz="0" w:space="0" w:color="auto"/>
            <w:left w:val="none" w:sz="0" w:space="0" w:color="auto"/>
            <w:bottom w:val="none" w:sz="0" w:space="0" w:color="auto"/>
            <w:right w:val="none" w:sz="0" w:space="0" w:color="auto"/>
          </w:divBdr>
        </w:div>
        <w:div w:id="1924484077">
          <w:marLeft w:val="0"/>
          <w:marRight w:val="0"/>
          <w:marTop w:val="0"/>
          <w:marBottom w:val="0"/>
          <w:divBdr>
            <w:top w:val="none" w:sz="0" w:space="0" w:color="auto"/>
            <w:left w:val="none" w:sz="0" w:space="0" w:color="auto"/>
            <w:bottom w:val="none" w:sz="0" w:space="0" w:color="auto"/>
            <w:right w:val="none" w:sz="0" w:space="0" w:color="auto"/>
          </w:divBdr>
        </w:div>
        <w:div w:id="1895267275">
          <w:marLeft w:val="0"/>
          <w:marRight w:val="0"/>
          <w:marTop w:val="0"/>
          <w:marBottom w:val="0"/>
          <w:divBdr>
            <w:top w:val="none" w:sz="0" w:space="0" w:color="auto"/>
            <w:left w:val="none" w:sz="0" w:space="0" w:color="auto"/>
            <w:bottom w:val="none" w:sz="0" w:space="0" w:color="auto"/>
            <w:right w:val="none" w:sz="0" w:space="0" w:color="auto"/>
          </w:divBdr>
        </w:div>
        <w:div w:id="1043019718">
          <w:marLeft w:val="0"/>
          <w:marRight w:val="0"/>
          <w:marTop w:val="0"/>
          <w:marBottom w:val="0"/>
          <w:divBdr>
            <w:top w:val="none" w:sz="0" w:space="0" w:color="auto"/>
            <w:left w:val="none" w:sz="0" w:space="0" w:color="auto"/>
            <w:bottom w:val="none" w:sz="0" w:space="0" w:color="auto"/>
            <w:right w:val="none" w:sz="0" w:space="0" w:color="auto"/>
          </w:divBdr>
        </w:div>
        <w:div w:id="872690892">
          <w:marLeft w:val="0"/>
          <w:marRight w:val="0"/>
          <w:marTop w:val="0"/>
          <w:marBottom w:val="0"/>
          <w:divBdr>
            <w:top w:val="none" w:sz="0" w:space="0" w:color="auto"/>
            <w:left w:val="none" w:sz="0" w:space="0" w:color="auto"/>
            <w:bottom w:val="none" w:sz="0" w:space="0" w:color="auto"/>
            <w:right w:val="none" w:sz="0" w:space="0" w:color="auto"/>
          </w:divBdr>
        </w:div>
        <w:div w:id="544172176">
          <w:marLeft w:val="0"/>
          <w:marRight w:val="0"/>
          <w:marTop w:val="0"/>
          <w:marBottom w:val="0"/>
          <w:divBdr>
            <w:top w:val="none" w:sz="0" w:space="0" w:color="auto"/>
            <w:left w:val="none" w:sz="0" w:space="0" w:color="auto"/>
            <w:bottom w:val="none" w:sz="0" w:space="0" w:color="auto"/>
            <w:right w:val="none" w:sz="0" w:space="0" w:color="auto"/>
          </w:divBdr>
        </w:div>
        <w:div w:id="1901400170">
          <w:marLeft w:val="0"/>
          <w:marRight w:val="0"/>
          <w:marTop w:val="0"/>
          <w:marBottom w:val="0"/>
          <w:divBdr>
            <w:top w:val="none" w:sz="0" w:space="0" w:color="auto"/>
            <w:left w:val="none" w:sz="0" w:space="0" w:color="auto"/>
            <w:bottom w:val="none" w:sz="0" w:space="0" w:color="auto"/>
            <w:right w:val="none" w:sz="0" w:space="0" w:color="auto"/>
          </w:divBdr>
        </w:div>
      </w:divsChild>
    </w:div>
    <w:div w:id="1182090614">
      <w:bodyDiv w:val="1"/>
      <w:marLeft w:val="0"/>
      <w:marRight w:val="0"/>
      <w:marTop w:val="0"/>
      <w:marBottom w:val="0"/>
      <w:divBdr>
        <w:top w:val="none" w:sz="0" w:space="0" w:color="auto"/>
        <w:left w:val="none" w:sz="0" w:space="0" w:color="auto"/>
        <w:bottom w:val="none" w:sz="0" w:space="0" w:color="auto"/>
        <w:right w:val="none" w:sz="0" w:space="0" w:color="auto"/>
      </w:divBdr>
    </w:div>
    <w:div w:id="1609698615">
      <w:bodyDiv w:val="1"/>
      <w:marLeft w:val="0"/>
      <w:marRight w:val="0"/>
      <w:marTop w:val="0"/>
      <w:marBottom w:val="0"/>
      <w:divBdr>
        <w:top w:val="none" w:sz="0" w:space="0" w:color="auto"/>
        <w:left w:val="none" w:sz="0" w:space="0" w:color="auto"/>
        <w:bottom w:val="none" w:sz="0" w:space="0" w:color="auto"/>
        <w:right w:val="none" w:sz="0" w:space="0" w:color="auto"/>
      </w:divBdr>
      <w:divsChild>
        <w:div w:id="804389273">
          <w:marLeft w:val="0"/>
          <w:marRight w:val="0"/>
          <w:marTop w:val="0"/>
          <w:marBottom w:val="0"/>
          <w:divBdr>
            <w:top w:val="none" w:sz="0" w:space="0" w:color="auto"/>
            <w:left w:val="none" w:sz="0" w:space="0" w:color="auto"/>
            <w:bottom w:val="none" w:sz="0" w:space="0" w:color="auto"/>
            <w:right w:val="none" w:sz="0" w:space="0" w:color="auto"/>
          </w:divBdr>
        </w:div>
        <w:div w:id="1217546740">
          <w:marLeft w:val="0"/>
          <w:marRight w:val="0"/>
          <w:marTop w:val="0"/>
          <w:marBottom w:val="0"/>
          <w:divBdr>
            <w:top w:val="none" w:sz="0" w:space="0" w:color="auto"/>
            <w:left w:val="none" w:sz="0" w:space="0" w:color="auto"/>
            <w:bottom w:val="none" w:sz="0" w:space="0" w:color="auto"/>
            <w:right w:val="none" w:sz="0" w:space="0" w:color="auto"/>
          </w:divBdr>
        </w:div>
        <w:div w:id="1099717686">
          <w:marLeft w:val="0"/>
          <w:marRight w:val="0"/>
          <w:marTop w:val="0"/>
          <w:marBottom w:val="0"/>
          <w:divBdr>
            <w:top w:val="none" w:sz="0" w:space="0" w:color="auto"/>
            <w:left w:val="none" w:sz="0" w:space="0" w:color="auto"/>
            <w:bottom w:val="none" w:sz="0" w:space="0" w:color="auto"/>
            <w:right w:val="none" w:sz="0" w:space="0" w:color="auto"/>
          </w:divBdr>
        </w:div>
        <w:div w:id="408306363">
          <w:marLeft w:val="0"/>
          <w:marRight w:val="0"/>
          <w:marTop w:val="0"/>
          <w:marBottom w:val="0"/>
          <w:divBdr>
            <w:top w:val="none" w:sz="0" w:space="0" w:color="auto"/>
            <w:left w:val="none" w:sz="0" w:space="0" w:color="auto"/>
            <w:bottom w:val="none" w:sz="0" w:space="0" w:color="auto"/>
            <w:right w:val="none" w:sz="0" w:space="0" w:color="auto"/>
          </w:divBdr>
        </w:div>
        <w:div w:id="704789679">
          <w:marLeft w:val="0"/>
          <w:marRight w:val="0"/>
          <w:marTop w:val="0"/>
          <w:marBottom w:val="0"/>
          <w:divBdr>
            <w:top w:val="none" w:sz="0" w:space="0" w:color="auto"/>
            <w:left w:val="none" w:sz="0" w:space="0" w:color="auto"/>
            <w:bottom w:val="none" w:sz="0" w:space="0" w:color="auto"/>
            <w:right w:val="none" w:sz="0" w:space="0" w:color="auto"/>
          </w:divBdr>
        </w:div>
        <w:div w:id="440689267">
          <w:marLeft w:val="0"/>
          <w:marRight w:val="0"/>
          <w:marTop w:val="0"/>
          <w:marBottom w:val="0"/>
          <w:divBdr>
            <w:top w:val="none" w:sz="0" w:space="0" w:color="auto"/>
            <w:left w:val="none" w:sz="0" w:space="0" w:color="auto"/>
            <w:bottom w:val="none" w:sz="0" w:space="0" w:color="auto"/>
            <w:right w:val="none" w:sz="0" w:space="0" w:color="auto"/>
          </w:divBdr>
        </w:div>
        <w:div w:id="1817142536">
          <w:marLeft w:val="0"/>
          <w:marRight w:val="0"/>
          <w:marTop w:val="0"/>
          <w:marBottom w:val="0"/>
          <w:divBdr>
            <w:top w:val="none" w:sz="0" w:space="0" w:color="auto"/>
            <w:left w:val="none" w:sz="0" w:space="0" w:color="auto"/>
            <w:bottom w:val="none" w:sz="0" w:space="0" w:color="auto"/>
            <w:right w:val="none" w:sz="0" w:space="0" w:color="auto"/>
          </w:divBdr>
        </w:div>
        <w:div w:id="2034912166">
          <w:marLeft w:val="0"/>
          <w:marRight w:val="0"/>
          <w:marTop w:val="0"/>
          <w:marBottom w:val="0"/>
          <w:divBdr>
            <w:top w:val="none" w:sz="0" w:space="0" w:color="auto"/>
            <w:left w:val="none" w:sz="0" w:space="0" w:color="auto"/>
            <w:bottom w:val="none" w:sz="0" w:space="0" w:color="auto"/>
            <w:right w:val="none" w:sz="0" w:space="0" w:color="auto"/>
          </w:divBdr>
        </w:div>
        <w:div w:id="901914875">
          <w:marLeft w:val="0"/>
          <w:marRight w:val="0"/>
          <w:marTop w:val="0"/>
          <w:marBottom w:val="0"/>
          <w:divBdr>
            <w:top w:val="none" w:sz="0" w:space="0" w:color="auto"/>
            <w:left w:val="none" w:sz="0" w:space="0" w:color="auto"/>
            <w:bottom w:val="none" w:sz="0" w:space="0" w:color="auto"/>
            <w:right w:val="none" w:sz="0" w:space="0" w:color="auto"/>
          </w:divBdr>
        </w:div>
        <w:div w:id="1376932714">
          <w:marLeft w:val="0"/>
          <w:marRight w:val="0"/>
          <w:marTop w:val="0"/>
          <w:marBottom w:val="0"/>
          <w:divBdr>
            <w:top w:val="none" w:sz="0" w:space="0" w:color="auto"/>
            <w:left w:val="none" w:sz="0" w:space="0" w:color="auto"/>
            <w:bottom w:val="none" w:sz="0" w:space="0" w:color="auto"/>
            <w:right w:val="none" w:sz="0" w:space="0" w:color="auto"/>
          </w:divBdr>
        </w:div>
        <w:div w:id="801192801">
          <w:marLeft w:val="0"/>
          <w:marRight w:val="0"/>
          <w:marTop w:val="0"/>
          <w:marBottom w:val="0"/>
          <w:divBdr>
            <w:top w:val="none" w:sz="0" w:space="0" w:color="auto"/>
            <w:left w:val="none" w:sz="0" w:space="0" w:color="auto"/>
            <w:bottom w:val="none" w:sz="0" w:space="0" w:color="auto"/>
            <w:right w:val="none" w:sz="0" w:space="0" w:color="auto"/>
          </w:divBdr>
        </w:div>
        <w:div w:id="269512047">
          <w:marLeft w:val="0"/>
          <w:marRight w:val="0"/>
          <w:marTop w:val="0"/>
          <w:marBottom w:val="0"/>
          <w:divBdr>
            <w:top w:val="none" w:sz="0" w:space="0" w:color="auto"/>
            <w:left w:val="none" w:sz="0" w:space="0" w:color="auto"/>
            <w:bottom w:val="none" w:sz="0" w:space="0" w:color="auto"/>
            <w:right w:val="none" w:sz="0" w:space="0" w:color="auto"/>
          </w:divBdr>
        </w:div>
      </w:divsChild>
    </w:div>
    <w:div w:id="1616668876">
      <w:bodyDiv w:val="1"/>
      <w:marLeft w:val="0"/>
      <w:marRight w:val="0"/>
      <w:marTop w:val="0"/>
      <w:marBottom w:val="0"/>
      <w:divBdr>
        <w:top w:val="none" w:sz="0" w:space="0" w:color="auto"/>
        <w:left w:val="none" w:sz="0" w:space="0" w:color="auto"/>
        <w:bottom w:val="none" w:sz="0" w:space="0" w:color="auto"/>
        <w:right w:val="none" w:sz="0" w:space="0" w:color="auto"/>
      </w:divBdr>
      <w:divsChild>
        <w:div w:id="876087825">
          <w:marLeft w:val="0"/>
          <w:marRight w:val="0"/>
          <w:marTop w:val="0"/>
          <w:marBottom w:val="0"/>
          <w:divBdr>
            <w:top w:val="none" w:sz="0" w:space="0" w:color="auto"/>
            <w:left w:val="none" w:sz="0" w:space="0" w:color="auto"/>
            <w:bottom w:val="none" w:sz="0" w:space="0" w:color="auto"/>
            <w:right w:val="none" w:sz="0" w:space="0" w:color="auto"/>
          </w:divBdr>
        </w:div>
        <w:div w:id="947660120">
          <w:marLeft w:val="0"/>
          <w:marRight w:val="0"/>
          <w:marTop w:val="0"/>
          <w:marBottom w:val="0"/>
          <w:divBdr>
            <w:top w:val="none" w:sz="0" w:space="0" w:color="auto"/>
            <w:left w:val="none" w:sz="0" w:space="0" w:color="auto"/>
            <w:bottom w:val="none" w:sz="0" w:space="0" w:color="auto"/>
            <w:right w:val="none" w:sz="0" w:space="0" w:color="auto"/>
          </w:divBdr>
        </w:div>
        <w:div w:id="1192261027">
          <w:marLeft w:val="0"/>
          <w:marRight w:val="0"/>
          <w:marTop w:val="0"/>
          <w:marBottom w:val="0"/>
          <w:divBdr>
            <w:top w:val="none" w:sz="0" w:space="0" w:color="auto"/>
            <w:left w:val="none" w:sz="0" w:space="0" w:color="auto"/>
            <w:bottom w:val="none" w:sz="0" w:space="0" w:color="auto"/>
            <w:right w:val="none" w:sz="0" w:space="0" w:color="auto"/>
          </w:divBdr>
        </w:div>
        <w:div w:id="457719327">
          <w:marLeft w:val="0"/>
          <w:marRight w:val="0"/>
          <w:marTop w:val="0"/>
          <w:marBottom w:val="0"/>
          <w:divBdr>
            <w:top w:val="none" w:sz="0" w:space="0" w:color="auto"/>
            <w:left w:val="none" w:sz="0" w:space="0" w:color="auto"/>
            <w:bottom w:val="none" w:sz="0" w:space="0" w:color="auto"/>
            <w:right w:val="none" w:sz="0" w:space="0" w:color="auto"/>
          </w:divBdr>
        </w:div>
        <w:div w:id="1019628342">
          <w:marLeft w:val="0"/>
          <w:marRight w:val="0"/>
          <w:marTop w:val="0"/>
          <w:marBottom w:val="0"/>
          <w:divBdr>
            <w:top w:val="none" w:sz="0" w:space="0" w:color="auto"/>
            <w:left w:val="none" w:sz="0" w:space="0" w:color="auto"/>
            <w:bottom w:val="none" w:sz="0" w:space="0" w:color="auto"/>
            <w:right w:val="none" w:sz="0" w:space="0" w:color="auto"/>
          </w:divBdr>
        </w:div>
        <w:div w:id="1642228408">
          <w:marLeft w:val="0"/>
          <w:marRight w:val="0"/>
          <w:marTop w:val="0"/>
          <w:marBottom w:val="0"/>
          <w:divBdr>
            <w:top w:val="none" w:sz="0" w:space="0" w:color="auto"/>
            <w:left w:val="none" w:sz="0" w:space="0" w:color="auto"/>
            <w:bottom w:val="none" w:sz="0" w:space="0" w:color="auto"/>
            <w:right w:val="none" w:sz="0" w:space="0" w:color="auto"/>
          </w:divBdr>
        </w:div>
        <w:div w:id="1041589161">
          <w:marLeft w:val="0"/>
          <w:marRight w:val="0"/>
          <w:marTop w:val="0"/>
          <w:marBottom w:val="0"/>
          <w:divBdr>
            <w:top w:val="none" w:sz="0" w:space="0" w:color="auto"/>
            <w:left w:val="none" w:sz="0" w:space="0" w:color="auto"/>
            <w:bottom w:val="none" w:sz="0" w:space="0" w:color="auto"/>
            <w:right w:val="none" w:sz="0" w:space="0" w:color="auto"/>
          </w:divBdr>
        </w:div>
        <w:div w:id="2100252125">
          <w:marLeft w:val="0"/>
          <w:marRight w:val="0"/>
          <w:marTop w:val="0"/>
          <w:marBottom w:val="0"/>
          <w:divBdr>
            <w:top w:val="none" w:sz="0" w:space="0" w:color="auto"/>
            <w:left w:val="none" w:sz="0" w:space="0" w:color="auto"/>
            <w:bottom w:val="none" w:sz="0" w:space="0" w:color="auto"/>
            <w:right w:val="none" w:sz="0" w:space="0" w:color="auto"/>
          </w:divBdr>
        </w:div>
        <w:div w:id="710421055">
          <w:marLeft w:val="0"/>
          <w:marRight w:val="0"/>
          <w:marTop w:val="0"/>
          <w:marBottom w:val="0"/>
          <w:divBdr>
            <w:top w:val="none" w:sz="0" w:space="0" w:color="auto"/>
            <w:left w:val="none" w:sz="0" w:space="0" w:color="auto"/>
            <w:bottom w:val="none" w:sz="0" w:space="0" w:color="auto"/>
            <w:right w:val="none" w:sz="0" w:space="0" w:color="auto"/>
          </w:divBdr>
        </w:div>
        <w:div w:id="1426152661">
          <w:marLeft w:val="0"/>
          <w:marRight w:val="0"/>
          <w:marTop w:val="0"/>
          <w:marBottom w:val="0"/>
          <w:divBdr>
            <w:top w:val="none" w:sz="0" w:space="0" w:color="auto"/>
            <w:left w:val="none" w:sz="0" w:space="0" w:color="auto"/>
            <w:bottom w:val="none" w:sz="0" w:space="0" w:color="auto"/>
            <w:right w:val="none" w:sz="0" w:space="0" w:color="auto"/>
          </w:divBdr>
        </w:div>
        <w:div w:id="1861238109">
          <w:marLeft w:val="0"/>
          <w:marRight w:val="0"/>
          <w:marTop w:val="0"/>
          <w:marBottom w:val="0"/>
          <w:divBdr>
            <w:top w:val="none" w:sz="0" w:space="0" w:color="auto"/>
            <w:left w:val="none" w:sz="0" w:space="0" w:color="auto"/>
            <w:bottom w:val="none" w:sz="0" w:space="0" w:color="auto"/>
            <w:right w:val="none" w:sz="0" w:space="0" w:color="auto"/>
          </w:divBdr>
        </w:div>
        <w:div w:id="1038553571">
          <w:marLeft w:val="0"/>
          <w:marRight w:val="0"/>
          <w:marTop w:val="0"/>
          <w:marBottom w:val="0"/>
          <w:divBdr>
            <w:top w:val="none" w:sz="0" w:space="0" w:color="auto"/>
            <w:left w:val="none" w:sz="0" w:space="0" w:color="auto"/>
            <w:bottom w:val="none" w:sz="0" w:space="0" w:color="auto"/>
            <w:right w:val="none" w:sz="0" w:space="0" w:color="auto"/>
          </w:divBdr>
        </w:div>
        <w:div w:id="1326856749">
          <w:marLeft w:val="0"/>
          <w:marRight w:val="0"/>
          <w:marTop w:val="0"/>
          <w:marBottom w:val="0"/>
          <w:divBdr>
            <w:top w:val="none" w:sz="0" w:space="0" w:color="auto"/>
            <w:left w:val="none" w:sz="0" w:space="0" w:color="auto"/>
            <w:bottom w:val="none" w:sz="0" w:space="0" w:color="auto"/>
            <w:right w:val="none" w:sz="0" w:space="0" w:color="auto"/>
          </w:divBdr>
        </w:div>
      </w:divsChild>
    </w:div>
    <w:div w:id="1765568191">
      <w:bodyDiv w:val="1"/>
      <w:marLeft w:val="0"/>
      <w:marRight w:val="0"/>
      <w:marTop w:val="0"/>
      <w:marBottom w:val="0"/>
      <w:divBdr>
        <w:top w:val="none" w:sz="0" w:space="0" w:color="auto"/>
        <w:left w:val="none" w:sz="0" w:space="0" w:color="auto"/>
        <w:bottom w:val="none" w:sz="0" w:space="0" w:color="auto"/>
        <w:right w:val="none" w:sz="0" w:space="0" w:color="auto"/>
      </w:divBdr>
      <w:divsChild>
        <w:div w:id="1813523392">
          <w:marLeft w:val="0"/>
          <w:marRight w:val="0"/>
          <w:marTop w:val="0"/>
          <w:marBottom w:val="0"/>
          <w:divBdr>
            <w:top w:val="none" w:sz="0" w:space="0" w:color="auto"/>
            <w:left w:val="none" w:sz="0" w:space="0" w:color="auto"/>
            <w:bottom w:val="none" w:sz="0" w:space="0" w:color="auto"/>
            <w:right w:val="none" w:sz="0" w:space="0" w:color="auto"/>
          </w:divBdr>
        </w:div>
        <w:div w:id="2110198182">
          <w:marLeft w:val="0"/>
          <w:marRight w:val="0"/>
          <w:marTop w:val="0"/>
          <w:marBottom w:val="0"/>
          <w:divBdr>
            <w:top w:val="none" w:sz="0" w:space="0" w:color="auto"/>
            <w:left w:val="none" w:sz="0" w:space="0" w:color="auto"/>
            <w:bottom w:val="none" w:sz="0" w:space="0" w:color="auto"/>
            <w:right w:val="none" w:sz="0" w:space="0" w:color="auto"/>
          </w:divBdr>
        </w:div>
        <w:div w:id="683634414">
          <w:marLeft w:val="0"/>
          <w:marRight w:val="0"/>
          <w:marTop w:val="0"/>
          <w:marBottom w:val="0"/>
          <w:divBdr>
            <w:top w:val="none" w:sz="0" w:space="0" w:color="auto"/>
            <w:left w:val="none" w:sz="0" w:space="0" w:color="auto"/>
            <w:bottom w:val="none" w:sz="0" w:space="0" w:color="auto"/>
            <w:right w:val="none" w:sz="0" w:space="0" w:color="auto"/>
          </w:divBdr>
        </w:div>
        <w:div w:id="1327629281">
          <w:marLeft w:val="0"/>
          <w:marRight w:val="0"/>
          <w:marTop w:val="0"/>
          <w:marBottom w:val="0"/>
          <w:divBdr>
            <w:top w:val="none" w:sz="0" w:space="0" w:color="auto"/>
            <w:left w:val="none" w:sz="0" w:space="0" w:color="auto"/>
            <w:bottom w:val="none" w:sz="0" w:space="0" w:color="auto"/>
            <w:right w:val="none" w:sz="0" w:space="0" w:color="auto"/>
          </w:divBdr>
        </w:div>
        <w:div w:id="1686323249">
          <w:marLeft w:val="0"/>
          <w:marRight w:val="0"/>
          <w:marTop w:val="0"/>
          <w:marBottom w:val="0"/>
          <w:divBdr>
            <w:top w:val="none" w:sz="0" w:space="0" w:color="auto"/>
            <w:left w:val="none" w:sz="0" w:space="0" w:color="auto"/>
            <w:bottom w:val="none" w:sz="0" w:space="0" w:color="auto"/>
            <w:right w:val="none" w:sz="0" w:space="0" w:color="auto"/>
          </w:divBdr>
        </w:div>
        <w:div w:id="639580728">
          <w:marLeft w:val="0"/>
          <w:marRight w:val="0"/>
          <w:marTop w:val="0"/>
          <w:marBottom w:val="0"/>
          <w:divBdr>
            <w:top w:val="none" w:sz="0" w:space="0" w:color="auto"/>
            <w:left w:val="none" w:sz="0" w:space="0" w:color="auto"/>
            <w:bottom w:val="none" w:sz="0" w:space="0" w:color="auto"/>
            <w:right w:val="none" w:sz="0" w:space="0" w:color="auto"/>
          </w:divBdr>
        </w:div>
        <w:div w:id="150997107">
          <w:marLeft w:val="0"/>
          <w:marRight w:val="0"/>
          <w:marTop w:val="0"/>
          <w:marBottom w:val="0"/>
          <w:divBdr>
            <w:top w:val="none" w:sz="0" w:space="0" w:color="auto"/>
            <w:left w:val="none" w:sz="0" w:space="0" w:color="auto"/>
            <w:bottom w:val="none" w:sz="0" w:space="0" w:color="auto"/>
            <w:right w:val="none" w:sz="0" w:space="0" w:color="auto"/>
          </w:divBdr>
        </w:div>
        <w:div w:id="947390409">
          <w:marLeft w:val="0"/>
          <w:marRight w:val="0"/>
          <w:marTop w:val="0"/>
          <w:marBottom w:val="0"/>
          <w:divBdr>
            <w:top w:val="none" w:sz="0" w:space="0" w:color="auto"/>
            <w:left w:val="none" w:sz="0" w:space="0" w:color="auto"/>
            <w:bottom w:val="none" w:sz="0" w:space="0" w:color="auto"/>
            <w:right w:val="none" w:sz="0" w:space="0" w:color="auto"/>
          </w:divBdr>
        </w:div>
        <w:div w:id="1176263245">
          <w:marLeft w:val="0"/>
          <w:marRight w:val="0"/>
          <w:marTop w:val="0"/>
          <w:marBottom w:val="0"/>
          <w:divBdr>
            <w:top w:val="none" w:sz="0" w:space="0" w:color="auto"/>
            <w:left w:val="none" w:sz="0" w:space="0" w:color="auto"/>
            <w:bottom w:val="none" w:sz="0" w:space="0" w:color="auto"/>
            <w:right w:val="none" w:sz="0" w:space="0" w:color="auto"/>
          </w:divBdr>
        </w:div>
      </w:divsChild>
    </w:div>
    <w:div w:id="1887571226">
      <w:bodyDiv w:val="1"/>
      <w:marLeft w:val="0"/>
      <w:marRight w:val="0"/>
      <w:marTop w:val="0"/>
      <w:marBottom w:val="0"/>
      <w:divBdr>
        <w:top w:val="none" w:sz="0" w:space="0" w:color="auto"/>
        <w:left w:val="none" w:sz="0" w:space="0" w:color="auto"/>
        <w:bottom w:val="none" w:sz="0" w:space="0" w:color="auto"/>
        <w:right w:val="none" w:sz="0" w:space="0" w:color="auto"/>
      </w:divBdr>
      <w:divsChild>
        <w:div w:id="1348097224">
          <w:marLeft w:val="0"/>
          <w:marRight w:val="0"/>
          <w:marTop w:val="0"/>
          <w:marBottom w:val="0"/>
          <w:divBdr>
            <w:top w:val="none" w:sz="0" w:space="0" w:color="auto"/>
            <w:left w:val="none" w:sz="0" w:space="0" w:color="auto"/>
            <w:bottom w:val="none" w:sz="0" w:space="0" w:color="auto"/>
            <w:right w:val="none" w:sz="0" w:space="0" w:color="auto"/>
          </w:divBdr>
        </w:div>
        <w:div w:id="753208099">
          <w:marLeft w:val="0"/>
          <w:marRight w:val="0"/>
          <w:marTop w:val="0"/>
          <w:marBottom w:val="0"/>
          <w:divBdr>
            <w:top w:val="none" w:sz="0" w:space="0" w:color="auto"/>
            <w:left w:val="none" w:sz="0" w:space="0" w:color="auto"/>
            <w:bottom w:val="none" w:sz="0" w:space="0" w:color="auto"/>
            <w:right w:val="none" w:sz="0" w:space="0" w:color="auto"/>
          </w:divBdr>
        </w:div>
        <w:div w:id="922491884">
          <w:marLeft w:val="0"/>
          <w:marRight w:val="0"/>
          <w:marTop w:val="0"/>
          <w:marBottom w:val="0"/>
          <w:divBdr>
            <w:top w:val="none" w:sz="0" w:space="0" w:color="auto"/>
            <w:left w:val="none" w:sz="0" w:space="0" w:color="auto"/>
            <w:bottom w:val="none" w:sz="0" w:space="0" w:color="auto"/>
            <w:right w:val="none" w:sz="0" w:space="0" w:color="auto"/>
          </w:divBdr>
        </w:div>
        <w:div w:id="712732469">
          <w:marLeft w:val="0"/>
          <w:marRight w:val="0"/>
          <w:marTop w:val="0"/>
          <w:marBottom w:val="0"/>
          <w:divBdr>
            <w:top w:val="none" w:sz="0" w:space="0" w:color="auto"/>
            <w:left w:val="none" w:sz="0" w:space="0" w:color="auto"/>
            <w:bottom w:val="none" w:sz="0" w:space="0" w:color="auto"/>
            <w:right w:val="none" w:sz="0" w:space="0" w:color="auto"/>
          </w:divBdr>
        </w:div>
        <w:div w:id="2119333322">
          <w:marLeft w:val="0"/>
          <w:marRight w:val="0"/>
          <w:marTop w:val="0"/>
          <w:marBottom w:val="0"/>
          <w:divBdr>
            <w:top w:val="none" w:sz="0" w:space="0" w:color="auto"/>
            <w:left w:val="none" w:sz="0" w:space="0" w:color="auto"/>
            <w:bottom w:val="none" w:sz="0" w:space="0" w:color="auto"/>
            <w:right w:val="none" w:sz="0" w:space="0" w:color="auto"/>
          </w:divBdr>
        </w:div>
        <w:div w:id="1611234004">
          <w:marLeft w:val="0"/>
          <w:marRight w:val="0"/>
          <w:marTop w:val="0"/>
          <w:marBottom w:val="0"/>
          <w:divBdr>
            <w:top w:val="none" w:sz="0" w:space="0" w:color="auto"/>
            <w:left w:val="none" w:sz="0" w:space="0" w:color="auto"/>
            <w:bottom w:val="none" w:sz="0" w:space="0" w:color="auto"/>
            <w:right w:val="none" w:sz="0" w:space="0" w:color="auto"/>
          </w:divBdr>
        </w:div>
        <w:div w:id="1024599748">
          <w:marLeft w:val="0"/>
          <w:marRight w:val="0"/>
          <w:marTop w:val="0"/>
          <w:marBottom w:val="0"/>
          <w:divBdr>
            <w:top w:val="none" w:sz="0" w:space="0" w:color="auto"/>
            <w:left w:val="none" w:sz="0" w:space="0" w:color="auto"/>
            <w:bottom w:val="none" w:sz="0" w:space="0" w:color="auto"/>
            <w:right w:val="none" w:sz="0" w:space="0" w:color="auto"/>
          </w:divBdr>
        </w:div>
        <w:div w:id="1174959610">
          <w:marLeft w:val="0"/>
          <w:marRight w:val="0"/>
          <w:marTop w:val="0"/>
          <w:marBottom w:val="0"/>
          <w:divBdr>
            <w:top w:val="none" w:sz="0" w:space="0" w:color="auto"/>
            <w:left w:val="none" w:sz="0" w:space="0" w:color="auto"/>
            <w:bottom w:val="none" w:sz="0" w:space="0" w:color="auto"/>
            <w:right w:val="none" w:sz="0" w:space="0" w:color="auto"/>
          </w:divBdr>
        </w:div>
        <w:div w:id="457450847">
          <w:marLeft w:val="0"/>
          <w:marRight w:val="0"/>
          <w:marTop w:val="0"/>
          <w:marBottom w:val="0"/>
          <w:divBdr>
            <w:top w:val="none" w:sz="0" w:space="0" w:color="auto"/>
            <w:left w:val="none" w:sz="0" w:space="0" w:color="auto"/>
            <w:bottom w:val="none" w:sz="0" w:space="0" w:color="auto"/>
            <w:right w:val="none" w:sz="0" w:space="0" w:color="auto"/>
          </w:divBdr>
        </w:div>
        <w:div w:id="1118447285">
          <w:marLeft w:val="0"/>
          <w:marRight w:val="0"/>
          <w:marTop w:val="0"/>
          <w:marBottom w:val="0"/>
          <w:divBdr>
            <w:top w:val="none" w:sz="0" w:space="0" w:color="auto"/>
            <w:left w:val="none" w:sz="0" w:space="0" w:color="auto"/>
            <w:bottom w:val="none" w:sz="0" w:space="0" w:color="auto"/>
            <w:right w:val="none" w:sz="0" w:space="0" w:color="auto"/>
          </w:divBdr>
        </w:div>
        <w:div w:id="1919055641">
          <w:marLeft w:val="0"/>
          <w:marRight w:val="0"/>
          <w:marTop w:val="0"/>
          <w:marBottom w:val="0"/>
          <w:divBdr>
            <w:top w:val="none" w:sz="0" w:space="0" w:color="auto"/>
            <w:left w:val="none" w:sz="0" w:space="0" w:color="auto"/>
            <w:bottom w:val="none" w:sz="0" w:space="0" w:color="auto"/>
            <w:right w:val="none" w:sz="0" w:space="0" w:color="auto"/>
          </w:divBdr>
        </w:div>
        <w:div w:id="490678968">
          <w:marLeft w:val="0"/>
          <w:marRight w:val="0"/>
          <w:marTop w:val="0"/>
          <w:marBottom w:val="0"/>
          <w:divBdr>
            <w:top w:val="none" w:sz="0" w:space="0" w:color="auto"/>
            <w:left w:val="none" w:sz="0" w:space="0" w:color="auto"/>
            <w:bottom w:val="none" w:sz="0" w:space="0" w:color="auto"/>
            <w:right w:val="none" w:sz="0" w:space="0" w:color="auto"/>
          </w:divBdr>
        </w:div>
        <w:div w:id="1710494409">
          <w:marLeft w:val="0"/>
          <w:marRight w:val="0"/>
          <w:marTop w:val="0"/>
          <w:marBottom w:val="0"/>
          <w:divBdr>
            <w:top w:val="none" w:sz="0" w:space="0" w:color="auto"/>
            <w:left w:val="none" w:sz="0" w:space="0" w:color="auto"/>
            <w:bottom w:val="none" w:sz="0" w:space="0" w:color="auto"/>
            <w:right w:val="none" w:sz="0" w:space="0" w:color="auto"/>
          </w:divBdr>
        </w:div>
        <w:div w:id="1117681163">
          <w:marLeft w:val="0"/>
          <w:marRight w:val="0"/>
          <w:marTop w:val="0"/>
          <w:marBottom w:val="0"/>
          <w:divBdr>
            <w:top w:val="none" w:sz="0" w:space="0" w:color="auto"/>
            <w:left w:val="none" w:sz="0" w:space="0" w:color="auto"/>
            <w:bottom w:val="none" w:sz="0" w:space="0" w:color="auto"/>
            <w:right w:val="none" w:sz="0" w:space="0" w:color="auto"/>
          </w:divBdr>
        </w:div>
        <w:div w:id="673269068">
          <w:marLeft w:val="0"/>
          <w:marRight w:val="0"/>
          <w:marTop w:val="0"/>
          <w:marBottom w:val="0"/>
          <w:divBdr>
            <w:top w:val="none" w:sz="0" w:space="0" w:color="auto"/>
            <w:left w:val="none" w:sz="0" w:space="0" w:color="auto"/>
            <w:bottom w:val="none" w:sz="0" w:space="0" w:color="auto"/>
            <w:right w:val="none" w:sz="0" w:space="0" w:color="auto"/>
          </w:divBdr>
        </w:div>
        <w:div w:id="345180858">
          <w:marLeft w:val="0"/>
          <w:marRight w:val="0"/>
          <w:marTop w:val="0"/>
          <w:marBottom w:val="0"/>
          <w:divBdr>
            <w:top w:val="none" w:sz="0" w:space="0" w:color="auto"/>
            <w:left w:val="none" w:sz="0" w:space="0" w:color="auto"/>
            <w:bottom w:val="none" w:sz="0" w:space="0" w:color="auto"/>
            <w:right w:val="none" w:sz="0" w:space="0" w:color="auto"/>
          </w:divBdr>
        </w:div>
        <w:div w:id="353922081">
          <w:marLeft w:val="0"/>
          <w:marRight w:val="0"/>
          <w:marTop w:val="0"/>
          <w:marBottom w:val="0"/>
          <w:divBdr>
            <w:top w:val="none" w:sz="0" w:space="0" w:color="auto"/>
            <w:left w:val="none" w:sz="0" w:space="0" w:color="auto"/>
            <w:bottom w:val="none" w:sz="0" w:space="0" w:color="auto"/>
            <w:right w:val="none" w:sz="0" w:space="0" w:color="auto"/>
          </w:divBdr>
        </w:div>
        <w:div w:id="1501969195">
          <w:marLeft w:val="0"/>
          <w:marRight w:val="0"/>
          <w:marTop w:val="0"/>
          <w:marBottom w:val="0"/>
          <w:divBdr>
            <w:top w:val="none" w:sz="0" w:space="0" w:color="auto"/>
            <w:left w:val="none" w:sz="0" w:space="0" w:color="auto"/>
            <w:bottom w:val="none" w:sz="0" w:space="0" w:color="auto"/>
            <w:right w:val="none" w:sz="0" w:space="0" w:color="auto"/>
          </w:divBdr>
        </w:div>
        <w:div w:id="2132090057">
          <w:marLeft w:val="0"/>
          <w:marRight w:val="0"/>
          <w:marTop w:val="0"/>
          <w:marBottom w:val="0"/>
          <w:divBdr>
            <w:top w:val="none" w:sz="0" w:space="0" w:color="auto"/>
            <w:left w:val="none" w:sz="0" w:space="0" w:color="auto"/>
            <w:bottom w:val="none" w:sz="0" w:space="0" w:color="auto"/>
            <w:right w:val="none" w:sz="0" w:space="0" w:color="auto"/>
          </w:divBdr>
        </w:div>
        <w:div w:id="1310086323">
          <w:marLeft w:val="0"/>
          <w:marRight w:val="0"/>
          <w:marTop w:val="0"/>
          <w:marBottom w:val="0"/>
          <w:divBdr>
            <w:top w:val="none" w:sz="0" w:space="0" w:color="auto"/>
            <w:left w:val="none" w:sz="0" w:space="0" w:color="auto"/>
            <w:bottom w:val="none" w:sz="0" w:space="0" w:color="auto"/>
            <w:right w:val="none" w:sz="0" w:space="0" w:color="auto"/>
          </w:divBdr>
        </w:div>
        <w:div w:id="1855803965">
          <w:marLeft w:val="0"/>
          <w:marRight w:val="0"/>
          <w:marTop w:val="0"/>
          <w:marBottom w:val="0"/>
          <w:divBdr>
            <w:top w:val="none" w:sz="0" w:space="0" w:color="auto"/>
            <w:left w:val="none" w:sz="0" w:space="0" w:color="auto"/>
            <w:bottom w:val="none" w:sz="0" w:space="0" w:color="auto"/>
            <w:right w:val="none" w:sz="0" w:space="0" w:color="auto"/>
          </w:divBdr>
        </w:div>
        <w:div w:id="446898946">
          <w:marLeft w:val="0"/>
          <w:marRight w:val="0"/>
          <w:marTop w:val="0"/>
          <w:marBottom w:val="0"/>
          <w:divBdr>
            <w:top w:val="none" w:sz="0" w:space="0" w:color="auto"/>
            <w:left w:val="none" w:sz="0" w:space="0" w:color="auto"/>
            <w:bottom w:val="none" w:sz="0" w:space="0" w:color="auto"/>
            <w:right w:val="none" w:sz="0" w:space="0" w:color="auto"/>
          </w:divBdr>
        </w:div>
        <w:div w:id="590164802">
          <w:marLeft w:val="0"/>
          <w:marRight w:val="0"/>
          <w:marTop w:val="0"/>
          <w:marBottom w:val="0"/>
          <w:divBdr>
            <w:top w:val="none" w:sz="0" w:space="0" w:color="auto"/>
            <w:left w:val="none" w:sz="0" w:space="0" w:color="auto"/>
            <w:bottom w:val="none" w:sz="0" w:space="0" w:color="auto"/>
            <w:right w:val="none" w:sz="0" w:space="0" w:color="auto"/>
          </w:divBdr>
        </w:div>
        <w:div w:id="309482312">
          <w:marLeft w:val="0"/>
          <w:marRight w:val="0"/>
          <w:marTop w:val="0"/>
          <w:marBottom w:val="0"/>
          <w:divBdr>
            <w:top w:val="none" w:sz="0" w:space="0" w:color="auto"/>
            <w:left w:val="none" w:sz="0" w:space="0" w:color="auto"/>
            <w:bottom w:val="none" w:sz="0" w:space="0" w:color="auto"/>
            <w:right w:val="none" w:sz="0" w:space="0" w:color="auto"/>
          </w:divBdr>
        </w:div>
        <w:div w:id="241643382">
          <w:marLeft w:val="0"/>
          <w:marRight w:val="0"/>
          <w:marTop w:val="0"/>
          <w:marBottom w:val="0"/>
          <w:divBdr>
            <w:top w:val="none" w:sz="0" w:space="0" w:color="auto"/>
            <w:left w:val="none" w:sz="0" w:space="0" w:color="auto"/>
            <w:bottom w:val="none" w:sz="0" w:space="0" w:color="auto"/>
            <w:right w:val="none" w:sz="0" w:space="0" w:color="auto"/>
          </w:divBdr>
        </w:div>
        <w:div w:id="1674062270">
          <w:marLeft w:val="0"/>
          <w:marRight w:val="0"/>
          <w:marTop w:val="0"/>
          <w:marBottom w:val="0"/>
          <w:divBdr>
            <w:top w:val="none" w:sz="0" w:space="0" w:color="auto"/>
            <w:left w:val="none" w:sz="0" w:space="0" w:color="auto"/>
            <w:bottom w:val="none" w:sz="0" w:space="0" w:color="auto"/>
            <w:right w:val="none" w:sz="0" w:space="0" w:color="auto"/>
          </w:divBdr>
        </w:div>
        <w:div w:id="1801344532">
          <w:marLeft w:val="0"/>
          <w:marRight w:val="0"/>
          <w:marTop w:val="0"/>
          <w:marBottom w:val="0"/>
          <w:divBdr>
            <w:top w:val="none" w:sz="0" w:space="0" w:color="auto"/>
            <w:left w:val="none" w:sz="0" w:space="0" w:color="auto"/>
            <w:bottom w:val="none" w:sz="0" w:space="0" w:color="auto"/>
            <w:right w:val="none" w:sz="0" w:space="0" w:color="auto"/>
          </w:divBdr>
        </w:div>
        <w:div w:id="13120995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lctas.org.au/what/reform/" TargetMode="External"/><Relationship Id="rId2" Type="http://schemas.openxmlformats.org/officeDocument/2006/relationships/hyperlink" Target="http://www.clctas.org.au/what/reform/" TargetMode="External"/><Relationship Id="rId3" Type="http://schemas.openxmlformats.org/officeDocument/2006/relationships/hyperlink" Target="http://www.smh.com.au/business/consumer-affairs/domestic-violence-victims-given-the-power-to-terminate-rental-contracts-early-20160704-gpy1k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12</Pages>
  <Words>3985</Words>
  <Characters>22718</Characters>
  <Application>Microsoft Macintosh Word</Application>
  <DocSecurity>0</DocSecurity>
  <Lines>189</Lines>
  <Paragraphs>53</Paragraphs>
  <ScaleCrop>false</ScaleCrop>
  <Company>TACLC</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Ben Bartl</cp:lastModifiedBy>
  <cp:revision>27</cp:revision>
  <cp:lastPrinted>2017-02-01T00:51:00Z</cp:lastPrinted>
  <dcterms:created xsi:type="dcterms:W3CDTF">2017-01-30T21:37:00Z</dcterms:created>
  <dcterms:modified xsi:type="dcterms:W3CDTF">2017-02-06T21:44:00Z</dcterms:modified>
</cp:coreProperties>
</file>