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CEF86" w14:textId="77777777" w:rsidR="004B60B8" w:rsidRDefault="004B60B8" w:rsidP="004B60B8">
      <w:pPr>
        <w:ind w:right="-347"/>
        <w:jc w:val="center"/>
      </w:pPr>
      <w:r>
        <w:rPr>
          <w:noProof/>
          <w:sz w:val="20"/>
          <w:szCs w:val="20"/>
          <w:lang w:val="en-AU" w:eastAsia="en-AU"/>
        </w:rPr>
        <w:drawing>
          <wp:inline distT="0" distB="0" distL="0" distR="0" wp14:anchorId="130D2820" wp14:editId="7AC908AC">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6EADF30B" w14:textId="77777777" w:rsidR="004B60B8" w:rsidRPr="00A7231F" w:rsidRDefault="004B60B8" w:rsidP="004B60B8">
      <w:pPr>
        <w:ind w:right="-347"/>
      </w:pPr>
    </w:p>
    <w:p w14:paraId="2251E782" w14:textId="77777777" w:rsidR="004B60B8" w:rsidRDefault="004B60B8" w:rsidP="004B60B8">
      <w:pPr>
        <w:ind w:right="-347"/>
      </w:pPr>
    </w:p>
    <w:p w14:paraId="3B2B191A" w14:textId="77777777" w:rsidR="004B60B8" w:rsidRDefault="004B60B8" w:rsidP="004B60B8">
      <w:pPr>
        <w:ind w:right="-347"/>
      </w:pPr>
    </w:p>
    <w:p w14:paraId="7F6EE118" w14:textId="77777777" w:rsidR="004B60B8" w:rsidRPr="00A7231F" w:rsidRDefault="004B60B8" w:rsidP="004B60B8">
      <w:pPr>
        <w:ind w:right="-347"/>
      </w:pPr>
      <w:r>
        <w:t>3 September 2018</w:t>
      </w:r>
    </w:p>
    <w:p w14:paraId="5BBE5013" w14:textId="77777777" w:rsidR="004B60B8" w:rsidRPr="00A7231F" w:rsidRDefault="004B60B8" w:rsidP="004B60B8">
      <w:pPr>
        <w:ind w:right="-347"/>
      </w:pPr>
    </w:p>
    <w:p w14:paraId="2F12DA92" w14:textId="77777777" w:rsidR="004B60B8" w:rsidRDefault="004B60B8" w:rsidP="004B60B8">
      <w:pPr>
        <w:ind w:right="-347"/>
      </w:pPr>
      <w:r>
        <w:t>Department of Justice</w:t>
      </w:r>
    </w:p>
    <w:p w14:paraId="0157DB93" w14:textId="77777777" w:rsidR="004B60B8" w:rsidRDefault="004B60B8" w:rsidP="004B60B8">
      <w:pPr>
        <w:ind w:right="-347"/>
      </w:pPr>
      <w:r>
        <w:t>Office of the Secretary</w:t>
      </w:r>
    </w:p>
    <w:p w14:paraId="228F4349" w14:textId="77777777" w:rsidR="004B60B8" w:rsidRDefault="004B60B8" w:rsidP="004B60B8">
      <w:pPr>
        <w:ind w:right="-347"/>
      </w:pPr>
      <w:r>
        <w:t xml:space="preserve">GPO Box 825 </w:t>
      </w:r>
    </w:p>
    <w:p w14:paraId="6D1519CA" w14:textId="77777777" w:rsidR="004B60B8" w:rsidRDefault="004B60B8" w:rsidP="004B60B8">
      <w:pPr>
        <w:ind w:right="-347"/>
      </w:pPr>
      <w:r>
        <w:t>Hobart TAS 7001</w:t>
      </w:r>
    </w:p>
    <w:p w14:paraId="5D8B50A8" w14:textId="77777777" w:rsidR="004B60B8" w:rsidRDefault="004B60B8" w:rsidP="004B60B8">
      <w:pPr>
        <w:ind w:right="-347"/>
      </w:pPr>
      <w:r>
        <w:t>attn: Director</w:t>
      </w:r>
    </w:p>
    <w:p w14:paraId="44A21F6A" w14:textId="77777777" w:rsidR="004B60B8" w:rsidRDefault="004B60B8" w:rsidP="004B60B8">
      <w:pPr>
        <w:ind w:right="-347"/>
      </w:pPr>
    </w:p>
    <w:p w14:paraId="1A9BEBF1" w14:textId="77777777" w:rsidR="004B60B8" w:rsidRDefault="004B60B8" w:rsidP="004B60B8">
      <w:pPr>
        <w:ind w:right="-347"/>
      </w:pPr>
      <w:r w:rsidRPr="0022614F">
        <w:rPr>
          <w:b/>
          <w:bCs/>
        </w:rPr>
        <w:t>via email</w:t>
      </w:r>
      <w:r>
        <w:t xml:space="preserve">: </w:t>
      </w:r>
      <w:hyperlink r:id="rId8" w:history="1">
        <w:r w:rsidRPr="00DE47B2">
          <w:rPr>
            <w:rStyle w:val="Hyperlink"/>
          </w:rPr>
          <w:t>haveyoursay@justice.tas.gov.au</w:t>
        </w:r>
      </w:hyperlink>
      <w:r>
        <w:t xml:space="preserve"> </w:t>
      </w:r>
    </w:p>
    <w:p w14:paraId="6AB74C7F" w14:textId="77777777" w:rsidR="004B60B8" w:rsidRDefault="004B60B8" w:rsidP="004B60B8">
      <w:pPr>
        <w:ind w:right="-347"/>
      </w:pPr>
    </w:p>
    <w:p w14:paraId="14FE9D13" w14:textId="77777777" w:rsidR="004B60B8" w:rsidRDefault="004B60B8" w:rsidP="004B60B8">
      <w:pPr>
        <w:ind w:right="-347"/>
      </w:pPr>
      <w:r>
        <w:t>To Brooke Craven,</w:t>
      </w:r>
    </w:p>
    <w:p w14:paraId="06DC9BD3" w14:textId="77777777" w:rsidR="004B60B8" w:rsidRDefault="004B60B8" w:rsidP="004B60B8">
      <w:pPr>
        <w:pBdr>
          <w:bottom w:val="single" w:sz="6" w:space="1" w:color="auto"/>
        </w:pBdr>
        <w:ind w:right="-347"/>
        <w:rPr>
          <w:rFonts w:cs="Arial"/>
        </w:rPr>
      </w:pPr>
      <w:r w:rsidRPr="00C95395">
        <w:rPr>
          <w:b/>
        </w:rPr>
        <w:t xml:space="preserve">Re: </w:t>
      </w:r>
      <w:r>
        <w:rPr>
          <w:b/>
          <w:i/>
        </w:rPr>
        <w:t>Family Violence Reforms Bill 2018</w:t>
      </w:r>
    </w:p>
    <w:p w14:paraId="5852B0C9" w14:textId="77777777" w:rsidR="004B60B8" w:rsidRDefault="004B60B8" w:rsidP="004B60B8">
      <w:pPr>
        <w:ind w:right="-347"/>
        <w:jc w:val="both"/>
        <w:rPr>
          <w:rFonts w:cs="Calibri"/>
        </w:rPr>
      </w:pPr>
    </w:p>
    <w:p w14:paraId="166A9DD6" w14:textId="77777777" w:rsidR="001F3A86" w:rsidRDefault="004B60B8" w:rsidP="004B60B8">
      <w:pPr>
        <w:ind w:right="-347"/>
        <w:jc w:val="both"/>
      </w:pPr>
      <w:r w:rsidRPr="008A004F">
        <w:rPr>
          <w:rFonts w:cs="Calibri"/>
        </w:rPr>
        <w:t>Community Legal Centres Tasmania (CLC Tas)</w:t>
      </w:r>
      <w:r w:rsidRPr="008A004F">
        <w:t xml:space="preserve"> </w:t>
      </w:r>
      <w:r>
        <w:t>welcomes</w:t>
      </w:r>
      <w:r w:rsidRPr="008A004F">
        <w:t xml:space="preserve"> the opportunity to </w:t>
      </w:r>
      <w:r>
        <w:t xml:space="preserve">provide </w:t>
      </w:r>
      <w:r w:rsidRPr="00C1176A">
        <w:t xml:space="preserve">comment on the </w:t>
      </w:r>
      <w:r>
        <w:rPr>
          <w:i/>
        </w:rPr>
        <w:t>Family Violence Reforms Bill 2018</w:t>
      </w:r>
      <w:r w:rsidRPr="00C1176A">
        <w:t>.</w:t>
      </w:r>
      <w:r w:rsidRPr="00C1176A">
        <w:rPr>
          <w:rStyle w:val="FootnoteReference"/>
        </w:rPr>
        <w:footnoteReference w:id="1"/>
      </w:r>
    </w:p>
    <w:p w14:paraId="15684729" w14:textId="77777777" w:rsidR="001F3A86" w:rsidRDefault="001F3A86" w:rsidP="004B60B8">
      <w:pPr>
        <w:ind w:right="-347"/>
        <w:jc w:val="both"/>
      </w:pPr>
    </w:p>
    <w:p w14:paraId="0E5986AB" w14:textId="1335E393" w:rsidR="001F3A86" w:rsidRPr="001F3A86" w:rsidRDefault="004B60B8" w:rsidP="004B60B8">
      <w:pPr>
        <w:ind w:right="-347"/>
        <w:jc w:val="both"/>
      </w:pPr>
      <w:r w:rsidRPr="008A004F">
        <w:rPr>
          <w:rFonts w:eastAsia="Times New Roman" w:cs="Arial"/>
          <w:lang w:eastAsia="en-AU"/>
        </w:rPr>
        <w:t xml:space="preserve">CLC Tas </w:t>
      </w:r>
      <w:r w:rsidRPr="008A004F">
        <w:rPr>
          <w:rFonts w:cs="Arial"/>
        </w:rPr>
        <w:t xml:space="preserve">is the peak body representing the interests of </w:t>
      </w:r>
      <w:r>
        <w:rPr>
          <w:rFonts w:cs="Arial"/>
        </w:rPr>
        <w:t>nine</w:t>
      </w:r>
      <w:r w:rsidRPr="008A004F">
        <w:rPr>
          <w:rFonts w:cs="Arial"/>
        </w:rPr>
        <w:t xml:space="preserve"> community legal centres (CLCs) located throu</w:t>
      </w:r>
      <w:r>
        <w:rPr>
          <w:rFonts w:cs="Arial"/>
        </w:rPr>
        <w:t>ghout Tasmania. We are a member-</w:t>
      </w:r>
      <w:r w:rsidRPr="008A004F">
        <w:rPr>
          <w:rFonts w:cs="Arial"/>
        </w:rPr>
        <w:t>based, independent, no</w:t>
      </w:r>
      <w:r>
        <w:rPr>
          <w:rFonts w:cs="Arial"/>
        </w:rPr>
        <w:t>t</w:t>
      </w:r>
      <w:r w:rsidRPr="008A004F">
        <w:rPr>
          <w:rFonts w:cs="Arial"/>
        </w:rPr>
        <w:t>-for-profit and incorporated organisation that</w:t>
      </w:r>
      <w:r w:rsidRPr="008A004F">
        <w:rPr>
          <w:rFonts w:cs="Arial"/>
          <w:color w:val="000000"/>
        </w:rPr>
        <w:t xml:space="preserve"> advocates for law reform on a range of public interest matters aimed at improving access to justice, reducing discrimination and protecting and promoting human rights. </w:t>
      </w:r>
    </w:p>
    <w:p w14:paraId="00D062C8" w14:textId="77777777" w:rsidR="001F3A86" w:rsidRDefault="001F3A86" w:rsidP="004B60B8">
      <w:pPr>
        <w:ind w:right="-347"/>
        <w:jc w:val="both"/>
        <w:rPr>
          <w:rFonts w:cs="Arial"/>
          <w:color w:val="000000"/>
        </w:rPr>
      </w:pPr>
    </w:p>
    <w:p w14:paraId="573F853D" w14:textId="39D3CBF4" w:rsidR="0075501E" w:rsidRPr="001F3A86" w:rsidRDefault="004B60B8" w:rsidP="004B60B8">
      <w:pPr>
        <w:ind w:right="-347"/>
        <w:jc w:val="both"/>
        <w:rPr>
          <w:rFonts w:cs="Arial"/>
          <w:color w:val="000000"/>
        </w:rPr>
      </w:pPr>
      <w:r>
        <w:t xml:space="preserve">We strongly support the </w:t>
      </w:r>
      <w:r w:rsidR="00BD5EDC">
        <w:t xml:space="preserve">intent </w:t>
      </w:r>
      <w:r w:rsidR="00CD11AB">
        <w:t xml:space="preserve">of the </w:t>
      </w:r>
      <w:r>
        <w:t>Bill</w:t>
      </w:r>
      <w:r w:rsidR="00BD5EDC">
        <w:t xml:space="preserve"> to </w:t>
      </w:r>
      <w:r w:rsidR="001B481A">
        <w:t>adopt</w:t>
      </w:r>
      <w:r w:rsidR="001F3A86">
        <w:t xml:space="preserve"> the</w:t>
      </w:r>
      <w:r w:rsidR="00CD11AB">
        <w:t xml:space="preserve"> recommendation</w:t>
      </w:r>
      <w:r w:rsidR="001F3A86">
        <w:t>s</w:t>
      </w:r>
      <w:r w:rsidR="00CD11AB">
        <w:t xml:space="preserve"> contained in the </w:t>
      </w:r>
      <w:r w:rsidR="00DC090E">
        <w:t xml:space="preserve">Criminal Justice Report of the Royal Commission into Institutional Responses to Child Sexual Abuse </w:t>
      </w:r>
      <w:r w:rsidR="00CD11AB">
        <w:t xml:space="preserve">and </w:t>
      </w:r>
      <w:r w:rsidR="00BD5EDC">
        <w:t xml:space="preserve">strengthen family violence laws. In particular, we support the </w:t>
      </w:r>
      <w:r w:rsidR="0075501E">
        <w:t>introduction</w:t>
      </w:r>
      <w:r w:rsidR="00BD5EDC">
        <w:t xml:space="preserve"> </w:t>
      </w:r>
      <w:r w:rsidR="0075501E">
        <w:t xml:space="preserve">of </w:t>
      </w:r>
      <w:r w:rsidR="00BD5EDC">
        <w:t>a new offenc</w:t>
      </w:r>
      <w:r w:rsidR="0075501E">
        <w:t xml:space="preserve">e of persistent family violence, the clarification of the law following the High Court’s decision in </w:t>
      </w:r>
      <w:r w:rsidR="0075501E" w:rsidRPr="0075501E">
        <w:rPr>
          <w:i/>
        </w:rPr>
        <w:t>Chiro v The Queen</w:t>
      </w:r>
      <w:r w:rsidR="0075501E">
        <w:t xml:space="preserve"> [2017] HCA 37 and the guarantee that self-represented defendant’s will not be permitted to cross-examine a witness who is alleged to be the victim of family violence.    </w:t>
      </w:r>
    </w:p>
    <w:p w14:paraId="193BF4A4" w14:textId="77777777" w:rsidR="00DC090E" w:rsidRDefault="00DC090E" w:rsidP="004B60B8">
      <w:pPr>
        <w:ind w:right="-347"/>
        <w:jc w:val="both"/>
      </w:pPr>
    </w:p>
    <w:p w14:paraId="57A98B7A" w14:textId="0CD397D0" w:rsidR="00397713" w:rsidRPr="007D0373" w:rsidRDefault="007D0373" w:rsidP="007D0373">
      <w:pPr>
        <w:pStyle w:val="ListParagraph"/>
        <w:numPr>
          <w:ilvl w:val="0"/>
          <w:numId w:val="4"/>
        </w:numPr>
        <w:ind w:right="-347"/>
        <w:jc w:val="both"/>
        <w:rPr>
          <w:b/>
          <w:i/>
        </w:rPr>
      </w:pPr>
      <w:r w:rsidRPr="007D0373">
        <w:rPr>
          <w:b/>
          <w:i/>
        </w:rPr>
        <w:t>Amendments to s125A of Criminal Code</w:t>
      </w:r>
    </w:p>
    <w:p w14:paraId="0E59162B" w14:textId="437FC3BA" w:rsidR="00DC090E" w:rsidRDefault="00183406" w:rsidP="00DC090E">
      <w:pPr>
        <w:ind w:right="-347"/>
        <w:jc w:val="both"/>
      </w:pPr>
      <w:r>
        <w:t xml:space="preserve">We support an amended section 125A of the </w:t>
      </w:r>
      <w:r w:rsidRPr="00183406">
        <w:rPr>
          <w:i/>
        </w:rPr>
        <w:t>Criminal Code Act 1924</w:t>
      </w:r>
      <w:r>
        <w:t xml:space="preserve"> (Tas) to clarify that </w:t>
      </w:r>
      <w:r w:rsidR="004B1418">
        <w:t>members of a jury do not need to be satisfied that the same three unlawful sexual acts were committed on the same three occasions.</w:t>
      </w:r>
      <w:r w:rsidR="00DC090E">
        <w:t xml:space="preserve"> Whilst we strongly support the right of an accused to know the case against them and thereby ensure their right to a fair trial, the Royal Commission into Institutional Responses to Child </w:t>
      </w:r>
      <w:r w:rsidR="00DC090E">
        <w:lastRenderedPageBreak/>
        <w:t>Sexual Abuse outlined the particular difficulties of child sexual abuse survivors. These difficulties include:</w:t>
      </w:r>
      <w:r w:rsidR="00DC090E">
        <w:rPr>
          <w:rStyle w:val="FootnoteReference"/>
        </w:rPr>
        <w:footnoteReference w:id="2"/>
      </w:r>
    </w:p>
    <w:p w14:paraId="3E70A833" w14:textId="77777777" w:rsidR="00DC090E" w:rsidRDefault="00DC090E" w:rsidP="00DC090E">
      <w:pPr>
        <w:ind w:right="-347"/>
        <w:jc w:val="both"/>
      </w:pPr>
    </w:p>
    <w:p w14:paraId="73FAD8DC" w14:textId="6889B62B" w:rsidR="00DC090E" w:rsidRPr="00DC090E" w:rsidRDefault="00DC090E" w:rsidP="00DC090E">
      <w:pPr>
        <w:pStyle w:val="ListParagraph"/>
        <w:numPr>
          <w:ilvl w:val="0"/>
          <w:numId w:val="5"/>
        </w:numPr>
        <w:ind w:right="-347"/>
        <w:jc w:val="both"/>
      </w:pPr>
      <w:r w:rsidRPr="00DC090E">
        <w:rPr>
          <w:rFonts w:eastAsia="Times New Roman" w:cs="Times New Roman"/>
          <w:lang w:val="en-AU"/>
        </w:rPr>
        <w:t>young children may not have a good understanding of dates, times and locations or an ability to describe how different events relate to each other across time</w:t>
      </w:r>
      <w:r>
        <w:rPr>
          <w:rFonts w:eastAsia="Times New Roman" w:cs="Times New Roman"/>
          <w:lang w:val="en-AU"/>
        </w:rPr>
        <w:t>;</w:t>
      </w:r>
    </w:p>
    <w:p w14:paraId="3B95CDD8" w14:textId="061E8064" w:rsidR="00DC090E" w:rsidRPr="00DC090E" w:rsidRDefault="00DC090E" w:rsidP="00DC090E">
      <w:pPr>
        <w:pStyle w:val="ListParagraph"/>
        <w:numPr>
          <w:ilvl w:val="0"/>
          <w:numId w:val="5"/>
        </w:numPr>
        <w:ind w:right="-347"/>
        <w:jc w:val="both"/>
      </w:pPr>
      <w:r w:rsidRPr="00DC090E">
        <w:rPr>
          <w:rFonts w:eastAsia="Times New Roman" w:cs="Times New Roman"/>
          <w:lang w:val="en-AU"/>
        </w:rPr>
        <w:t>delay in reporting may cause memories to fade or events to be (wrongly) attributed to a particular time or location when they in fact occurred earlier or later, or at another location</w:t>
      </w:r>
      <w:r>
        <w:rPr>
          <w:rFonts w:eastAsia="Times New Roman" w:cs="Times New Roman"/>
          <w:lang w:val="en-AU"/>
        </w:rPr>
        <w:t>;</w:t>
      </w:r>
    </w:p>
    <w:p w14:paraId="477F09CC" w14:textId="7D06B114" w:rsidR="00DC090E" w:rsidRPr="00DC090E" w:rsidRDefault="00DC090E" w:rsidP="00DC090E">
      <w:pPr>
        <w:pStyle w:val="ListParagraph"/>
        <w:numPr>
          <w:ilvl w:val="0"/>
          <w:numId w:val="5"/>
        </w:numPr>
        <w:ind w:right="-347"/>
        <w:jc w:val="both"/>
      </w:pPr>
      <w:r w:rsidRPr="00DC090E">
        <w:rPr>
          <w:rFonts w:eastAsia="Times New Roman" w:cs="Times New Roman"/>
          <w:lang w:val="en-AU"/>
        </w:rPr>
        <w:t>the abuse may have occurred repeatedly and in similar circumstances, so the victim or survivor is unable to describe specific or distinct occasions of abuse.</w:t>
      </w:r>
    </w:p>
    <w:p w14:paraId="73F6E3B6" w14:textId="618AA5B7" w:rsidR="00B4233F" w:rsidRDefault="00DC090E" w:rsidP="007D0373">
      <w:pPr>
        <w:ind w:right="-347"/>
        <w:jc w:val="both"/>
      </w:pPr>
      <w:r>
        <w:t xml:space="preserve">  </w:t>
      </w:r>
    </w:p>
    <w:p w14:paraId="228253C7" w14:textId="7E2D43F4" w:rsidR="00231DA7" w:rsidRDefault="00511097" w:rsidP="007D0373">
      <w:pPr>
        <w:ind w:right="-347"/>
        <w:jc w:val="both"/>
        <w:rPr>
          <w:rFonts w:eastAsia="Times New Roman" w:cs="Times New Roman"/>
          <w:lang w:val="en-AU"/>
        </w:rPr>
      </w:pPr>
      <w:r>
        <w:t xml:space="preserve">Similar concerns </w:t>
      </w:r>
      <w:r w:rsidR="00B4233F" w:rsidRPr="00B4233F">
        <w:t>have also been expressed in case law with two members of the South Australia</w:t>
      </w:r>
      <w:r w:rsidR="00E17390">
        <w:t>n Court of Criminal Appeal</w:t>
      </w:r>
      <w:r w:rsidR="00B4233F" w:rsidRPr="00B4233F">
        <w:t xml:space="preserve"> observing that a requirement that particular acts be identified </w:t>
      </w:r>
      <w:r w:rsidR="009E29A7">
        <w:t xml:space="preserve">may </w:t>
      </w:r>
      <w:r w:rsidR="00B4233F" w:rsidRPr="00B4233F">
        <w:t>“</w:t>
      </w:r>
      <w:r w:rsidR="00B4233F" w:rsidRPr="00B4233F">
        <w:rPr>
          <w:rFonts w:eastAsia="Times New Roman" w:cs="Times New Roman"/>
          <w:lang w:val="en-AU"/>
        </w:rPr>
        <w:t>produce the perverse paradox that the more extensive the sexual exploitation of a child, the more difficult it can be proving the offence”.</w:t>
      </w:r>
      <w:r w:rsidR="00B4233F">
        <w:rPr>
          <w:rStyle w:val="FootnoteReference"/>
          <w:rFonts w:eastAsia="Times New Roman" w:cs="Times New Roman"/>
          <w:lang w:val="en-AU"/>
        </w:rPr>
        <w:footnoteReference w:id="3"/>
      </w:r>
    </w:p>
    <w:p w14:paraId="09646BAB" w14:textId="77777777" w:rsidR="00231DA7" w:rsidRDefault="00231DA7" w:rsidP="007D0373">
      <w:pPr>
        <w:ind w:right="-347"/>
        <w:jc w:val="both"/>
        <w:rPr>
          <w:rFonts w:eastAsia="Times New Roman" w:cs="Times New Roman"/>
          <w:lang w:val="en-AU"/>
        </w:rPr>
      </w:pPr>
    </w:p>
    <w:p w14:paraId="6A380A9A" w14:textId="4872E8D2" w:rsidR="002E52B3" w:rsidRDefault="00231DA7" w:rsidP="007D0373">
      <w:pPr>
        <w:ind w:right="-347"/>
        <w:jc w:val="both"/>
      </w:pPr>
      <w:r>
        <w:rPr>
          <w:rFonts w:eastAsia="Times New Roman" w:cs="Times New Roman"/>
          <w:lang w:val="en-AU"/>
        </w:rPr>
        <w:t xml:space="preserve">As a result of the expert evidence presented to the Royal Commission and the </w:t>
      </w:r>
      <w:r w:rsidR="00511097">
        <w:rPr>
          <w:rFonts w:eastAsia="Times New Roman" w:cs="Times New Roman"/>
          <w:lang w:val="en-AU"/>
        </w:rPr>
        <w:t xml:space="preserve">concerns </w:t>
      </w:r>
      <w:r>
        <w:rPr>
          <w:rFonts w:eastAsia="Times New Roman" w:cs="Times New Roman"/>
          <w:lang w:val="en-AU"/>
        </w:rPr>
        <w:t xml:space="preserve">outlined by senior members of the Judiciary we </w:t>
      </w:r>
      <w:r w:rsidR="009733D9">
        <w:rPr>
          <w:rFonts w:eastAsia="Times New Roman" w:cs="Times New Roman"/>
          <w:lang w:val="en-AU"/>
        </w:rPr>
        <w:t>support</w:t>
      </w:r>
      <w:r>
        <w:rPr>
          <w:rFonts w:eastAsia="Times New Roman" w:cs="Times New Roman"/>
          <w:lang w:val="en-AU"/>
        </w:rPr>
        <w:t xml:space="preserve"> the adoption of an </w:t>
      </w:r>
      <w:r>
        <w:t xml:space="preserve">amended section 125A of the </w:t>
      </w:r>
      <w:r w:rsidRPr="004B1418">
        <w:rPr>
          <w:i/>
        </w:rPr>
        <w:t>Criminal Code Act 1924</w:t>
      </w:r>
      <w:r>
        <w:t xml:space="preserve"> (Tas)</w:t>
      </w:r>
      <w:r w:rsidR="009E29A7">
        <w:t xml:space="preserve">. </w:t>
      </w:r>
    </w:p>
    <w:p w14:paraId="178487DF" w14:textId="77777777" w:rsidR="00183406" w:rsidRDefault="00183406" w:rsidP="007D0373">
      <w:pPr>
        <w:ind w:right="-347"/>
        <w:jc w:val="both"/>
      </w:pPr>
    </w:p>
    <w:p w14:paraId="5B834CC7" w14:textId="48E56BC9" w:rsidR="00183406" w:rsidRDefault="00183406" w:rsidP="00183406">
      <w:pPr>
        <w:ind w:right="-347"/>
        <w:jc w:val="both"/>
      </w:pPr>
      <w:r>
        <w:t xml:space="preserve">We also support the clarification of section 125A of the </w:t>
      </w:r>
      <w:r w:rsidRPr="004B1418">
        <w:rPr>
          <w:i/>
        </w:rPr>
        <w:t>Criminal Code Act 1924</w:t>
      </w:r>
      <w:r>
        <w:t xml:space="preserve"> (Tas) that judicial officers are not required to ask the jury of the nature or character of the sexual relationship maintained in sentencing an offender for the crime of maintaining a sexual relationship with a young person.</w:t>
      </w:r>
      <w:r>
        <w:rPr>
          <w:rStyle w:val="FootnoteReference"/>
        </w:rPr>
        <w:footnoteReference w:id="4"/>
      </w:r>
    </w:p>
    <w:p w14:paraId="48D53772" w14:textId="77777777" w:rsidR="00397713" w:rsidRDefault="00397713" w:rsidP="004B60B8">
      <w:pPr>
        <w:ind w:right="-347"/>
        <w:jc w:val="both"/>
      </w:pPr>
    </w:p>
    <w:p w14:paraId="4481E933" w14:textId="6B534E47" w:rsidR="0075501E" w:rsidRPr="007A4633" w:rsidRDefault="00062294" w:rsidP="0075501E">
      <w:pPr>
        <w:pStyle w:val="ListParagraph"/>
        <w:numPr>
          <w:ilvl w:val="0"/>
          <w:numId w:val="3"/>
        </w:numPr>
        <w:ind w:right="-347"/>
        <w:jc w:val="both"/>
        <w:rPr>
          <w:b/>
          <w:i/>
        </w:rPr>
      </w:pPr>
      <w:r w:rsidRPr="007A4633">
        <w:rPr>
          <w:b/>
          <w:i/>
        </w:rPr>
        <w:t xml:space="preserve">Persistent Family </w:t>
      </w:r>
      <w:r w:rsidR="0008684C" w:rsidRPr="007A4633">
        <w:rPr>
          <w:b/>
          <w:i/>
        </w:rPr>
        <w:t>Violence</w:t>
      </w:r>
      <w:r w:rsidRPr="007A4633">
        <w:rPr>
          <w:b/>
          <w:i/>
        </w:rPr>
        <w:t xml:space="preserve"> Offence</w:t>
      </w:r>
    </w:p>
    <w:p w14:paraId="41A0D916" w14:textId="32085790" w:rsidR="00D17542" w:rsidRDefault="000C3A92" w:rsidP="0008684C">
      <w:pPr>
        <w:pStyle w:val="NoSpacing"/>
        <w:ind w:right="-347"/>
        <w:jc w:val="both"/>
        <w:rPr>
          <w:lang w:val="en-US"/>
        </w:rPr>
      </w:pPr>
      <w:r>
        <w:rPr>
          <w:lang w:val="en-US"/>
        </w:rPr>
        <w:t>As</w:t>
      </w:r>
      <w:r w:rsidR="00D4698E">
        <w:rPr>
          <w:lang w:val="en-US"/>
        </w:rPr>
        <w:t xml:space="preserve"> outlined in our response to the Department of Justice </w:t>
      </w:r>
      <w:r w:rsidR="00D4698E" w:rsidRPr="008B1E75">
        <w:rPr>
          <w:i/>
        </w:rPr>
        <w:t>Family Violence – Strengthening Our Legal Responses Consultation Paper</w:t>
      </w:r>
      <w:r w:rsidR="00D4698E">
        <w:rPr>
          <w:lang w:val="en-US"/>
        </w:rPr>
        <w:t xml:space="preserve"> we support</w:t>
      </w:r>
      <w:r w:rsidR="00AA1C0D" w:rsidRPr="00AA1C0D">
        <w:rPr>
          <w:lang w:val="en-US"/>
        </w:rPr>
        <w:t xml:space="preserve"> </w:t>
      </w:r>
      <w:r w:rsidR="00AA1C0D">
        <w:rPr>
          <w:lang w:val="en-US"/>
        </w:rPr>
        <w:t>the creation of an offence of persistent family violence</w:t>
      </w:r>
      <w:r w:rsidR="00D4698E">
        <w:rPr>
          <w:lang w:val="en-US"/>
        </w:rPr>
        <w:t>. The</w:t>
      </w:r>
      <w:r w:rsidR="00D4698E" w:rsidRPr="000B5C2A">
        <w:rPr>
          <w:lang w:val="en-US"/>
        </w:rPr>
        <w:t xml:space="preserve"> advantage</w:t>
      </w:r>
      <w:r w:rsidR="00D4698E">
        <w:rPr>
          <w:lang w:val="en-US"/>
        </w:rPr>
        <w:t>s</w:t>
      </w:r>
      <w:r w:rsidR="00D4698E" w:rsidRPr="000B5C2A">
        <w:rPr>
          <w:lang w:val="en-US"/>
        </w:rPr>
        <w:t xml:space="preserve"> </w:t>
      </w:r>
      <w:r w:rsidR="00D4698E">
        <w:rPr>
          <w:lang w:val="en-US"/>
        </w:rPr>
        <w:t xml:space="preserve">of the new offence </w:t>
      </w:r>
      <w:r w:rsidR="00C806B9">
        <w:rPr>
          <w:lang w:val="en-US"/>
        </w:rPr>
        <w:t>are</w:t>
      </w:r>
      <w:r>
        <w:rPr>
          <w:lang w:val="en-US"/>
        </w:rPr>
        <w:t xml:space="preserve"> the recognition that family violence often takes place over a prolonged period of time and </w:t>
      </w:r>
      <w:r w:rsidR="00D4698E">
        <w:rPr>
          <w:lang w:val="en-US"/>
        </w:rPr>
        <w:t>conviction</w:t>
      </w:r>
      <w:r w:rsidR="00D4698E" w:rsidRPr="000B5C2A">
        <w:rPr>
          <w:lang w:val="en-US"/>
        </w:rPr>
        <w:t xml:space="preserve"> </w:t>
      </w:r>
      <w:r w:rsidR="00D4698E">
        <w:rPr>
          <w:lang w:val="en-US"/>
        </w:rPr>
        <w:t>should</w:t>
      </w:r>
      <w:r w:rsidR="00D4698E" w:rsidRPr="000B5C2A">
        <w:rPr>
          <w:lang w:val="en-US"/>
        </w:rPr>
        <w:t xml:space="preserve"> allow for </w:t>
      </w:r>
      <w:r w:rsidR="00D4698E">
        <w:rPr>
          <w:lang w:val="en-US"/>
        </w:rPr>
        <w:t xml:space="preserve">expeditious </w:t>
      </w:r>
      <w:r w:rsidR="00D4698E" w:rsidRPr="000B5C2A">
        <w:rPr>
          <w:lang w:val="en-US"/>
        </w:rPr>
        <w:t xml:space="preserve">identification </w:t>
      </w:r>
      <w:r w:rsidR="00D4698E">
        <w:rPr>
          <w:lang w:val="en-US"/>
        </w:rPr>
        <w:t>in future family violen</w:t>
      </w:r>
      <w:r w:rsidR="005F335E">
        <w:rPr>
          <w:lang w:val="en-US"/>
        </w:rPr>
        <w:t>ce and other legal proceedings.</w:t>
      </w:r>
    </w:p>
    <w:p w14:paraId="0460AB0C" w14:textId="77777777" w:rsidR="00D17542" w:rsidRDefault="00D17542" w:rsidP="0008684C">
      <w:pPr>
        <w:pStyle w:val="NoSpacing"/>
        <w:ind w:right="-347"/>
        <w:jc w:val="both"/>
        <w:rPr>
          <w:lang w:val="en-US"/>
        </w:rPr>
      </w:pPr>
    </w:p>
    <w:p w14:paraId="450F3618" w14:textId="77777777" w:rsidR="00B23F6F" w:rsidRDefault="005F335E" w:rsidP="00B23F6F">
      <w:pPr>
        <w:pStyle w:val="NoSpacing"/>
        <w:ind w:right="-347"/>
        <w:jc w:val="both"/>
        <w:rPr>
          <w:lang w:val="en-US"/>
        </w:rPr>
      </w:pPr>
      <w:r>
        <w:rPr>
          <w:lang w:val="en-US"/>
        </w:rPr>
        <w:t xml:space="preserve">The </w:t>
      </w:r>
      <w:r w:rsidR="0008684C">
        <w:rPr>
          <w:lang w:val="en-US"/>
        </w:rPr>
        <w:t xml:space="preserve">requirement that the </w:t>
      </w:r>
      <w:r>
        <w:rPr>
          <w:lang w:val="en-US"/>
        </w:rPr>
        <w:t>Director of Public Prosecutions provide written authority before a prosecution for persistent family violence is commenced is an important safeguard to ensure that the charge is only made in appropriate cases. Never</w:t>
      </w:r>
      <w:r w:rsidR="00D17542">
        <w:rPr>
          <w:lang w:val="en-US"/>
        </w:rPr>
        <w:t xml:space="preserve">theless, we strongly believe that the circumstances justifying a prosecution of persistent family violence should be publicly available. </w:t>
      </w:r>
      <w:r w:rsidR="007A4633">
        <w:rPr>
          <w:lang w:val="en-US"/>
        </w:rPr>
        <w:t xml:space="preserve">In our opinion, successful completion of a rehabilitation program and/or the length of time between offences are considerations that should be taken into account by the Director of Public Prosecutions. </w:t>
      </w:r>
      <w:r w:rsidR="00D17542">
        <w:rPr>
          <w:lang w:val="en-US"/>
        </w:rPr>
        <w:t xml:space="preserve">We therefore recommend that the Director of Public Prosecutions publicly release guidelines outlining the considerations taken into account in determining </w:t>
      </w:r>
      <w:r w:rsidR="000C3A92">
        <w:rPr>
          <w:lang w:val="en-US"/>
        </w:rPr>
        <w:t>prosecution</w:t>
      </w:r>
      <w:r w:rsidR="007A4633">
        <w:rPr>
          <w:lang w:val="en-US"/>
        </w:rPr>
        <w:t xml:space="preserve"> of persistent family violence. </w:t>
      </w:r>
    </w:p>
    <w:p w14:paraId="1C20DED1" w14:textId="77777777" w:rsidR="00B23F6F" w:rsidRDefault="00B23F6F" w:rsidP="00B23F6F">
      <w:pPr>
        <w:pStyle w:val="NoSpacing"/>
        <w:ind w:right="-347"/>
        <w:jc w:val="both"/>
        <w:rPr>
          <w:lang w:val="en-US"/>
        </w:rPr>
      </w:pPr>
    </w:p>
    <w:p w14:paraId="0366283A" w14:textId="0513F3A7" w:rsidR="00B23F6F" w:rsidRDefault="00AA1C0D" w:rsidP="00B23F6F">
      <w:pPr>
        <w:pStyle w:val="NoSpacing"/>
        <w:ind w:right="-347"/>
        <w:jc w:val="both"/>
        <w:rPr>
          <w:lang w:val="en-US"/>
        </w:rPr>
      </w:pPr>
      <w:r>
        <w:rPr>
          <w:lang w:val="en-US"/>
        </w:rPr>
        <w:t>Whilst the creation of an offence of persi</w:t>
      </w:r>
      <w:r w:rsidR="00B23F6F">
        <w:rPr>
          <w:lang w:val="en-US"/>
        </w:rPr>
        <w:t>stent family violence is welcome</w:t>
      </w:r>
      <w:r>
        <w:rPr>
          <w:lang w:val="en-US"/>
        </w:rPr>
        <w:t xml:space="preserve">, </w:t>
      </w:r>
      <w:r w:rsidR="008F5E15">
        <w:rPr>
          <w:lang w:val="en-US"/>
        </w:rPr>
        <w:t xml:space="preserve">it is equally important that appropriate funding is provided for rehabilitation programs that address </w:t>
      </w:r>
      <w:r>
        <w:rPr>
          <w:lang w:val="en-US"/>
        </w:rPr>
        <w:t>the underlying cause</w:t>
      </w:r>
      <w:r w:rsidR="008F5E15">
        <w:rPr>
          <w:lang w:val="en-US"/>
        </w:rPr>
        <w:t>/</w:t>
      </w:r>
      <w:r>
        <w:rPr>
          <w:lang w:val="en-US"/>
        </w:rPr>
        <w:t>s of the offender’s behavio</w:t>
      </w:r>
      <w:r w:rsidR="00C806B9">
        <w:rPr>
          <w:lang w:val="en-US"/>
        </w:rPr>
        <w:t>u</w:t>
      </w:r>
      <w:r>
        <w:rPr>
          <w:lang w:val="en-US"/>
        </w:rPr>
        <w:t>r.</w:t>
      </w:r>
      <w:r w:rsidR="008F5E15" w:rsidRPr="008F5E15">
        <w:rPr>
          <w:lang w:val="en-US"/>
        </w:rPr>
        <w:t xml:space="preserve"> </w:t>
      </w:r>
      <w:r w:rsidR="008F5E15">
        <w:rPr>
          <w:lang w:val="en-US"/>
        </w:rPr>
        <w:t xml:space="preserve">In 2013-14 for example, 47 offenders commenced the </w:t>
      </w:r>
      <w:r w:rsidR="008F5E15" w:rsidRPr="00FC6EF6">
        <w:rPr>
          <w:lang w:val="en-US"/>
        </w:rPr>
        <w:t>Family Violence Offender Intervention Program</w:t>
      </w:r>
      <w:r w:rsidR="008F5E15" w:rsidRPr="00FC6EF6">
        <w:rPr>
          <w:b/>
          <w:lang w:val="en-US"/>
        </w:rPr>
        <w:t xml:space="preserve"> </w:t>
      </w:r>
      <w:r w:rsidR="008F5E15" w:rsidRPr="00E50B0F">
        <w:rPr>
          <w:lang w:val="en-US"/>
        </w:rPr>
        <w:t>(FVOIP)</w:t>
      </w:r>
      <w:r w:rsidR="008F5E15">
        <w:rPr>
          <w:lang w:val="en-US"/>
        </w:rPr>
        <w:t xml:space="preserve"> with 39 offenders completing the program.</w:t>
      </w:r>
      <w:r w:rsidR="008F5E15">
        <w:rPr>
          <w:rStyle w:val="FootnoteReference"/>
          <w:lang w:val="en-US"/>
        </w:rPr>
        <w:footnoteReference w:id="5"/>
      </w:r>
      <w:r w:rsidR="008F5E15">
        <w:rPr>
          <w:lang w:val="en-US"/>
        </w:rPr>
        <w:t xml:space="preserve"> Unfortunately, as the</w:t>
      </w:r>
      <w:r w:rsidR="00E95404">
        <w:rPr>
          <w:lang w:val="en-US"/>
        </w:rPr>
        <w:t xml:space="preserve"> Sentencing Advisory Council</w:t>
      </w:r>
      <w:r w:rsidR="008F5E15">
        <w:rPr>
          <w:lang w:val="en-US"/>
        </w:rPr>
        <w:t xml:space="preserve"> noted</w:t>
      </w:r>
      <w:r w:rsidR="00E95404">
        <w:rPr>
          <w:lang w:val="en-US"/>
        </w:rPr>
        <w:t xml:space="preserve"> at the time</w:t>
      </w:r>
      <w:r w:rsidR="008F5E15">
        <w:rPr>
          <w:lang w:val="en-US"/>
        </w:rPr>
        <w:t xml:space="preserve"> “the numbers represent only a very small proportion of the total number of offenders”.</w:t>
      </w:r>
      <w:r w:rsidR="008F5E15">
        <w:rPr>
          <w:rStyle w:val="FootnoteReference"/>
          <w:lang w:val="en-US"/>
        </w:rPr>
        <w:footnoteReference w:id="6"/>
      </w:r>
    </w:p>
    <w:p w14:paraId="0B156436" w14:textId="77777777" w:rsidR="00B23F6F" w:rsidRDefault="00B23F6F" w:rsidP="00B23F6F">
      <w:pPr>
        <w:pStyle w:val="NoSpacing"/>
        <w:ind w:right="-347"/>
        <w:jc w:val="both"/>
        <w:rPr>
          <w:lang w:val="en-US"/>
        </w:rPr>
      </w:pPr>
    </w:p>
    <w:p w14:paraId="0130DDA0" w14:textId="6D3B1FDA" w:rsidR="006219C7" w:rsidRDefault="00E95404" w:rsidP="006219C7">
      <w:pPr>
        <w:pStyle w:val="NoSpacing"/>
        <w:ind w:right="-347"/>
        <w:jc w:val="both"/>
        <w:rPr>
          <w:lang w:val="en-US"/>
        </w:rPr>
      </w:pPr>
      <w:r>
        <w:rPr>
          <w:lang w:val="en-US"/>
        </w:rPr>
        <w:t>Since</w:t>
      </w:r>
      <w:r w:rsidR="00445E69">
        <w:rPr>
          <w:lang w:val="en-US"/>
        </w:rPr>
        <w:t xml:space="preserve"> 2013-14 th</w:t>
      </w:r>
      <w:r w:rsidR="00D0064A">
        <w:rPr>
          <w:lang w:val="en-US"/>
        </w:rPr>
        <w:t xml:space="preserve">ere has been a </w:t>
      </w:r>
      <w:r>
        <w:rPr>
          <w:lang w:val="en-US"/>
        </w:rPr>
        <w:t>significant</w:t>
      </w:r>
      <w:r w:rsidR="00511097">
        <w:rPr>
          <w:lang w:val="en-US"/>
        </w:rPr>
        <w:t xml:space="preserve"> increase in family violence orders issued</w:t>
      </w:r>
      <w:r w:rsidR="0095408E">
        <w:rPr>
          <w:lang w:val="en-US"/>
        </w:rPr>
        <w:t xml:space="preserve"> by both the police and courts with </w:t>
      </w:r>
      <w:r>
        <w:rPr>
          <w:lang w:val="en-US"/>
        </w:rPr>
        <w:t xml:space="preserve">Tasmania Police data </w:t>
      </w:r>
      <w:r w:rsidR="00614C58">
        <w:rPr>
          <w:lang w:val="en-US"/>
        </w:rPr>
        <w:t xml:space="preserve">(below) </w:t>
      </w:r>
      <w:r>
        <w:rPr>
          <w:lang w:val="en-US"/>
        </w:rPr>
        <w:t xml:space="preserve">noting </w:t>
      </w:r>
      <w:r w:rsidR="0095408E">
        <w:rPr>
          <w:lang w:val="en-US"/>
        </w:rPr>
        <w:t>a</w:t>
      </w:r>
      <w:r>
        <w:rPr>
          <w:lang w:val="en-US"/>
        </w:rPr>
        <w:t xml:space="preserve"> 33 per cent increase in police family violence orders and a 20 per cent increase in court family violence orders</w:t>
      </w:r>
      <w:r w:rsidR="009523B2">
        <w:rPr>
          <w:lang w:val="en-US"/>
        </w:rPr>
        <w:t xml:space="preserve"> </w:t>
      </w:r>
      <w:r w:rsidR="00614C58">
        <w:rPr>
          <w:lang w:val="en-US"/>
        </w:rPr>
        <w:t>over the last four years</w:t>
      </w:r>
      <w:r>
        <w:rPr>
          <w:lang w:val="en-US"/>
        </w:rPr>
        <w:t>.</w:t>
      </w:r>
      <w:r>
        <w:rPr>
          <w:rStyle w:val="FootnoteReference"/>
          <w:lang w:val="en-US"/>
        </w:rPr>
        <w:footnoteReference w:id="7"/>
      </w:r>
      <w:r w:rsidR="0095408E">
        <w:rPr>
          <w:lang w:val="en-US"/>
        </w:rPr>
        <w:t xml:space="preserve"> </w:t>
      </w:r>
    </w:p>
    <w:p w14:paraId="4D04B6A1" w14:textId="77777777" w:rsidR="006219C7" w:rsidRDefault="006219C7" w:rsidP="006219C7">
      <w:pPr>
        <w:pStyle w:val="NoSpacing"/>
        <w:ind w:right="-347"/>
        <w:jc w:val="both"/>
        <w:rPr>
          <w:lang w:val="en-US"/>
        </w:rPr>
      </w:pPr>
    </w:p>
    <w:p w14:paraId="48DF1B53" w14:textId="47A13674" w:rsidR="006219C7" w:rsidRDefault="006219C7" w:rsidP="0075145D">
      <w:pPr>
        <w:pStyle w:val="NoSpacing"/>
        <w:ind w:right="-347"/>
        <w:jc w:val="center"/>
        <w:rPr>
          <w:lang w:val="en-US"/>
        </w:rPr>
      </w:pPr>
      <w:r>
        <w:rPr>
          <w:noProof/>
          <w:lang w:eastAsia="en-AU"/>
        </w:rPr>
        <w:drawing>
          <wp:inline distT="0" distB="0" distL="0" distR="0" wp14:anchorId="0EB2DD5B" wp14:editId="76B434CC">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281B04" w14:textId="77777777" w:rsidR="006219C7" w:rsidRDefault="006219C7" w:rsidP="006219C7">
      <w:pPr>
        <w:pStyle w:val="NoSpacing"/>
        <w:ind w:right="-347"/>
        <w:jc w:val="both"/>
        <w:rPr>
          <w:lang w:val="en-US"/>
        </w:rPr>
      </w:pPr>
    </w:p>
    <w:p w14:paraId="13648367" w14:textId="307A0FD8" w:rsidR="0075145D" w:rsidRDefault="00614C58" w:rsidP="0075145D">
      <w:pPr>
        <w:pStyle w:val="NoSpacing"/>
        <w:ind w:right="-347"/>
        <w:jc w:val="both"/>
        <w:rPr>
          <w:lang w:val="en-US"/>
        </w:rPr>
      </w:pPr>
      <w:r>
        <w:rPr>
          <w:lang w:val="en-US"/>
        </w:rPr>
        <w:t xml:space="preserve">With most family violence offenders likely to either remain in the community after being sentenced, or to be released </w:t>
      </w:r>
      <w:r w:rsidR="00F87CC7">
        <w:rPr>
          <w:lang w:val="en-US"/>
        </w:rPr>
        <w:t>back into the</w:t>
      </w:r>
      <w:r>
        <w:rPr>
          <w:lang w:val="en-US"/>
        </w:rPr>
        <w:t xml:space="preserve"> community after serving a term of imprisonment, it is imperative that there </w:t>
      </w:r>
      <w:r w:rsidR="00B23F6F">
        <w:rPr>
          <w:lang w:val="en-US"/>
        </w:rPr>
        <w:t xml:space="preserve">is </w:t>
      </w:r>
      <w:r w:rsidR="00C806B9">
        <w:rPr>
          <w:lang w:val="en-US"/>
        </w:rPr>
        <w:t xml:space="preserve">appropriate </w:t>
      </w:r>
      <w:r w:rsidR="00B23F6F">
        <w:rPr>
          <w:lang w:val="en-US"/>
        </w:rPr>
        <w:t xml:space="preserve">funding for </w:t>
      </w:r>
      <w:r>
        <w:rPr>
          <w:lang w:val="en-US"/>
        </w:rPr>
        <w:t xml:space="preserve">rehabilitation programs for </w:t>
      </w:r>
      <w:r w:rsidR="00B23F6F">
        <w:rPr>
          <w:lang w:val="en-US"/>
        </w:rPr>
        <w:t xml:space="preserve">both </w:t>
      </w:r>
      <w:r w:rsidR="00C806B9">
        <w:rPr>
          <w:lang w:val="en-US"/>
        </w:rPr>
        <w:t>medium and high</w:t>
      </w:r>
      <w:r>
        <w:rPr>
          <w:lang w:val="en-US"/>
        </w:rPr>
        <w:t xml:space="preserve"> risk family violence offenders. This funding must be guaranteed</w:t>
      </w:r>
      <w:r w:rsidR="00C806B9">
        <w:rPr>
          <w:lang w:val="en-US"/>
        </w:rPr>
        <w:t xml:space="preserve"> regardless of whet</w:t>
      </w:r>
      <w:r>
        <w:rPr>
          <w:lang w:val="en-US"/>
        </w:rPr>
        <w:t>her the offender has</w:t>
      </w:r>
      <w:r w:rsidR="00C806B9">
        <w:rPr>
          <w:lang w:val="en-US"/>
        </w:rPr>
        <w:t xml:space="preserve"> been convicted of a persistent family violence offence.  </w:t>
      </w:r>
      <w:r w:rsidR="00B23F6F">
        <w:rPr>
          <w:lang w:val="en-US"/>
        </w:rPr>
        <w:t xml:space="preserve"> </w:t>
      </w:r>
    </w:p>
    <w:p w14:paraId="6A2CA1C9" w14:textId="77777777" w:rsidR="0075145D" w:rsidRDefault="0075145D" w:rsidP="0075145D">
      <w:pPr>
        <w:pStyle w:val="NoSpacing"/>
        <w:ind w:right="-347"/>
        <w:jc w:val="both"/>
        <w:rPr>
          <w:lang w:val="en-US"/>
        </w:rPr>
      </w:pPr>
    </w:p>
    <w:p w14:paraId="41E027F0" w14:textId="77777777" w:rsidR="00614C58" w:rsidRDefault="00614C58" w:rsidP="0075145D">
      <w:pPr>
        <w:pStyle w:val="NoSpacing"/>
        <w:ind w:right="-347"/>
        <w:jc w:val="both"/>
        <w:rPr>
          <w:lang w:val="en-US"/>
        </w:rPr>
      </w:pPr>
    </w:p>
    <w:p w14:paraId="4F68ECF7" w14:textId="77777777" w:rsidR="00614C58" w:rsidRDefault="00614C58" w:rsidP="0075145D">
      <w:pPr>
        <w:pStyle w:val="NoSpacing"/>
        <w:ind w:right="-347"/>
        <w:jc w:val="both"/>
        <w:rPr>
          <w:lang w:val="en-US"/>
        </w:rPr>
      </w:pPr>
    </w:p>
    <w:p w14:paraId="4D4781D9" w14:textId="51F7D026" w:rsidR="0075145D" w:rsidRPr="0075145D" w:rsidRDefault="0075145D" w:rsidP="0075145D">
      <w:pPr>
        <w:pStyle w:val="NoSpacing"/>
        <w:numPr>
          <w:ilvl w:val="0"/>
          <w:numId w:val="3"/>
        </w:numPr>
        <w:jc w:val="both"/>
        <w:rPr>
          <w:b/>
          <w:i/>
          <w:lang w:val="en-US"/>
        </w:rPr>
      </w:pPr>
      <w:r w:rsidRPr="00DC34D5">
        <w:rPr>
          <w:b/>
          <w:i/>
          <w:lang w:val="en-US"/>
        </w:rPr>
        <w:t>Evidence (Children and Special Witnesses) Act 2001</w:t>
      </w:r>
    </w:p>
    <w:p w14:paraId="228A170E" w14:textId="12E19E47" w:rsidR="0075145D" w:rsidRDefault="00C36F9C" w:rsidP="0075145D">
      <w:pPr>
        <w:pStyle w:val="NoSpacing"/>
        <w:ind w:right="-347"/>
        <w:jc w:val="both"/>
        <w:rPr>
          <w:lang w:val="en-US"/>
        </w:rPr>
      </w:pPr>
      <w:r>
        <w:rPr>
          <w:lang w:val="en-US"/>
        </w:rPr>
        <w:t>We</w:t>
      </w:r>
      <w:r w:rsidR="00DC34D5">
        <w:rPr>
          <w:lang w:val="en-US"/>
        </w:rPr>
        <w:t xml:space="preserve"> support amending the </w:t>
      </w:r>
      <w:r w:rsidR="00DC34D5" w:rsidRPr="00B04329">
        <w:rPr>
          <w:i/>
          <w:lang w:val="en-US"/>
        </w:rPr>
        <w:t>Evidence (Children and Special Witnesses) Act 2001</w:t>
      </w:r>
      <w:r w:rsidR="00DC34D5">
        <w:rPr>
          <w:lang w:val="en-US"/>
        </w:rPr>
        <w:t xml:space="preserve"> (Tas) to be clear that a self-represented defendant is not permitted to cross-examine a witness who is the alleged victim of family violence.</w:t>
      </w:r>
      <w:r w:rsidR="00B02D35">
        <w:rPr>
          <w:lang w:val="en-US"/>
        </w:rPr>
        <w:t xml:space="preserve"> After consultation with members of the legal assistance sector, it is clear that additional funding will need to be provided to pay for the additional resources required. Anecdotally, we have been told that around 8 out of 10 defendants who have matters heard in the Magistrates Court for family violence related offences are represented. Based on the </w:t>
      </w:r>
      <w:r w:rsidR="00614C58">
        <w:rPr>
          <w:lang w:val="en-US"/>
        </w:rPr>
        <w:t>Tasmania Police data provided above, a lack of additional funding is likely to</w:t>
      </w:r>
      <w:r w:rsidR="00B02D35">
        <w:rPr>
          <w:lang w:val="en-US"/>
        </w:rPr>
        <w:t xml:space="preserve"> leave hundreds of cases stalled in the Magistrates Court.</w:t>
      </w:r>
      <w:r w:rsidR="00B02D35">
        <w:rPr>
          <w:rStyle w:val="FootnoteReference"/>
          <w:lang w:val="en-US"/>
        </w:rPr>
        <w:footnoteReference w:id="8"/>
      </w:r>
      <w:r w:rsidR="00B02D35">
        <w:rPr>
          <w:lang w:val="en-US"/>
        </w:rPr>
        <w:t xml:space="preserve"> Additionally, a failure to provide funding at the commencement of the proceedings is likely to result in increased delays and cost as counsel is required to review the file, request transcrip</w:t>
      </w:r>
      <w:r w:rsidR="008B466A">
        <w:rPr>
          <w:lang w:val="en-US"/>
        </w:rPr>
        <w:t xml:space="preserve">ts of the part-heard hearing and </w:t>
      </w:r>
      <w:r w:rsidR="008B466A">
        <w:rPr>
          <w:lang w:val="en-US"/>
        </w:rPr>
        <w:t>take instructions</w:t>
      </w:r>
      <w:r w:rsidR="00B02D35">
        <w:rPr>
          <w:lang w:val="en-US"/>
        </w:rPr>
        <w:t>. I</w:t>
      </w:r>
      <w:r w:rsidR="0075145D">
        <w:rPr>
          <w:lang w:val="en-US"/>
        </w:rPr>
        <w:t xml:space="preserve">n the interests of a fair </w:t>
      </w:r>
      <w:r w:rsidR="008B466A">
        <w:rPr>
          <w:lang w:val="en-US"/>
        </w:rPr>
        <w:t xml:space="preserve">and expeditious </w:t>
      </w:r>
      <w:r w:rsidR="0075145D">
        <w:rPr>
          <w:lang w:val="en-US"/>
        </w:rPr>
        <w:t xml:space="preserve">hearing we strongly believe that legal representation must be provided for the entire hearing and not just the cross-examination. </w:t>
      </w:r>
    </w:p>
    <w:p w14:paraId="0E314CFE" w14:textId="77777777" w:rsidR="00B02D35" w:rsidRDefault="00B02D35" w:rsidP="0075145D">
      <w:pPr>
        <w:pStyle w:val="NoSpacing"/>
        <w:ind w:right="-347"/>
        <w:jc w:val="both"/>
        <w:rPr>
          <w:lang w:val="en-US"/>
        </w:rPr>
      </w:pPr>
    </w:p>
    <w:p w14:paraId="1DF119DC" w14:textId="77777777" w:rsidR="004B60B8" w:rsidRDefault="004B60B8" w:rsidP="004B60B8">
      <w:pPr>
        <w:ind w:right="-347"/>
        <w:jc w:val="both"/>
        <w:rPr>
          <w:bCs/>
        </w:rPr>
      </w:pPr>
      <w:r>
        <w:rPr>
          <w:bCs/>
        </w:rPr>
        <w:t>If we can be of any further assistance, please do not hesitate to contact us.</w:t>
      </w:r>
    </w:p>
    <w:p w14:paraId="4579BFF3" w14:textId="77777777" w:rsidR="004B60B8" w:rsidRDefault="004B60B8" w:rsidP="004B60B8">
      <w:pPr>
        <w:ind w:right="-347"/>
        <w:jc w:val="both"/>
        <w:rPr>
          <w:bCs/>
        </w:rPr>
      </w:pPr>
    </w:p>
    <w:p w14:paraId="6AC59B80" w14:textId="77777777" w:rsidR="004B60B8" w:rsidRDefault="004B60B8" w:rsidP="004B60B8">
      <w:pPr>
        <w:ind w:right="-347"/>
        <w:jc w:val="both"/>
        <w:rPr>
          <w:bCs/>
        </w:rPr>
      </w:pPr>
    </w:p>
    <w:p w14:paraId="39EB6F9E" w14:textId="77777777" w:rsidR="004B60B8" w:rsidRDefault="004B60B8" w:rsidP="004B60B8">
      <w:pPr>
        <w:ind w:right="-347"/>
        <w:jc w:val="both"/>
        <w:rPr>
          <w:bCs/>
        </w:rPr>
      </w:pPr>
      <w:r>
        <w:rPr>
          <w:bCs/>
        </w:rPr>
        <w:t>Yours faithfully,</w:t>
      </w:r>
    </w:p>
    <w:p w14:paraId="1825CC74" w14:textId="77777777" w:rsidR="004B60B8" w:rsidRDefault="004B60B8" w:rsidP="004B60B8">
      <w:pPr>
        <w:ind w:right="-347"/>
        <w:jc w:val="both"/>
        <w:rPr>
          <w:bCs/>
        </w:rPr>
      </w:pPr>
    </w:p>
    <w:p w14:paraId="7D213FA0" w14:textId="77777777" w:rsidR="004B60B8" w:rsidRDefault="004B60B8" w:rsidP="004B60B8">
      <w:pPr>
        <w:ind w:right="-347"/>
        <w:jc w:val="both"/>
        <w:rPr>
          <w:bCs/>
        </w:rPr>
      </w:pPr>
    </w:p>
    <w:p w14:paraId="7F92D3E2" w14:textId="77777777" w:rsidR="004B60B8" w:rsidRDefault="004B60B8" w:rsidP="004B60B8">
      <w:pPr>
        <w:ind w:right="-347"/>
        <w:jc w:val="both"/>
        <w:rPr>
          <w:bCs/>
        </w:rPr>
      </w:pPr>
    </w:p>
    <w:p w14:paraId="3ED7818F" w14:textId="77777777" w:rsidR="004B60B8" w:rsidRDefault="004B60B8" w:rsidP="004B60B8">
      <w:pPr>
        <w:ind w:right="-347"/>
        <w:jc w:val="both"/>
        <w:rPr>
          <w:bCs/>
        </w:rPr>
      </w:pPr>
    </w:p>
    <w:p w14:paraId="6C92198C" w14:textId="77777777" w:rsidR="004B60B8" w:rsidRDefault="004B60B8" w:rsidP="004B60B8">
      <w:pPr>
        <w:ind w:right="-347"/>
        <w:jc w:val="both"/>
        <w:rPr>
          <w:bCs/>
        </w:rPr>
      </w:pPr>
      <w:r>
        <w:rPr>
          <w:bCs/>
        </w:rPr>
        <w:t>Benedict Bartl</w:t>
      </w:r>
    </w:p>
    <w:p w14:paraId="3BEAFE74" w14:textId="77777777" w:rsidR="004B60B8" w:rsidRDefault="004B60B8" w:rsidP="004B60B8">
      <w:pPr>
        <w:ind w:right="-347"/>
        <w:jc w:val="both"/>
        <w:rPr>
          <w:bCs/>
        </w:rPr>
      </w:pPr>
      <w:r>
        <w:rPr>
          <w:bCs/>
        </w:rPr>
        <w:t>Policy Officer</w:t>
      </w:r>
    </w:p>
    <w:p w14:paraId="413085E0" w14:textId="77777777" w:rsidR="004B60B8" w:rsidRPr="004A7469" w:rsidRDefault="004B60B8" w:rsidP="004B60B8">
      <w:pPr>
        <w:pBdr>
          <w:bottom w:val="single" w:sz="6" w:space="1" w:color="auto"/>
        </w:pBdr>
        <w:ind w:right="-347"/>
        <w:jc w:val="both"/>
        <w:rPr>
          <w:b/>
          <w:bCs/>
        </w:rPr>
      </w:pPr>
      <w:r w:rsidRPr="004A7469">
        <w:rPr>
          <w:b/>
          <w:bCs/>
        </w:rPr>
        <w:t>Community Legal Centres Tasmania</w:t>
      </w:r>
    </w:p>
    <w:p w14:paraId="1C736C44" w14:textId="2B0AE0D0" w:rsidR="004C0469" w:rsidRDefault="004C0469"/>
    <w:p w14:paraId="3398626C" w14:textId="77777777" w:rsidR="00ED2F8D" w:rsidRDefault="00ED2F8D"/>
    <w:sectPr w:rsidR="00ED2F8D" w:rsidSect="00062294">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371D9" w14:textId="77777777" w:rsidR="00ED1CF5" w:rsidRDefault="00ED1CF5" w:rsidP="004B60B8">
      <w:r>
        <w:separator/>
      </w:r>
    </w:p>
  </w:endnote>
  <w:endnote w:type="continuationSeparator" w:id="0">
    <w:p w14:paraId="4705DFD2" w14:textId="77777777" w:rsidR="00ED1CF5" w:rsidRDefault="00ED1CF5" w:rsidP="004B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5F590" w14:textId="77777777" w:rsidR="000B40E0" w:rsidRDefault="000B40E0" w:rsidP="000622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A51B4" w14:textId="77777777" w:rsidR="000B40E0" w:rsidRDefault="000B40E0" w:rsidP="000622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60E8A" w14:textId="77777777" w:rsidR="000B40E0" w:rsidRDefault="000B40E0" w:rsidP="000622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1CF5">
      <w:rPr>
        <w:rStyle w:val="PageNumber"/>
        <w:noProof/>
      </w:rPr>
      <w:t>1</w:t>
    </w:r>
    <w:r>
      <w:rPr>
        <w:rStyle w:val="PageNumber"/>
      </w:rPr>
      <w:fldChar w:fldCharType="end"/>
    </w:r>
  </w:p>
  <w:p w14:paraId="42689F8C" w14:textId="77777777" w:rsidR="000B40E0" w:rsidRDefault="000B40E0" w:rsidP="000622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4631B" w14:textId="77777777" w:rsidR="00ED1CF5" w:rsidRDefault="00ED1CF5" w:rsidP="004B60B8">
      <w:r>
        <w:separator/>
      </w:r>
    </w:p>
  </w:footnote>
  <w:footnote w:type="continuationSeparator" w:id="0">
    <w:p w14:paraId="72A87566" w14:textId="77777777" w:rsidR="00ED1CF5" w:rsidRDefault="00ED1CF5" w:rsidP="004B60B8">
      <w:r>
        <w:continuationSeparator/>
      </w:r>
    </w:p>
  </w:footnote>
  <w:footnote w:id="1">
    <w:p w14:paraId="03206DBA" w14:textId="77777777" w:rsidR="000B40E0" w:rsidRDefault="000B40E0" w:rsidP="004B60B8">
      <w:pPr>
        <w:pStyle w:val="FootnoteText"/>
      </w:pPr>
      <w:r>
        <w:rPr>
          <w:rStyle w:val="FootnoteReference"/>
        </w:rPr>
        <w:footnoteRef/>
      </w:r>
      <w:r>
        <w:t xml:space="preserve"> </w:t>
      </w:r>
      <w:r w:rsidRPr="00FB6F72">
        <w:rPr>
          <w:color w:val="000000" w:themeColor="text1"/>
          <w:sz w:val="20"/>
          <w:szCs w:val="20"/>
        </w:rPr>
        <w:t xml:space="preserve">CLC Tas would like to acknowledge </w:t>
      </w:r>
      <w:r>
        <w:rPr>
          <w:color w:val="000000" w:themeColor="text1"/>
          <w:sz w:val="20"/>
          <w:szCs w:val="20"/>
        </w:rPr>
        <w:t xml:space="preserve">Suddathcharige Manoj Fernando and Lena Lashin </w:t>
      </w:r>
      <w:r w:rsidRPr="00FB6F72">
        <w:rPr>
          <w:color w:val="000000" w:themeColor="text1"/>
          <w:sz w:val="20"/>
          <w:szCs w:val="20"/>
        </w:rPr>
        <w:t>who assisted in the preparation of this response.</w:t>
      </w:r>
      <w:r>
        <w:t xml:space="preserve"> </w:t>
      </w:r>
    </w:p>
  </w:footnote>
  <w:footnote w:id="2">
    <w:p w14:paraId="77E5BD20" w14:textId="6E9D2EFF" w:rsidR="000B40E0" w:rsidRDefault="000B40E0">
      <w:pPr>
        <w:pStyle w:val="FootnoteText"/>
      </w:pPr>
      <w:r>
        <w:rPr>
          <w:rStyle w:val="FootnoteReference"/>
        </w:rPr>
        <w:footnoteRef/>
      </w:r>
      <w:r>
        <w:t xml:space="preserve"> </w:t>
      </w:r>
      <w:r w:rsidRPr="00231DA7">
        <w:rPr>
          <w:sz w:val="20"/>
          <w:szCs w:val="20"/>
        </w:rPr>
        <w:t>Criminal Justice Report of the Royal Commission into Institutional Responses to Child Sexual Abuse at 10.</w:t>
      </w:r>
      <w:r>
        <w:t xml:space="preserve">  </w:t>
      </w:r>
    </w:p>
  </w:footnote>
  <w:footnote w:id="3">
    <w:p w14:paraId="34618C49" w14:textId="5A20C8A0" w:rsidR="000B40E0" w:rsidRDefault="000B40E0">
      <w:pPr>
        <w:pStyle w:val="FootnoteText"/>
      </w:pPr>
      <w:r>
        <w:rPr>
          <w:rStyle w:val="FootnoteReference"/>
        </w:rPr>
        <w:footnoteRef/>
      </w:r>
      <w:r>
        <w:t xml:space="preserve"> </w:t>
      </w:r>
      <w:r w:rsidRPr="00231DA7">
        <w:rPr>
          <w:i/>
          <w:sz w:val="20"/>
          <w:szCs w:val="20"/>
        </w:rPr>
        <w:t>R v Johnson</w:t>
      </w:r>
      <w:r w:rsidRPr="00231DA7">
        <w:rPr>
          <w:sz w:val="20"/>
          <w:szCs w:val="20"/>
        </w:rPr>
        <w:t xml:space="preserve"> [2015] SASCFC 170 at [10] per Sulan and Stanley JJ.</w:t>
      </w:r>
      <w:r>
        <w:t xml:space="preserve">  </w:t>
      </w:r>
    </w:p>
  </w:footnote>
  <w:footnote w:id="4">
    <w:p w14:paraId="57255E89" w14:textId="77777777" w:rsidR="000B40E0" w:rsidRDefault="000B40E0" w:rsidP="00183406">
      <w:pPr>
        <w:pStyle w:val="FootnoteText"/>
      </w:pPr>
      <w:r>
        <w:rPr>
          <w:rStyle w:val="FootnoteReference"/>
        </w:rPr>
        <w:footnoteRef/>
      </w:r>
      <w:r>
        <w:t xml:space="preserve"> </w:t>
      </w:r>
      <w:r w:rsidRPr="00183406">
        <w:rPr>
          <w:i/>
          <w:sz w:val="20"/>
          <w:szCs w:val="20"/>
        </w:rPr>
        <w:t>Chiro v The Queen</w:t>
      </w:r>
      <w:r w:rsidRPr="00183406">
        <w:rPr>
          <w:sz w:val="20"/>
          <w:szCs w:val="20"/>
        </w:rPr>
        <w:t xml:space="preserve"> [2017] HCA 37 at [43]</w:t>
      </w:r>
      <w:r>
        <w:rPr>
          <w:sz w:val="20"/>
          <w:szCs w:val="20"/>
        </w:rPr>
        <w:t xml:space="preserve"> per Kiefel CJ, Keane and Nettle JJ. </w:t>
      </w:r>
    </w:p>
  </w:footnote>
  <w:footnote w:id="5">
    <w:p w14:paraId="68A767A0" w14:textId="77777777" w:rsidR="000B40E0" w:rsidRPr="00E50B0F" w:rsidRDefault="000B40E0" w:rsidP="008F5E15">
      <w:pPr>
        <w:pStyle w:val="FootnoteText"/>
      </w:pPr>
      <w:r>
        <w:rPr>
          <w:rStyle w:val="FootnoteReference"/>
        </w:rPr>
        <w:footnoteRef/>
      </w:r>
      <w:r>
        <w:t xml:space="preserve"> </w:t>
      </w:r>
      <w:r w:rsidRPr="00E50B0F">
        <w:rPr>
          <w:sz w:val="20"/>
          <w:szCs w:val="20"/>
        </w:rPr>
        <w:t xml:space="preserve">Sentencing Advisory Council, </w:t>
      </w:r>
      <w:r w:rsidRPr="00E50B0F">
        <w:rPr>
          <w:i/>
          <w:sz w:val="20"/>
          <w:szCs w:val="20"/>
        </w:rPr>
        <w:t>Sentencing of Adult Family Violence Offenders</w:t>
      </w:r>
      <w:r w:rsidRPr="00E50B0F">
        <w:rPr>
          <w:sz w:val="20"/>
          <w:szCs w:val="20"/>
        </w:rPr>
        <w:t xml:space="preserve"> (Final Report No. 5: October 2015) at 42.</w:t>
      </w:r>
    </w:p>
  </w:footnote>
  <w:footnote w:id="6">
    <w:p w14:paraId="793F488D" w14:textId="77777777" w:rsidR="000B40E0" w:rsidRPr="005423E7" w:rsidRDefault="000B40E0" w:rsidP="008F5E15">
      <w:pPr>
        <w:pStyle w:val="FootnoteText"/>
      </w:pPr>
      <w:r>
        <w:rPr>
          <w:rStyle w:val="FootnoteReference"/>
        </w:rPr>
        <w:footnoteRef/>
      </w:r>
      <w:r>
        <w:t xml:space="preserve"> </w:t>
      </w:r>
      <w:r w:rsidRPr="00E50B0F">
        <w:rPr>
          <w:sz w:val="20"/>
          <w:szCs w:val="20"/>
        </w:rPr>
        <w:t xml:space="preserve">Sentencing Advisory Council, </w:t>
      </w:r>
      <w:r w:rsidRPr="00E50B0F">
        <w:rPr>
          <w:i/>
          <w:sz w:val="20"/>
          <w:szCs w:val="20"/>
        </w:rPr>
        <w:t>Sentencing of Adult Family Violence Offenders</w:t>
      </w:r>
      <w:r w:rsidRPr="00E50B0F">
        <w:rPr>
          <w:sz w:val="20"/>
          <w:szCs w:val="20"/>
        </w:rPr>
        <w:t xml:space="preserve"> (Final Report No. 5: October 2015) at 42.</w:t>
      </w:r>
      <w:r>
        <w:t xml:space="preserve"> </w:t>
      </w:r>
    </w:p>
  </w:footnote>
  <w:footnote w:id="7">
    <w:p w14:paraId="4022C73C" w14:textId="575ADF79" w:rsidR="00E95404" w:rsidRPr="00E95404" w:rsidRDefault="00E95404" w:rsidP="00E95404">
      <w:pPr>
        <w:pStyle w:val="NoSpacing"/>
        <w:jc w:val="both"/>
        <w:rPr>
          <w:lang w:val="en-US"/>
        </w:rPr>
      </w:pPr>
      <w:r>
        <w:rPr>
          <w:rStyle w:val="FootnoteReference"/>
        </w:rPr>
        <w:footnoteRef/>
      </w:r>
      <w:r>
        <w:t xml:space="preserve"> </w:t>
      </w:r>
      <w:r w:rsidRPr="00E95404">
        <w:rPr>
          <w:sz w:val="20"/>
          <w:szCs w:val="20"/>
          <w:lang w:val="en-US"/>
        </w:rPr>
        <w:t xml:space="preserve">Tasmania Police, </w:t>
      </w:r>
      <w:r w:rsidRPr="00E95404">
        <w:rPr>
          <w:i/>
          <w:sz w:val="20"/>
          <w:szCs w:val="20"/>
          <w:lang w:val="en-US"/>
        </w:rPr>
        <w:t>Annual 2017-18</w:t>
      </w:r>
      <w:r w:rsidRPr="00E95404">
        <w:rPr>
          <w:sz w:val="20"/>
          <w:szCs w:val="20"/>
          <w:lang w:val="en-US"/>
        </w:rPr>
        <w:t>, Corporate Performance Report</w:t>
      </w:r>
      <w:r w:rsidRPr="00E95404">
        <w:rPr>
          <w:sz w:val="20"/>
          <w:szCs w:val="20"/>
        </w:rPr>
        <w:t xml:space="preserve"> and Tasmania Police, </w:t>
      </w:r>
      <w:r w:rsidRPr="00E95404">
        <w:rPr>
          <w:i/>
          <w:sz w:val="20"/>
          <w:szCs w:val="20"/>
        </w:rPr>
        <w:t>Annual 2013-14</w:t>
      </w:r>
      <w:r w:rsidRPr="00E95404">
        <w:rPr>
          <w:sz w:val="20"/>
          <w:szCs w:val="20"/>
          <w:lang w:val="en-US"/>
        </w:rPr>
        <w:t>, Corporate Performance Report</w:t>
      </w:r>
      <w:r w:rsidRPr="00E95404">
        <w:rPr>
          <w:sz w:val="20"/>
          <w:szCs w:val="20"/>
        </w:rPr>
        <w:t xml:space="preserve">. As found at </w:t>
      </w:r>
      <w:hyperlink r:id="rId1" w:history="1">
        <w:r w:rsidRPr="00E95404">
          <w:rPr>
            <w:rStyle w:val="Hyperlink"/>
            <w:sz w:val="20"/>
            <w:szCs w:val="20"/>
            <w:lang w:val="en-US"/>
          </w:rPr>
          <w:t>https://www.police.tas.gov.au/about-us/our-performance/</w:t>
        </w:r>
      </w:hyperlink>
      <w:r w:rsidRPr="00E95404">
        <w:rPr>
          <w:sz w:val="20"/>
          <w:szCs w:val="20"/>
          <w:lang w:val="en-US"/>
        </w:rPr>
        <w:t xml:space="preserve"> (Accessed 31 August 2018).</w:t>
      </w:r>
      <w:r>
        <w:rPr>
          <w:lang w:val="en-US"/>
        </w:rPr>
        <w:t xml:space="preserve"> </w:t>
      </w:r>
      <w:r>
        <w:t xml:space="preserve">  </w:t>
      </w:r>
    </w:p>
  </w:footnote>
  <w:footnote w:id="8">
    <w:p w14:paraId="763D3C42" w14:textId="3A5B52AD" w:rsidR="00B02D35" w:rsidRPr="00DC34D5" w:rsidRDefault="00B02D35" w:rsidP="00B02D35">
      <w:pPr>
        <w:pStyle w:val="FootnoteText"/>
        <w:rPr>
          <w:lang w:val="en-AU"/>
        </w:rPr>
      </w:pPr>
      <w:r>
        <w:rPr>
          <w:rStyle w:val="FootnoteReference"/>
        </w:rPr>
        <w:footnoteRef/>
      </w:r>
      <w:r>
        <w:t xml:space="preserve"> </w:t>
      </w:r>
      <w:r w:rsidRPr="00967931">
        <w:rPr>
          <w:sz w:val="20"/>
          <w:szCs w:val="20"/>
          <w:lang w:val="en-AU"/>
        </w:rPr>
        <w:t>The table included above notes that there were 2,077 family violence orders</w:t>
      </w:r>
      <w:r>
        <w:rPr>
          <w:sz w:val="20"/>
          <w:szCs w:val="20"/>
          <w:lang w:val="en-AU"/>
        </w:rPr>
        <w:t xml:space="preserve"> issued by the police or the Magistrates C</w:t>
      </w:r>
      <w:r w:rsidRPr="00967931">
        <w:rPr>
          <w:sz w:val="20"/>
          <w:szCs w:val="20"/>
          <w:lang w:val="en-AU"/>
        </w:rPr>
        <w:t xml:space="preserve">ourt. If 20 per cent are unrepresented, this leaves 200 unrepresented defendants. As well, there </w:t>
      </w:r>
      <w:r w:rsidR="006E56D6">
        <w:rPr>
          <w:sz w:val="20"/>
          <w:szCs w:val="20"/>
          <w:lang w:val="en-AU"/>
        </w:rPr>
        <w:t>may be other matters where the</w:t>
      </w:r>
      <w:r w:rsidRPr="00967931">
        <w:rPr>
          <w:sz w:val="20"/>
          <w:szCs w:val="20"/>
          <w:lang w:val="en-AU"/>
        </w:rPr>
        <w:t xml:space="preserve"> defendant will require representation.</w:t>
      </w:r>
      <w:bookmarkStart w:id="0" w:name="_GoBack"/>
      <w:bookmarkEnd w:id="0"/>
      <w:r>
        <w:rPr>
          <w:lang w:val="en-AU"/>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0574"/>
    <w:multiLevelType w:val="hybridMultilevel"/>
    <w:tmpl w:val="E0E0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08DF"/>
    <w:multiLevelType w:val="hybridMultilevel"/>
    <w:tmpl w:val="EEF4B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73700A"/>
    <w:multiLevelType w:val="hybridMultilevel"/>
    <w:tmpl w:val="9CD05566"/>
    <w:lvl w:ilvl="0" w:tplc="8B584AE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7C659B"/>
    <w:multiLevelType w:val="hybridMultilevel"/>
    <w:tmpl w:val="1364273C"/>
    <w:lvl w:ilvl="0" w:tplc="0AEC619C">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1157F1"/>
    <w:multiLevelType w:val="hybridMultilevel"/>
    <w:tmpl w:val="1A26ADA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B8"/>
    <w:rsid w:val="00062294"/>
    <w:rsid w:val="0008684C"/>
    <w:rsid w:val="000B40E0"/>
    <w:rsid w:val="000C3A92"/>
    <w:rsid w:val="000D77A2"/>
    <w:rsid w:val="00125118"/>
    <w:rsid w:val="00183406"/>
    <w:rsid w:val="001B481A"/>
    <w:rsid w:val="001D55E9"/>
    <w:rsid w:val="001F3A86"/>
    <w:rsid w:val="00231DA7"/>
    <w:rsid w:val="002C41E6"/>
    <w:rsid w:val="002E52B3"/>
    <w:rsid w:val="00314519"/>
    <w:rsid w:val="0032225A"/>
    <w:rsid w:val="00397713"/>
    <w:rsid w:val="00406EFE"/>
    <w:rsid w:val="00445E69"/>
    <w:rsid w:val="00453504"/>
    <w:rsid w:val="00477821"/>
    <w:rsid w:val="004B1418"/>
    <w:rsid w:val="004B60B8"/>
    <w:rsid w:val="004C0469"/>
    <w:rsid w:val="00511097"/>
    <w:rsid w:val="005E67BE"/>
    <w:rsid w:val="005F335E"/>
    <w:rsid w:val="00614C58"/>
    <w:rsid w:val="006219C7"/>
    <w:rsid w:val="00653BD7"/>
    <w:rsid w:val="006E56D6"/>
    <w:rsid w:val="006F52B3"/>
    <w:rsid w:val="007441C6"/>
    <w:rsid w:val="0075145D"/>
    <w:rsid w:val="00751FDB"/>
    <w:rsid w:val="0075501E"/>
    <w:rsid w:val="007A4633"/>
    <w:rsid w:val="007D0373"/>
    <w:rsid w:val="00892532"/>
    <w:rsid w:val="008B466A"/>
    <w:rsid w:val="008D3266"/>
    <w:rsid w:val="008E1057"/>
    <w:rsid w:val="008E25F8"/>
    <w:rsid w:val="008F5E15"/>
    <w:rsid w:val="009057AB"/>
    <w:rsid w:val="009355E8"/>
    <w:rsid w:val="009523B2"/>
    <w:rsid w:val="0095408E"/>
    <w:rsid w:val="00967931"/>
    <w:rsid w:val="009733D9"/>
    <w:rsid w:val="009E29A7"/>
    <w:rsid w:val="00AA1C0D"/>
    <w:rsid w:val="00B02D35"/>
    <w:rsid w:val="00B04329"/>
    <w:rsid w:val="00B23F6F"/>
    <w:rsid w:val="00B4233F"/>
    <w:rsid w:val="00BD5EDC"/>
    <w:rsid w:val="00C36F9C"/>
    <w:rsid w:val="00C65B62"/>
    <w:rsid w:val="00C806B9"/>
    <w:rsid w:val="00CB7205"/>
    <w:rsid w:val="00CD11AB"/>
    <w:rsid w:val="00D0064A"/>
    <w:rsid w:val="00D17542"/>
    <w:rsid w:val="00D4698E"/>
    <w:rsid w:val="00DC090E"/>
    <w:rsid w:val="00DC34D5"/>
    <w:rsid w:val="00E17390"/>
    <w:rsid w:val="00E52693"/>
    <w:rsid w:val="00E93DAF"/>
    <w:rsid w:val="00E95404"/>
    <w:rsid w:val="00ED0A75"/>
    <w:rsid w:val="00ED1CF5"/>
    <w:rsid w:val="00ED2F8D"/>
    <w:rsid w:val="00F75BD5"/>
    <w:rsid w:val="00F8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CE61B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iPriority w:val="99"/>
    <w:unhideWhenUsed/>
    <w:rsid w:val="004B60B8"/>
  </w:style>
  <w:style w:type="character" w:customStyle="1" w:styleId="FootnoteTextChar">
    <w:name w:val="Footnote Text Char"/>
    <w:aliases w:val="Footnote Char,Text Char"/>
    <w:basedOn w:val="DefaultParagraphFont"/>
    <w:link w:val="FootnoteText"/>
    <w:uiPriority w:val="99"/>
    <w:rsid w:val="004B60B8"/>
  </w:style>
  <w:style w:type="character" w:styleId="FootnoteReference">
    <w:name w:val="footnote reference"/>
    <w:basedOn w:val="DefaultParagraphFont"/>
    <w:uiPriority w:val="99"/>
    <w:unhideWhenUsed/>
    <w:rsid w:val="004B60B8"/>
    <w:rPr>
      <w:vertAlign w:val="superscript"/>
    </w:rPr>
  </w:style>
  <w:style w:type="character" w:styleId="Hyperlink">
    <w:name w:val="Hyperlink"/>
    <w:basedOn w:val="DefaultParagraphFont"/>
    <w:uiPriority w:val="99"/>
    <w:unhideWhenUsed/>
    <w:rsid w:val="004B60B8"/>
    <w:rPr>
      <w:color w:val="0000FF" w:themeColor="hyperlink"/>
      <w:u w:val="single"/>
    </w:rPr>
  </w:style>
  <w:style w:type="paragraph" w:styleId="Footer">
    <w:name w:val="footer"/>
    <w:basedOn w:val="Normal"/>
    <w:link w:val="FooterChar"/>
    <w:uiPriority w:val="99"/>
    <w:unhideWhenUsed/>
    <w:rsid w:val="004B60B8"/>
    <w:pPr>
      <w:tabs>
        <w:tab w:val="center" w:pos="4513"/>
        <w:tab w:val="right" w:pos="9026"/>
      </w:tabs>
    </w:pPr>
  </w:style>
  <w:style w:type="character" w:customStyle="1" w:styleId="FooterChar">
    <w:name w:val="Footer Char"/>
    <w:basedOn w:val="DefaultParagraphFont"/>
    <w:link w:val="Footer"/>
    <w:uiPriority w:val="99"/>
    <w:rsid w:val="004B60B8"/>
  </w:style>
  <w:style w:type="character" w:styleId="PageNumber">
    <w:name w:val="page number"/>
    <w:basedOn w:val="DefaultParagraphFont"/>
    <w:uiPriority w:val="99"/>
    <w:semiHidden/>
    <w:unhideWhenUsed/>
    <w:rsid w:val="004B60B8"/>
  </w:style>
  <w:style w:type="paragraph" w:styleId="ListParagraph">
    <w:name w:val="List Paragraph"/>
    <w:basedOn w:val="Normal"/>
    <w:uiPriority w:val="34"/>
    <w:qFormat/>
    <w:rsid w:val="004B60B8"/>
    <w:pPr>
      <w:ind w:left="720"/>
      <w:contextualSpacing/>
    </w:pPr>
  </w:style>
  <w:style w:type="paragraph" w:styleId="BalloonText">
    <w:name w:val="Balloon Text"/>
    <w:basedOn w:val="Normal"/>
    <w:link w:val="BalloonTextChar"/>
    <w:uiPriority w:val="99"/>
    <w:semiHidden/>
    <w:unhideWhenUsed/>
    <w:rsid w:val="004B60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60B8"/>
    <w:rPr>
      <w:rFonts w:ascii="Lucida Grande" w:hAnsi="Lucida Grande" w:cs="Lucida Grande"/>
      <w:sz w:val="18"/>
      <w:szCs w:val="18"/>
    </w:rPr>
  </w:style>
  <w:style w:type="paragraph" w:customStyle="1" w:styleId="headingparagraph">
    <w:name w:val="headingparagraph"/>
    <w:basedOn w:val="Normal"/>
    <w:rsid w:val="00CD11AB"/>
    <w:pPr>
      <w:spacing w:before="100" w:beforeAutospacing="1" w:after="100" w:afterAutospacing="1"/>
    </w:pPr>
    <w:rPr>
      <w:rFonts w:ascii="Times" w:hAnsi="Times"/>
      <w:sz w:val="20"/>
      <w:szCs w:val="20"/>
      <w:lang w:val="en-AU"/>
    </w:rPr>
  </w:style>
  <w:style w:type="paragraph" w:styleId="NoSpacing">
    <w:name w:val="No Spacing"/>
    <w:uiPriority w:val="1"/>
    <w:qFormat/>
    <w:rsid w:val="00D4698E"/>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2529">
      <w:bodyDiv w:val="1"/>
      <w:marLeft w:val="0"/>
      <w:marRight w:val="0"/>
      <w:marTop w:val="0"/>
      <w:marBottom w:val="0"/>
      <w:divBdr>
        <w:top w:val="none" w:sz="0" w:space="0" w:color="auto"/>
        <w:left w:val="none" w:sz="0" w:space="0" w:color="auto"/>
        <w:bottom w:val="none" w:sz="0" w:space="0" w:color="auto"/>
        <w:right w:val="none" w:sz="0" w:space="0" w:color="auto"/>
      </w:divBdr>
    </w:div>
    <w:div w:id="491063225">
      <w:bodyDiv w:val="1"/>
      <w:marLeft w:val="0"/>
      <w:marRight w:val="0"/>
      <w:marTop w:val="0"/>
      <w:marBottom w:val="0"/>
      <w:divBdr>
        <w:top w:val="none" w:sz="0" w:space="0" w:color="auto"/>
        <w:left w:val="none" w:sz="0" w:space="0" w:color="auto"/>
        <w:bottom w:val="none" w:sz="0" w:space="0" w:color="auto"/>
        <w:right w:val="none" w:sz="0" w:space="0" w:color="auto"/>
      </w:divBdr>
    </w:div>
    <w:div w:id="573004969">
      <w:bodyDiv w:val="1"/>
      <w:marLeft w:val="0"/>
      <w:marRight w:val="0"/>
      <w:marTop w:val="0"/>
      <w:marBottom w:val="0"/>
      <w:divBdr>
        <w:top w:val="none" w:sz="0" w:space="0" w:color="auto"/>
        <w:left w:val="none" w:sz="0" w:space="0" w:color="auto"/>
        <w:bottom w:val="none" w:sz="0" w:space="0" w:color="auto"/>
        <w:right w:val="none" w:sz="0" w:space="0" w:color="auto"/>
      </w:divBdr>
    </w:div>
    <w:div w:id="719399618">
      <w:bodyDiv w:val="1"/>
      <w:marLeft w:val="0"/>
      <w:marRight w:val="0"/>
      <w:marTop w:val="0"/>
      <w:marBottom w:val="0"/>
      <w:divBdr>
        <w:top w:val="none" w:sz="0" w:space="0" w:color="auto"/>
        <w:left w:val="none" w:sz="0" w:space="0" w:color="auto"/>
        <w:bottom w:val="none" w:sz="0" w:space="0" w:color="auto"/>
        <w:right w:val="none" w:sz="0" w:space="0" w:color="auto"/>
      </w:divBdr>
    </w:div>
    <w:div w:id="899484730">
      <w:bodyDiv w:val="1"/>
      <w:marLeft w:val="0"/>
      <w:marRight w:val="0"/>
      <w:marTop w:val="0"/>
      <w:marBottom w:val="0"/>
      <w:divBdr>
        <w:top w:val="none" w:sz="0" w:space="0" w:color="auto"/>
        <w:left w:val="none" w:sz="0" w:space="0" w:color="auto"/>
        <w:bottom w:val="none" w:sz="0" w:space="0" w:color="auto"/>
        <w:right w:val="none" w:sz="0" w:space="0" w:color="auto"/>
      </w:divBdr>
      <w:divsChild>
        <w:div w:id="808284006">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113937537">
              <w:blockQuote w:val="1"/>
              <w:marLeft w:val="0"/>
              <w:marRight w:val="0"/>
              <w:marTop w:val="120"/>
              <w:marBottom w:val="120"/>
              <w:divBdr>
                <w:top w:val="none" w:sz="0" w:space="0" w:color="auto"/>
                <w:left w:val="none" w:sz="0" w:space="0" w:color="auto"/>
                <w:bottom w:val="none" w:sz="0" w:space="0" w:color="auto"/>
                <w:right w:val="none" w:sz="0" w:space="0" w:color="auto"/>
              </w:divBdr>
            </w:div>
            <w:div w:id="1404141432">
              <w:blockQuote w:val="1"/>
              <w:marLeft w:val="0"/>
              <w:marRight w:val="0"/>
              <w:marTop w:val="120"/>
              <w:marBottom w:val="120"/>
              <w:divBdr>
                <w:top w:val="none" w:sz="0" w:space="0" w:color="auto"/>
                <w:left w:val="none" w:sz="0" w:space="0" w:color="auto"/>
                <w:bottom w:val="none" w:sz="0" w:space="0" w:color="auto"/>
                <w:right w:val="none" w:sz="0" w:space="0" w:color="auto"/>
              </w:divBdr>
            </w:div>
            <w:div w:id="910778340">
              <w:blockQuote w:val="1"/>
              <w:marLeft w:val="0"/>
              <w:marRight w:val="0"/>
              <w:marTop w:val="120"/>
              <w:marBottom w:val="120"/>
              <w:divBdr>
                <w:top w:val="none" w:sz="0" w:space="0" w:color="auto"/>
                <w:left w:val="none" w:sz="0" w:space="0" w:color="auto"/>
                <w:bottom w:val="none" w:sz="0" w:space="0" w:color="auto"/>
                <w:right w:val="none" w:sz="0" w:space="0" w:color="auto"/>
              </w:divBdr>
              <w:divsChild>
                <w:div w:id="1569682300">
                  <w:blockQuote w:val="1"/>
                  <w:marLeft w:val="0"/>
                  <w:marRight w:val="0"/>
                  <w:marTop w:val="120"/>
                  <w:marBottom w:val="120"/>
                  <w:divBdr>
                    <w:top w:val="none" w:sz="0" w:space="0" w:color="auto"/>
                    <w:left w:val="none" w:sz="0" w:space="0" w:color="auto"/>
                    <w:bottom w:val="none" w:sz="0" w:space="0" w:color="auto"/>
                    <w:right w:val="none" w:sz="0" w:space="0" w:color="auto"/>
                  </w:divBdr>
                </w:div>
                <w:div w:id="195370219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71172431">
              <w:blockQuote w:val="1"/>
              <w:marLeft w:val="0"/>
              <w:marRight w:val="0"/>
              <w:marTop w:val="120"/>
              <w:marBottom w:val="120"/>
              <w:divBdr>
                <w:top w:val="none" w:sz="0" w:space="0" w:color="auto"/>
                <w:left w:val="none" w:sz="0" w:space="0" w:color="auto"/>
                <w:bottom w:val="none" w:sz="0" w:space="0" w:color="auto"/>
                <w:right w:val="none" w:sz="0" w:space="0" w:color="auto"/>
              </w:divBdr>
              <w:divsChild>
                <w:div w:id="1361513800">
                  <w:blockQuote w:val="1"/>
                  <w:marLeft w:val="0"/>
                  <w:marRight w:val="0"/>
                  <w:marTop w:val="120"/>
                  <w:marBottom w:val="120"/>
                  <w:divBdr>
                    <w:top w:val="none" w:sz="0" w:space="0" w:color="auto"/>
                    <w:left w:val="none" w:sz="0" w:space="0" w:color="auto"/>
                    <w:bottom w:val="none" w:sz="0" w:space="0" w:color="auto"/>
                    <w:right w:val="none" w:sz="0" w:space="0" w:color="auto"/>
                  </w:divBdr>
                </w:div>
                <w:div w:id="29918954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839735784">
              <w:blockQuote w:val="1"/>
              <w:marLeft w:val="0"/>
              <w:marRight w:val="0"/>
              <w:marTop w:val="120"/>
              <w:marBottom w:val="120"/>
              <w:divBdr>
                <w:top w:val="none" w:sz="0" w:space="0" w:color="auto"/>
                <w:left w:val="none" w:sz="0" w:space="0" w:color="auto"/>
                <w:bottom w:val="none" w:sz="0" w:space="0" w:color="auto"/>
                <w:right w:val="none" w:sz="0" w:space="0" w:color="auto"/>
              </w:divBdr>
            </w:div>
            <w:div w:id="660621231">
              <w:blockQuote w:val="1"/>
              <w:marLeft w:val="0"/>
              <w:marRight w:val="0"/>
              <w:marTop w:val="120"/>
              <w:marBottom w:val="120"/>
              <w:divBdr>
                <w:top w:val="none" w:sz="0" w:space="0" w:color="auto"/>
                <w:left w:val="none" w:sz="0" w:space="0" w:color="auto"/>
                <w:bottom w:val="none" w:sz="0" w:space="0" w:color="auto"/>
                <w:right w:val="none" w:sz="0" w:space="0" w:color="auto"/>
              </w:divBdr>
              <w:divsChild>
                <w:div w:id="399057247">
                  <w:blockQuote w:val="1"/>
                  <w:marLeft w:val="0"/>
                  <w:marRight w:val="0"/>
                  <w:marTop w:val="120"/>
                  <w:marBottom w:val="120"/>
                  <w:divBdr>
                    <w:top w:val="none" w:sz="0" w:space="0" w:color="auto"/>
                    <w:left w:val="none" w:sz="0" w:space="0" w:color="auto"/>
                    <w:bottom w:val="none" w:sz="0" w:space="0" w:color="auto"/>
                    <w:right w:val="none" w:sz="0" w:space="0" w:color="auto"/>
                  </w:divBdr>
                </w:div>
                <w:div w:id="108993505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807674720">
              <w:blockQuote w:val="1"/>
              <w:marLeft w:val="0"/>
              <w:marRight w:val="0"/>
              <w:marTop w:val="120"/>
              <w:marBottom w:val="120"/>
              <w:divBdr>
                <w:top w:val="none" w:sz="0" w:space="0" w:color="auto"/>
                <w:left w:val="none" w:sz="0" w:space="0" w:color="auto"/>
                <w:bottom w:val="none" w:sz="0" w:space="0" w:color="auto"/>
                <w:right w:val="none" w:sz="0" w:space="0" w:color="auto"/>
              </w:divBdr>
              <w:divsChild>
                <w:div w:id="429665872">
                  <w:blockQuote w:val="1"/>
                  <w:marLeft w:val="0"/>
                  <w:marRight w:val="0"/>
                  <w:marTop w:val="120"/>
                  <w:marBottom w:val="120"/>
                  <w:divBdr>
                    <w:top w:val="none" w:sz="0" w:space="0" w:color="auto"/>
                    <w:left w:val="none" w:sz="0" w:space="0" w:color="auto"/>
                    <w:bottom w:val="none" w:sz="0" w:space="0" w:color="auto"/>
                    <w:right w:val="none" w:sz="0" w:space="0" w:color="auto"/>
                  </w:divBdr>
                </w:div>
                <w:div w:id="119106406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5886630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66640197">
      <w:bodyDiv w:val="1"/>
      <w:marLeft w:val="0"/>
      <w:marRight w:val="0"/>
      <w:marTop w:val="0"/>
      <w:marBottom w:val="0"/>
      <w:divBdr>
        <w:top w:val="none" w:sz="0" w:space="0" w:color="auto"/>
        <w:left w:val="none" w:sz="0" w:space="0" w:color="auto"/>
        <w:bottom w:val="none" w:sz="0" w:space="0" w:color="auto"/>
        <w:right w:val="none" w:sz="0" w:space="0" w:color="auto"/>
      </w:divBdr>
    </w:div>
    <w:div w:id="1390810597">
      <w:bodyDiv w:val="1"/>
      <w:marLeft w:val="0"/>
      <w:marRight w:val="0"/>
      <w:marTop w:val="0"/>
      <w:marBottom w:val="0"/>
      <w:divBdr>
        <w:top w:val="none" w:sz="0" w:space="0" w:color="auto"/>
        <w:left w:val="none" w:sz="0" w:space="0" w:color="auto"/>
        <w:bottom w:val="none" w:sz="0" w:space="0" w:color="auto"/>
        <w:right w:val="none" w:sz="0" w:space="0" w:color="auto"/>
      </w:divBdr>
    </w:div>
    <w:div w:id="1851599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haveyoursay@justice.tas.gov.au" TargetMode="External"/><Relationship Id="rId9" Type="http://schemas.openxmlformats.org/officeDocument/2006/relationships/chart" Target="charts/chart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olice.tas.gov.au/about-us/our-performance/" TargetMode="Externa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localhost/Volumes/Shared%20Docs/Public/Sister%20Organisations/CLC%20Tas/TACLC%20-%20Ben%20Bartl's%20work/Drugs/DrugStatistics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US" sz="1200">
              <a:solidFill>
                <a:schemeClr val="tx1"/>
              </a:solidFill>
            </a:endParaRPr>
          </a:p>
          <a:p>
            <a:pPr>
              <a:defRPr>
                <a:solidFill>
                  <a:schemeClr val="tx1"/>
                </a:solidFill>
              </a:defRPr>
            </a:pPr>
            <a:r>
              <a:rPr lang="en-US" sz="1400">
                <a:solidFill>
                  <a:schemeClr val="tx1"/>
                </a:solidFill>
              </a:rPr>
              <a:t>No. of Family Violence Orders in Tasmania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AU"/>
        </a:p>
      </c:txPr>
    </c:title>
    <c:autoTitleDeleted val="0"/>
    <c:plotArea>
      <c:layout/>
      <c:barChart>
        <c:barDir val="col"/>
        <c:grouping val="clustered"/>
        <c:varyColors val="0"/>
        <c:ser>
          <c:idx val="0"/>
          <c:order val="0"/>
          <c:tx>
            <c:strRef>
              <c:f>Sheet1!$A$182:$C$182</c:f>
              <c:strCache>
                <c:ptCount val="3"/>
                <c:pt idx="0">
                  <c:v>Police FVO</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A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Sheet1!$D$181:$E$181</c:f>
              <c:strCache>
                <c:ptCount val="2"/>
                <c:pt idx="0">
                  <c:v>2013-14</c:v>
                </c:pt>
                <c:pt idx="1">
                  <c:v>2017-18</c:v>
                </c:pt>
              </c:strCache>
            </c:strRef>
          </c:cat>
          <c:val>
            <c:numRef>
              <c:f>Sheet1!$D$182:$E$182</c:f>
              <c:numCache>
                <c:formatCode>General</c:formatCode>
                <c:ptCount val="2"/>
                <c:pt idx="0">
                  <c:v>1304.0</c:v>
                </c:pt>
                <c:pt idx="1">
                  <c:v>1746.0</c:v>
                </c:pt>
              </c:numCache>
            </c:numRef>
          </c:val>
        </c:ser>
        <c:ser>
          <c:idx val="1"/>
          <c:order val="1"/>
          <c:tx>
            <c:strRef>
              <c:f>Sheet1!$A$183:$C$183</c:f>
              <c:strCache>
                <c:ptCount val="3"/>
                <c:pt idx="0">
                  <c:v>Court FVO</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A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Sheet1!$D$181:$E$181</c:f>
              <c:strCache>
                <c:ptCount val="2"/>
                <c:pt idx="0">
                  <c:v>2013-14</c:v>
                </c:pt>
                <c:pt idx="1">
                  <c:v>2017-18</c:v>
                </c:pt>
              </c:strCache>
            </c:strRef>
          </c:cat>
          <c:val>
            <c:numRef>
              <c:f>Sheet1!$D$183:$E$183</c:f>
              <c:numCache>
                <c:formatCode>General</c:formatCode>
                <c:ptCount val="2"/>
                <c:pt idx="0">
                  <c:v>274.0</c:v>
                </c:pt>
                <c:pt idx="1">
                  <c:v>331.0</c:v>
                </c:pt>
              </c:numCache>
            </c:numRef>
          </c:val>
        </c:ser>
        <c:dLbls>
          <c:dLblPos val="inEnd"/>
          <c:showLegendKey val="0"/>
          <c:showVal val="1"/>
          <c:showCatName val="0"/>
          <c:showSerName val="0"/>
          <c:showPercent val="0"/>
          <c:showBubbleSize val="0"/>
        </c:dLbls>
        <c:gapWidth val="100"/>
        <c:overlap val="-24"/>
        <c:axId val="2107420992"/>
        <c:axId val="2107423744"/>
      </c:barChart>
      <c:catAx>
        <c:axId val="2107420992"/>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AU"/>
          </a:p>
        </c:txPr>
        <c:crossAx val="2107423744"/>
        <c:crosses val="autoZero"/>
        <c:auto val="1"/>
        <c:lblAlgn val="ctr"/>
        <c:lblOffset val="100"/>
        <c:noMultiLvlLbl val="0"/>
      </c:catAx>
      <c:valAx>
        <c:axId val="21074237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AU"/>
          </a:p>
        </c:txPr>
        <c:crossAx val="2107420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A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A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1067</Words>
  <Characters>6084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TACLC</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Worker</dc:creator>
  <cp:keywords/>
  <dc:description/>
  <cp:lastModifiedBy>Microsoft Office User</cp:lastModifiedBy>
  <cp:revision>9</cp:revision>
  <cp:lastPrinted>2018-09-03T01:20:00Z</cp:lastPrinted>
  <dcterms:created xsi:type="dcterms:W3CDTF">2018-08-30T22:57:00Z</dcterms:created>
  <dcterms:modified xsi:type="dcterms:W3CDTF">2018-09-03T01:40:00Z</dcterms:modified>
</cp:coreProperties>
</file>