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ADC97" w14:textId="77777777" w:rsidR="000F000F" w:rsidRDefault="000F000F" w:rsidP="000F000F">
      <w:pPr>
        <w:ind w:right="-205"/>
        <w:jc w:val="center"/>
      </w:pPr>
      <w:r w:rsidRPr="00B10735">
        <w:rPr>
          <w:noProof/>
          <w:sz w:val="20"/>
          <w:szCs w:val="20"/>
        </w:rPr>
        <w:drawing>
          <wp:inline distT="0" distB="0" distL="0" distR="0" wp14:anchorId="38797B76" wp14:editId="27822C05">
            <wp:extent cx="2691245" cy="914400"/>
            <wp:effectExtent l="0" t="0" r="1270" b="0"/>
            <wp:docPr id="3"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6486" cy="916181"/>
                    </a:xfrm>
                    <a:prstGeom prst="rect">
                      <a:avLst/>
                    </a:prstGeom>
                    <a:noFill/>
                    <a:ln>
                      <a:noFill/>
                    </a:ln>
                  </pic:spPr>
                </pic:pic>
              </a:graphicData>
            </a:graphic>
          </wp:inline>
        </w:drawing>
      </w:r>
    </w:p>
    <w:p w14:paraId="36ED73CF" w14:textId="77777777" w:rsidR="000F000F" w:rsidRDefault="000F000F" w:rsidP="000F000F">
      <w:pPr>
        <w:ind w:right="-205"/>
      </w:pPr>
    </w:p>
    <w:p w14:paraId="4E8095B4" w14:textId="77777777" w:rsidR="000F000F" w:rsidRPr="00FA08CC" w:rsidRDefault="000F000F" w:rsidP="000F000F">
      <w:pPr>
        <w:ind w:right="-205"/>
      </w:pPr>
    </w:p>
    <w:p w14:paraId="35FBFB80" w14:textId="60A340C4" w:rsidR="000F000F" w:rsidRPr="00FA08CC" w:rsidRDefault="009B62AC" w:rsidP="000F000F">
      <w:pPr>
        <w:ind w:right="-205"/>
      </w:pPr>
      <w:r>
        <w:t>8</w:t>
      </w:r>
      <w:r w:rsidR="000F000F">
        <w:t xml:space="preserve"> March 2017</w:t>
      </w:r>
    </w:p>
    <w:p w14:paraId="1EEC2090" w14:textId="77777777" w:rsidR="000F000F" w:rsidRPr="00FA08CC" w:rsidRDefault="000F000F" w:rsidP="000F000F">
      <w:pPr>
        <w:ind w:right="-205"/>
      </w:pPr>
    </w:p>
    <w:p w14:paraId="63A9FD97" w14:textId="77777777" w:rsidR="000F000F" w:rsidRPr="00FA08CC" w:rsidRDefault="000F000F" w:rsidP="000F000F">
      <w:pPr>
        <w:ind w:right="-205"/>
      </w:pPr>
      <w:r w:rsidRPr="00FA08CC">
        <w:t>Office of Strategic Legislation and Policy</w:t>
      </w:r>
    </w:p>
    <w:p w14:paraId="0B727C6D" w14:textId="77777777" w:rsidR="000F000F" w:rsidRPr="00FA08CC" w:rsidRDefault="000F000F" w:rsidP="000F000F">
      <w:pPr>
        <w:ind w:right="-205"/>
      </w:pPr>
      <w:r w:rsidRPr="00FA08CC">
        <w:t>Department of Justice</w:t>
      </w:r>
    </w:p>
    <w:p w14:paraId="421C0AA9" w14:textId="77777777" w:rsidR="000F000F" w:rsidRPr="00FA08CC" w:rsidRDefault="000F000F" w:rsidP="000F000F">
      <w:pPr>
        <w:ind w:right="-205"/>
      </w:pPr>
      <w:r w:rsidRPr="00FA08CC">
        <w:t>GPO Box 825</w:t>
      </w:r>
    </w:p>
    <w:p w14:paraId="48D1BD8D" w14:textId="77777777" w:rsidR="000F000F" w:rsidRPr="00FA08CC" w:rsidRDefault="000F000F" w:rsidP="000F000F">
      <w:pPr>
        <w:ind w:right="-205"/>
      </w:pPr>
      <w:r w:rsidRPr="00FA08CC">
        <w:t>Hobart TAS 7001</w:t>
      </w:r>
    </w:p>
    <w:p w14:paraId="3161A0FE" w14:textId="77777777" w:rsidR="000F000F" w:rsidRPr="00FA08CC" w:rsidRDefault="000F000F" w:rsidP="000F000F">
      <w:pPr>
        <w:ind w:right="-205"/>
      </w:pPr>
      <w:r w:rsidRPr="00FA08CC">
        <w:t xml:space="preserve">Attn: </w:t>
      </w:r>
      <w:r w:rsidR="00E616A0">
        <w:t>Brooke Craven</w:t>
      </w:r>
    </w:p>
    <w:p w14:paraId="46DCAB84" w14:textId="77777777" w:rsidR="009B62AC" w:rsidRDefault="000F000F" w:rsidP="000F000F">
      <w:pPr>
        <w:ind w:right="-205"/>
        <w:rPr>
          <w:b/>
          <w:i/>
        </w:rPr>
      </w:pPr>
      <w:r w:rsidRPr="00FA08CC">
        <w:tab/>
      </w:r>
      <w:r w:rsidRPr="00FA08CC">
        <w:tab/>
      </w:r>
      <w:r w:rsidRPr="00FA08CC">
        <w:tab/>
      </w:r>
      <w:r w:rsidR="009B62AC" w:rsidRPr="009B62AC">
        <w:rPr>
          <w:b/>
          <w:i/>
        </w:rPr>
        <w:t>via email:</w:t>
      </w:r>
      <w:r w:rsidR="009B62AC">
        <w:rPr>
          <w:b/>
          <w:i/>
        </w:rPr>
        <w:t xml:space="preserve"> </w:t>
      </w:r>
      <w:r w:rsidR="009B62AC" w:rsidRPr="009B62AC">
        <w:rPr>
          <w:i/>
          <w:color w:val="0000FF"/>
        </w:rPr>
        <w:t>Brooke.Craven@justice.tas.gov.au</w:t>
      </w:r>
    </w:p>
    <w:p w14:paraId="38B3AB4C" w14:textId="77777777" w:rsidR="009B62AC" w:rsidRDefault="009B62AC" w:rsidP="000F000F">
      <w:pPr>
        <w:ind w:right="-205"/>
        <w:rPr>
          <w:b/>
          <w:i/>
        </w:rPr>
      </w:pPr>
    </w:p>
    <w:p w14:paraId="404737EB" w14:textId="77777777" w:rsidR="000F000F" w:rsidRPr="00FA08CC" w:rsidRDefault="00E616A0" w:rsidP="004A06B1">
      <w:pPr>
        <w:ind w:right="-64"/>
      </w:pPr>
      <w:r>
        <w:t>Dear Brooke</w:t>
      </w:r>
      <w:r w:rsidR="000F000F" w:rsidRPr="00FA08CC">
        <w:t>,</w:t>
      </w:r>
    </w:p>
    <w:p w14:paraId="0739179A" w14:textId="77777777" w:rsidR="000F000F" w:rsidRPr="00FA08CC" w:rsidRDefault="000F000F" w:rsidP="004A06B1">
      <w:pPr>
        <w:pBdr>
          <w:bottom w:val="single" w:sz="6" w:space="1" w:color="auto"/>
        </w:pBdr>
        <w:ind w:right="-64"/>
        <w:rPr>
          <w:b/>
        </w:rPr>
      </w:pPr>
      <w:r w:rsidRPr="00FA08CC">
        <w:rPr>
          <w:b/>
        </w:rPr>
        <w:t xml:space="preserve">Re: </w:t>
      </w:r>
      <w:r>
        <w:rPr>
          <w:b/>
          <w:i/>
        </w:rPr>
        <w:t>Expungement of Historical Offences</w:t>
      </w:r>
      <w:r w:rsidRPr="00FA08CC">
        <w:rPr>
          <w:b/>
          <w:i/>
        </w:rPr>
        <w:t xml:space="preserve"> Bill 201</w:t>
      </w:r>
      <w:r>
        <w:rPr>
          <w:b/>
          <w:i/>
        </w:rPr>
        <w:t>7</w:t>
      </w:r>
    </w:p>
    <w:p w14:paraId="344B31A2" w14:textId="77777777" w:rsidR="000F000F" w:rsidRDefault="000F000F" w:rsidP="004A06B1">
      <w:pPr>
        <w:ind w:right="-64"/>
      </w:pPr>
      <w:r w:rsidRPr="00FA08CC">
        <w:t xml:space="preserve"> </w:t>
      </w:r>
    </w:p>
    <w:p w14:paraId="43BBE0A7" w14:textId="77777777" w:rsidR="000F000F" w:rsidRPr="00FA08CC" w:rsidRDefault="000F000F" w:rsidP="004A06B1">
      <w:pPr>
        <w:ind w:right="-64"/>
        <w:jc w:val="both"/>
      </w:pPr>
      <w:r w:rsidRPr="00FA08CC">
        <w:rPr>
          <w:rFonts w:cs="Calibri"/>
        </w:rPr>
        <w:t>Community Legal Centres Tasmania (CLC Tas)</w:t>
      </w:r>
      <w:r w:rsidRPr="00FA08CC">
        <w:t xml:space="preserve"> welcomes the opportunity to provide comment on the </w:t>
      </w:r>
      <w:r w:rsidR="00E616A0" w:rsidRPr="00E616A0">
        <w:rPr>
          <w:i/>
        </w:rPr>
        <w:t>Expungement of Historical Offences Bill 2017</w:t>
      </w:r>
      <w:r w:rsidRPr="00E616A0">
        <w:rPr>
          <w:i/>
        </w:rPr>
        <w:t>.</w:t>
      </w:r>
    </w:p>
    <w:p w14:paraId="19A6477A" w14:textId="77777777" w:rsidR="000F000F" w:rsidRPr="00FA08CC" w:rsidRDefault="000F000F" w:rsidP="004A06B1">
      <w:pPr>
        <w:ind w:right="-64"/>
        <w:jc w:val="both"/>
      </w:pPr>
    </w:p>
    <w:p w14:paraId="255160C0" w14:textId="77777777" w:rsidR="004A06B1" w:rsidRDefault="000F000F" w:rsidP="004A06B1">
      <w:pPr>
        <w:ind w:right="-64"/>
        <w:jc w:val="both"/>
        <w:rPr>
          <w:rFonts w:cs="Arial"/>
          <w:color w:val="000000"/>
        </w:rPr>
      </w:pPr>
      <w:r w:rsidRPr="00FA08CC">
        <w:rPr>
          <w:rFonts w:eastAsia="Times New Roman" w:cs="Arial"/>
          <w:lang w:eastAsia="en-AU"/>
        </w:rPr>
        <w:t xml:space="preserve">CLC Tas </w:t>
      </w:r>
      <w:r w:rsidRPr="00FA08CC">
        <w:rPr>
          <w:rFonts w:cs="Arial"/>
        </w:rPr>
        <w:t>is the peak body rep</w:t>
      </w:r>
      <w:r w:rsidR="00E616A0">
        <w:rPr>
          <w:rFonts w:cs="Arial"/>
        </w:rPr>
        <w:t>resenting the interests of nine</w:t>
      </w:r>
      <w:r w:rsidRPr="00FA08CC">
        <w:rPr>
          <w:rFonts w:cs="Arial"/>
        </w:rPr>
        <w:t xml:space="preserve"> community legal centres (CLCs) located throughout Tasmania. We are a member-based, independent, not-for-profit and incorporated organisation that</w:t>
      </w:r>
      <w:r w:rsidRPr="00FA08CC">
        <w:rPr>
          <w:rFonts w:cs="Arial"/>
          <w:color w:val="000000"/>
        </w:rPr>
        <w:t xml:space="preserve"> advocates for law reform on a range of public interest matters aimed at improving access to justice, reducing discrimination and protecting and promoting human rights. </w:t>
      </w:r>
    </w:p>
    <w:p w14:paraId="237065C5" w14:textId="77777777" w:rsidR="004A06B1" w:rsidRDefault="004A06B1" w:rsidP="004A06B1">
      <w:pPr>
        <w:ind w:right="-64"/>
        <w:jc w:val="both"/>
        <w:rPr>
          <w:rFonts w:cs="Arial"/>
          <w:color w:val="000000"/>
        </w:rPr>
      </w:pPr>
    </w:p>
    <w:p w14:paraId="1E504EF2" w14:textId="40CA5E8D" w:rsidR="004A06B1" w:rsidRPr="004A06B1" w:rsidRDefault="004A06B1" w:rsidP="004A06B1">
      <w:pPr>
        <w:pStyle w:val="ListParagraph"/>
        <w:numPr>
          <w:ilvl w:val="0"/>
          <w:numId w:val="6"/>
        </w:numPr>
        <w:ind w:right="-64"/>
        <w:jc w:val="both"/>
        <w:rPr>
          <w:b/>
          <w:i/>
        </w:rPr>
      </w:pPr>
      <w:r w:rsidRPr="004A06B1">
        <w:rPr>
          <w:b/>
          <w:i/>
        </w:rPr>
        <w:t>outline of range of offences</w:t>
      </w:r>
    </w:p>
    <w:p w14:paraId="66FED5EA" w14:textId="77777777" w:rsidR="004A06B1" w:rsidRDefault="00B158B3" w:rsidP="004A06B1">
      <w:pPr>
        <w:ind w:right="-64"/>
        <w:jc w:val="both"/>
        <w:rPr>
          <w:rFonts w:cs="Arial"/>
          <w:color w:val="000000"/>
        </w:rPr>
      </w:pPr>
      <w:r>
        <w:t xml:space="preserve">We welcome the amendments made to an earlier draft of the </w:t>
      </w:r>
      <w:r w:rsidRPr="00B158B3">
        <w:rPr>
          <w:i/>
        </w:rPr>
        <w:t>Expungement of Historical Offences Bill 2017</w:t>
      </w:r>
      <w:r w:rsidR="002936A6">
        <w:t xml:space="preserve"> and in particular the replacement of ‘historical homosexual conviction’ with the more broadly defined ‘historical offence’. W</w:t>
      </w:r>
      <w:r w:rsidR="00734E21">
        <w:t>hilst we support the inclusiv</w:t>
      </w:r>
      <w:r w:rsidR="009B62AC">
        <w:t xml:space="preserve">ity </w:t>
      </w:r>
      <w:r w:rsidR="002936A6">
        <w:t xml:space="preserve">of the proposed </w:t>
      </w:r>
      <w:r w:rsidR="00734E21">
        <w:t xml:space="preserve">‘public morality offence’ in </w:t>
      </w:r>
      <w:r w:rsidR="00734E21" w:rsidRPr="00D6340A">
        <w:t xml:space="preserve">clause </w:t>
      </w:r>
      <w:r w:rsidR="00D6340A" w:rsidRPr="00D6340A">
        <w:t>3</w:t>
      </w:r>
      <w:r w:rsidR="00D6340A">
        <w:t xml:space="preserve"> we strongly recommend that the second reading speech, clause notes and fact sheet </w:t>
      </w:r>
      <w:r w:rsidR="00734E21">
        <w:t xml:space="preserve">accompanying the Bill clearly articulate the range of offences that </w:t>
      </w:r>
      <w:r w:rsidR="009B62AC">
        <w:t>are applicable</w:t>
      </w:r>
      <w:r w:rsidR="00734E21">
        <w:t>.</w:t>
      </w:r>
      <w:r w:rsidR="00734E21">
        <w:rPr>
          <w:rStyle w:val="FootnoteReference"/>
        </w:rPr>
        <w:footnoteReference w:id="1"/>
      </w:r>
      <w:r w:rsidR="00734E21">
        <w:t xml:space="preserve"> </w:t>
      </w:r>
    </w:p>
    <w:p w14:paraId="09AC7BB3" w14:textId="77777777" w:rsidR="004A06B1" w:rsidRDefault="004A06B1" w:rsidP="004A06B1">
      <w:pPr>
        <w:ind w:right="-64"/>
        <w:jc w:val="both"/>
        <w:rPr>
          <w:rFonts w:cs="Arial"/>
          <w:color w:val="000000"/>
        </w:rPr>
      </w:pPr>
    </w:p>
    <w:p w14:paraId="0A70497B" w14:textId="30EC457B" w:rsidR="004A06B1" w:rsidRPr="004A06B1" w:rsidRDefault="004A06B1" w:rsidP="004A06B1">
      <w:pPr>
        <w:pStyle w:val="ListParagraph"/>
        <w:numPr>
          <w:ilvl w:val="0"/>
          <w:numId w:val="5"/>
        </w:numPr>
        <w:ind w:right="-64"/>
        <w:jc w:val="both"/>
        <w:rPr>
          <w:b/>
          <w:i/>
        </w:rPr>
      </w:pPr>
      <w:r w:rsidRPr="004A06B1">
        <w:rPr>
          <w:b/>
          <w:i/>
        </w:rPr>
        <w:t>cross-dressing</w:t>
      </w:r>
    </w:p>
    <w:p w14:paraId="43725573" w14:textId="59616D57" w:rsidR="00DA2512" w:rsidRPr="004A06B1" w:rsidRDefault="00E14915" w:rsidP="004A06B1">
      <w:pPr>
        <w:ind w:right="-64"/>
        <w:jc w:val="both"/>
      </w:pPr>
      <w:r>
        <w:t xml:space="preserve">Whilst we </w:t>
      </w:r>
      <w:r w:rsidR="00C721BE">
        <w:t>support the inclusion of the associated charges of ‘attempting to commit, or of inciting, instigating, aiding, or abetting the commission of a sexual offence or a public morality offence’</w:t>
      </w:r>
      <w:r>
        <w:t xml:space="preserve"> we recommend that </w:t>
      </w:r>
      <w:r w:rsidR="00C721BE">
        <w:t>cross-dressing</w:t>
      </w:r>
      <w:r>
        <w:t xml:space="preserve"> be included</w:t>
      </w:r>
      <w:r w:rsidR="00C721BE">
        <w:t>.</w:t>
      </w:r>
      <w:r w:rsidR="00DA2512">
        <w:rPr>
          <w:rStyle w:val="FootnoteReference"/>
        </w:rPr>
        <w:footnoteReference w:id="2"/>
      </w:r>
      <w:r w:rsidR="00C721BE">
        <w:t xml:space="preserve"> </w:t>
      </w:r>
      <w:r w:rsidR="006810A2">
        <w:t>This could be achieved through the following amendment to clause 3:</w:t>
      </w:r>
    </w:p>
    <w:p w14:paraId="3650EA94" w14:textId="77777777" w:rsidR="00DA2512" w:rsidRDefault="00DA2512" w:rsidP="004A06B1">
      <w:pPr>
        <w:ind w:right="-64"/>
      </w:pPr>
    </w:p>
    <w:p w14:paraId="0DA5633D" w14:textId="77777777" w:rsidR="00C16D69" w:rsidRDefault="00C16D69" w:rsidP="00C16D69">
      <w:pPr>
        <w:ind w:right="-64" w:firstLine="360"/>
        <w:jc w:val="both"/>
        <w:rPr>
          <w:b/>
          <w:i/>
        </w:rPr>
      </w:pPr>
    </w:p>
    <w:p w14:paraId="552150E5" w14:textId="14450156" w:rsidR="006810A2" w:rsidRPr="008D16FF" w:rsidRDefault="006810A2" w:rsidP="00C16D69">
      <w:pPr>
        <w:ind w:right="-64" w:firstLine="360"/>
        <w:jc w:val="both"/>
        <w:rPr>
          <w:color w:val="FF0000"/>
        </w:rPr>
      </w:pPr>
      <w:bookmarkStart w:id="0" w:name="_GoBack"/>
      <w:bookmarkEnd w:id="0"/>
      <w:r w:rsidRPr="008D16FF">
        <w:rPr>
          <w:b/>
          <w:i/>
        </w:rPr>
        <w:lastRenderedPageBreak/>
        <w:t>cross-dressing offence</w:t>
      </w:r>
      <w:r w:rsidRPr="008D16FF">
        <w:t xml:space="preserve"> </w:t>
      </w:r>
      <w:r w:rsidRPr="008D16FF">
        <w:rPr>
          <w:rFonts w:cs="Times New Roman"/>
        </w:rPr>
        <w:t>means –</w:t>
      </w:r>
    </w:p>
    <w:p w14:paraId="45CC9949" w14:textId="39123461" w:rsidR="006810A2" w:rsidRPr="008D16FF" w:rsidRDefault="006810A2" w:rsidP="004A06B1">
      <w:pPr>
        <w:pStyle w:val="ListParagraph"/>
        <w:numPr>
          <w:ilvl w:val="0"/>
          <w:numId w:val="3"/>
        </w:numPr>
        <w:ind w:right="-64"/>
        <w:jc w:val="both"/>
        <w:rPr>
          <w:rFonts w:cs="Times New Roman"/>
        </w:rPr>
      </w:pPr>
      <w:r w:rsidRPr="008D16FF">
        <w:rPr>
          <w:rFonts w:cs="Times New Roman"/>
        </w:rPr>
        <w:t xml:space="preserve">an offence under section 8(1)(d) of the </w:t>
      </w:r>
      <w:r w:rsidRPr="008D16FF">
        <w:rPr>
          <w:i/>
        </w:rPr>
        <w:t>Police Offences Act 1935</w:t>
      </w:r>
      <w:r w:rsidRPr="008D16FF">
        <w:t xml:space="preserve"> </w:t>
      </w:r>
      <w:r w:rsidRPr="008D16FF">
        <w:rPr>
          <w:rFonts w:cs="Times New Roman"/>
        </w:rPr>
        <w:t>as in force before 12 April 2001;</w:t>
      </w:r>
      <w:r w:rsidR="004A06B1">
        <w:rPr>
          <w:rFonts w:cs="Times New Roman"/>
        </w:rPr>
        <w:t xml:space="preserve"> </w:t>
      </w:r>
      <w:r w:rsidR="004A06B1" w:rsidRPr="004A06B1">
        <w:rPr>
          <w:rFonts w:cs="Times New Roman"/>
          <w:color w:val="FF0000"/>
        </w:rPr>
        <w:t>or</w:t>
      </w:r>
    </w:p>
    <w:p w14:paraId="50D990AD" w14:textId="219B3CEA" w:rsidR="006810A2" w:rsidRPr="008D16FF" w:rsidRDefault="006810A2" w:rsidP="004A06B1">
      <w:pPr>
        <w:pStyle w:val="ListParagraph"/>
        <w:numPr>
          <w:ilvl w:val="0"/>
          <w:numId w:val="3"/>
        </w:numPr>
        <w:ind w:right="-64"/>
        <w:jc w:val="both"/>
        <w:rPr>
          <w:rFonts w:cs="Times New Roman"/>
          <w:color w:val="FF0000"/>
        </w:rPr>
      </w:pPr>
      <w:r w:rsidRPr="008D16FF">
        <w:rPr>
          <w:rFonts w:cs="Times New Roman"/>
          <w:color w:val="FF0000"/>
        </w:rPr>
        <w:t>an offence of attempting to commit, or of inciting, aiding or abetting the commission of a cross-dressing offence.</w:t>
      </w:r>
    </w:p>
    <w:p w14:paraId="6EC0D5A9" w14:textId="77777777" w:rsidR="00C721BE" w:rsidRPr="008D16FF" w:rsidRDefault="00C721BE" w:rsidP="004A06B1">
      <w:pPr>
        <w:ind w:right="-64"/>
        <w:jc w:val="both"/>
      </w:pPr>
    </w:p>
    <w:p w14:paraId="423348AE" w14:textId="7C410584" w:rsidR="004A06B1" w:rsidRPr="004A06B1" w:rsidRDefault="004A06B1" w:rsidP="004A06B1">
      <w:pPr>
        <w:pStyle w:val="ListParagraph"/>
        <w:numPr>
          <w:ilvl w:val="0"/>
          <w:numId w:val="5"/>
        </w:numPr>
        <w:ind w:right="-64"/>
        <w:jc w:val="both"/>
        <w:rPr>
          <w:b/>
          <w:i/>
        </w:rPr>
      </w:pPr>
      <w:r w:rsidRPr="004A06B1">
        <w:rPr>
          <w:b/>
          <w:i/>
        </w:rPr>
        <w:t>access to records</w:t>
      </w:r>
    </w:p>
    <w:p w14:paraId="59706E08" w14:textId="1F657219" w:rsidR="00BE72CC" w:rsidRDefault="0023019D" w:rsidP="004A06B1">
      <w:pPr>
        <w:ind w:right="-64"/>
        <w:jc w:val="both"/>
      </w:pPr>
      <w:r w:rsidRPr="008D16FF">
        <w:t xml:space="preserve">Anecdotally, we are aware that many homosexual men left Tasmania as a result of the </w:t>
      </w:r>
      <w:r w:rsidR="001D66CD">
        <w:t>criminalis</w:t>
      </w:r>
      <w:r w:rsidRPr="008D16FF">
        <w:t>ation of consensual sex and associated offences</w:t>
      </w:r>
      <w:r w:rsidR="008D16FF" w:rsidRPr="008D16FF">
        <w:t xml:space="preserve">. </w:t>
      </w:r>
      <w:r w:rsidR="008D16FF">
        <w:t xml:space="preserve">As a result, mere access to records, as is currently provided in clause 9(2)(a) of the draft Bill may prove difficult for persons who may be living interstate or overseas. We can also envisage circumstances in which some applicants </w:t>
      </w:r>
      <w:r w:rsidR="00BE72CC">
        <w:t>choose</w:t>
      </w:r>
      <w:r w:rsidR="008D16FF">
        <w:t xml:space="preserve"> to engage a legal representative </w:t>
      </w:r>
      <w:r w:rsidR="00C93786">
        <w:t xml:space="preserve">or other external assistance </w:t>
      </w:r>
      <w:r w:rsidR="008D16FF">
        <w:t>to review the</w:t>
      </w:r>
      <w:r w:rsidR="00BE72CC">
        <w:t>ir</w:t>
      </w:r>
      <w:r w:rsidR="008D16FF">
        <w:t xml:space="preserve"> records.</w:t>
      </w:r>
      <w:r w:rsidR="00BE72CC">
        <w:t xml:space="preserve"> </w:t>
      </w:r>
      <w:r w:rsidR="008D16FF" w:rsidRPr="008D16FF">
        <w:t xml:space="preserve">We </w:t>
      </w:r>
      <w:r w:rsidR="008D16FF">
        <w:t xml:space="preserve">therefore </w:t>
      </w:r>
      <w:r w:rsidR="008D16FF" w:rsidRPr="008D16FF">
        <w:t xml:space="preserve">recommend that clause 9(2)(a) </w:t>
      </w:r>
      <w:r w:rsidR="008D16FF">
        <w:t xml:space="preserve">of the draft Bill </w:t>
      </w:r>
      <w:r w:rsidR="008D16FF" w:rsidRPr="008D16FF">
        <w:t xml:space="preserve">is amended so that all applicants are provided </w:t>
      </w:r>
      <w:r w:rsidR="008D16FF">
        <w:t xml:space="preserve">as a matter of course </w:t>
      </w:r>
      <w:r w:rsidR="008D16FF" w:rsidRPr="008D16FF">
        <w:t xml:space="preserve">with a copy of their record rather than merely ‘access’. </w:t>
      </w:r>
    </w:p>
    <w:p w14:paraId="522C03B0" w14:textId="77777777" w:rsidR="00BE72CC" w:rsidRDefault="00BE72CC" w:rsidP="004A06B1">
      <w:pPr>
        <w:ind w:right="-64"/>
        <w:jc w:val="both"/>
      </w:pPr>
    </w:p>
    <w:p w14:paraId="106C5E69" w14:textId="4D9D017F" w:rsidR="004A06B1" w:rsidRPr="004A06B1" w:rsidRDefault="004A06B1" w:rsidP="004A06B1">
      <w:pPr>
        <w:pStyle w:val="ListParagraph"/>
        <w:numPr>
          <w:ilvl w:val="0"/>
          <w:numId w:val="5"/>
        </w:numPr>
        <w:ind w:right="-64"/>
        <w:jc w:val="both"/>
        <w:rPr>
          <w:b/>
          <w:i/>
        </w:rPr>
      </w:pPr>
      <w:r w:rsidRPr="004A06B1">
        <w:rPr>
          <w:b/>
          <w:i/>
        </w:rPr>
        <w:t>outline of reasons and reasonable timeframe</w:t>
      </w:r>
    </w:p>
    <w:p w14:paraId="696DC3A8" w14:textId="11D6E64D" w:rsidR="009509DF" w:rsidRDefault="009509DF" w:rsidP="004A06B1">
      <w:pPr>
        <w:ind w:right="-64"/>
        <w:jc w:val="both"/>
      </w:pPr>
      <w:r>
        <w:t>Clause 13</w:t>
      </w:r>
      <w:r w:rsidR="00666BD4">
        <w:t xml:space="preserve">(3) </w:t>
      </w:r>
      <w:r>
        <w:t xml:space="preserve">of the draft Bill sets out that when the Secretary is intending to refuse an application they must inform the applicant </w:t>
      </w:r>
      <w:r w:rsidR="00666BD4">
        <w:t xml:space="preserve">in writing </w:t>
      </w:r>
      <w:r>
        <w:t>along with</w:t>
      </w:r>
      <w:r w:rsidR="00666BD4">
        <w:t xml:space="preserve"> a copy of the relevant records </w:t>
      </w:r>
      <w:r>
        <w:t xml:space="preserve">and provide them with an opportunity to provide further information. The Secretary does not however need to provide reasons for the refusal. </w:t>
      </w:r>
      <w:r w:rsidR="00666BD4">
        <w:t>We are also concerned that 14 days to respond is to short, particularly where the applicant is informed of the refusal through the post</w:t>
      </w:r>
      <w:r w:rsidR="006F3AC0">
        <w:t xml:space="preserve"> and/or where they seek assistance is preparing a response</w:t>
      </w:r>
      <w:r w:rsidR="00666BD4">
        <w:t xml:space="preserve">. </w:t>
      </w:r>
      <w:r>
        <w:t xml:space="preserve">In the interests of providing applicants with procedural fairness </w:t>
      </w:r>
      <w:r w:rsidR="00666BD4">
        <w:t xml:space="preserve">as well as a reasonable length of time to respond </w:t>
      </w:r>
      <w:r>
        <w:t>we strongly recommend that the reasons for the Secretary’s refusal are outlined</w:t>
      </w:r>
      <w:r w:rsidR="00666BD4">
        <w:t xml:space="preserve"> and that the timeframe be extended to 28 days</w:t>
      </w:r>
      <w:r>
        <w:t>. This could be achieved through the following amendment to clause 13(3):</w:t>
      </w:r>
    </w:p>
    <w:p w14:paraId="7C4DDACE" w14:textId="77777777" w:rsidR="00C93786" w:rsidRDefault="00C93786" w:rsidP="004A06B1">
      <w:pPr>
        <w:ind w:right="-64"/>
        <w:jc w:val="both"/>
      </w:pPr>
    </w:p>
    <w:p w14:paraId="6DE17953" w14:textId="77777777" w:rsidR="009509DF" w:rsidRPr="00666BD4" w:rsidRDefault="009509DF" w:rsidP="004A06B1">
      <w:pPr>
        <w:ind w:right="-64" w:firstLine="720"/>
        <w:rPr>
          <w:rFonts w:cs="Times"/>
        </w:rPr>
      </w:pPr>
      <w:r w:rsidRPr="00666BD4">
        <w:t xml:space="preserve">(3) If the Secretary intends to refuse an application, the Secretary must – </w:t>
      </w:r>
    </w:p>
    <w:p w14:paraId="565BBA07" w14:textId="77777777" w:rsidR="00666BD4" w:rsidRDefault="00666BD4" w:rsidP="004A06B1">
      <w:pPr>
        <w:ind w:right="-64"/>
      </w:pPr>
    </w:p>
    <w:p w14:paraId="418FF245" w14:textId="4C10545C" w:rsidR="00666BD4" w:rsidRPr="00666BD4" w:rsidRDefault="00666BD4" w:rsidP="004A06B1">
      <w:pPr>
        <w:ind w:left="1440" w:right="-64"/>
        <w:rPr>
          <w:rFonts w:cs="Times"/>
        </w:rPr>
      </w:pPr>
      <w:r>
        <w:t xml:space="preserve">(a) </w:t>
      </w:r>
      <w:r w:rsidR="009509DF" w:rsidRPr="00666BD4">
        <w:t>by notice in writing, inform the applicant of that intention</w:t>
      </w:r>
      <w:r w:rsidRPr="00666BD4">
        <w:t xml:space="preserve"> </w:t>
      </w:r>
      <w:r w:rsidRPr="00666BD4">
        <w:rPr>
          <w:color w:val="FF0000"/>
        </w:rPr>
        <w:t>along with an outline of the reasons</w:t>
      </w:r>
      <w:r w:rsidR="009509DF" w:rsidRPr="00666BD4">
        <w:t xml:space="preserve">; and </w:t>
      </w:r>
    </w:p>
    <w:p w14:paraId="3301FCBB" w14:textId="77777777" w:rsidR="00666BD4" w:rsidRDefault="00666BD4" w:rsidP="004A06B1">
      <w:pPr>
        <w:ind w:right="-64"/>
      </w:pPr>
    </w:p>
    <w:p w14:paraId="2787F193" w14:textId="5A420D38" w:rsidR="00666BD4" w:rsidRPr="00666BD4" w:rsidRDefault="00666BD4" w:rsidP="004A06B1">
      <w:pPr>
        <w:ind w:left="1440" w:right="-64"/>
        <w:rPr>
          <w:rFonts w:cs="Times"/>
        </w:rPr>
      </w:pPr>
      <w:r>
        <w:t xml:space="preserve">(b) </w:t>
      </w:r>
      <w:r w:rsidR="009509DF" w:rsidRPr="00666BD4">
        <w:t xml:space="preserve">provide the applicant with a copy of any relevant records relating to the application in the possession of the Secretary; and </w:t>
      </w:r>
    </w:p>
    <w:p w14:paraId="6E494E2C" w14:textId="77777777" w:rsidR="00666BD4" w:rsidRDefault="00666BD4" w:rsidP="004A06B1">
      <w:pPr>
        <w:ind w:right="-64"/>
      </w:pPr>
    </w:p>
    <w:p w14:paraId="28CB53A0" w14:textId="54B4C810" w:rsidR="009509DF" w:rsidRPr="00666BD4" w:rsidRDefault="00666BD4" w:rsidP="004A06B1">
      <w:pPr>
        <w:ind w:left="1440" w:right="-64"/>
        <w:rPr>
          <w:rFonts w:cs="Times"/>
        </w:rPr>
      </w:pPr>
      <w:r>
        <w:t xml:space="preserve">(c) give the applicant </w:t>
      </w:r>
      <w:r w:rsidRPr="00666BD4">
        <w:rPr>
          <w:strike/>
        </w:rPr>
        <w:t>14</w:t>
      </w:r>
      <w:r w:rsidRPr="00666BD4">
        <w:rPr>
          <w:color w:val="FF0000"/>
        </w:rPr>
        <w:t>28</w:t>
      </w:r>
      <w:r w:rsidR="009509DF" w:rsidRPr="00666BD4">
        <w:t xml:space="preserve"> days from </w:t>
      </w:r>
      <w:r w:rsidR="009509DF" w:rsidRPr="00666BD4">
        <w:rPr>
          <w:strike/>
        </w:rPr>
        <w:t>the date</w:t>
      </w:r>
      <w:r w:rsidR="009509DF" w:rsidRPr="00666BD4">
        <w:t xml:space="preserve"> </w:t>
      </w:r>
      <w:r w:rsidRPr="00666BD4">
        <w:rPr>
          <w:color w:val="FF0000"/>
        </w:rPr>
        <w:t>receipt</w:t>
      </w:r>
      <w:r>
        <w:t xml:space="preserve"> </w:t>
      </w:r>
      <w:r w:rsidR="009509DF" w:rsidRPr="00666BD4">
        <w:t xml:space="preserve">of that notice to submit further information to the Secretary regarding the application. </w:t>
      </w:r>
    </w:p>
    <w:p w14:paraId="5B2A5386" w14:textId="7DEAFD43" w:rsidR="00E616A0" w:rsidRPr="00263AFB" w:rsidRDefault="009509DF" w:rsidP="004A06B1">
      <w:pPr>
        <w:ind w:right="-64"/>
        <w:jc w:val="both"/>
      </w:pPr>
      <w:r>
        <w:t xml:space="preserve"> </w:t>
      </w:r>
    </w:p>
    <w:p w14:paraId="6C503124" w14:textId="5368DB41" w:rsidR="004A06B1" w:rsidRPr="004A06B1" w:rsidRDefault="004A06B1" w:rsidP="004A06B1">
      <w:pPr>
        <w:pStyle w:val="ListParagraph"/>
        <w:numPr>
          <w:ilvl w:val="0"/>
          <w:numId w:val="5"/>
        </w:numPr>
        <w:ind w:right="-64"/>
        <w:jc w:val="both"/>
        <w:rPr>
          <w:rFonts w:eastAsia="Times New Roman" w:cs="Times New Roman"/>
          <w:b/>
          <w:i/>
        </w:rPr>
      </w:pPr>
      <w:r w:rsidRPr="004A06B1">
        <w:rPr>
          <w:rFonts w:eastAsia="Times New Roman" w:cs="Times New Roman"/>
          <w:b/>
          <w:i/>
        </w:rPr>
        <w:t>expert advice</w:t>
      </w:r>
    </w:p>
    <w:p w14:paraId="04DBADD9" w14:textId="77777777" w:rsidR="004A06B1" w:rsidRDefault="00C93786" w:rsidP="004A06B1">
      <w:pPr>
        <w:ind w:right="-64"/>
        <w:jc w:val="both"/>
        <w:rPr>
          <w:rFonts w:eastAsia="Times New Roman" w:cs="Times New Roman"/>
        </w:rPr>
      </w:pPr>
      <w:r w:rsidRPr="004A06B1">
        <w:rPr>
          <w:rFonts w:eastAsia="Times New Roman" w:cs="Times New Roman"/>
        </w:rPr>
        <w:t xml:space="preserve">Finally, we recommend that in </w:t>
      </w:r>
      <w:r w:rsidR="005A38B1" w:rsidRPr="004A06B1">
        <w:rPr>
          <w:rFonts w:eastAsia="Times New Roman" w:cs="Times New Roman"/>
        </w:rPr>
        <w:t>the determination of</w:t>
      </w:r>
      <w:r w:rsidRPr="004A06B1">
        <w:rPr>
          <w:rFonts w:eastAsia="Times New Roman" w:cs="Times New Roman"/>
        </w:rPr>
        <w:t xml:space="preserve"> applications, the Secretary be provided with the option of seeking spe</w:t>
      </w:r>
      <w:r w:rsidR="005A38B1" w:rsidRPr="004A06B1">
        <w:rPr>
          <w:rFonts w:eastAsia="Times New Roman" w:cs="Times New Roman"/>
        </w:rPr>
        <w:t>cialist expertise and advice</w:t>
      </w:r>
      <w:r w:rsidR="00624176" w:rsidRPr="004A06B1">
        <w:rPr>
          <w:rFonts w:eastAsia="Times New Roman" w:cs="Times New Roman"/>
        </w:rPr>
        <w:t xml:space="preserve">, particularly from the LGBTI community or persons with expertise in LGBTI issues. Support for this is found in Victoria where </w:t>
      </w:r>
      <w:r w:rsidR="005A38B1" w:rsidRPr="004A06B1">
        <w:rPr>
          <w:rFonts w:eastAsia="Times New Roman" w:cs="Times New Roman"/>
        </w:rPr>
        <w:t>the Secretary ‘</w:t>
      </w:r>
      <w:r w:rsidR="005A38B1" w:rsidRPr="004A06B1">
        <w:rPr>
          <w:rFonts w:cs="Times"/>
        </w:rPr>
        <w:t xml:space="preserve">must have regard to any advice provided by any person to whom the Secretary has referred the application for </w:t>
      </w:r>
      <w:r w:rsidR="005A38B1" w:rsidRPr="004A06B1">
        <w:rPr>
          <w:rFonts w:cs="Times"/>
        </w:rPr>
        <w:lastRenderedPageBreak/>
        <w:t>advice’</w:t>
      </w:r>
      <w:r w:rsidR="005A38B1" w:rsidRPr="00624176">
        <w:rPr>
          <w:rStyle w:val="FootnoteReference"/>
          <w:rFonts w:cs="Times"/>
        </w:rPr>
        <w:footnoteReference w:id="3"/>
      </w:r>
      <w:r w:rsidR="005A38B1" w:rsidRPr="004A06B1">
        <w:rPr>
          <w:rFonts w:cs="Times"/>
        </w:rPr>
        <w:t xml:space="preserve"> and in the United Kingdom</w:t>
      </w:r>
      <w:r w:rsidR="00624176" w:rsidRPr="004A06B1">
        <w:rPr>
          <w:rFonts w:cs="Times"/>
        </w:rPr>
        <w:t xml:space="preserve"> where the Secretary ‘</w:t>
      </w:r>
      <w:r w:rsidR="00624176" w:rsidRPr="004A06B1">
        <w:rPr>
          <w:rFonts w:cs="Arial"/>
        </w:rPr>
        <w:t>may appoint persons to advise…’</w:t>
      </w:r>
      <w:r w:rsidR="00624176">
        <w:rPr>
          <w:rStyle w:val="FootnoteReference"/>
          <w:rFonts w:cs="Times"/>
        </w:rPr>
        <w:footnoteReference w:id="4"/>
      </w:r>
      <w:r w:rsidR="005A38B1" w:rsidRPr="004A06B1">
        <w:rPr>
          <w:rFonts w:eastAsia="Times New Roman" w:cs="Times New Roman"/>
        </w:rPr>
        <w:t xml:space="preserve"> </w:t>
      </w:r>
      <w:r w:rsidR="00310977" w:rsidRPr="004A06B1">
        <w:rPr>
          <w:rFonts w:eastAsia="Times New Roman" w:cs="Times New Roman"/>
        </w:rPr>
        <w:t xml:space="preserve">In our opinion, the ability to seek external advice </w:t>
      </w:r>
      <w:r w:rsidR="001D6295" w:rsidRPr="004A06B1">
        <w:rPr>
          <w:rFonts w:eastAsia="Times New Roman" w:cs="Times New Roman"/>
        </w:rPr>
        <w:t>will in</w:t>
      </w:r>
      <w:r w:rsidR="00C1521E" w:rsidRPr="004A06B1">
        <w:rPr>
          <w:rFonts w:eastAsia="Times New Roman" w:cs="Times New Roman"/>
        </w:rPr>
        <w:t xml:space="preserve">crease public confidence in the </w:t>
      </w:r>
      <w:r w:rsidR="001D6295" w:rsidRPr="004A06B1">
        <w:rPr>
          <w:rFonts w:eastAsia="Times New Roman" w:cs="Times New Roman"/>
        </w:rPr>
        <w:t xml:space="preserve">decision-making process. </w:t>
      </w:r>
      <w:r w:rsidR="00174029" w:rsidRPr="004A06B1">
        <w:rPr>
          <w:rFonts w:eastAsia="Times New Roman" w:cs="Times New Roman"/>
        </w:rPr>
        <w:t xml:space="preserve">A possible suggested amendment </w:t>
      </w:r>
      <w:r w:rsidR="004A06B1">
        <w:rPr>
          <w:rFonts w:eastAsia="Times New Roman" w:cs="Times New Roman"/>
        </w:rPr>
        <w:t>is the insertion of a clause 8(1A) in the draft Bill:</w:t>
      </w:r>
    </w:p>
    <w:p w14:paraId="4112CC01" w14:textId="77777777" w:rsidR="004A06B1" w:rsidRDefault="004A06B1" w:rsidP="004A06B1">
      <w:pPr>
        <w:ind w:right="-64"/>
        <w:jc w:val="both"/>
        <w:rPr>
          <w:rFonts w:eastAsia="Times New Roman" w:cs="Times New Roman"/>
        </w:rPr>
      </w:pPr>
    </w:p>
    <w:p w14:paraId="36E0BF2A" w14:textId="77777777" w:rsidR="004A06B1" w:rsidRPr="004A06B1" w:rsidRDefault="004A06B1" w:rsidP="004A06B1">
      <w:pPr>
        <w:pStyle w:val="NoSpacing"/>
        <w:ind w:firstLine="720"/>
        <w:rPr>
          <w:b/>
        </w:rPr>
      </w:pPr>
      <w:r w:rsidRPr="004A06B1">
        <w:rPr>
          <w:b/>
        </w:rPr>
        <w:t>8. Investigation of application</w:t>
      </w:r>
    </w:p>
    <w:p w14:paraId="59E2654C" w14:textId="67128E17" w:rsidR="004A06B1" w:rsidRPr="004A06B1" w:rsidRDefault="004A06B1" w:rsidP="004A06B1">
      <w:pPr>
        <w:pStyle w:val="NoSpacing"/>
        <w:ind w:left="720"/>
        <w:rPr>
          <w:rFonts w:cs="Times New Roman"/>
        </w:rPr>
      </w:pPr>
      <w:r w:rsidRPr="004A06B1">
        <w:rPr>
          <w:rFonts w:cs="Times New Roman"/>
        </w:rPr>
        <w:t xml:space="preserve">(1) Subject to subsection (2), in considering an application, the Secretary may take all steps, and make all inquiries, that are reasonable and appropriate to consider the application properly. </w:t>
      </w:r>
    </w:p>
    <w:p w14:paraId="3A9EA14B" w14:textId="77777777" w:rsidR="004A06B1" w:rsidRDefault="004A06B1" w:rsidP="004A06B1">
      <w:pPr>
        <w:pStyle w:val="NoSpacing"/>
        <w:ind w:firstLine="720"/>
        <w:rPr>
          <w:rFonts w:cs="Times New Roman"/>
        </w:rPr>
      </w:pPr>
    </w:p>
    <w:p w14:paraId="4DE1EE68" w14:textId="62AFAF0B" w:rsidR="004A06B1" w:rsidRPr="004A06B1" w:rsidRDefault="004A06B1" w:rsidP="004A06B1">
      <w:pPr>
        <w:pStyle w:val="NoSpacing"/>
        <w:ind w:left="720"/>
        <w:rPr>
          <w:rFonts w:cs="Times New Roman"/>
          <w:color w:val="FF0000"/>
        </w:rPr>
      </w:pPr>
      <w:r w:rsidRPr="004A06B1">
        <w:rPr>
          <w:rFonts w:cs="Times New Roman"/>
          <w:color w:val="FF0000"/>
        </w:rPr>
        <w:t xml:space="preserve">(1A) The Secretary may appoint a person or persons with relevant expertise to advise on the application. </w:t>
      </w:r>
    </w:p>
    <w:p w14:paraId="08DB184F" w14:textId="2850A895" w:rsidR="004A06B1" w:rsidRPr="004A06B1" w:rsidRDefault="004A06B1" w:rsidP="004A06B1">
      <w:pPr>
        <w:pStyle w:val="NoSpacing"/>
        <w:ind w:firstLine="720"/>
        <w:rPr>
          <w:rFonts w:cs="Times New Roman"/>
        </w:rPr>
      </w:pPr>
      <w:r w:rsidRPr="004A06B1">
        <w:rPr>
          <w:rFonts w:cs="Times New Roman"/>
        </w:rPr>
        <w:t>…</w:t>
      </w:r>
    </w:p>
    <w:p w14:paraId="4099B454" w14:textId="77777777" w:rsidR="004A06B1" w:rsidRDefault="004A06B1" w:rsidP="004A06B1">
      <w:pPr>
        <w:ind w:right="-64"/>
        <w:jc w:val="both"/>
        <w:rPr>
          <w:rFonts w:ascii="Times" w:hAnsi="Times" w:cs="Times"/>
        </w:rPr>
      </w:pPr>
    </w:p>
    <w:p w14:paraId="01D32D33" w14:textId="47311259" w:rsidR="000F000F" w:rsidRPr="00FA08CC" w:rsidRDefault="000F000F" w:rsidP="004A06B1">
      <w:pPr>
        <w:ind w:right="-64"/>
        <w:jc w:val="both"/>
        <w:rPr>
          <w:rFonts w:eastAsia="Times New Roman" w:cs="Times New Roman"/>
        </w:rPr>
      </w:pPr>
      <w:r w:rsidRPr="00FA08CC">
        <w:rPr>
          <w:rFonts w:eastAsia="Times New Roman" w:cs="Times New Roman"/>
        </w:rPr>
        <w:t xml:space="preserve">If you have any queries or we can be of any further assistance, please do not hesitate to contact us. </w:t>
      </w:r>
    </w:p>
    <w:p w14:paraId="619958C0" w14:textId="77777777" w:rsidR="000F000F" w:rsidRPr="00FA08CC" w:rsidRDefault="000F000F" w:rsidP="004A06B1">
      <w:pPr>
        <w:ind w:right="-64"/>
        <w:jc w:val="both"/>
        <w:rPr>
          <w:rFonts w:eastAsia="Times New Roman" w:cs="Times New Roman"/>
        </w:rPr>
      </w:pPr>
    </w:p>
    <w:p w14:paraId="5A417590" w14:textId="77777777" w:rsidR="00450B3E" w:rsidRDefault="00450B3E" w:rsidP="004A06B1">
      <w:pPr>
        <w:ind w:right="-64"/>
        <w:jc w:val="both"/>
        <w:rPr>
          <w:rFonts w:eastAsia="Times New Roman" w:cs="Times New Roman"/>
        </w:rPr>
      </w:pPr>
    </w:p>
    <w:p w14:paraId="1C47FFF0" w14:textId="77777777" w:rsidR="00450B3E" w:rsidRDefault="00450B3E" w:rsidP="004A06B1">
      <w:pPr>
        <w:ind w:right="-64"/>
        <w:jc w:val="both"/>
        <w:rPr>
          <w:rFonts w:eastAsia="Times New Roman" w:cs="Times New Roman"/>
        </w:rPr>
      </w:pPr>
    </w:p>
    <w:p w14:paraId="52EEA646" w14:textId="77777777" w:rsidR="000F000F" w:rsidRPr="00FA08CC" w:rsidRDefault="000F000F" w:rsidP="004A06B1">
      <w:pPr>
        <w:ind w:right="-64"/>
        <w:jc w:val="both"/>
        <w:rPr>
          <w:rFonts w:eastAsia="Times New Roman" w:cs="Times New Roman"/>
        </w:rPr>
      </w:pPr>
      <w:r w:rsidRPr="00FA08CC">
        <w:rPr>
          <w:rFonts w:eastAsia="Times New Roman" w:cs="Times New Roman"/>
        </w:rPr>
        <w:t>Yours faithfully,</w:t>
      </w:r>
    </w:p>
    <w:p w14:paraId="286DB42E" w14:textId="77777777" w:rsidR="000F000F" w:rsidRPr="00FA08CC" w:rsidRDefault="000F000F" w:rsidP="004A06B1">
      <w:pPr>
        <w:ind w:right="-64"/>
        <w:jc w:val="both"/>
        <w:rPr>
          <w:rFonts w:eastAsia="Times New Roman" w:cs="Times New Roman"/>
        </w:rPr>
      </w:pPr>
    </w:p>
    <w:p w14:paraId="13A62001" w14:textId="77777777" w:rsidR="000F000F" w:rsidRPr="00FA08CC" w:rsidRDefault="000F000F" w:rsidP="004A06B1">
      <w:pPr>
        <w:ind w:right="-64"/>
        <w:jc w:val="both"/>
        <w:rPr>
          <w:rFonts w:eastAsia="Times New Roman" w:cs="Times New Roman"/>
        </w:rPr>
      </w:pPr>
    </w:p>
    <w:p w14:paraId="6726914A" w14:textId="77777777" w:rsidR="000F000F" w:rsidRPr="00FA08CC" w:rsidRDefault="000F000F" w:rsidP="004A06B1">
      <w:pPr>
        <w:ind w:right="-64"/>
        <w:jc w:val="both"/>
        <w:rPr>
          <w:rFonts w:eastAsia="Times New Roman" w:cs="Times New Roman"/>
        </w:rPr>
      </w:pPr>
    </w:p>
    <w:p w14:paraId="4DA0B64C" w14:textId="77777777" w:rsidR="000F000F" w:rsidRPr="00FA08CC" w:rsidRDefault="000F000F" w:rsidP="004A06B1">
      <w:pPr>
        <w:ind w:right="-64"/>
        <w:jc w:val="both"/>
        <w:rPr>
          <w:rFonts w:eastAsia="Times New Roman" w:cs="Times New Roman"/>
        </w:rPr>
      </w:pPr>
      <w:r w:rsidRPr="00FA08CC">
        <w:rPr>
          <w:rFonts w:eastAsia="Times New Roman" w:cs="Times New Roman"/>
        </w:rPr>
        <w:t>Benedict Bartl</w:t>
      </w:r>
    </w:p>
    <w:p w14:paraId="297E6976" w14:textId="77777777" w:rsidR="000F000F" w:rsidRPr="00FA08CC" w:rsidRDefault="000F000F" w:rsidP="004A06B1">
      <w:pPr>
        <w:ind w:right="-64"/>
        <w:jc w:val="both"/>
        <w:rPr>
          <w:rFonts w:eastAsia="Times New Roman" w:cs="Times New Roman"/>
        </w:rPr>
      </w:pPr>
      <w:r w:rsidRPr="00FA08CC">
        <w:rPr>
          <w:rFonts w:eastAsia="Times New Roman" w:cs="Times New Roman"/>
        </w:rPr>
        <w:t>Policy Officer</w:t>
      </w:r>
    </w:p>
    <w:p w14:paraId="71A0A443" w14:textId="77777777" w:rsidR="000F000F" w:rsidRPr="00FA08CC" w:rsidRDefault="000F000F" w:rsidP="004A06B1">
      <w:pPr>
        <w:pBdr>
          <w:bottom w:val="single" w:sz="6" w:space="1" w:color="auto"/>
        </w:pBdr>
        <w:ind w:right="-64"/>
        <w:jc w:val="both"/>
        <w:rPr>
          <w:rFonts w:eastAsia="Times New Roman" w:cs="Times New Roman"/>
          <w:b/>
        </w:rPr>
      </w:pPr>
      <w:r w:rsidRPr="00FA08CC">
        <w:rPr>
          <w:rFonts w:eastAsia="Times New Roman" w:cs="Times New Roman"/>
          <w:b/>
        </w:rPr>
        <w:t>Community Legal Centres Tasmania</w:t>
      </w:r>
    </w:p>
    <w:p w14:paraId="3ACA9AB9" w14:textId="77777777" w:rsidR="000F000F" w:rsidRPr="00FA08CC" w:rsidRDefault="000F000F" w:rsidP="004A06B1">
      <w:pPr>
        <w:ind w:right="-64"/>
      </w:pPr>
    </w:p>
    <w:p w14:paraId="725EC35B" w14:textId="77777777" w:rsidR="003C0581" w:rsidRDefault="003C0581"/>
    <w:sectPr w:rsidR="003C0581" w:rsidSect="00E616A0">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7AE2B" w14:textId="77777777" w:rsidR="00310977" w:rsidRDefault="00310977" w:rsidP="000F000F">
      <w:r>
        <w:separator/>
      </w:r>
    </w:p>
  </w:endnote>
  <w:endnote w:type="continuationSeparator" w:id="0">
    <w:p w14:paraId="60C23A3F" w14:textId="77777777" w:rsidR="00310977" w:rsidRDefault="00310977" w:rsidP="000F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3E60C" w14:textId="77777777" w:rsidR="004A06B1" w:rsidRDefault="004A06B1" w:rsidP="000317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155AAA" w14:textId="77777777" w:rsidR="004A06B1" w:rsidRDefault="004A06B1" w:rsidP="004A06B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EDA2B" w14:textId="77777777" w:rsidR="004A06B1" w:rsidRDefault="004A06B1" w:rsidP="000317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6D69">
      <w:rPr>
        <w:rStyle w:val="PageNumber"/>
        <w:noProof/>
      </w:rPr>
      <w:t>1</w:t>
    </w:r>
    <w:r>
      <w:rPr>
        <w:rStyle w:val="PageNumber"/>
      </w:rPr>
      <w:fldChar w:fldCharType="end"/>
    </w:r>
  </w:p>
  <w:p w14:paraId="26B9C31C" w14:textId="77777777" w:rsidR="004A06B1" w:rsidRDefault="004A06B1" w:rsidP="004A06B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F809A" w14:textId="77777777" w:rsidR="00310977" w:rsidRDefault="00310977" w:rsidP="000F000F">
      <w:r>
        <w:separator/>
      </w:r>
    </w:p>
  </w:footnote>
  <w:footnote w:type="continuationSeparator" w:id="0">
    <w:p w14:paraId="3AEBDA81" w14:textId="77777777" w:rsidR="00310977" w:rsidRDefault="00310977" w:rsidP="000F000F">
      <w:r>
        <w:continuationSeparator/>
      </w:r>
    </w:p>
  </w:footnote>
  <w:footnote w:id="1">
    <w:p w14:paraId="2C0EB4CD" w14:textId="20CF788E" w:rsidR="00310977" w:rsidRPr="001C0962" w:rsidRDefault="00310977">
      <w:pPr>
        <w:pStyle w:val="FootnoteText"/>
      </w:pPr>
      <w:r>
        <w:rPr>
          <w:rStyle w:val="FootnoteReference"/>
        </w:rPr>
        <w:footnoteRef/>
      </w:r>
      <w:r>
        <w:t xml:space="preserve"> </w:t>
      </w:r>
      <w:r w:rsidRPr="009B62AC">
        <w:rPr>
          <w:rFonts w:asciiTheme="minorHAnsi" w:hAnsiTheme="minorHAnsi"/>
          <w:sz w:val="20"/>
          <w:szCs w:val="20"/>
        </w:rPr>
        <w:t xml:space="preserve">Offences that should be noted include indecency, loitering, public annoyance and public decency. A comprehensive list is in </w:t>
      </w:r>
      <w:r w:rsidRPr="009B62AC">
        <w:rPr>
          <w:rFonts w:asciiTheme="minorHAnsi" w:hAnsiTheme="minorHAnsi"/>
          <w:sz w:val="20"/>
          <w:szCs w:val="20"/>
          <w:lang w:val="en-US"/>
        </w:rPr>
        <w:t xml:space="preserve">Appendix 3 of the </w:t>
      </w:r>
      <w:r w:rsidRPr="009B62AC">
        <w:rPr>
          <w:rFonts w:asciiTheme="minorHAnsi" w:hAnsiTheme="minorHAnsi"/>
          <w:sz w:val="20"/>
          <w:szCs w:val="20"/>
        </w:rPr>
        <w:t xml:space="preserve">Equal Opportunity Tasmania’s </w:t>
      </w:r>
      <w:r w:rsidRPr="009B62AC">
        <w:rPr>
          <w:rFonts w:asciiTheme="minorHAnsi" w:hAnsiTheme="minorHAnsi"/>
          <w:i/>
          <w:sz w:val="20"/>
          <w:szCs w:val="20"/>
        </w:rPr>
        <w:t>Treatment of historical records for consensual homosexual sexual activity and related conduct</w:t>
      </w:r>
      <w:r w:rsidRPr="009B62AC">
        <w:rPr>
          <w:rFonts w:asciiTheme="minorHAnsi" w:hAnsiTheme="minorHAnsi"/>
          <w:sz w:val="20"/>
          <w:szCs w:val="20"/>
        </w:rPr>
        <w:t>.</w:t>
      </w:r>
    </w:p>
  </w:footnote>
  <w:footnote w:id="2">
    <w:p w14:paraId="56C98D69" w14:textId="701DFFCF" w:rsidR="00310977" w:rsidRPr="00DA2512" w:rsidRDefault="00310977">
      <w:pPr>
        <w:pStyle w:val="FootnoteText"/>
        <w:rPr>
          <w:lang w:val="en-US"/>
        </w:rPr>
      </w:pPr>
      <w:r>
        <w:rPr>
          <w:rStyle w:val="FootnoteReference"/>
        </w:rPr>
        <w:footnoteRef/>
      </w:r>
      <w:r>
        <w:t xml:space="preserve"> </w:t>
      </w:r>
      <w:r w:rsidRPr="00DA2512">
        <w:rPr>
          <w:rFonts w:asciiTheme="minorHAnsi" w:hAnsiTheme="minorHAnsi"/>
          <w:sz w:val="20"/>
          <w:szCs w:val="20"/>
          <w:lang w:val="en-US"/>
        </w:rPr>
        <w:t xml:space="preserve">Recommendation 2(e) of </w:t>
      </w:r>
      <w:r w:rsidRPr="00DA2512">
        <w:rPr>
          <w:rFonts w:asciiTheme="minorHAnsi" w:hAnsiTheme="minorHAnsi"/>
          <w:sz w:val="20"/>
          <w:szCs w:val="20"/>
        </w:rPr>
        <w:t xml:space="preserve">Equal Opportunity Tasmania’s </w:t>
      </w:r>
      <w:r w:rsidRPr="00DA2512">
        <w:rPr>
          <w:rFonts w:asciiTheme="minorHAnsi" w:hAnsiTheme="minorHAnsi"/>
          <w:i/>
          <w:sz w:val="20"/>
          <w:szCs w:val="20"/>
        </w:rPr>
        <w:t>Treatment of historical records for consensual homosexual sexual activity and related conduct</w:t>
      </w:r>
      <w:r w:rsidRPr="00DA2512">
        <w:rPr>
          <w:rFonts w:asciiTheme="minorHAnsi" w:hAnsiTheme="minorHAnsi"/>
          <w:sz w:val="20"/>
          <w:szCs w:val="20"/>
        </w:rPr>
        <w:t>.</w:t>
      </w:r>
      <w:r>
        <w:rPr>
          <w:rFonts w:asciiTheme="minorHAnsi" w:hAnsiTheme="minorHAnsi"/>
          <w:sz w:val="20"/>
          <w:szCs w:val="20"/>
        </w:rPr>
        <w:t xml:space="preserve"> </w:t>
      </w:r>
      <w:r>
        <w:rPr>
          <w:lang w:val="en-US"/>
        </w:rPr>
        <w:t xml:space="preserve"> </w:t>
      </w:r>
    </w:p>
  </w:footnote>
  <w:footnote w:id="3">
    <w:p w14:paraId="62E8264A" w14:textId="27BBED3E" w:rsidR="00310977" w:rsidRPr="00624176" w:rsidRDefault="00310977">
      <w:pPr>
        <w:pStyle w:val="FootnoteText"/>
        <w:rPr>
          <w:rFonts w:asciiTheme="minorHAnsi" w:hAnsiTheme="minorHAnsi"/>
          <w:lang w:val="en-US"/>
        </w:rPr>
      </w:pPr>
      <w:r w:rsidRPr="00624176">
        <w:rPr>
          <w:rStyle w:val="FootnoteReference"/>
          <w:rFonts w:asciiTheme="minorHAnsi" w:hAnsiTheme="minorHAnsi"/>
        </w:rPr>
        <w:footnoteRef/>
      </w:r>
      <w:r w:rsidRPr="00624176">
        <w:rPr>
          <w:rFonts w:asciiTheme="minorHAnsi" w:hAnsiTheme="minorHAnsi"/>
        </w:rPr>
        <w:t xml:space="preserve"> </w:t>
      </w:r>
      <w:r w:rsidRPr="00624176">
        <w:rPr>
          <w:rFonts w:asciiTheme="minorHAnsi" w:hAnsiTheme="minorHAnsi"/>
          <w:sz w:val="20"/>
          <w:szCs w:val="20"/>
        </w:rPr>
        <w:t xml:space="preserve">Section 105D(1)(b) of the </w:t>
      </w:r>
      <w:r w:rsidRPr="00624176">
        <w:rPr>
          <w:rFonts w:asciiTheme="minorHAnsi" w:hAnsiTheme="minorHAnsi" w:cs="Times"/>
          <w:i/>
          <w:sz w:val="20"/>
          <w:szCs w:val="20"/>
        </w:rPr>
        <w:t>Sentencing Act 1991</w:t>
      </w:r>
      <w:r w:rsidRPr="00624176">
        <w:rPr>
          <w:rFonts w:asciiTheme="minorHAnsi" w:hAnsiTheme="minorHAnsi" w:cs="Times"/>
          <w:sz w:val="20"/>
          <w:szCs w:val="20"/>
        </w:rPr>
        <w:t xml:space="preserve"> </w:t>
      </w:r>
      <w:r w:rsidRPr="00624176">
        <w:rPr>
          <w:rFonts w:asciiTheme="minorHAnsi" w:hAnsiTheme="minorHAnsi" w:cs="Arial"/>
          <w:sz w:val="20"/>
          <w:szCs w:val="20"/>
        </w:rPr>
        <w:t>(Vic).</w:t>
      </w:r>
    </w:p>
  </w:footnote>
  <w:footnote w:id="4">
    <w:p w14:paraId="25ED462F" w14:textId="18A82307" w:rsidR="00310977" w:rsidRPr="00624176" w:rsidRDefault="00310977">
      <w:pPr>
        <w:pStyle w:val="FootnoteText"/>
        <w:rPr>
          <w:lang w:val="en-US"/>
        </w:rPr>
      </w:pPr>
      <w:r>
        <w:rPr>
          <w:rStyle w:val="FootnoteReference"/>
        </w:rPr>
        <w:footnoteRef/>
      </w:r>
      <w:r>
        <w:t xml:space="preserve"> </w:t>
      </w:r>
      <w:r w:rsidRPr="00624176">
        <w:rPr>
          <w:rFonts w:asciiTheme="minorHAnsi" w:hAnsiTheme="minorHAnsi"/>
          <w:sz w:val="20"/>
          <w:szCs w:val="20"/>
        </w:rPr>
        <w:t xml:space="preserve">Section 100(1) of the </w:t>
      </w:r>
      <w:r w:rsidRPr="00624176">
        <w:rPr>
          <w:rFonts w:asciiTheme="minorHAnsi" w:hAnsiTheme="minorHAnsi" w:cs="Times"/>
          <w:i/>
          <w:sz w:val="20"/>
          <w:szCs w:val="20"/>
        </w:rPr>
        <w:t>Protection of Freedoms Act 2012</w:t>
      </w:r>
      <w:r w:rsidRPr="00624176">
        <w:rPr>
          <w:rFonts w:asciiTheme="minorHAnsi" w:hAnsiTheme="minorHAnsi" w:cs="Times"/>
          <w:sz w:val="20"/>
          <w:szCs w:val="20"/>
        </w:rPr>
        <w:t xml:space="preserve"> </w:t>
      </w:r>
      <w:r w:rsidRPr="00624176">
        <w:rPr>
          <w:rFonts w:asciiTheme="minorHAnsi" w:hAnsiTheme="minorHAnsi" w:cs="Arial"/>
          <w:sz w:val="20"/>
          <w:szCs w:val="20"/>
        </w:rPr>
        <w:t>(UK).</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CB51F7"/>
    <w:multiLevelType w:val="hybridMultilevel"/>
    <w:tmpl w:val="0448A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082E88"/>
    <w:multiLevelType w:val="hybridMultilevel"/>
    <w:tmpl w:val="3E3ABB9C"/>
    <w:lvl w:ilvl="0" w:tplc="4104C110">
      <w:start w:val="1"/>
      <w:numFmt w:val="lowerLetter"/>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996782"/>
    <w:multiLevelType w:val="hybridMultilevel"/>
    <w:tmpl w:val="18EC68FC"/>
    <w:lvl w:ilvl="0" w:tplc="763EB90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316BDF"/>
    <w:multiLevelType w:val="hybridMultilevel"/>
    <w:tmpl w:val="5E0C8C3C"/>
    <w:lvl w:ilvl="0" w:tplc="898064B2">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B24025"/>
    <w:multiLevelType w:val="hybridMultilevel"/>
    <w:tmpl w:val="B2864018"/>
    <w:lvl w:ilvl="0" w:tplc="24E6E9A4">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0F"/>
    <w:rsid w:val="000F000F"/>
    <w:rsid w:val="00174029"/>
    <w:rsid w:val="001C0962"/>
    <w:rsid w:val="001D6295"/>
    <w:rsid w:val="001D66CD"/>
    <w:rsid w:val="0023019D"/>
    <w:rsid w:val="00263AFB"/>
    <w:rsid w:val="002936A6"/>
    <w:rsid w:val="002D0003"/>
    <w:rsid w:val="00310977"/>
    <w:rsid w:val="003C0581"/>
    <w:rsid w:val="00450B3E"/>
    <w:rsid w:val="004A0276"/>
    <w:rsid w:val="004A06B1"/>
    <w:rsid w:val="00556447"/>
    <w:rsid w:val="005A38B1"/>
    <w:rsid w:val="00624176"/>
    <w:rsid w:val="00666BD4"/>
    <w:rsid w:val="006810A2"/>
    <w:rsid w:val="006F3AC0"/>
    <w:rsid w:val="00734E21"/>
    <w:rsid w:val="00866DBA"/>
    <w:rsid w:val="008D16FF"/>
    <w:rsid w:val="009509DF"/>
    <w:rsid w:val="009B62AC"/>
    <w:rsid w:val="00A03C65"/>
    <w:rsid w:val="00A12DEB"/>
    <w:rsid w:val="00B158B3"/>
    <w:rsid w:val="00BE72CC"/>
    <w:rsid w:val="00C1521E"/>
    <w:rsid w:val="00C16D69"/>
    <w:rsid w:val="00C721BE"/>
    <w:rsid w:val="00C93786"/>
    <w:rsid w:val="00D14319"/>
    <w:rsid w:val="00D30AF2"/>
    <w:rsid w:val="00D6340A"/>
    <w:rsid w:val="00D90D82"/>
    <w:rsid w:val="00DA2512"/>
    <w:rsid w:val="00E14915"/>
    <w:rsid w:val="00E616A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C3D9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F000F"/>
    <w:rPr>
      <w:rFonts w:ascii="Times New Roman" w:eastAsia="Times New Roman" w:hAnsi="Times New Roman" w:cs="Times New Roman"/>
      <w:lang w:val="en-AU"/>
    </w:rPr>
  </w:style>
  <w:style w:type="character" w:customStyle="1" w:styleId="FootnoteTextChar">
    <w:name w:val="Footnote Text Char"/>
    <w:basedOn w:val="DefaultParagraphFont"/>
    <w:link w:val="FootnoteText"/>
    <w:uiPriority w:val="99"/>
    <w:rsid w:val="000F000F"/>
    <w:rPr>
      <w:rFonts w:ascii="Times New Roman" w:eastAsia="Times New Roman" w:hAnsi="Times New Roman" w:cs="Times New Roman"/>
    </w:rPr>
  </w:style>
  <w:style w:type="character" w:styleId="FootnoteReference">
    <w:name w:val="footnote reference"/>
    <w:basedOn w:val="DefaultParagraphFont"/>
    <w:uiPriority w:val="99"/>
    <w:unhideWhenUsed/>
    <w:rsid w:val="000F000F"/>
    <w:rPr>
      <w:vertAlign w:val="superscript"/>
    </w:rPr>
  </w:style>
  <w:style w:type="paragraph" w:styleId="NormalWeb">
    <w:name w:val="Normal (Web)"/>
    <w:basedOn w:val="Normal"/>
    <w:uiPriority w:val="99"/>
    <w:unhideWhenUsed/>
    <w:rsid w:val="000F000F"/>
    <w:rPr>
      <w:rFonts w:ascii="Times New Roman" w:eastAsiaTheme="minorHAnsi" w:hAnsi="Times New Roman" w:cs="Times New Roman"/>
      <w:lang w:val="en-AU"/>
    </w:rPr>
  </w:style>
  <w:style w:type="paragraph" w:styleId="BalloonText">
    <w:name w:val="Balloon Text"/>
    <w:basedOn w:val="Normal"/>
    <w:link w:val="BalloonTextChar"/>
    <w:uiPriority w:val="99"/>
    <w:semiHidden/>
    <w:unhideWhenUsed/>
    <w:rsid w:val="000F00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000F"/>
    <w:rPr>
      <w:rFonts w:ascii="Lucida Grande" w:hAnsi="Lucida Grande" w:cs="Lucida Grande"/>
      <w:sz w:val="18"/>
      <w:szCs w:val="18"/>
      <w:lang w:val="en-US"/>
    </w:rPr>
  </w:style>
  <w:style w:type="table" w:styleId="TableGrid">
    <w:name w:val="Table Grid"/>
    <w:basedOn w:val="TableNormal"/>
    <w:uiPriority w:val="59"/>
    <w:rsid w:val="00866DBA"/>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B62AC"/>
    <w:rPr>
      <w:color w:val="0000FF"/>
      <w:u w:val="single"/>
    </w:rPr>
  </w:style>
  <w:style w:type="paragraph" w:styleId="ListParagraph">
    <w:name w:val="List Paragraph"/>
    <w:basedOn w:val="Normal"/>
    <w:uiPriority w:val="34"/>
    <w:qFormat/>
    <w:rsid w:val="006810A2"/>
    <w:pPr>
      <w:ind w:left="720"/>
      <w:contextualSpacing/>
    </w:pPr>
  </w:style>
  <w:style w:type="paragraph" w:styleId="Footer">
    <w:name w:val="footer"/>
    <w:basedOn w:val="Normal"/>
    <w:link w:val="FooterChar"/>
    <w:uiPriority w:val="99"/>
    <w:unhideWhenUsed/>
    <w:rsid w:val="004A06B1"/>
    <w:pPr>
      <w:tabs>
        <w:tab w:val="center" w:pos="4320"/>
        <w:tab w:val="right" w:pos="8640"/>
      </w:tabs>
    </w:pPr>
  </w:style>
  <w:style w:type="character" w:customStyle="1" w:styleId="FooterChar">
    <w:name w:val="Footer Char"/>
    <w:basedOn w:val="DefaultParagraphFont"/>
    <w:link w:val="Footer"/>
    <w:uiPriority w:val="99"/>
    <w:rsid w:val="004A06B1"/>
    <w:rPr>
      <w:lang w:val="en-US"/>
    </w:rPr>
  </w:style>
  <w:style w:type="character" w:styleId="PageNumber">
    <w:name w:val="page number"/>
    <w:basedOn w:val="DefaultParagraphFont"/>
    <w:uiPriority w:val="99"/>
    <w:semiHidden/>
    <w:unhideWhenUsed/>
    <w:rsid w:val="004A06B1"/>
  </w:style>
  <w:style w:type="paragraph" w:styleId="NoSpacing">
    <w:name w:val="No Spacing"/>
    <w:uiPriority w:val="1"/>
    <w:qFormat/>
    <w:rsid w:val="004A06B1"/>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F000F"/>
    <w:rPr>
      <w:rFonts w:ascii="Times New Roman" w:eastAsia="Times New Roman" w:hAnsi="Times New Roman" w:cs="Times New Roman"/>
      <w:lang w:val="en-AU"/>
    </w:rPr>
  </w:style>
  <w:style w:type="character" w:customStyle="1" w:styleId="FootnoteTextChar">
    <w:name w:val="Footnote Text Char"/>
    <w:basedOn w:val="DefaultParagraphFont"/>
    <w:link w:val="FootnoteText"/>
    <w:uiPriority w:val="99"/>
    <w:rsid w:val="000F000F"/>
    <w:rPr>
      <w:rFonts w:ascii="Times New Roman" w:eastAsia="Times New Roman" w:hAnsi="Times New Roman" w:cs="Times New Roman"/>
    </w:rPr>
  </w:style>
  <w:style w:type="character" w:styleId="FootnoteReference">
    <w:name w:val="footnote reference"/>
    <w:basedOn w:val="DefaultParagraphFont"/>
    <w:uiPriority w:val="99"/>
    <w:unhideWhenUsed/>
    <w:rsid w:val="000F000F"/>
    <w:rPr>
      <w:vertAlign w:val="superscript"/>
    </w:rPr>
  </w:style>
  <w:style w:type="paragraph" w:styleId="NormalWeb">
    <w:name w:val="Normal (Web)"/>
    <w:basedOn w:val="Normal"/>
    <w:uiPriority w:val="99"/>
    <w:unhideWhenUsed/>
    <w:rsid w:val="000F000F"/>
    <w:rPr>
      <w:rFonts w:ascii="Times New Roman" w:eastAsiaTheme="minorHAnsi" w:hAnsi="Times New Roman" w:cs="Times New Roman"/>
      <w:lang w:val="en-AU"/>
    </w:rPr>
  </w:style>
  <w:style w:type="paragraph" w:styleId="BalloonText">
    <w:name w:val="Balloon Text"/>
    <w:basedOn w:val="Normal"/>
    <w:link w:val="BalloonTextChar"/>
    <w:uiPriority w:val="99"/>
    <w:semiHidden/>
    <w:unhideWhenUsed/>
    <w:rsid w:val="000F00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000F"/>
    <w:rPr>
      <w:rFonts w:ascii="Lucida Grande" w:hAnsi="Lucida Grande" w:cs="Lucida Grande"/>
      <w:sz w:val="18"/>
      <w:szCs w:val="18"/>
      <w:lang w:val="en-US"/>
    </w:rPr>
  </w:style>
  <w:style w:type="table" w:styleId="TableGrid">
    <w:name w:val="Table Grid"/>
    <w:basedOn w:val="TableNormal"/>
    <w:uiPriority w:val="59"/>
    <w:rsid w:val="00866DBA"/>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B62AC"/>
    <w:rPr>
      <w:color w:val="0000FF"/>
      <w:u w:val="single"/>
    </w:rPr>
  </w:style>
  <w:style w:type="paragraph" w:styleId="ListParagraph">
    <w:name w:val="List Paragraph"/>
    <w:basedOn w:val="Normal"/>
    <w:uiPriority w:val="34"/>
    <w:qFormat/>
    <w:rsid w:val="006810A2"/>
    <w:pPr>
      <w:ind w:left="720"/>
      <w:contextualSpacing/>
    </w:pPr>
  </w:style>
  <w:style w:type="paragraph" w:styleId="Footer">
    <w:name w:val="footer"/>
    <w:basedOn w:val="Normal"/>
    <w:link w:val="FooterChar"/>
    <w:uiPriority w:val="99"/>
    <w:unhideWhenUsed/>
    <w:rsid w:val="004A06B1"/>
    <w:pPr>
      <w:tabs>
        <w:tab w:val="center" w:pos="4320"/>
        <w:tab w:val="right" w:pos="8640"/>
      </w:tabs>
    </w:pPr>
  </w:style>
  <w:style w:type="character" w:customStyle="1" w:styleId="FooterChar">
    <w:name w:val="Footer Char"/>
    <w:basedOn w:val="DefaultParagraphFont"/>
    <w:link w:val="Footer"/>
    <w:uiPriority w:val="99"/>
    <w:rsid w:val="004A06B1"/>
    <w:rPr>
      <w:lang w:val="en-US"/>
    </w:rPr>
  </w:style>
  <w:style w:type="character" w:styleId="PageNumber">
    <w:name w:val="page number"/>
    <w:basedOn w:val="DefaultParagraphFont"/>
    <w:uiPriority w:val="99"/>
    <w:semiHidden/>
    <w:unhideWhenUsed/>
    <w:rsid w:val="004A06B1"/>
  </w:style>
  <w:style w:type="paragraph" w:styleId="NoSpacing">
    <w:name w:val="No Spacing"/>
    <w:uiPriority w:val="1"/>
    <w:qFormat/>
    <w:rsid w:val="004A06B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1A70A-23F7-E844-8E73-A125EAED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762</Words>
  <Characters>4348</Characters>
  <Application>Microsoft Macintosh Word</Application>
  <DocSecurity>0</DocSecurity>
  <Lines>36</Lines>
  <Paragraphs>10</Paragraphs>
  <ScaleCrop>false</ScaleCrop>
  <Company>tenants union</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Bartl</dc:creator>
  <cp:keywords/>
  <dc:description/>
  <cp:lastModifiedBy>Ben Bartl</cp:lastModifiedBy>
  <cp:revision>4</cp:revision>
  <cp:lastPrinted>2017-03-08T05:31:00Z</cp:lastPrinted>
  <dcterms:created xsi:type="dcterms:W3CDTF">2017-03-07T22:57:00Z</dcterms:created>
  <dcterms:modified xsi:type="dcterms:W3CDTF">2017-03-08T05:31:00Z</dcterms:modified>
</cp:coreProperties>
</file>