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4B72C" w14:textId="77777777" w:rsidR="00DE49FB" w:rsidRDefault="00DE49FB" w:rsidP="00DE49FB">
      <w:pPr>
        <w:ind w:right="-347"/>
        <w:jc w:val="center"/>
      </w:pPr>
      <w:r>
        <w:rPr>
          <w:noProof/>
          <w:sz w:val="20"/>
          <w:szCs w:val="20"/>
        </w:rPr>
        <w:drawing>
          <wp:inline distT="0" distB="0" distL="0" distR="0" wp14:anchorId="0B9B6B89" wp14:editId="647921A9">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7A03D8BD" w14:textId="77777777" w:rsidR="00DE49FB" w:rsidRPr="00DE49FB" w:rsidRDefault="00DE49FB" w:rsidP="00DE49FB">
      <w:pPr>
        <w:ind w:right="-347"/>
        <w:rPr>
          <w:rFonts w:ascii="Cambria" w:hAnsi="Cambria"/>
        </w:rPr>
      </w:pPr>
    </w:p>
    <w:p w14:paraId="009ECEFD" w14:textId="77777777" w:rsidR="00DE49FB" w:rsidRPr="00DE49FB" w:rsidRDefault="00DE49FB" w:rsidP="00DE49FB">
      <w:pPr>
        <w:ind w:right="-347"/>
        <w:rPr>
          <w:rFonts w:ascii="Cambria" w:hAnsi="Cambria"/>
        </w:rPr>
      </w:pPr>
    </w:p>
    <w:p w14:paraId="67776AFE" w14:textId="77777777" w:rsidR="00DE49FB" w:rsidRPr="00DE49FB" w:rsidRDefault="00DE49FB" w:rsidP="00DE49FB">
      <w:pPr>
        <w:ind w:right="-205"/>
        <w:rPr>
          <w:rFonts w:ascii="Cambria" w:hAnsi="Cambria"/>
        </w:rPr>
      </w:pPr>
    </w:p>
    <w:p w14:paraId="6B507D1F" w14:textId="77777777" w:rsidR="00DE49FB" w:rsidRPr="00DE49FB" w:rsidRDefault="00DE49FB" w:rsidP="00DE49FB">
      <w:pPr>
        <w:ind w:right="-205"/>
        <w:rPr>
          <w:rFonts w:ascii="Cambria" w:hAnsi="Cambria"/>
        </w:rPr>
      </w:pPr>
    </w:p>
    <w:p w14:paraId="09DCF451" w14:textId="35DC9249" w:rsidR="00DE49FB" w:rsidRPr="00DE49FB" w:rsidRDefault="007B1407" w:rsidP="00DE49FB">
      <w:pPr>
        <w:ind w:right="-205"/>
        <w:rPr>
          <w:rFonts w:ascii="Cambria" w:hAnsi="Cambria"/>
        </w:rPr>
      </w:pPr>
      <w:r>
        <w:rPr>
          <w:rFonts w:ascii="Cambria" w:hAnsi="Cambria"/>
        </w:rPr>
        <w:t>15 April</w:t>
      </w:r>
      <w:r w:rsidR="00DE49FB" w:rsidRPr="00DE49FB">
        <w:rPr>
          <w:rFonts w:ascii="Cambria" w:hAnsi="Cambria"/>
        </w:rPr>
        <w:t xml:space="preserve"> 2019</w:t>
      </w:r>
    </w:p>
    <w:p w14:paraId="7C958A2F" w14:textId="77777777" w:rsidR="00DE49FB" w:rsidRPr="00DE49FB" w:rsidRDefault="00DE49FB" w:rsidP="00DE49FB">
      <w:pPr>
        <w:ind w:right="-205"/>
        <w:rPr>
          <w:rFonts w:ascii="Cambria" w:hAnsi="Cambria"/>
        </w:rPr>
      </w:pPr>
    </w:p>
    <w:p w14:paraId="0FE32736" w14:textId="77777777" w:rsidR="00DE49FB" w:rsidRPr="00DE49FB" w:rsidRDefault="00DE49FB" w:rsidP="00DE49FB">
      <w:pPr>
        <w:rPr>
          <w:rFonts w:ascii="Cambria" w:eastAsia="Times New Roman" w:hAnsi="Cambria"/>
          <w:color w:val="212529"/>
          <w:shd w:val="clear" w:color="auto" w:fill="FFFFFF"/>
        </w:rPr>
      </w:pPr>
      <w:r w:rsidRPr="00DE49FB">
        <w:rPr>
          <w:rFonts w:ascii="Cambria" w:eastAsia="Times New Roman" w:hAnsi="Cambria"/>
          <w:color w:val="212529"/>
          <w:shd w:val="clear" w:color="auto" w:fill="FFFFFF"/>
        </w:rPr>
        <w:t>Department of Justice </w:t>
      </w:r>
      <w:r w:rsidRPr="00DE49FB">
        <w:rPr>
          <w:rFonts w:ascii="Cambria" w:eastAsia="Times New Roman" w:hAnsi="Cambria"/>
          <w:color w:val="212529"/>
        </w:rPr>
        <w:br/>
      </w:r>
      <w:r w:rsidRPr="00DE49FB">
        <w:rPr>
          <w:rFonts w:ascii="Cambria" w:eastAsia="Times New Roman" w:hAnsi="Cambria"/>
          <w:color w:val="212529"/>
          <w:shd w:val="clear" w:color="auto" w:fill="FFFFFF"/>
        </w:rPr>
        <w:t>Strategic Legislation and Policy </w:t>
      </w:r>
      <w:r w:rsidRPr="00DE49FB">
        <w:rPr>
          <w:rFonts w:ascii="Cambria" w:eastAsia="Times New Roman" w:hAnsi="Cambria"/>
          <w:color w:val="212529"/>
        </w:rPr>
        <w:br/>
      </w:r>
      <w:r w:rsidRPr="00DE49FB">
        <w:rPr>
          <w:rFonts w:ascii="Cambria" w:eastAsia="Times New Roman" w:hAnsi="Cambria"/>
          <w:color w:val="212529"/>
          <w:shd w:val="clear" w:color="auto" w:fill="FFFFFF"/>
        </w:rPr>
        <w:t xml:space="preserve">GPO Box 825 </w:t>
      </w:r>
    </w:p>
    <w:p w14:paraId="1863F918" w14:textId="77777777" w:rsidR="00DE49FB" w:rsidRPr="00DE49FB" w:rsidRDefault="00DE49FB" w:rsidP="00DE49FB">
      <w:pPr>
        <w:rPr>
          <w:rFonts w:ascii="Cambria" w:eastAsia="Times New Roman" w:hAnsi="Cambria"/>
        </w:rPr>
      </w:pPr>
      <w:r w:rsidRPr="00DE49FB">
        <w:rPr>
          <w:rFonts w:ascii="Cambria" w:eastAsia="Times New Roman" w:hAnsi="Cambria"/>
          <w:color w:val="212529"/>
          <w:shd w:val="clear" w:color="auto" w:fill="FFFFFF"/>
        </w:rPr>
        <w:t>Hobart TAS 7001</w:t>
      </w:r>
    </w:p>
    <w:p w14:paraId="4E57C338" w14:textId="77777777" w:rsidR="00DE49FB" w:rsidRPr="00DE49FB" w:rsidRDefault="00DE49FB" w:rsidP="00DE49FB">
      <w:pPr>
        <w:ind w:left="2160" w:firstLine="720"/>
        <w:rPr>
          <w:rFonts w:ascii="Cambria" w:eastAsia="Times New Roman" w:hAnsi="Cambria"/>
          <w:i/>
        </w:rPr>
      </w:pPr>
      <w:r w:rsidRPr="00DE49FB">
        <w:rPr>
          <w:rFonts w:ascii="Cambria" w:hAnsi="Cambria"/>
          <w:b/>
          <w:i/>
        </w:rPr>
        <w:t xml:space="preserve">via email: </w:t>
      </w:r>
      <w:hyperlink r:id="rId8" w:history="1">
        <w:r w:rsidRPr="00DE49FB">
          <w:rPr>
            <w:rFonts w:ascii="Cambria" w:eastAsia="Times New Roman" w:hAnsi="Cambria"/>
            <w:i/>
            <w:color w:val="0000FF"/>
            <w:u w:val="single"/>
            <w:shd w:val="clear" w:color="auto" w:fill="FFFFFF"/>
          </w:rPr>
          <w:t>haveyoursay@justice.tas.gov.au</w:t>
        </w:r>
      </w:hyperlink>
    </w:p>
    <w:p w14:paraId="17E90959" w14:textId="77777777" w:rsidR="00DE49FB" w:rsidRPr="00DE49FB" w:rsidRDefault="00DE49FB" w:rsidP="00DE49FB">
      <w:pPr>
        <w:ind w:right="-205"/>
        <w:rPr>
          <w:rFonts w:ascii="Cambria" w:hAnsi="Cambria"/>
          <w:b/>
          <w:i/>
        </w:rPr>
      </w:pPr>
    </w:p>
    <w:p w14:paraId="6218522E" w14:textId="77777777" w:rsidR="00DE49FB" w:rsidRPr="00DE49FB" w:rsidRDefault="00DE49FB" w:rsidP="00DE49FB">
      <w:pPr>
        <w:ind w:right="-64"/>
        <w:rPr>
          <w:rFonts w:ascii="Cambria" w:hAnsi="Cambria"/>
        </w:rPr>
      </w:pPr>
      <w:r w:rsidRPr="00DE49FB">
        <w:rPr>
          <w:rFonts w:ascii="Cambria" w:hAnsi="Cambria"/>
        </w:rPr>
        <w:t>To</w:t>
      </w:r>
      <w:r>
        <w:rPr>
          <w:rFonts w:ascii="Cambria" w:hAnsi="Cambria"/>
        </w:rPr>
        <w:t xml:space="preserve"> the Department of Justice</w:t>
      </w:r>
      <w:r w:rsidRPr="00DE49FB">
        <w:rPr>
          <w:rFonts w:ascii="Cambria" w:hAnsi="Cambria"/>
        </w:rPr>
        <w:t>,</w:t>
      </w:r>
    </w:p>
    <w:p w14:paraId="5A15870D" w14:textId="77777777" w:rsidR="00DE49FB" w:rsidRPr="00DE49FB" w:rsidRDefault="00DE49FB" w:rsidP="00DE49FB">
      <w:pPr>
        <w:pBdr>
          <w:bottom w:val="single" w:sz="6" w:space="1" w:color="auto"/>
        </w:pBdr>
        <w:rPr>
          <w:rFonts w:ascii="Cambria" w:hAnsi="Cambria"/>
          <w:b/>
        </w:rPr>
      </w:pPr>
      <w:r w:rsidRPr="00DE49FB">
        <w:rPr>
          <w:rFonts w:ascii="Cambria" w:hAnsi="Cambria"/>
          <w:b/>
        </w:rPr>
        <w:t>Re: Electoral Act Review</w:t>
      </w:r>
      <w:r>
        <w:rPr>
          <w:rFonts w:ascii="Cambria" w:hAnsi="Cambria"/>
          <w:b/>
        </w:rPr>
        <w:t xml:space="preserve"> Interim Report</w:t>
      </w:r>
    </w:p>
    <w:p w14:paraId="06EADD7C" w14:textId="77777777" w:rsidR="00DE49FB" w:rsidRPr="00DE49FB" w:rsidRDefault="00DE49FB" w:rsidP="00DE49FB">
      <w:pPr>
        <w:ind w:right="-64"/>
        <w:rPr>
          <w:rFonts w:ascii="Cambria" w:hAnsi="Cambria"/>
        </w:rPr>
      </w:pPr>
      <w:r w:rsidRPr="00DE49FB">
        <w:rPr>
          <w:rFonts w:ascii="Cambria" w:hAnsi="Cambria"/>
        </w:rPr>
        <w:t xml:space="preserve"> </w:t>
      </w:r>
    </w:p>
    <w:p w14:paraId="7B3F96C4" w14:textId="77777777" w:rsidR="00DE49FB" w:rsidRDefault="00DE49FB" w:rsidP="00DE49FB">
      <w:pPr>
        <w:ind w:right="-347"/>
        <w:jc w:val="both"/>
        <w:rPr>
          <w:rFonts w:ascii="Cambria" w:hAnsi="Cambria"/>
        </w:rPr>
      </w:pPr>
      <w:r w:rsidRPr="00DE49FB">
        <w:rPr>
          <w:rFonts w:ascii="Cambria" w:hAnsi="Cambria" w:cs="Calibri"/>
        </w:rPr>
        <w:t>Community Legal Centres Tasmania (CLC Tas)</w:t>
      </w:r>
      <w:r w:rsidRPr="00DE49FB">
        <w:rPr>
          <w:rFonts w:ascii="Cambria" w:hAnsi="Cambria"/>
        </w:rPr>
        <w:t xml:space="preserve"> welcomes the opportunity to provide comment on the </w:t>
      </w:r>
      <w:r w:rsidRPr="00B564E9">
        <w:rPr>
          <w:rFonts w:ascii="Cambria" w:hAnsi="Cambria"/>
          <w:i/>
        </w:rPr>
        <w:t>Electoral Act Review Interim Report</w:t>
      </w:r>
      <w:r w:rsidRPr="00DE49FB">
        <w:rPr>
          <w:rFonts w:ascii="Cambria" w:hAnsi="Cambria"/>
          <w:color w:val="0D0D0D" w:themeColor="text1" w:themeTint="F2"/>
        </w:rPr>
        <w:t xml:space="preserve"> (‘the Interim Report’).</w:t>
      </w:r>
    </w:p>
    <w:p w14:paraId="5187CA4C" w14:textId="77777777" w:rsidR="00DE49FB" w:rsidRDefault="00DE49FB" w:rsidP="00DE49FB">
      <w:pPr>
        <w:ind w:right="-347"/>
        <w:jc w:val="both"/>
        <w:rPr>
          <w:rFonts w:ascii="Cambria" w:hAnsi="Cambria"/>
        </w:rPr>
      </w:pPr>
    </w:p>
    <w:p w14:paraId="6168B16E" w14:textId="77777777" w:rsidR="00DE49FB" w:rsidRPr="00DE49FB" w:rsidRDefault="00DE49FB" w:rsidP="00DE49FB">
      <w:pPr>
        <w:ind w:right="-347"/>
        <w:jc w:val="both"/>
        <w:rPr>
          <w:rFonts w:ascii="Cambria" w:hAnsi="Cambria" w:cstheme="minorBidi"/>
        </w:rPr>
      </w:pPr>
      <w:r w:rsidRPr="00DE49FB">
        <w:rPr>
          <w:rFonts w:ascii="Cambria" w:eastAsia="Times New Roman" w:hAnsi="Cambria" w:cs="Arial"/>
        </w:rPr>
        <w:t xml:space="preserve">CLC Tas </w:t>
      </w:r>
      <w:r w:rsidRPr="00DE49FB">
        <w:rPr>
          <w:rFonts w:ascii="Cambria" w:hAnsi="Cambria" w:cs="Arial"/>
        </w:rPr>
        <w:t>is the peak body representing the interests of nine community legal centres (CLCs) located throughout Tasmania. We are a member-based, independent, not-for-profit and incorporated organisation that</w:t>
      </w:r>
      <w:r w:rsidRPr="00DE49FB">
        <w:rPr>
          <w:rFonts w:ascii="Cambria" w:hAnsi="Cambria" w:cs="Arial"/>
          <w:color w:val="000000"/>
        </w:rPr>
        <w:t xml:space="preserve"> advocates for law reform on a range of public interest matters aimed at improving access to justice, reducing discrimination and protecting and promoting human rights. </w:t>
      </w:r>
    </w:p>
    <w:p w14:paraId="086BB16A" w14:textId="77777777" w:rsidR="00DE49FB" w:rsidRPr="00DE49FB" w:rsidRDefault="00DE49FB" w:rsidP="00DE49FB">
      <w:pPr>
        <w:ind w:right="-347"/>
        <w:jc w:val="both"/>
        <w:rPr>
          <w:rFonts w:ascii="Cambria" w:hAnsi="Cambria" w:cs="Arial"/>
          <w:color w:val="000000"/>
        </w:rPr>
      </w:pPr>
    </w:p>
    <w:p w14:paraId="2681EAEE" w14:textId="4DE1ED72" w:rsidR="00DE49FB" w:rsidRPr="00DE49FB" w:rsidRDefault="00CE6D40" w:rsidP="00DE49FB">
      <w:pPr>
        <w:ind w:right="-347"/>
        <w:jc w:val="both"/>
        <w:rPr>
          <w:rFonts w:ascii="Cambria" w:hAnsi="Cambria" w:cs="Arial"/>
        </w:rPr>
      </w:pPr>
      <w:r>
        <w:rPr>
          <w:rFonts w:ascii="Cambria" w:hAnsi="Cambria" w:cs="Arial"/>
        </w:rPr>
        <w:t>We</w:t>
      </w:r>
      <w:r w:rsidR="00DE49FB" w:rsidRPr="00DE49FB">
        <w:rPr>
          <w:rFonts w:ascii="Cambria" w:hAnsi="Cambria" w:cs="Arial"/>
        </w:rPr>
        <w:t xml:space="preserve"> support many of the proposals raised in the </w:t>
      </w:r>
      <w:r>
        <w:rPr>
          <w:rFonts w:ascii="Cambria" w:hAnsi="Cambria" w:cs="Arial"/>
        </w:rPr>
        <w:t>Interim Report</w:t>
      </w:r>
      <w:r w:rsidR="00DE49FB" w:rsidRPr="00DE49FB">
        <w:rPr>
          <w:rFonts w:ascii="Cambria" w:hAnsi="Cambria" w:cs="Arial"/>
        </w:rPr>
        <w:t xml:space="preserve"> but our response is limited to </w:t>
      </w:r>
      <w:r w:rsidR="00FF5C48">
        <w:rPr>
          <w:rFonts w:ascii="Cambria" w:hAnsi="Cambria" w:cs="Arial"/>
        </w:rPr>
        <w:t>section</w:t>
      </w:r>
      <w:r w:rsidR="00630051">
        <w:rPr>
          <w:rFonts w:ascii="Cambria" w:hAnsi="Cambria" w:cs="Arial"/>
        </w:rPr>
        <w:t xml:space="preserve">s 2 and </w:t>
      </w:r>
      <w:r w:rsidR="008813AD">
        <w:rPr>
          <w:rFonts w:ascii="Cambria" w:hAnsi="Cambria" w:cs="Arial"/>
        </w:rPr>
        <w:t xml:space="preserve">3 </w:t>
      </w:r>
      <w:r w:rsidR="00630051">
        <w:rPr>
          <w:rFonts w:ascii="Cambria" w:hAnsi="Cambria" w:cs="Arial"/>
        </w:rPr>
        <w:t>which relate to</w:t>
      </w:r>
      <w:r w:rsidR="00FF5C48">
        <w:rPr>
          <w:rFonts w:ascii="Cambria" w:hAnsi="Cambria" w:cs="Arial"/>
        </w:rPr>
        <w:t xml:space="preserve"> disclosure and electoral expenditure</w:t>
      </w:r>
      <w:r w:rsidR="008813AD">
        <w:rPr>
          <w:rFonts w:ascii="Cambria" w:hAnsi="Cambria" w:cs="Arial"/>
        </w:rPr>
        <w:t xml:space="preserve"> and the regulation of third parties</w:t>
      </w:r>
      <w:r w:rsidR="00DE49FB" w:rsidRPr="00DE49FB">
        <w:rPr>
          <w:rFonts w:ascii="Cambria" w:hAnsi="Cambria" w:cs="Arial"/>
        </w:rPr>
        <w:t xml:space="preserve">.   </w:t>
      </w:r>
    </w:p>
    <w:p w14:paraId="611E6182" w14:textId="77777777" w:rsidR="00DE49FB" w:rsidRPr="00DE49FB" w:rsidRDefault="00DE49FB" w:rsidP="00DE49FB">
      <w:pPr>
        <w:ind w:right="-347"/>
        <w:jc w:val="both"/>
        <w:rPr>
          <w:rFonts w:ascii="Cambria" w:hAnsi="Cambria" w:cs="Arial"/>
        </w:rPr>
      </w:pPr>
    </w:p>
    <w:p w14:paraId="658FA924" w14:textId="7F807281" w:rsidR="00DE49FB" w:rsidRPr="00DE49FB" w:rsidRDefault="00BE38C8" w:rsidP="00DE49FB">
      <w:pPr>
        <w:ind w:right="-347"/>
        <w:jc w:val="both"/>
        <w:rPr>
          <w:rFonts w:ascii="Cambria" w:hAnsi="Cambria" w:cs="Arial"/>
          <w:b/>
          <w:i/>
        </w:rPr>
      </w:pPr>
      <w:r>
        <w:rPr>
          <w:rFonts w:ascii="Cambria" w:hAnsi="Cambria" w:cs="Arial"/>
          <w:b/>
          <w:i/>
        </w:rPr>
        <w:t>Disclosure and Electoral Expenditure</w:t>
      </w:r>
    </w:p>
    <w:p w14:paraId="204BEA14" w14:textId="4627DD28" w:rsidR="00394CE7" w:rsidRDefault="00B564E9" w:rsidP="00394CE7">
      <w:pPr>
        <w:ind w:right="-347"/>
        <w:jc w:val="both"/>
        <w:rPr>
          <w:rFonts w:ascii="Cambria" w:hAnsi="Cambria" w:cs="Arial"/>
        </w:rPr>
      </w:pPr>
      <w:r>
        <w:rPr>
          <w:rFonts w:ascii="Cambria" w:hAnsi="Cambria" w:cs="Arial"/>
        </w:rPr>
        <w:t>P</w:t>
      </w:r>
      <w:r w:rsidR="00BE38C8">
        <w:rPr>
          <w:rFonts w:ascii="Cambria" w:hAnsi="Cambria" w:cs="Arial"/>
        </w:rPr>
        <w:t xml:space="preserve">olitical parties registered with the Australian Electoral Commission are required to comply with the </w:t>
      </w:r>
      <w:r w:rsidR="00402A9C">
        <w:rPr>
          <w:rFonts w:ascii="Cambria" w:hAnsi="Cambria" w:cs="Arial"/>
          <w:i/>
        </w:rPr>
        <w:t>Commonwealth Electoral Act 19</w:t>
      </w:r>
      <w:r w:rsidR="00BE38C8" w:rsidRPr="00BE38C8">
        <w:rPr>
          <w:rFonts w:ascii="Cambria" w:hAnsi="Cambria" w:cs="Arial"/>
          <w:i/>
        </w:rPr>
        <w:t>18</w:t>
      </w:r>
      <w:r w:rsidR="00BE38C8">
        <w:rPr>
          <w:rFonts w:ascii="Cambria" w:hAnsi="Cambria" w:cs="Arial"/>
        </w:rPr>
        <w:t xml:space="preserve"> </w:t>
      </w:r>
      <w:r w:rsidR="00BF4715">
        <w:rPr>
          <w:rFonts w:ascii="Cambria" w:hAnsi="Cambria" w:cs="Arial"/>
        </w:rPr>
        <w:t xml:space="preserve">(Cth) </w:t>
      </w:r>
      <w:r w:rsidR="00BE38C8">
        <w:rPr>
          <w:rFonts w:ascii="Cambria" w:hAnsi="Cambria" w:cs="Arial"/>
        </w:rPr>
        <w:t>which mandates that all political donations over a threshold of $13,800 must be disclosed</w:t>
      </w:r>
      <w:r w:rsidR="00402A9C">
        <w:rPr>
          <w:rFonts w:ascii="Cambria" w:hAnsi="Cambria" w:cs="Arial"/>
        </w:rPr>
        <w:t xml:space="preserve"> annually</w:t>
      </w:r>
      <w:r w:rsidR="00BE38C8">
        <w:rPr>
          <w:rFonts w:ascii="Cambria" w:hAnsi="Cambria" w:cs="Arial"/>
        </w:rPr>
        <w:t xml:space="preserve">. </w:t>
      </w:r>
      <w:r w:rsidR="00D66991">
        <w:rPr>
          <w:rFonts w:ascii="Cambria" w:hAnsi="Cambria" w:cs="Arial"/>
        </w:rPr>
        <w:t>As well</w:t>
      </w:r>
      <w:r w:rsidR="00BE38C8">
        <w:rPr>
          <w:rFonts w:ascii="Cambria" w:hAnsi="Cambria" w:cs="Arial"/>
        </w:rPr>
        <w:t xml:space="preserve">, every other Australian jurisdiction except Tasmania has a disclosure </w:t>
      </w:r>
      <w:r w:rsidR="00BF4715">
        <w:rPr>
          <w:rFonts w:ascii="Cambria" w:hAnsi="Cambria" w:cs="Arial"/>
        </w:rPr>
        <w:t>framework</w:t>
      </w:r>
      <w:r w:rsidR="00BE38C8">
        <w:rPr>
          <w:rFonts w:ascii="Cambria" w:hAnsi="Cambria" w:cs="Arial"/>
        </w:rPr>
        <w:t xml:space="preserve"> for candidates and political parties in addition to the Commonwealth Act.</w:t>
      </w:r>
      <w:r w:rsidR="00983D31">
        <w:rPr>
          <w:rFonts w:ascii="Cambria" w:hAnsi="Cambria" w:cs="Arial"/>
        </w:rPr>
        <w:t xml:space="preserve"> In other words, Tasmania is the only jurisdiction in Australia without a </w:t>
      </w:r>
      <w:r w:rsidR="000708F1">
        <w:rPr>
          <w:rFonts w:ascii="Cambria" w:hAnsi="Cambria" w:cs="Arial"/>
        </w:rPr>
        <w:t xml:space="preserve">campaign </w:t>
      </w:r>
      <w:r w:rsidR="00983D31">
        <w:rPr>
          <w:rFonts w:ascii="Cambria" w:hAnsi="Cambria" w:cs="Arial"/>
        </w:rPr>
        <w:t xml:space="preserve">disclosure framework. </w:t>
      </w:r>
    </w:p>
    <w:p w14:paraId="437479E0" w14:textId="77777777" w:rsidR="00394CE7" w:rsidRDefault="00394CE7" w:rsidP="00394CE7">
      <w:pPr>
        <w:ind w:right="-347"/>
        <w:jc w:val="both"/>
        <w:rPr>
          <w:rFonts w:ascii="Cambria" w:hAnsi="Cambria" w:cs="Arial"/>
        </w:rPr>
      </w:pPr>
    </w:p>
    <w:p w14:paraId="0F359E1F" w14:textId="133085EB" w:rsidR="00CE2F3F" w:rsidRDefault="00AF3080" w:rsidP="00394CE7">
      <w:pPr>
        <w:ind w:right="-347"/>
        <w:jc w:val="both"/>
        <w:rPr>
          <w:rFonts w:ascii="Cambria" w:hAnsi="Cambria" w:cs="Arial"/>
        </w:rPr>
      </w:pPr>
      <w:r w:rsidRPr="00394CE7">
        <w:rPr>
          <w:rFonts w:ascii="Cambria" w:hAnsi="Cambria" w:cs="Arial"/>
        </w:rPr>
        <w:t xml:space="preserve">The reliance on the </w:t>
      </w:r>
      <w:r w:rsidRPr="00394CE7">
        <w:rPr>
          <w:rFonts w:ascii="Cambria" w:hAnsi="Cambria" w:cs="Arial"/>
          <w:i/>
        </w:rPr>
        <w:t>Commonwealth Electoral Act 1918</w:t>
      </w:r>
      <w:r w:rsidRPr="00394CE7">
        <w:rPr>
          <w:rFonts w:ascii="Cambria" w:hAnsi="Cambria" w:cs="Arial"/>
        </w:rPr>
        <w:t xml:space="preserve"> (Tas) for our disclosure laws </w:t>
      </w:r>
      <w:r w:rsidR="00394CE7" w:rsidRPr="00394CE7">
        <w:rPr>
          <w:rFonts w:ascii="Cambria" w:hAnsi="Cambria" w:cs="Arial"/>
        </w:rPr>
        <w:t xml:space="preserve">means that there is </w:t>
      </w:r>
      <w:r w:rsidRPr="00394CE7">
        <w:rPr>
          <w:rFonts w:ascii="Cambria" w:hAnsi="Cambria" w:cs="Arial"/>
        </w:rPr>
        <w:t xml:space="preserve">a </w:t>
      </w:r>
      <w:r w:rsidR="00394CE7" w:rsidRPr="00394CE7">
        <w:rPr>
          <w:rFonts w:ascii="Cambria" w:hAnsi="Cambria" w:cs="Arial"/>
        </w:rPr>
        <w:t>lack of transparency</w:t>
      </w:r>
      <w:r w:rsidR="00CE2F3F">
        <w:rPr>
          <w:rFonts w:ascii="Cambria" w:hAnsi="Cambria" w:cs="Arial"/>
        </w:rPr>
        <w:t xml:space="preserve"> with </w:t>
      </w:r>
      <w:r w:rsidR="00394CE7" w:rsidRPr="00394CE7">
        <w:rPr>
          <w:rFonts w:ascii="Cambria" w:hAnsi="Cambria" w:cs="Arial"/>
        </w:rPr>
        <w:t xml:space="preserve">political </w:t>
      </w:r>
      <w:r w:rsidR="00CE2F3F">
        <w:rPr>
          <w:rFonts w:ascii="Cambria" w:hAnsi="Cambria" w:cs="Arial"/>
        </w:rPr>
        <w:t>donations</w:t>
      </w:r>
      <w:r w:rsidR="00394CE7" w:rsidRPr="00394CE7">
        <w:rPr>
          <w:rFonts w:ascii="Cambria" w:hAnsi="Cambria" w:cs="Arial"/>
        </w:rPr>
        <w:t xml:space="preserve"> able to be </w:t>
      </w:r>
      <w:r w:rsidR="00394CE7" w:rsidRPr="00394CE7">
        <w:rPr>
          <w:rFonts w:ascii="Cambria" w:hAnsi="Cambria" w:cs="Arial"/>
        </w:rPr>
        <w:lastRenderedPageBreak/>
        <w:t>concealed from the public for up to 19 months</w:t>
      </w:r>
      <w:r w:rsidR="00CE2F3F">
        <w:rPr>
          <w:rFonts w:ascii="Cambria" w:hAnsi="Cambria" w:cs="Arial"/>
        </w:rPr>
        <w:t>;</w:t>
      </w:r>
      <w:r w:rsidR="00394CE7" w:rsidRPr="00394CE7">
        <w:rPr>
          <w:rStyle w:val="FootnoteReference"/>
          <w:rFonts w:ascii="Cambria" w:hAnsi="Cambria" w:cs="Arial"/>
        </w:rPr>
        <w:footnoteReference w:id="1"/>
      </w:r>
      <w:r w:rsidR="00394CE7" w:rsidRPr="00394CE7">
        <w:rPr>
          <w:rFonts w:ascii="Cambria" w:hAnsi="Cambria" w:cs="Arial"/>
        </w:rPr>
        <w:t xml:space="preserve"> </w:t>
      </w:r>
      <w:r w:rsidR="00CE2F3F">
        <w:rPr>
          <w:rFonts w:ascii="Cambria" w:hAnsi="Cambria" w:cs="Arial"/>
        </w:rPr>
        <w:t xml:space="preserve">and </w:t>
      </w:r>
      <w:r w:rsidR="00394CE7" w:rsidRPr="00394CE7">
        <w:rPr>
          <w:rFonts w:ascii="Cambria" w:hAnsi="Cambria" w:cs="Arial"/>
        </w:rPr>
        <w:t xml:space="preserve">more than 80 per cent of all donations </w:t>
      </w:r>
      <w:r w:rsidR="00CE2F3F">
        <w:rPr>
          <w:rFonts w:ascii="Cambria" w:hAnsi="Cambria" w:cs="Arial"/>
        </w:rPr>
        <w:t xml:space="preserve">made to political parties between 2009-2015 </w:t>
      </w:r>
      <w:r w:rsidR="00394CE7" w:rsidRPr="00394CE7">
        <w:rPr>
          <w:rFonts w:ascii="Cambria" w:hAnsi="Cambria" w:cs="Arial"/>
        </w:rPr>
        <w:t>not being disclosed</w:t>
      </w:r>
      <w:r w:rsidR="00CE2F3F">
        <w:rPr>
          <w:rFonts w:ascii="Cambria" w:hAnsi="Cambria" w:cs="Arial"/>
        </w:rPr>
        <w:t>.</w:t>
      </w:r>
      <w:r w:rsidR="00CE2F3F">
        <w:rPr>
          <w:rStyle w:val="FootnoteReference"/>
          <w:rFonts w:ascii="Cambria" w:hAnsi="Cambria" w:cs="Arial"/>
        </w:rPr>
        <w:footnoteReference w:id="2"/>
      </w:r>
    </w:p>
    <w:p w14:paraId="7E8116A4" w14:textId="77777777" w:rsidR="00CE2F3F" w:rsidRDefault="00CE2F3F" w:rsidP="00AF3080">
      <w:pPr>
        <w:ind w:right="-347"/>
        <w:jc w:val="both"/>
        <w:rPr>
          <w:rFonts w:ascii="Cambria" w:hAnsi="Cambria" w:cs="Arial"/>
        </w:rPr>
      </w:pPr>
    </w:p>
    <w:p w14:paraId="0713F63B" w14:textId="77777777" w:rsidR="00CE2F3F" w:rsidRDefault="00CE2F3F" w:rsidP="00CE2F3F">
      <w:pPr>
        <w:ind w:right="-347"/>
        <w:jc w:val="both"/>
        <w:rPr>
          <w:rFonts w:ascii="Cambria" w:hAnsi="Cambria" w:cs="Arial"/>
        </w:rPr>
      </w:pPr>
      <w:r>
        <w:rPr>
          <w:rFonts w:ascii="Cambria" w:hAnsi="Cambria" w:cs="Arial"/>
        </w:rPr>
        <w:t xml:space="preserve">With Tasmania also failing to provide electoral funding of candidates and political parties, the legitimacy of the electoral process is dependent on the public being able to identify, in a timely fashion, the source of political donations. </w:t>
      </w:r>
    </w:p>
    <w:p w14:paraId="7A22204E" w14:textId="77777777" w:rsidR="00CE2F3F" w:rsidRDefault="00CE2F3F" w:rsidP="00CE2F3F">
      <w:pPr>
        <w:ind w:right="-347"/>
        <w:jc w:val="both"/>
        <w:rPr>
          <w:rFonts w:ascii="Cambria" w:hAnsi="Cambria" w:cs="Arial"/>
        </w:rPr>
      </w:pPr>
    </w:p>
    <w:p w14:paraId="79DBAAB0" w14:textId="71C1283A" w:rsidR="00CE2F3F" w:rsidRDefault="00CE2F3F" w:rsidP="00BF4715">
      <w:pPr>
        <w:ind w:right="-347"/>
        <w:jc w:val="both"/>
        <w:rPr>
          <w:rFonts w:ascii="Cambria" w:hAnsi="Cambria" w:cs="Arial"/>
        </w:rPr>
      </w:pPr>
      <w:r>
        <w:rPr>
          <w:rFonts w:ascii="Cambria" w:hAnsi="Cambria" w:cs="Arial"/>
        </w:rPr>
        <w:t xml:space="preserve">We therefore strongly recommend </w:t>
      </w:r>
      <w:r w:rsidR="00BE38C8">
        <w:rPr>
          <w:rFonts w:ascii="Cambria" w:hAnsi="Cambria" w:cs="Arial"/>
        </w:rPr>
        <w:t xml:space="preserve">the introduction of </w:t>
      </w:r>
      <w:r w:rsidR="00D66991">
        <w:rPr>
          <w:rFonts w:ascii="Cambria" w:hAnsi="Cambria" w:cs="Arial"/>
        </w:rPr>
        <w:t xml:space="preserve">best practice </w:t>
      </w:r>
      <w:r w:rsidR="00BE38C8">
        <w:rPr>
          <w:rFonts w:ascii="Cambria" w:hAnsi="Cambria" w:cs="Arial"/>
        </w:rPr>
        <w:t>disclosure laws</w:t>
      </w:r>
      <w:r w:rsidR="00D66991">
        <w:rPr>
          <w:rFonts w:ascii="Cambria" w:hAnsi="Cambria" w:cs="Arial"/>
        </w:rPr>
        <w:t xml:space="preserve"> in Tasmania</w:t>
      </w:r>
      <w:r w:rsidR="00BE38C8">
        <w:rPr>
          <w:rFonts w:ascii="Cambria" w:hAnsi="Cambria" w:cs="Arial"/>
        </w:rPr>
        <w:t>.</w:t>
      </w:r>
      <w:r w:rsidR="00687101">
        <w:rPr>
          <w:rFonts w:ascii="Cambria" w:hAnsi="Cambria" w:cs="Arial"/>
        </w:rPr>
        <w:t xml:space="preserve"> </w:t>
      </w:r>
      <w:bookmarkStart w:id="0" w:name="_GoBack"/>
      <w:bookmarkEnd w:id="0"/>
      <w:r>
        <w:rPr>
          <w:rFonts w:ascii="Cambria" w:hAnsi="Cambria" w:cs="Arial"/>
        </w:rPr>
        <w:t>These laws would include:</w:t>
      </w:r>
    </w:p>
    <w:p w14:paraId="01A8C4AC" w14:textId="77777777" w:rsidR="00CE2F3F" w:rsidRDefault="00CE2F3F" w:rsidP="00BF4715">
      <w:pPr>
        <w:ind w:right="-347"/>
        <w:jc w:val="both"/>
        <w:rPr>
          <w:rFonts w:ascii="Cambria" w:hAnsi="Cambria" w:cs="Arial"/>
        </w:rPr>
      </w:pPr>
    </w:p>
    <w:p w14:paraId="4FBC43BF" w14:textId="3F13A2FB" w:rsidR="008C70F8" w:rsidRPr="008C70F8" w:rsidRDefault="00D82562" w:rsidP="008C70F8">
      <w:pPr>
        <w:numPr>
          <w:ilvl w:val="0"/>
          <w:numId w:val="7"/>
        </w:numPr>
        <w:rPr>
          <w:rFonts w:ascii="Cambria" w:eastAsia="Times New Roman" w:hAnsi="Cambria" w:cs="Segoe UI"/>
          <w:color w:val="000000" w:themeColor="text1"/>
        </w:rPr>
      </w:pPr>
      <w:r w:rsidRPr="00D82562">
        <w:rPr>
          <w:rFonts w:ascii="Cambria" w:eastAsia="Times New Roman" w:hAnsi="Cambria" w:cs="Segoe UI"/>
          <w:bCs/>
          <w:color w:val="000000" w:themeColor="text1"/>
        </w:rPr>
        <w:t>A disclosure threshold</w:t>
      </w:r>
      <w:r w:rsidRPr="00BE38C8">
        <w:rPr>
          <w:rFonts w:ascii="Cambria" w:eastAsia="Times New Roman" w:hAnsi="Cambria" w:cs="Segoe UI"/>
          <w:bCs/>
          <w:color w:val="000000" w:themeColor="text1"/>
        </w:rPr>
        <w:t xml:space="preserve"> </w:t>
      </w:r>
      <w:r w:rsidRPr="00D82562">
        <w:rPr>
          <w:rFonts w:ascii="Cambria" w:eastAsia="Times New Roman" w:hAnsi="Cambria" w:cs="Segoe UI"/>
          <w:bCs/>
          <w:color w:val="000000" w:themeColor="text1"/>
        </w:rPr>
        <w:t xml:space="preserve">of $1,000 </w:t>
      </w:r>
      <w:r w:rsidRPr="00BE38C8">
        <w:rPr>
          <w:rFonts w:ascii="Cambria" w:eastAsia="Times New Roman" w:hAnsi="Cambria" w:cs="Segoe UI"/>
          <w:bCs/>
          <w:color w:val="000000" w:themeColor="text1"/>
        </w:rPr>
        <w:t xml:space="preserve">to be calculated cumulatively </w:t>
      </w:r>
      <w:r w:rsidRPr="00D82562">
        <w:rPr>
          <w:rFonts w:ascii="Cambria" w:eastAsia="Times New Roman" w:hAnsi="Cambria" w:cs="Segoe UI"/>
          <w:bCs/>
          <w:color w:val="000000" w:themeColor="text1"/>
        </w:rPr>
        <w:t>for both individuals and organisations</w:t>
      </w:r>
      <w:r w:rsidRPr="00BE38C8">
        <w:rPr>
          <w:rFonts w:ascii="Cambria" w:eastAsia="Times New Roman" w:hAnsi="Cambria" w:cs="Segoe UI"/>
          <w:bCs/>
          <w:color w:val="000000" w:themeColor="text1"/>
        </w:rPr>
        <w:t>;</w:t>
      </w:r>
      <w:r w:rsidRPr="00D82562">
        <w:rPr>
          <w:rFonts w:ascii="Cambria" w:eastAsia="Times New Roman" w:hAnsi="Cambria" w:cs="Segoe UI"/>
          <w:bCs/>
          <w:color w:val="000000" w:themeColor="text1"/>
        </w:rPr>
        <w:t xml:space="preserve"> and</w:t>
      </w:r>
    </w:p>
    <w:p w14:paraId="43CC72AA" w14:textId="6A37232B" w:rsidR="00CE2F3F" w:rsidRPr="008C70F8" w:rsidRDefault="00CE2F3F" w:rsidP="00CE2F3F">
      <w:pPr>
        <w:pStyle w:val="ListParagraph"/>
        <w:numPr>
          <w:ilvl w:val="0"/>
          <w:numId w:val="7"/>
        </w:numPr>
        <w:ind w:right="-347"/>
        <w:jc w:val="both"/>
        <w:rPr>
          <w:rFonts w:ascii="Cambria" w:hAnsi="Cambria" w:cs="Arial"/>
          <w:color w:val="000000" w:themeColor="text1"/>
        </w:rPr>
      </w:pPr>
      <w:r w:rsidRPr="00D82562">
        <w:rPr>
          <w:rFonts w:ascii="Cambria" w:eastAsia="Times New Roman" w:hAnsi="Cambria" w:cs="Segoe UI"/>
          <w:bCs/>
          <w:color w:val="000000" w:themeColor="text1"/>
        </w:rPr>
        <w:t xml:space="preserve">Disclosure of donations over $1,000 </w:t>
      </w:r>
      <w:r w:rsidR="00D82562" w:rsidRPr="00D82562">
        <w:rPr>
          <w:rFonts w:ascii="Cambria" w:eastAsia="Times New Roman" w:hAnsi="Cambria" w:cs="Segoe UI"/>
          <w:bCs/>
          <w:color w:val="000000" w:themeColor="text1"/>
        </w:rPr>
        <w:t>in ‘real-time’</w:t>
      </w:r>
      <w:r w:rsidRPr="00D82562">
        <w:rPr>
          <w:rFonts w:ascii="Cambria" w:eastAsia="Times New Roman" w:hAnsi="Cambria" w:cs="Segoe UI"/>
          <w:bCs/>
          <w:color w:val="000000" w:themeColor="text1"/>
        </w:rPr>
        <w:t xml:space="preserve"> to political parties, can</w:t>
      </w:r>
      <w:r w:rsidR="00D82562" w:rsidRPr="00D82562">
        <w:rPr>
          <w:rFonts w:ascii="Cambria" w:eastAsia="Times New Roman" w:hAnsi="Cambria" w:cs="Segoe UI"/>
          <w:bCs/>
          <w:color w:val="000000" w:themeColor="text1"/>
        </w:rPr>
        <w:t>d</w:t>
      </w:r>
      <w:r w:rsidR="008C70F8">
        <w:rPr>
          <w:rFonts w:ascii="Cambria" w:eastAsia="Times New Roman" w:hAnsi="Cambria" w:cs="Segoe UI"/>
          <w:bCs/>
          <w:color w:val="000000" w:themeColor="text1"/>
        </w:rPr>
        <w:t>idates and associated entities; and</w:t>
      </w:r>
    </w:p>
    <w:p w14:paraId="604D11F8" w14:textId="50B0B0DC" w:rsidR="008C70F8" w:rsidRPr="00BE38C8" w:rsidRDefault="008C70F8" w:rsidP="008C70F8">
      <w:pPr>
        <w:numPr>
          <w:ilvl w:val="0"/>
          <w:numId w:val="7"/>
        </w:numPr>
        <w:rPr>
          <w:rFonts w:ascii="Cambria" w:eastAsia="Times New Roman" w:hAnsi="Cambria" w:cs="Segoe UI"/>
          <w:color w:val="000000" w:themeColor="text1"/>
        </w:rPr>
      </w:pPr>
      <w:r w:rsidRPr="008C70F8">
        <w:rPr>
          <w:rFonts w:ascii="Cambria" w:eastAsia="Times New Roman" w:hAnsi="Cambria" w:cs="Segoe UI"/>
          <w:bCs/>
          <w:color w:val="000000" w:themeColor="text1"/>
        </w:rPr>
        <w:t>A donation cap of $3,000 per donor per parliamentary term.</w:t>
      </w:r>
    </w:p>
    <w:p w14:paraId="79359DB2" w14:textId="77777777" w:rsidR="00D82562" w:rsidRDefault="00D82562" w:rsidP="00D82562">
      <w:pPr>
        <w:ind w:right="-347"/>
        <w:jc w:val="both"/>
        <w:rPr>
          <w:rFonts w:ascii="Cambria" w:hAnsi="Cambria" w:cs="Arial"/>
          <w:color w:val="FF0000"/>
        </w:rPr>
      </w:pPr>
    </w:p>
    <w:p w14:paraId="03100656" w14:textId="57AD509F" w:rsidR="00596D61" w:rsidRDefault="00344110" w:rsidP="00D82562">
      <w:pPr>
        <w:ind w:right="-347"/>
        <w:jc w:val="both"/>
        <w:rPr>
          <w:rFonts w:ascii="Cambria" w:hAnsi="Cambria" w:cs="Arial"/>
          <w:color w:val="000000" w:themeColor="text1"/>
        </w:rPr>
      </w:pPr>
      <w:r>
        <w:rPr>
          <w:rFonts w:ascii="Cambria" w:hAnsi="Cambria" w:cs="Arial"/>
          <w:color w:val="000000" w:themeColor="text1"/>
        </w:rPr>
        <w:t>We also recommend</w:t>
      </w:r>
      <w:r w:rsidR="00D82562">
        <w:rPr>
          <w:rFonts w:ascii="Cambria" w:hAnsi="Cambria" w:cs="Arial"/>
          <w:color w:val="000000" w:themeColor="text1"/>
        </w:rPr>
        <w:t xml:space="preserve"> public funding of elections as is the case in every other jurisdict</w:t>
      </w:r>
      <w:r w:rsidR="008B7566">
        <w:rPr>
          <w:rFonts w:ascii="Cambria" w:hAnsi="Cambria" w:cs="Arial"/>
          <w:color w:val="000000" w:themeColor="text1"/>
        </w:rPr>
        <w:t xml:space="preserve">ion </w:t>
      </w:r>
      <w:r w:rsidR="001F0303">
        <w:rPr>
          <w:rFonts w:ascii="Cambria" w:hAnsi="Cambria" w:cs="Arial"/>
          <w:color w:val="000000" w:themeColor="text1"/>
        </w:rPr>
        <w:t>except</w:t>
      </w:r>
      <w:r w:rsidR="008B7566">
        <w:rPr>
          <w:rFonts w:ascii="Cambria" w:hAnsi="Cambria" w:cs="Arial"/>
          <w:color w:val="000000" w:themeColor="text1"/>
        </w:rPr>
        <w:t xml:space="preserve"> the Northern Territory. We believe that </w:t>
      </w:r>
      <w:r>
        <w:rPr>
          <w:rFonts w:ascii="Cambria" w:hAnsi="Cambria" w:cs="Arial"/>
          <w:color w:val="000000" w:themeColor="text1"/>
        </w:rPr>
        <w:t xml:space="preserve">public funding should be provided where a candidate receives more than 4 per cent of first preference votes </w:t>
      </w:r>
      <w:r w:rsidR="008B7566">
        <w:rPr>
          <w:rFonts w:ascii="Cambria" w:hAnsi="Cambria" w:cs="Arial"/>
          <w:color w:val="000000" w:themeColor="text1"/>
        </w:rPr>
        <w:t xml:space="preserve">which is the </w:t>
      </w:r>
      <w:r w:rsidR="00596D61">
        <w:rPr>
          <w:rFonts w:ascii="Cambria" w:hAnsi="Cambria" w:cs="Arial"/>
          <w:color w:val="000000" w:themeColor="text1"/>
        </w:rPr>
        <w:t xml:space="preserve">position of </w:t>
      </w:r>
      <w:r w:rsidR="008B7566">
        <w:rPr>
          <w:rFonts w:ascii="Cambria" w:hAnsi="Cambria" w:cs="Arial"/>
          <w:color w:val="000000" w:themeColor="text1"/>
        </w:rPr>
        <w:t xml:space="preserve">every jurisdiction except Queensland. We also believe that the 4 per cent public funding threshold should apply to </w:t>
      </w:r>
      <w:r w:rsidR="00596D61">
        <w:rPr>
          <w:rFonts w:ascii="Cambria" w:hAnsi="Cambria" w:cs="Arial"/>
          <w:color w:val="000000" w:themeColor="text1"/>
        </w:rPr>
        <w:t xml:space="preserve">candidates running for election in </w:t>
      </w:r>
      <w:r w:rsidR="008B7566">
        <w:rPr>
          <w:rFonts w:ascii="Cambria" w:hAnsi="Cambria" w:cs="Arial"/>
          <w:color w:val="000000" w:themeColor="text1"/>
        </w:rPr>
        <w:t>both the House of Assembly and Legislative Council.</w:t>
      </w:r>
      <w:r w:rsidR="00596D61">
        <w:rPr>
          <w:rFonts w:ascii="Cambria" w:hAnsi="Cambria" w:cs="Arial"/>
          <w:color w:val="000000" w:themeColor="text1"/>
        </w:rPr>
        <w:t xml:space="preserve"> Finally, we believe that the expenditure of public funds should be restricted to actual expenditure rather than votes received. </w:t>
      </w:r>
      <w:r w:rsidR="00202AC6">
        <w:rPr>
          <w:rFonts w:ascii="Cambria" w:hAnsi="Cambria" w:cs="Arial"/>
          <w:color w:val="000000" w:themeColor="text1"/>
        </w:rPr>
        <w:t>Capping public funding to funds</w:t>
      </w:r>
      <w:r w:rsidR="00596D61">
        <w:rPr>
          <w:rFonts w:ascii="Cambria" w:hAnsi="Cambria" w:cs="Arial"/>
          <w:color w:val="000000" w:themeColor="text1"/>
        </w:rPr>
        <w:t xml:space="preserve"> expended will act as a safeguard against high-profile candidates who may not</w:t>
      </w:r>
      <w:r w:rsidR="00202AC6">
        <w:rPr>
          <w:rFonts w:ascii="Cambria" w:hAnsi="Cambria" w:cs="Arial"/>
          <w:color w:val="000000" w:themeColor="text1"/>
        </w:rPr>
        <w:t xml:space="preserve"> </w:t>
      </w:r>
      <w:r w:rsidR="00596D61">
        <w:rPr>
          <w:rFonts w:ascii="Cambria" w:hAnsi="Cambria" w:cs="Arial"/>
          <w:color w:val="000000" w:themeColor="text1"/>
        </w:rPr>
        <w:t xml:space="preserve">want to get elected but see an opportunity to make a profit. </w:t>
      </w:r>
    </w:p>
    <w:p w14:paraId="15E5571A" w14:textId="77777777" w:rsidR="008813AD" w:rsidRDefault="008813AD" w:rsidP="00D82562">
      <w:pPr>
        <w:ind w:right="-347"/>
        <w:jc w:val="both"/>
        <w:rPr>
          <w:rFonts w:ascii="Cambria" w:hAnsi="Cambria" w:cs="Arial"/>
          <w:color w:val="000000" w:themeColor="text1"/>
        </w:rPr>
      </w:pPr>
    </w:p>
    <w:p w14:paraId="1A4B4A1A" w14:textId="1D6D8B16" w:rsidR="008813AD" w:rsidRPr="00FF5923" w:rsidRDefault="00FF5923" w:rsidP="00D82562">
      <w:pPr>
        <w:ind w:right="-347"/>
        <w:jc w:val="both"/>
        <w:rPr>
          <w:rFonts w:ascii="Cambria" w:hAnsi="Cambria" w:cs="Arial"/>
          <w:b/>
          <w:i/>
          <w:color w:val="000000" w:themeColor="text1"/>
        </w:rPr>
      </w:pPr>
      <w:r w:rsidRPr="00FF5923">
        <w:rPr>
          <w:rFonts w:ascii="Cambria" w:hAnsi="Cambria" w:cs="Arial"/>
          <w:b/>
          <w:i/>
          <w:color w:val="000000" w:themeColor="text1"/>
        </w:rPr>
        <w:t>Regulation of Third Parties</w:t>
      </w:r>
    </w:p>
    <w:p w14:paraId="58F46701" w14:textId="77777777" w:rsidR="00F25CF2" w:rsidRDefault="008E45EE" w:rsidP="00D82562">
      <w:pPr>
        <w:ind w:right="-347"/>
        <w:jc w:val="both"/>
        <w:rPr>
          <w:rFonts w:ascii="Cambria" w:hAnsi="Cambria" w:cs="Arial"/>
          <w:color w:val="000000" w:themeColor="text1"/>
        </w:rPr>
      </w:pPr>
      <w:r>
        <w:rPr>
          <w:rFonts w:ascii="Cambria" w:hAnsi="Cambria" w:cs="Arial"/>
          <w:color w:val="000000" w:themeColor="text1"/>
        </w:rPr>
        <w:t xml:space="preserve">A transparent donation process cannot be limited to political donations but must also include third parties including third party campaigners, associated entities and donors. </w:t>
      </w:r>
      <w:r w:rsidR="004531F9">
        <w:rPr>
          <w:rFonts w:ascii="Cambria" w:hAnsi="Cambria" w:cs="Arial"/>
          <w:color w:val="000000" w:themeColor="text1"/>
        </w:rPr>
        <w:t xml:space="preserve">We </w:t>
      </w:r>
      <w:r w:rsidR="00C72F10">
        <w:rPr>
          <w:rFonts w:ascii="Cambria" w:hAnsi="Cambria" w:cs="Arial"/>
          <w:color w:val="000000" w:themeColor="text1"/>
        </w:rPr>
        <w:t xml:space="preserve">therefore </w:t>
      </w:r>
      <w:r w:rsidR="004531F9">
        <w:rPr>
          <w:rFonts w:ascii="Cambria" w:hAnsi="Cambria" w:cs="Arial"/>
          <w:color w:val="000000" w:themeColor="text1"/>
        </w:rPr>
        <w:t xml:space="preserve">strongly support the adoption of a disclosure and registration regime for third parties. </w:t>
      </w:r>
    </w:p>
    <w:p w14:paraId="7FA35CB5" w14:textId="77777777" w:rsidR="00F25CF2" w:rsidRDefault="00F25CF2" w:rsidP="00D82562">
      <w:pPr>
        <w:ind w:right="-347"/>
        <w:jc w:val="both"/>
        <w:rPr>
          <w:rFonts w:ascii="Cambria" w:hAnsi="Cambria" w:cs="Arial"/>
          <w:color w:val="000000" w:themeColor="text1"/>
        </w:rPr>
      </w:pPr>
    </w:p>
    <w:p w14:paraId="288A7377" w14:textId="69E4BF27" w:rsidR="00F25CF2" w:rsidRDefault="004531F9" w:rsidP="00D82562">
      <w:pPr>
        <w:ind w:right="-347"/>
        <w:jc w:val="both"/>
        <w:rPr>
          <w:rFonts w:ascii="Cambria" w:hAnsi="Cambria" w:cs="Arial"/>
          <w:color w:val="000000" w:themeColor="text1"/>
        </w:rPr>
      </w:pPr>
      <w:r>
        <w:rPr>
          <w:rFonts w:ascii="Cambria" w:hAnsi="Cambria" w:cs="Arial"/>
          <w:color w:val="000000" w:themeColor="text1"/>
        </w:rPr>
        <w:t xml:space="preserve">A useful model that should be considered is New South Wales where third parties must register prior to making electoral expenditure during an election. The advantages of registration include the ability of the </w:t>
      </w:r>
      <w:r w:rsidR="007B1407">
        <w:rPr>
          <w:rFonts w:ascii="Cambria" w:hAnsi="Cambria" w:cs="Arial"/>
          <w:color w:val="000000" w:themeColor="text1"/>
        </w:rPr>
        <w:t xml:space="preserve">Tasmanian </w:t>
      </w:r>
      <w:r>
        <w:rPr>
          <w:rFonts w:ascii="Cambria" w:hAnsi="Cambria" w:cs="Arial"/>
          <w:color w:val="000000" w:themeColor="text1"/>
        </w:rPr>
        <w:t>Electoral Commission to regulate and provides a level of transparency with the public aware of the third parties actively campaigning.</w:t>
      </w:r>
      <w:r w:rsidR="00FE0059">
        <w:rPr>
          <w:rFonts w:ascii="Cambria" w:hAnsi="Cambria" w:cs="Arial"/>
          <w:color w:val="000000" w:themeColor="text1"/>
        </w:rPr>
        <w:t xml:space="preserve"> </w:t>
      </w:r>
      <w:r>
        <w:rPr>
          <w:rFonts w:ascii="Cambria" w:hAnsi="Cambria" w:cs="Arial"/>
          <w:color w:val="000000" w:themeColor="text1"/>
        </w:rPr>
        <w:t xml:space="preserve"> </w:t>
      </w:r>
    </w:p>
    <w:p w14:paraId="596BDD7F" w14:textId="77777777" w:rsidR="00F25CF2" w:rsidRDefault="00F25CF2" w:rsidP="00D82562">
      <w:pPr>
        <w:ind w:right="-347"/>
        <w:jc w:val="both"/>
        <w:rPr>
          <w:rFonts w:ascii="Cambria" w:hAnsi="Cambria" w:cs="Arial"/>
          <w:color w:val="000000" w:themeColor="text1"/>
        </w:rPr>
      </w:pPr>
    </w:p>
    <w:p w14:paraId="5A6B68B5" w14:textId="4C1F315E" w:rsidR="00DB7C35" w:rsidRDefault="00F25CF2" w:rsidP="00F25CF2">
      <w:pPr>
        <w:ind w:right="-347"/>
        <w:jc w:val="both"/>
        <w:rPr>
          <w:rFonts w:ascii="Cambria" w:hAnsi="Cambria" w:cs="Arial"/>
          <w:color w:val="000000" w:themeColor="text1"/>
        </w:rPr>
      </w:pPr>
      <w:r>
        <w:rPr>
          <w:rFonts w:ascii="Cambria" w:hAnsi="Cambria" w:cs="Arial"/>
          <w:color w:val="000000" w:themeColor="text1"/>
        </w:rPr>
        <w:t xml:space="preserve">We also support the capping of electoral expenditure by third parties. In the recent decision of </w:t>
      </w:r>
      <w:r w:rsidR="00742F76" w:rsidRPr="00F25CF2">
        <w:rPr>
          <w:rFonts w:ascii="Cambria" w:hAnsi="Cambria" w:cs="Arial"/>
          <w:i/>
          <w:color w:val="000000" w:themeColor="text1"/>
        </w:rPr>
        <w:t>Unions NSW v New South Wales</w:t>
      </w:r>
      <w:r w:rsidR="00783610">
        <w:rPr>
          <w:rStyle w:val="FootnoteReference"/>
          <w:rFonts w:ascii="Cambria" w:hAnsi="Cambria" w:cs="Arial"/>
          <w:color w:val="000000" w:themeColor="text1"/>
        </w:rPr>
        <w:footnoteReference w:id="3"/>
      </w:r>
      <w:r w:rsidR="00742F76">
        <w:rPr>
          <w:rFonts w:ascii="Cambria" w:hAnsi="Cambria" w:cs="Arial"/>
          <w:color w:val="000000" w:themeColor="text1"/>
        </w:rPr>
        <w:t xml:space="preserve"> </w:t>
      </w:r>
      <w:r w:rsidR="000B4991">
        <w:rPr>
          <w:rFonts w:ascii="Cambria" w:hAnsi="Cambria" w:cs="Arial"/>
          <w:color w:val="000000" w:themeColor="text1"/>
        </w:rPr>
        <w:t>the High Court held that a NSW law which capped electoral spending by third party campaigners at $500,000 impinged on the implied freedom of pol</w:t>
      </w:r>
      <w:r>
        <w:rPr>
          <w:rFonts w:ascii="Cambria" w:hAnsi="Cambria" w:cs="Arial"/>
          <w:color w:val="000000" w:themeColor="text1"/>
        </w:rPr>
        <w:t>itical communication. Nevertheless, t</w:t>
      </w:r>
      <w:r w:rsidR="000B4991">
        <w:rPr>
          <w:rFonts w:ascii="Cambria" w:hAnsi="Cambria" w:cs="Arial"/>
          <w:color w:val="000000" w:themeColor="text1"/>
        </w:rPr>
        <w:t>he majority</w:t>
      </w:r>
      <w:r w:rsidR="00742F76">
        <w:rPr>
          <w:rFonts w:ascii="Cambria" w:hAnsi="Cambria" w:cs="Arial"/>
          <w:color w:val="000000" w:themeColor="text1"/>
        </w:rPr>
        <w:t xml:space="preserve"> found that </w:t>
      </w:r>
      <w:r w:rsidR="000708F1">
        <w:rPr>
          <w:rFonts w:ascii="Cambria" w:hAnsi="Cambria" w:cs="Arial"/>
          <w:color w:val="000000" w:themeColor="text1"/>
        </w:rPr>
        <w:t xml:space="preserve">Parliament could legislate to cap </w:t>
      </w:r>
      <w:r>
        <w:rPr>
          <w:rFonts w:ascii="Cambria" w:hAnsi="Cambria" w:cs="Arial"/>
          <w:color w:val="000000" w:themeColor="text1"/>
        </w:rPr>
        <w:t xml:space="preserve">expenditure </w:t>
      </w:r>
      <w:r w:rsidR="000708F1">
        <w:rPr>
          <w:rFonts w:ascii="Cambria" w:hAnsi="Cambria" w:cs="Arial"/>
          <w:color w:val="000000" w:themeColor="text1"/>
        </w:rPr>
        <w:t xml:space="preserve">by third party campaigners </w:t>
      </w:r>
      <w:r w:rsidR="00742F76">
        <w:rPr>
          <w:rFonts w:ascii="Cambria" w:hAnsi="Cambria" w:cs="Arial"/>
          <w:color w:val="000000" w:themeColor="text1"/>
        </w:rPr>
        <w:t>but that th</w:t>
      </w:r>
      <w:r w:rsidR="00246C1C">
        <w:rPr>
          <w:rFonts w:ascii="Cambria" w:hAnsi="Cambria" w:cs="Arial"/>
          <w:color w:val="000000" w:themeColor="text1"/>
        </w:rPr>
        <w:t xml:space="preserve">e onus was on the Government to </w:t>
      </w:r>
      <w:r w:rsidR="00742F76">
        <w:rPr>
          <w:rFonts w:ascii="Cambria" w:hAnsi="Cambria" w:cs="Arial"/>
          <w:color w:val="000000" w:themeColor="text1"/>
        </w:rPr>
        <w:t>demonstrate that the amount was set at a level reasonably necessary to achieve a legitimate purpose</w:t>
      </w:r>
      <w:r w:rsidR="00DB7C35">
        <w:rPr>
          <w:rFonts w:ascii="Cambria" w:hAnsi="Cambria" w:cs="Arial"/>
          <w:color w:val="000000" w:themeColor="text1"/>
        </w:rPr>
        <w:t>:</w:t>
      </w:r>
      <w:r w:rsidR="00742F76">
        <w:rPr>
          <w:rStyle w:val="FootnoteReference"/>
          <w:rFonts w:ascii="Cambria" w:hAnsi="Cambria" w:cs="Arial"/>
          <w:color w:val="000000" w:themeColor="text1"/>
        </w:rPr>
        <w:footnoteReference w:id="4"/>
      </w:r>
    </w:p>
    <w:p w14:paraId="01E4B36F" w14:textId="77777777" w:rsidR="00F25CF2" w:rsidRDefault="00F25CF2" w:rsidP="00F25CF2">
      <w:pPr>
        <w:ind w:right="-347"/>
        <w:jc w:val="both"/>
        <w:rPr>
          <w:rFonts w:ascii="Cambria" w:hAnsi="Cambria" w:cs="Arial"/>
          <w:color w:val="000000" w:themeColor="text1"/>
        </w:rPr>
      </w:pPr>
    </w:p>
    <w:p w14:paraId="033C4B6D" w14:textId="5FC5B612" w:rsidR="00F25CF2" w:rsidRPr="00A72A45" w:rsidRDefault="00F25CF2" w:rsidP="000708F1">
      <w:pPr>
        <w:ind w:left="720" w:right="283"/>
        <w:jc w:val="both"/>
        <w:rPr>
          <w:rFonts w:ascii="Cambria" w:hAnsi="Cambria" w:cs="Arial"/>
          <w:color w:val="000000" w:themeColor="text1"/>
          <w:sz w:val="22"/>
          <w:szCs w:val="22"/>
        </w:rPr>
      </w:pPr>
      <w:r w:rsidRPr="00A72A45">
        <w:rPr>
          <w:rFonts w:ascii="Cambria" w:eastAsia="Times New Roman" w:hAnsi="Cambria"/>
          <w:color w:val="000000" w:themeColor="text1"/>
          <w:sz w:val="22"/>
          <w:szCs w:val="22"/>
        </w:rPr>
        <w:t>It must of course be accepted that Parliament does not generally need to provide evidence to prove the basis for legislation which it enacts. However, its position in respect of legislation which burdens the implied freedom is otherwise.</w:t>
      </w:r>
      <w:r w:rsidRPr="00A72A45">
        <w:rPr>
          <w:rStyle w:val="apple-converted-space"/>
          <w:rFonts w:ascii="Cambria" w:eastAsia="Times New Roman" w:hAnsi="Cambria"/>
          <w:color w:val="000000" w:themeColor="text1"/>
          <w:sz w:val="22"/>
          <w:szCs w:val="22"/>
        </w:rPr>
        <w:t> </w:t>
      </w:r>
      <w:r w:rsidR="00DB7C35" w:rsidRPr="00A72A45">
        <w:rPr>
          <w:rStyle w:val="apple-converted-space"/>
          <w:rFonts w:ascii="Cambria" w:eastAsia="Times New Roman" w:hAnsi="Cambria"/>
          <w:color w:val="000000" w:themeColor="text1"/>
          <w:sz w:val="22"/>
          <w:szCs w:val="22"/>
        </w:rPr>
        <w:t xml:space="preserve"> </w:t>
      </w:r>
      <w:r w:rsidRPr="00A72A45">
        <w:rPr>
          <w:rFonts w:ascii="Cambria" w:eastAsia="Times New Roman" w:hAnsi="Cambria"/>
          <w:i/>
          <w:iCs/>
          <w:color w:val="000000" w:themeColor="text1"/>
          <w:sz w:val="22"/>
          <w:szCs w:val="22"/>
        </w:rPr>
        <w:t>Lange</w:t>
      </w:r>
      <w:r w:rsidRPr="00A72A45">
        <w:rPr>
          <w:rStyle w:val="apple-converted-space"/>
          <w:rFonts w:ascii="Cambria" w:eastAsia="Times New Roman" w:hAnsi="Cambria"/>
          <w:color w:val="000000" w:themeColor="text1"/>
          <w:sz w:val="22"/>
          <w:szCs w:val="22"/>
        </w:rPr>
        <w:t> </w:t>
      </w:r>
      <w:r w:rsidRPr="00A72A45">
        <w:rPr>
          <w:rFonts w:ascii="Cambria" w:eastAsia="Times New Roman" w:hAnsi="Cambria"/>
          <w:color w:val="000000" w:themeColor="text1"/>
          <w:sz w:val="22"/>
          <w:szCs w:val="22"/>
        </w:rPr>
        <w:t>requires that any effective burden be justified. As the Commonwealth conceded in argument, the Parliament may have choices but they have to be justifiable choices where the implied freedom is concerned.</w:t>
      </w:r>
    </w:p>
    <w:p w14:paraId="12A34668" w14:textId="6B8789DA" w:rsidR="00FE7EBC" w:rsidRDefault="00F25CF2" w:rsidP="00D82562">
      <w:pPr>
        <w:ind w:right="-347"/>
        <w:jc w:val="both"/>
        <w:rPr>
          <w:rFonts w:ascii="Cambria" w:hAnsi="Cambria" w:cs="Arial"/>
          <w:color w:val="000000" w:themeColor="text1"/>
        </w:rPr>
      </w:pPr>
      <w:r>
        <w:rPr>
          <w:rFonts w:ascii="Cambria" w:hAnsi="Cambria" w:cs="Arial"/>
          <w:color w:val="000000" w:themeColor="text1"/>
        </w:rPr>
        <w:t xml:space="preserve"> </w:t>
      </w:r>
      <w:r w:rsidR="00742F76">
        <w:rPr>
          <w:rFonts w:ascii="Cambria" w:hAnsi="Cambria" w:cs="Arial"/>
          <w:color w:val="000000" w:themeColor="text1"/>
        </w:rPr>
        <w:t xml:space="preserve"> </w:t>
      </w:r>
      <w:r w:rsidR="000B4991">
        <w:rPr>
          <w:rFonts w:ascii="Cambria" w:hAnsi="Cambria" w:cs="Arial"/>
          <w:color w:val="000000" w:themeColor="text1"/>
        </w:rPr>
        <w:t xml:space="preserve">   </w:t>
      </w:r>
    </w:p>
    <w:p w14:paraId="63B5C441" w14:textId="3880F5BA" w:rsidR="00246C1C" w:rsidRPr="00246C1C" w:rsidRDefault="00246C1C" w:rsidP="00D82562">
      <w:pPr>
        <w:ind w:right="-347"/>
        <w:jc w:val="both"/>
        <w:rPr>
          <w:rFonts w:ascii="Cambria" w:hAnsi="Cambria" w:cs="Arial"/>
          <w:color w:val="000000" w:themeColor="text1"/>
        </w:rPr>
      </w:pPr>
      <w:r>
        <w:rPr>
          <w:rFonts w:ascii="Cambria" w:hAnsi="Cambria" w:cs="Arial"/>
          <w:color w:val="000000" w:themeColor="text1"/>
        </w:rPr>
        <w:t xml:space="preserve">Whilst we support the capping of electoral expenditure by third parties we do not have a firm view on where the cap should be set. One option to progress this issue could be the establishment of a government inquiry which would be tasked with determining the appropriate cap. A government inquiry would also have the advantage of potentially providing the justification which the High Court noted above. </w:t>
      </w:r>
    </w:p>
    <w:p w14:paraId="4F36DB09" w14:textId="77777777" w:rsidR="00246C1C" w:rsidRDefault="00246C1C" w:rsidP="00D82562">
      <w:pPr>
        <w:ind w:right="-347"/>
        <w:jc w:val="both"/>
        <w:rPr>
          <w:rFonts w:ascii="Cambria" w:hAnsi="Cambria" w:cs="Arial"/>
          <w:b/>
          <w:color w:val="000000" w:themeColor="text1"/>
        </w:rPr>
      </w:pPr>
    </w:p>
    <w:p w14:paraId="01E72F5B" w14:textId="45A03033" w:rsidR="008C70F8" w:rsidRPr="001230EE" w:rsidRDefault="001230EE" w:rsidP="00D82562">
      <w:pPr>
        <w:ind w:right="-347"/>
        <w:jc w:val="both"/>
        <w:rPr>
          <w:rFonts w:ascii="Cambria" w:hAnsi="Cambria" w:cs="Arial"/>
          <w:b/>
          <w:color w:val="000000" w:themeColor="text1"/>
        </w:rPr>
      </w:pPr>
      <w:r w:rsidRPr="001230EE">
        <w:rPr>
          <w:rFonts w:ascii="Cambria" w:hAnsi="Cambria" w:cs="Arial"/>
          <w:b/>
          <w:color w:val="000000" w:themeColor="text1"/>
        </w:rPr>
        <w:t>Prohibited Donations</w:t>
      </w:r>
    </w:p>
    <w:p w14:paraId="6F2A6388" w14:textId="04E02753" w:rsidR="00202AC6" w:rsidRDefault="001230EE" w:rsidP="00D82562">
      <w:pPr>
        <w:ind w:right="-347"/>
        <w:jc w:val="both"/>
        <w:rPr>
          <w:rFonts w:ascii="Cambria" w:hAnsi="Cambria" w:cs="Arial"/>
          <w:color w:val="000000" w:themeColor="text1"/>
        </w:rPr>
      </w:pPr>
      <w:r>
        <w:rPr>
          <w:rFonts w:ascii="Cambria" w:hAnsi="Cambria" w:cs="Arial"/>
          <w:color w:val="000000" w:themeColor="text1"/>
        </w:rPr>
        <w:t>Finally, we strongly believe that Tasmania should adopt similar legislation to NSW where donations to political parties from property developers, tobacco businesses, liquor and gambling businesses or the</w:t>
      </w:r>
      <w:r w:rsidR="007B1407">
        <w:rPr>
          <w:rFonts w:ascii="Cambria" w:hAnsi="Cambria" w:cs="Arial"/>
          <w:color w:val="000000" w:themeColor="text1"/>
        </w:rPr>
        <w:t xml:space="preserve">ir close associates are banned. </w:t>
      </w:r>
      <w:r>
        <w:rPr>
          <w:rFonts w:ascii="Cambria" w:hAnsi="Cambria" w:cs="Arial"/>
          <w:color w:val="000000" w:themeColor="text1"/>
        </w:rPr>
        <w:t xml:space="preserve">We also support the prohibition of donations from foreign interests as was recently enacted in the </w:t>
      </w:r>
      <w:r w:rsidRPr="001230EE">
        <w:rPr>
          <w:rFonts w:ascii="Cambria" w:hAnsi="Cambria" w:cs="Arial"/>
          <w:i/>
          <w:color w:val="000000" w:themeColor="text1"/>
        </w:rPr>
        <w:t>Commonwealth Electoral Act 1918</w:t>
      </w:r>
      <w:r>
        <w:rPr>
          <w:rFonts w:ascii="Cambria" w:hAnsi="Cambria" w:cs="Arial"/>
          <w:color w:val="000000" w:themeColor="text1"/>
        </w:rPr>
        <w:t xml:space="preserve">.   </w:t>
      </w:r>
    </w:p>
    <w:p w14:paraId="6DF0A3E5" w14:textId="77777777" w:rsidR="00CE2F3F" w:rsidRDefault="00CE2F3F" w:rsidP="00BF4715">
      <w:pPr>
        <w:ind w:right="-347"/>
        <w:jc w:val="both"/>
        <w:rPr>
          <w:rFonts w:ascii="Cambria" w:eastAsia="Times New Roman" w:hAnsi="Cambria" w:cs="Segoe UI"/>
          <w:bCs/>
          <w:color w:val="212121"/>
        </w:rPr>
      </w:pPr>
    </w:p>
    <w:p w14:paraId="541A1018" w14:textId="06E85C1D" w:rsidR="001230EE" w:rsidRPr="001230EE" w:rsidRDefault="001230EE" w:rsidP="00BF4715">
      <w:pPr>
        <w:ind w:right="-347"/>
        <w:jc w:val="both"/>
        <w:rPr>
          <w:rFonts w:ascii="Cambria" w:hAnsi="Cambria" w:cs="Arial"/>
          <w:b/>
        </w:rPr>
      </w:pPr>
      <w:r w:rsidRPr="001230EE">
        <w:rPr>
          <w:rFonts w:ascii="Cambria" w:eastAsia="Times New Roman" w:hAnsi="Cambria" w:cs="Segoe UI"/>
          <w:b/>
          <w:bCs/>
          <w:color w:val="212121"/>
        </w:rPr>
        <w:t>Summary</w:t>
      </w:r>
    </w:p>
    <w:p w14:paraId="7DB5AB6E" w14:textId="192C6C28" w:rsidR="00BE38C8" w:rsidRDefault="00402A9C" w:rsidP="00DE49FB">
      <w:pPr>
        <w:ind w:right="-347"/>
        <w:jc w:val="both"/>
        <w:rPr>
          <w:rFonts w:ascii="Cambria" w:hAnsi="Cambria" w:cs="Arial"/>
        </w:rPr>
      </w:pPr>
      <w:r>
        <w:rPr>
          <w:rFonts w:ascii="Cambria" w:hAnsi="Cambria" w:cs="Arial"/>
        </w:rPr>
        <w:t xml:space="preserve">In </w:t>
      </w:r>
      <w:r w:rsidR="001230EE">
        <w:rPr>
          <w:rFonts w:ascii="Cambria" w:hAnsi="Cambria" w:cs="Arial"/>
        </w:rPr>
        <w:t>summary</w:t>
      </w:r>
      <w:r>
        <w:rPr>
          <w:rFonts w:ascii="Cambria" w:hAnsi="Cambria" w:cs="Arial"/>
        </w:rPr>
        <w:t xml:space="preserve">, </w:t>
      </w:r>
      <w:r w:rsidR="001230EE">
        <w:rPr>
          <w:rFonts w:ascii="Cambria" w:hAnsi="Cambria" w:cs="Arial"/>
        </w:rPr>
        <w:t xml:space="preserve">we strongly support the introduction of a best practice </w:t>
      </w:r>
      <w:r>
        <w:rPr>
          <w:rFonts w:ascii="Cambria" w:hAnsi="Cambria" w:cs="Arial"/>
        </w:rPr>
        <w:t>campaign disclosure</w:t>
      </w:r>
      <w:r w:rsidR="00CE6C67">
        <w:rPr>
          <w:rFonts w:ascii="Cambria" w:hAnsi="Cambria" w:cs="Arial"/>
        </w:rPr>
        <w:t xml:space="preserve"> framework. </w:t>
      </w:r>
      <w:r w:rsidR="001230EE">
        <w:rPr>
          <w:rFonts w:ascii="Cambria" w:hAnsi="Cambria" w:cs="Arial"/>
        </w:rPr>
        <w:t xml:space="preserve">The adoption of best practice </w:t>
      </w:r>
      <w:r w:rsidR="00CE6C67">
        <w:rPr>
          <w:rFonts w:ascii="Cambria" w:hAnsi="Cambria" w:cs="Arial"/>
        </w:rPr>
        <w:t>will ensure the</w:t>
      </w:r>
      <w:r w:rsidR="001230EE">
        <w:rPr>
          <w:rFonts w:ascii="Cambria" w:hAnsi="Cambria" w:cs="Arial"/>
        </w:rPr>
        <w:t xml:space="preserve"> legitimacy and integrity of our</w:t>
      </w:r>
      <w:r w:rsidR="00CE6C67">
        <w:rPr>
          <w:rFonts w:ascii="Cambria" w:hAnsi="Cambria" w:cs="Arial"/>
        </w:rPr>
        <w:t xml:space="preserve"> electoral process</w:t>
      </w:r>
      <w:r w:rsidR="001230EE">
        <w:rPr>
          <w:rFonts w:ascii="Cambria" w:hAnsi="Cambria" w:cs="Arial"/>
        </w:rPr>
        <w:t>es</w:t>
      </w:r>
      <w:r w:rsidR="00CE6C67">
        <w:rPr>
          <w:rFonts w:ascii="Cambria" w:hAnsi="Cambria" w:cs="Arial"/>
        </w:rPr>
        <w:t xml:space="preserve"> and strengthen our democratic institutions. </w:t>
      </w:r>
    </w:p>
    <w:p w14:paraId="3D7EA2CE" w14:textId="77777777" w:rsidR="00BE38C8" w:rsidRPr="00DE49FB" w:rsidRDefault="00BE38C8" w:rsidP="00DE49FB">
      <w:pPr>
        <w:ind w:right="-347"/>
        <w:jc w:val="both"/>
        <w:rPr>
          <w:rFonts w:ascii="Cambria" w:hAnsi="Cambria" w:cs="Arial"/>
        </w:rPr>
      </w:pPr>
    </w:p>
    <w:p w14:paraId="5E03F4C3" w14:textId="77777777" w:rsidR="00DE49FB" w:rsidRPr="00DE49FB" w:rsidRDefault="00DE49FB" w:rsidP="00DE49FB">
      <w:pPr>
        <w:ind w:right="-347"/>
        <w:jc w:val="both"/>
        <w:rPr>
          <w:rFonts w:ascii="Cambria" w:hAnsi="Cambria" w:cs="Arial"/>
        </w:rPr>
      </w:pPr>
      <w:r w:rsidRPr="00DE49FB">
        <w:rPr>
          <w:rFonts w:ascii="Cambria" w:eastAsia="Times New Roman" w:hAnsi="Cambria"/>
          <w:bCs/>
          <w:color w:val="000000" w:themeColor="text1"/>
        </w:rPr>
        <w:t>If we can be of any further assistance, please do not hesitate to contact us.</w:t>
      </w:r>
    </w:p>
    <w:p w14:paraId="58D1D074" w14:textId="77777777" w:rsidR="00DE49FB" w:rsidRPr="00DE49FB" w:rsidRDefault="00DE49FB" w:rsidP="00DE49FB">
      <w:pPr>
        <w:shd w:val="clear" w:color="auto" w:fill="FFFFFF"/>
        <w:ind w:right="-347"/>
        <w:jc w:val="both"/>
        <w:rPr>
          <w:rFonts w:ascii="Cambria" w:eastAsia="Times New Roman" w:hAnsi="Cambria"/>
          <w:bCs/>
          <w:color w:val="000000" w:themeColor="text1"/>
        </w:rPr>
      </w:pPr>
    </w:p>
    <w:p w14:paraId="0436D666" w14:textId="77777777" w:rsidR="00DE49FB" w:rsidRPr="00DE49FB" w:rsidRDefault="00DE49FB" w:rsidP="00DE49FB">
      <w:pPr>
        <w:shd w:val="clear" w:color="auto" w:fill="FFFFFF"/>
        <w:ind w:right="-347"/>
        <w:jc w:val="both"/>
        <w:rPr>
          <w:rFonts w:ascii="Cambria" w:eastAsia="Times New Roman" w:hAnsi="Cambria"/>
          <w:bCs/>
          <w:color w:val="000000" w:themeColor="text1"/>
        </w:rPr>
      </w:pPr>
    </w:p>
    <w:p w14:paraId="46CBBBE1" w14:textId="77777777" w:rsidR="00DE49FB" w:rsidRPr="00DE49FB" w:rsidRDefault="00DE49FB" w:rsidP="00DE49FB">
      <w:pPr>
        <w:shd w:val="clear" w:color="auto" w:fill="FFFFFF"/>
        <w:ind w:right="-347"/>
        <w:jc w:val="both"/>
        <w:rPr>
          <w:rFonts w:ascii="Cambria" w:eastAsia="Times New Roman" w:hAnsi="Cambria"/>
          <w:bCs/>
          <w:color w:val="000000" w:themeColor="text1"/>
        </w:rPr>
      </w:pPr>
      <w:r w:rsidRPr="00DE49FB">
        <w:rPr>
          <w:rFonts w:ascii="Cambria" w:eastAsia="Times New Roman" w:hAnsi="Cambria"/>
          <w:bCs/>
          <w:color w:val="000000" w:themeColor="text1"/>
        </w:rPr>
        <w:t>Yours faithfully,</w:t>
      </w:r>
    </w:p>
    <w:p w14:paraId="10F382C1" w14:textId="77777777" w:rsidR="00DE49FB" w:rsidRPr="00DE49FB" w:rsidRDefault="00DE49FB" w:rsidP="00DE49FB">
      <w:pPr>
        <w:shd w:val="clear" w:color="auto" w:fill="FFFFFF"/>
        <w:ind w:right="-347"/>
        <w:jc w:val="both"/>
        <w:rPr>
          <w:rFonts w:ascii="Cambria" w:eastAsia="Times New Roman" w:hAnsi="Cambria"/>
          <w:bCs/>
          <w:color w:val="000000" w:themeColor="text1"/>
        </w:rPr>
      </w:pPr>
    </w:p>
    <w:p w14:paraId="68EBDBAF" w14:textId="77777777" w:rsidR="00DE49FB" w:rsidRPr="00DE49FB" w:rsidRDefault="00DE49FB" w:rsidP="00DE49FB">
      <w:pPr>
        <w:shd w:val="clear" w:color="auto" w:fill="FFFFFF"/>
        <w:ind w:right="-347"/>
        <w:jc w:val="both"/>
        <w:rPr>
          <w:rFonts w:ascii="Cambria" w:eastAsia="Times New Roman" w:hAnsi="Cambria"/>
          <w:bCs/>
          <w:color w:val="000000" w:themeColor="text1"/>
        </w:rPr>
      </w:pPr>
    </w:p>
    <w:p w14:paraId="3B57C3E8" w14:textId="77777777" w:rsidR="00DE49FB" w:rsidRPr="00DE49FB" w:rsidRDefault="00DE49FB" w:rsidP="00DE49FB">
      <w:pPr>
        <w:shd w:val="clear" w:color="auto" w:fill="FFFFFF"/>
        <w:ind w:right="-347"/>
        <w:jc w:val="both"/>
        <w:rPr>
          <w:rFonts w:ascii="Cambria" w:eastAsia="Times New Roman" w:hAnsi="Cambria"/>
          <w:bCs/>
          <w:color w:val="000000" w:themeColor="text1"/>
        </w:rPr>
      </w:pPr>
    </w:p>
    <w:p w14:paraId="3103745F" w14:textId="77777777" w:rsidR="00DE49FB" w:rsidRPr="00DE49FB" w:rsidRDefault="00DE49FB" w:rsidP="00DE49FB">
      <w:pPr>
        <w:shd w:val="clear" w:color="auto" w:fill="FFFFFF"/>
        <w:ind w:right="-347"/>
        <w:jc w:val="both"/>
        <w:rPr>
          <w:rFonts w:ascii="Cambria" w:eastAsia="Times New Roman" w:hAnsi="Cambria"/>
          <w:bCs/>
          <w:color w:val="000000" w:themeColor="text1"/>
        </w:rPr>
      </w:pPr>
      <w:r w:rsidRPr="00DE49FB">
        <w:rPr>
          <w:rFonts w:ascii="Cambria" w:eastAsia="Times New Roman" w:hAnsi="Cambria"/>
          <w:bCs/>
          <w:color w:val="000000" w:themeColor="text1"/>
        </w:rPr>
        <w:t>Benedict Bartl</w:t>
      </w:r>
    </w:p>
    <w:p w14:paraId="6C943939" w14:textId="77777777" w:rsidR="00DE49FB" w:rsidRPr="00DE49FB" w:rsidRDefault="00DE49FB" w:rsidP="00DE49FB">
      <w:pPr>
        <w:shd w:val="clear" w:color="auto" w:fill="FFFFFF"/>
        <w:ind w:right="-347"/>
        <w:jc w:val="both"/>
        <w:rPr>
          <w:rFonts w:ascii="Cambria" w:eastAsia="Times New Roman" w:hAnsi="Cambria"/>
          <w:bCs/>
          <w:color w:val="000000" w:themeColor="text1"/>
        </w:rPr>
      </w:pPr>
      <w:r w:rsidRPr="00DE49FB">
        <w:rPr>
          <w:rFonts w:ascii="Cambria" w:eastAsia="Times New Roman" w:hAnsi="Cambria"/>
          <w:bCs/>
          <w:color w:val="000000" w:themeColor="text1"/>
        </w:rPr>
        <w:t>Policy Officer</w:t>
      </w:r>
    </w:p>
    <w:p w14:paraId="0D64424F" w14:textId="77777777" w:rsidR="00DE49FB" w:rsidRPr="00DE49FB" w:rsidRDefault="00DE49FB" w:rsidP="00DE49FB">
      <w:pPr>
        <w:pBdr>
          <w:bottom w:val="single" w:sz="6" w:space="1" w:color="auto"/>
        </w:pBdr>
        <w:shd w:val="clear" w:color="auto" w:fill="FFFFFF"/>
        <w:ind w:right="-347"/>
        <w:jc w:val="both"/>
        <w:rPr>
          <w:rFonts w:ascii="Cambria" w:eastAsia="Times New Roman" w:hAnsi="Cambria"/>
          <w:b/>
          <w:bCs/>
          <w:color w:val="000000" w:themeColor="text1"/>
        </w:rPr>
      </w:pPr>
      <w:r w:rsidRPr="00DE49FB">
        <w:rPr>
          <w:rFonts w:ascii="Cambria" w:eastAsia="Times New Roman" w:hAnsi="Cambria"/>
          <w:b/>
          <w:bCs/>
          <w:color w:val="000000" w:themeColor="text1"/>
        </w:rPr>
        <w:t>Community Legal Centres Tasmania</w:t>
      </w:r>
    </w:p>
    <w:p w14:paraId="5A509B40" w14:textId="77777777" w:rsidR="00DE49FB" w:rsidRDefault="00DE49FB" w:rsidP="00DE49FB">
      <w:pPr>
        <w:shd w:val="clear" w:color="auto" w:fill="FFFFFF"/>
        <w:ind w:right="-347"/>
        <w:jc w:val="both"/>
        <w:rPr>
          <w:rFonts w:ascii="Cambria" w:eastAsia="Times New Roman" w:hAnsi="Cambria"/>
          <w:bCs/>
          <w:color w:val="000000" w:themeColor="text1"/>
        </w:rPr>
      </w:pPr>
    </w:p>
    <w:p w14:paraId="6160DC2F" w14:textId="77777777" w:rsidR="001B5BC1" w:rsidRPr="00DE49FB" w:rsidRDefault="005E1D8A">
      <w:pPr>
        <w:rPr>
          <w:rFonts w:ascii="Cambria" w:hAnsi="Cambria"/>
        </w:rPr>
      </w:pPr>
    </w:p>
    <w:sectPr w:rsidR="001B5BC1" w:rsidRPr="00DE49FB" w:rsidSect="00666B96">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E5774" w14:textId="77777777" w:rsidR="005E1D8A" w:rsidRDefault="005E1D8A" w:rsidP="00DE49FB">
      <w:r>
        <w:separator/>
      </w:r>
    </w:p>
  </w:endnote>
  <w:endnote w:type="continuationSeparator" w:id="0">
    <w:p w14:paraId="2BF497A6" w14:textId="77777777" w:rsidR="005E1D8A" w:rsidRDefault="005E1D8A" w:rsidP="00DE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E9EB0" w14:textId="77777777" w:rsidR="00D66991" w:rsidRDefault="00D66991" w:rsidP="00666E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3039E" w14:textId="77777777" w:rsidR="00D66991" w:rsidRDefault="00D66991" w:rsidP="00D669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6DC02" w14:textId="77777777" w:rsidR="00D66991" w:rsidRDefault="00D66991" w:rsidP="00666E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D8A">
      <w:rPr>
        <w:rStyle w:val="PageNumber"/>
        <w:noProof/>
      </w:rPr>
      <w:t>1</w:t>
    </w:r>
    <w:r>
      <w:rPr>
        <w:rStyle w:val="PageNumber"/>
      </w:rPr>
      <w:fldChar w:fldCharType="end"/>
    </w:r>
  </w:p>
  <w:p w14:paraId="25AB4F1D" w14:textId="77777777" w:rsidR="00D66991" w:rsidRDefault="00D66991" w:rsidP="00D6699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A0E30" w14:textId="77777777" w:rsidR="005E1D8A" w:rsidRDefault="005E1D8A" w:rsidP="00DE49FB">
      <w:r>
        <w:separator/>
      </w:r>
    </w:p>
  </w:footnote>
  <w:footnote w:type="continuationSeparator" w:id="0">
    <w:p w14:paraId="1572E8D4" w14:textId="77777777" w:rsidR="005E1D8A" w:rsidRDefault="005E1D8A" w:rsidP="00DE49FB">
      <w:r>
        <w:continuationSeparator/>
      </w:r>
    </w:p>
  </w:footnote>
  <w:footnote w:id="1">
    <w:p w14:paraId="3CC8F3C1" w14:textId="03525396" w:rsidR="00394CE7" w:rsidRPr="00A712E0" w:rsidRDefault="00394CE7">
      <w:pPr>
        <w:pStyle w:val="FootnoteText"/>
        <w:rPr>
          <w:rFonts w:ascii="Cambria" w:hAnsi="Cambria"/>
        </w:rPr>
      </w:pPr>
      <w:r w:rsidRPr="00A712E0">
        <w:rPr>
          <w:rStyle w:val="FootnoteReference"/>
          <w:rFonts w:ascii="Cambria" w:hAnsi="Cambria"/>
        </w:rPr>
        <w:footnoteRef/>
      </w:r>
      <w:r w:rsidRPr="00A712E0">
        <w:rPr>
          <w:rFonts w:ascii="Cambria" w:hAnsi="Cambria"/>
        </w:rPr>
        <w:t xml:space="preserve"> </w:t>
      </w:r>
      <w:r w:rsidRPr="00A712E0">
        <w:rPr>
          <w:rFonts w:ascii="Cambria" w:hAnsi="Cambria"/>
          <w:sz w:val="20"/>
          <w:szCs w:val="20"/>
        </w:rPr>
        <w:t xml:space="preserve">This is because the </w:t>
      </w:r>
      <w:r w:rsidRPr="00A712E0">
        <w:rPr>
          <w:rFonts w:ascii="Cambria" w:hAnsi="Cambria" w:cs="Arial"/>
          <w:i/>
          <w:sz w:val="20"/>
          <w:szCs w:val="20"/>
        </w:rPr>
        <w:t>Commonwealth Electoral Act 1918</w:t>
      </w:r>
      <w:r w:rsidRPr="00A712E0">
        <w:rPr>
          <w:rFonts w:ascii="Cambria" w:hAnsi="Cambria" w:cs="Arial"/>
          <w:sz w:val="20"/>
          <w:szCs w:val="20"/>
        </w:rPr>
        <w:t xml:space="preserve"> (Tas) only mandates annual disclosure each financial year, and which must be released by the February of the following year.</w:t>
      </w:r>
      <w:r w:rsidRPr="00A712E0">
        <w:rPr>
          <w:rFonts w:ascii="Cambria" w:hAnsi="Cambria" w:cs="Arial"/>
        </w:rPr>
        <w:t xml:space="preserve"> </w:t>
      </w:r>
      <w:r w:rsidRPr="00A712E0">
        <w:rPr>
          <w:rFonts w:ascii="Cambria" w:hAnsi="Cambria"/>
        </w:rPr>
        <w:t xml:space="preserve"> </w:t>
      </w:r>
    </w:p>
  </w:footnote>
  <w:footnote w:id="2">
    <w:p w14:paraId="46346DCA" w14:textId="013F8FED" w:rsidR="00CE2F3F" w:rsidRPr="00A712E0" w:rsidRDefault="00CE2F3F">
      <w:pPr>
        <w:pStyle w:val="FootnoteText"/>
        <w:rPr>
          <w:rFonts w:ascii="Cambria" w:hAnsi="Cambria"/>
        </w:rPr>
      </w:pPr>
      <w:r w:rsidRPr="00A712E0">
        <w:rPr>
          <w:rStyle w:val="FootnoteReference"/>
          <w:rFonts w:ascii="Cambria" w:hAnsi="Cambria"/>
        </w:rPr>
        <w:footnoteRef/>
      </w:r>
      <w:r w:rsidRPr="00A712E0">
        <w:rPr>
          <w:rFonts w:ascii="Cambria" w:hAnsi="Cambria"/>
        </w:rPr>
        <w:t xml:space="preserve"> </w:t>
      </w:r>
      <w:r w:rsidRPr="00A712E0">
        <w:rPr>
          <w:rFonts w:ascii="Cambria" w:hAnsi="Cambria"/>
          <w:sz w:val="20"/>
          <w:szCs w:val="20"/>
        </w:rPr>
        <w:t xml:space="preserve">According to the Institute for the Study of Social Change </w:t>
      </w:r>
      <w:r w:rsidRPr="00A712E0">
        <w:rPr>
          <w:rFonts w:ascii="Cambria" w:hAnsi="Cambria" w:cs="Arial"/>
          <w:sz w:val="20"/>
          <w:szCs w:val="20"/>
        </w:rPr>
        <w:t xml:space="preserve">between 2009 and 2015 only 16.4 per cent of all donations made to Tasmanian political parties was disclosed. As found at </w:t>
      </w:r>
      <w:r w:rsidRPr="00A712E0">
        <w:rPr>
          <w:rFonts w:ascii="Cambria" w:hAnsi="Cambria"/>
          <w:sz w:val="20"/>
          <w:szCs w:val="20"/>
        </w:rPr>
        <w:t xml:space="preserve">Richard Eccleston and Nicholas Gribble, </w:t>
      </w:r>
      <w:r w:rsidRPr="00A712E0">
        <w:rPr>
          <w:rFonts w:ascii="Cambria" w:hAnsi="Cambria"/>
          <w:i/>
          <w:sz w:val="20"/>
          <w:szCs w:val="20"/>
        </w:rPr>
        <w:t>Submission to the review of the Tasmanian Electoral Act 2004</w:t>
      </w:r>
      <w:r w:rsidRPr="00A712E0">
        <w:rPr>
          <w:rFonts w:ascii="Cambria" w:hAnsi="Cambria"/>
          <w:sz w:val="20"/>
          <w:szCs w:val="20"/>
        </w:rPr>
        <w:t xml:space="preserve"> (Institute for the Study of Social Change, University of Tasmania) July 2018 at 2.</w:t>
      </w:r>
      <w:r w:rsidRPr="00A712E0">
        <w:rPr>
          <w:rFonts w:ascii="Cambria" w:hAnsi="Cambria"/>
        </w:rPr>
        <w:t xml:space="preserve">  </w:t>
      </w:r>
    </w:p>
  </w:footnote>
  <w:footnote w:id="3">
    <w:p w14:paraId="0958A1F6" w14:textId="0CA87D0A" w:rsidR="00783610" w:rsidRPr="00A712E0" w:rsidRDefault="00783610">
      <w:pPr>
        <w:pStyle w:val="FootnoteText"/>
        <w:rPr>
          <w:rFonts w:ascii="Cambria" w:hAnsi="Cambria"/>
        </w:rPr>
      </w:pPr>
      <w:r w:rsidRPr="00A712E0">
        <w:rPr>
          <w:rStyle w:val="FootnoteReference"/>
          <w:rFonts w:ascii="Cambria" w:hAnsi="Cambria"/>
        </w:rPr>
        <w:footnoteRef/>
      </w:r>
      <w:r w:rsidRPr="00A712E0">
        <w:rPr>
          <w:rFonts w:ascii="Cambria" w:hAnsi="Cambria"/>
        </w:rPr>
        <w:t xml:space="preserve"> </w:t>
      </w:r>
      <w:r w:rsidRPr="00A712E0">
        <w:rPr>
          <w:rFonts w:ascii="Cambria" w:hAnsi="Cambria"/>
          <w:sz w:val="20"/>
          <w:szCs w:val="20"/>
        </w:rPr>
        <w:t xml:space="preserve">[2019] HCA 1. </w:t>
      </w:r>
    </w:p>
  </w:footnote>
  <w:footnote w:id="4">
    <w:p w14:paraId="1FD27846" w14:textId="107AA4D2" w:rsidR="00742F76" w:rsidRPr="00A712E0" w:rsidRDefault="00742F76">
      <w:pPr>
        <w:pStyle w:val="FootnoteText"/>
        <w:rPr>
          <w:rFonts w:ascii="Cambria" w:hAnsi="Cambria"/>
        </w:rPr>
      </w:pPr>
      <w:r w:rsidRPr="00A712E0">
        <w:rPr>
          <w:rStyle w:val="FootnoteReference"/>
          <w:rFonts w:ascii="Cambria" w:hAnsi="Cambria"/>
        </w:rPr>
        <w:footnoteRef/>
      </w:r>
      <w:r w:rsidRPr="00A712E0">
        <w:rPr>
          <w:rFonts w:ascii="Cambria" w:hAnsi="Cambria"/>
        </w:rPr>
        <w:t xml:space="preserve"> </w:t>
      </w:r>
      <w:r w:rsidRPr="00A712E0">
        <w:rPr>
          <w:rFonts w:ascii="Cambria" w:hAnsi="Cambria"/>
          <w:i/>
          <w:sz w:val="20"/>
          <w:szCs w:val="20"/>
        </w:rPr>
        <w:t>Unions NSW v New South Wales</w:t>
      </w:r>
      <w:r w:rsidRPr="00A712E0">
        <w:rPr>
          <w:rFonts w:ascii="Cambria" w:hAnsi="Cambria"/>
          <w:sz w:val="20"/>
          <w:szCs w:val="20"/>
        </w:rPr>
        <w:t xml:space="preserve"> [2019] HCA 1 per Kiefel CJ, Bell and Keane JJ </w:t>
      </w:r>
      <w:r w:rsidR="00DB7C35" w:rsidRPr="00A712E0">
        <w:rPr>
          <w:rFonts w:ascii="Cambria" w:hAnsi="Cambria"/>
          <w:sz w:val="20"/>
          <w:szCs w:val="20"/>
        </w:rPr>
        <w:t>at para. [44</w:t>
      </w:r>
      <w:r w:rsidRPr="00A712E0">
        <w:rPr>
          <w:rFonts w:ascii="Cambria" w:hAnsi="Cambria"/>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40CF"/>
    <w:multiLevelType w:val="multilevel"/>
    <w:tmpl w:val="004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E0A4A"/>
    <w:multiLevelType w:val="multilevel"/>
    <w:tmpl w:val="C1E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E3BA7"/>
    <w:multiLevelType w:val="hybridMultilevel"/>
    <w:tmpl w:val="4964E286"/>
    <w:lvl w:ilvl="0" w:tplc="0C090003">
      <w:start w:val="1"/>
      <w:numFmt w:val="bullet"/>
      <w:lvlText w:val="o"/>
      <w:lvlJc w:val="left"/>
      <w:pPr>
        <w:ind w:left="768" w:hanging="360"/>
      </w:pPr>
      <w:rPr>
        <w:rFonts w:ascii="Courier New" w:hAnsi="Courier New" w:cs="Courier New"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nsid w:val="35414061"/>
    <w:multiLevelType w:val="multilevel"/>
    <w:tmpl w:val="03D4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270A0"/>
    <w:multiLevelType w:val="multilevel"/>
    <w:tmpl w:val="D000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54805"/>
    <w:multiLevelType w:val="multilevel"/>
    <w:tmpl w:val="34C2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BC6EB6"/>
    <w:multiLevelType w:val="multilevel"/>
    <w:tmpl w:val="3D56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BE2988"/>
    <w:multiLevelType w:val="multilevel"/>
    <w:tmpl w:val="EA84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842B44"/>
    <w:multiLevelType w:val="multilevel"/>
    <w:tmpl w:val="34C2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3"/>
  </w:num>
  <w:num w:numId="5">
    <w:abstractNumId w:val="0"/>
  </w:num>
  <w:num w:numId="6">
    <w:abstractNumId w:val="1"/>
  </w:num>
  <w:num w:numId="7">
    <w:abstractNumId w:val="2"/>
  </w:num>
  <w:num w:numId="8">
    <w:abstractNumId w:val="8"/>
    <w:lvlOverride w:ilvl="0">
      <w:startOverride w:val="45"/>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FB"/>
    <w:rsid w:val="000708F1"/>
    <w:rsid w:val="000B4991"/>
    <w:rsid w:val="001230EE"/>
    <w:rsid w:val="001F0303"/>
    <w:rsid w:val="00202AC6"/>
    <w:rsid w:val="00246C1C"/>
    <w:rsid w:val="00344110"/>
    <w:rsid w:val="00394CE7"/>
    <w:rsid w:val="00402A9C"/>
    <w:rsid w:val="004531F9"/>
    <w:rsid w:val="004C14B8"/>
    <w:rsid w:val="00596D61"/>
    <w:rsid w:val="005E1D8A"/>
    <w:rsid w:val="00630051"/>
    <w:rsid w:val="00687101"/>
    <w:rsid w:val="006C7716"/>
    <w:rsid w:val="00742F76"/>
    <w:rsid w:val="00783610"/>
    <w:rsid w:val="007B1407"/>
    <w:rsid w:val="007C2353"/>
    <w:rsid w:val="00834BD2"/>
    <w:rsid w:val="008813AD"/>
    <w:rsid w:val="008B7566"/>
    <w:rsid w:val="008C70F8"/>
    <w:rsid w:val="008E45EE"/>
    <w:rsid w:val="00915868"/>
    <w:rsid w:val="00970E6B"/>
    <w:rsid w:val="00983D31"/>
    <w:rsid w:val="009C7A94"/>
    <w:rsid w:val="00A3352D"/>
    <w:rsid w:val="00A712E0"/>
    <w:rsid w:val="00A72A45"/>
    <w:rsid w:val="00AF3080"/>
    <w:rsid w:val="00B059D9"/>
    <w:rsid w:val="00B564E9"/>
    <w:rsid w:val="00BE38C8"/>
    <w:rsid w:val="00BF4715"/>
    <w:rsid w:val="00C72F10"/>
    <w:rsid w:val="00CE2F3F"/>
    <w:rsid w:val="00CE6C67"/>
    <w:rsid w:val="00CE6D40"/>
    <w:rsid w:val="00D66991"/>
    <w:rsid w:val="00D82562"/>
    <w:rsid w:val="00DB7C35"/>
    <w:rsid w:val="00DE49FB"/>
    <w:rsid w:val="00E40613"/>
    <w:rsid w:val="00F25CF2"/>
    <w:rsid w:val="00FE0059"/>
    <w:rsid w:val="00FE7EBC"/>
    <w:rsid w:val="00FF5923"/>
    <w:rsid w:val="00FF5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85BF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8C8"/>
    <w:rPr>
      <w:rFonts w:ascii="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DE49FB"/>
  </w:style>
  <w:style w:type="character" w:customStyle="1" w:styleId="FootnoteTextChar">
    <w:name w:val="Footnote Text Char"/>
    <w:aliases w:val="Footnote Char,Text Char"/>
    <w:basedOn w:val="DefaultParagraphFont"/>
    <w:link w:val="FootnoteText"/>
    <w:rsid w:val="00DE49FB"/>
    <w:rPr>
      <w:rFonts w:eastAsiaTheme="minorEastAsia"/>
      <w:lang w:val="en-US"/>
    </w:rPr>
  </w:style>
  <w:style w:type="character" w:styleId="FootnoteReference">
    <w:name w:val="footnote reference"/>
    <w:basedOn w:val="DefaultParagraphFont"/>
    <w:unhideWhenUsed/>
    <w:rsid w:val="00DE49FB"/>
    <w:rPr>
      <w:vertAlign w:val="superscript"/>
    </w:rPr>
  </w:style>
  <w:style w:type="character" w:styleId="Hyperlink">
    <w:name w:val="Hyperlink"/>
    <w:basedOn w:val="DefaultParagraphFont"/>
    <w:uiPriority w:val="99"/>
    <w:unhideWhenUsed/>
    <w:rsid w:val="00DE49FB"/>
    <w:rPr>
      <w:color w:val="0563C1" w:themeColor="hyperlink"/>
      <w:u w:val="single"/>
    </w:rPr>
  </w:style>
  <w:style w:type="table" w:styleId="TableGrid">
    <w:name w:val="Table Grid"/>
    <w:basedOn w:val="TableNormal"/>
    <w:uiPriority w:val="59"/>
    <w:rsid w:val="00DE49F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E38C8"/>
    <w:pPr>
      <w:spacing w:before="100" w:beforeAutospacing="1" w:after="100" w:afterAutospacing="1"/>
    </w:pPr>
  </w:style>
  <w:style w:type="character" w:customStyle="1" w:styleId="apple-converted-space">
    <w:name w:val="apple-converted-space"/>
    <w:basedOn w:val="DefaultParagraphFont"/>
    <w:rsid w:val="00BE38C8"/>
  </w:style>
  <w:style w:type="paragraph" w:styleId="Footer">
    <w:name w:val="footer"/>
    <w:basedOn w:val="Normal"/>
    <w:link w:val="FooterChar"/>
    <w:uiPriority w:val="99"/>
    <w:unhideWhenUsed/>
    <w:rsid w:val="00D66991"/>
    <w:pPr>
      <w:tabs>
        <w:tab w:val="center" w:pos="4513"/>
        <w:tab w:val="right" w:pos="9026"/>
      </w:tabs>
    </w:pPr>
  </w:style>
  <w:style w:type="character" w:customStyle="1" w:styleId="FooterChar">
    <w:name w:val="Footer Char"/>
    <w:basedOn w:val="DefaultParagraphFont"/>
    <w:link w:val="Footer"/>
    <w:uiPriority w:val="99"/>
    <w:rsid w:val="00D66991"/>
    <w:rPr>
      <w:rFonts w:ascii="Times New Roman" w:hAnsi="Times New Roman" w:cs="Times New Roman"/>
      <w:lang w:eastAsia="en-AU"/>
    </w:rPr>
  </w:style>
  <w:style w:type="character" w:styleId="PageNumber">
    <w:name w:val="page number"/>
    <w:basedOn w:val="DefaultParagraphFont"/>
    <w:uiPriority w:val="99"/>
    <w:semiHidden/>
    <w:unhideWhenUsed/>
    <w:rsid w:val="00D66991"/>
  </w:style>
  <w:style w:type="paragraph" w:styleId="ListParagraph">
    <w:name w:val="List Paragraph"/>
    <w:basedOn w:val="Normal"/>
    <w:uiPriority w:val="34"/>
    <w:qFormat/>
    <w:rsid w:val="00CE2F3F"/>
    <w:pPr>
      <w:ind w:left="720"/>
      <w:contextualSpacing/>
    </w:pPr>
  </w:style>
  <w:style w:type="character" w:customStyle="1" w:styleId="sup">
    <w:name w:val="sup"/>
    <w:basedOn w:val="DefaultParagraphFont"/>
    <w:rsid w:val="00F25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7822">
      <w:bodyDiv w:val="1"/>
      <w:marLeft w:val="0"/>
      <w:marRight w:val="0"/>
      <w:marTop w:val="0"/>
      <w:marBottom w:val="0"/>
      <w:divBdr>
        <w:top w:val="none" w:sz="0" w:space="0" w:color="auto"/>
        <w:left w:val="none" w:sz="0" w:space="0" w:color="auto"/>
        <w:bottom w:val="none" w:sz="0" w:space="0" w:color="auto"/>
        <w:right w:val="none" w:sz="0" w:space="0" w:color="auto"/>
      </w:divBdr>
    </w:div>
    <w:div w:id="171996336">
      <w:bodyDiv w:val="1"/>
      <w:marLeft w:val="0"/>
      <w:marRight w:val="0"/>
      <w:marTop w:val="0"/>
      <w:marBottom w:val="0"/>
      <w:divBdr>
        <w:top w:val="none" w:sz="0" w:space="0" w:color="auto"/>
        <w:left w:val="none" w:sz="0" w:space="0" w:color="auto"/>
        <w:bottom w:val="none" w:sz="0" w:space="0" w:color="auto"/>
        <w:right w:val="none" w:sz="0" w:space="0" w:color="auto"/>
      </w:divBdr>
    </w:div>
    <w:div w:id="442575002">
      <w:bodyDiv w:val="1"/>
      <w:marLeft w:val="0"/>
      <w:marRight w:val="0"/>
      <w:marTop w:val="0"/>
      <w:marBottom w:val="0"/>
      <w:divBdr>
        <w:top w:val="none" w:sz="0" w:space="0" w:color="auto"/>
        <w:left w:val="none" w:sz="0" w:space="0" w:color="auto"/>
        <w:bottom w:val="none" w:sz="0" w:space="0" w:color="auto"/>
        <w:right w:val="none" w:sz="0" w:space="0" w:color="auto"/>
      </w:divBdr>
    </w:div>
    <w:div w:id="1226723258">
      <w:bodyDiv w:val="1"/>
      <w:marLeft w:val="0"/>
      <w:marRight w:val="0"/>
      <w:marTop w:val="0"/>
      <w:marBottom w:val="0"/>
      <w:divBdr>
        <w:top w:val="none" w:sz="0" w:space="0" w:color="auto"/>
        <w:left w:val="none" w:sz="0" w:space="0" w:color="auto"/>
        <w:bottom w:val="none" w:sz="0" w:space="0" w:color="auto"/>
        <w:right w:val="none" w:sz="0" w:space="0" w:color="auto"/>
      </w:divBdr>
      <w:divsChild>
        <w:div w:id="1852720278">
          <w:marLeft w:val="0"/>
          <w:marRight w:val="0"/>
          <w:marTop w:val="0"/>
          <w:marBottom w:val="0"/>
          <w:divBdr>
            <w:top w:val="none" w:sz="0" w:space="0" w:color="auto"/>
            <w:left w:val="none" w:sz="0" w:space="0" w:color="auto"/>
            <w:bottom w:val="none" w:sz="0" w:space="0" w:color="auto"/>
            <w:right w:val="none" w:sz="0" w:space="0" w:color="auto"/>
          </w:divBdr>
          <w:divsChild>
            <w:div w:id="1684164329">
              <w:marLeft w:val="0"/>
              <w:marRight w:val="0"/>
              <w:marTop w:val="0"/>
              <w:marBottom w:val="0"/>
              <w:divBdr>
                <w:top w:val="none" w:sz="0" w:space="0" w:color="auto"/>
                <w:left w:val="none" w:sz="0" w:space="0" w:color="auto"/>
                <w:bottom w:val="none" w:sz="0" w:space="0" w:color="auto"/>
                <w:right w:val="none" w:sz="0" w:space="0" w:color="auto"/>
              </w:divBdr>
              <w:divsChild>
                <w:div w:id="5507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40284">
      <w:bodyDiv w:val="1"/>
      <w:marLeft w:val="0"/>
      <w:marRight w:val="0"/>
      <w:marTop w:val="0"/>
      <w:marBottom w:val="0"/>
      <w:divBdr>
        <w:top w:val="none" w:sz="0" w:space="0" w:color="auto"/>
        <w:left w:val="none" w:sz="0" w:space="0" w:color="auto"/>
        <w:bottom w:val="none" w:sz="0" w:space="0" w:color="auto"/>
        <w:right w:val="none" w:sz="0" w:space="0" w:color="auto"/>
      </w:divBdr>
      <w:divsChild>
        <w:div w:id="1452287304">
          <w:marLeft w:val="0"/>
          <w:marRight w:val="0"/>
          <w:marTop w:val="0"/>
          <w:marBottom w:val="0"/>
          <w:divBdr>
            <w:top w:val="none" w:sz="0" w:space="0" w:color="auto"/>
            <w:left w:val="none" w:sz="0" w:space="0" w:color="auto"/>
            <w:bottom w:val="none" w:sz="0" w:space="0" w:color="auto"/>
            <w:right w:val="none" w:sz="0" w:space="0" w:color="auto"/>
          </w:divBdr>
          <w:divsChild>
            <w:div w:id="350954617">
              <w:marLeft w:val="0"/>
              <w:marRight w:val="0"/>
              <w:marTop w:val="0"/>
              <w:marBottom w:val="0"/>
              <w:divBdr>
                <w:top w:val="none" w:sz="0" w:space="0" w:color="auto"/>
                <w:left w:val="none" w:sz="0" w:space="0" w:color="auto"/>
                <w:bottom w:val="none" w:sz="0" w:space="0" w:color="auto"/>
                <w:right w:val="none" w:sz="0" w:space="0" w:color="auto"/>
              </w:divBdr>
              <w:divsChild>
                <w:div w:id="6673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9746">
      <w:bodyDiv w:val="1"/>
      <w:marLeft w:val="0"/>
      <w:marRight w:val="0"/>
      <w:marTop w:val="0"/>
      <w:marBottom w:val="0"/>
      <w:divBdr>
        <w:top w:val="none" w:sz="0" w:space="0" w:color="auto"/>
        <w:left w:val="none" w:sz="0" w:space="0" w:color="auto"/>
        <w:bottom w:val="none" w:sz="0" w:space="0" w:color="auto"/>
        <w:right w:val="none" w:sz="0" w:space="0" w:color="auto"/>
      </w:divBdr>
      <w:divsChild>
        <w:div w:id="655568715">
          <w:marLeft w:val="0"/>
          <w:marRight w:val="0"/>
          <w:marTop w:val="0"/>
          <w:marBottom w:val="0"/>
          <w:divBdr>
            <w:top w:val="none" w:sz="0" w:space="0" w:color="auto"/>
            <w:left w:val="none" w:sz="0" w:space="0" w:color="auto"/>
            <w:bottom w:val="none" w:sz="0" w:space="0" w:color="auto"/>
            <w:right w:val="none" w:sz="0" w:space="0" w:color="auto"/>
          </w:divBdr>
          <w:divsChild>
            <w:div w:id="1596328915">
              <w:marLeft w:val="0"/>
              <w:marRight w:val="0"/>
              <w:marTop w:val="0"/>
              <w:marBottom w:val="0"/>
              <w:divBdr>
                <w:top w:val="none" w:sz="0" w:space="0" w:color="auto"/>
                <w:left w:val="none" w:sz="0" w:space="0" w:color="auto"/>
                <w:bottom w:val="none" w:sz="0" w:space="0" w:color="auto"/>
                <w:right w:val="none" w:sz="0" w:space="0" w:color="auto"/>
              </w:divBdr>
              <w:divsChild>
                <w:div w:id="4949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5846">
      <w:bodyDiv w:val="1"/>
      <w:marLeft w:val="0"/>
      <w:marRight w:val="0"/>
      <w:marTop w:val="0"/>
      <w:marBottom w:val="0"/>
      <w:divBdr>
        <w:top w:val="none" w:sz="0" w:space="0" w:color="auto"/>
        <w:left w:val="none" w:sz="0" w:space="0" w:color="auto"/>
        <w:bottom w:val="none" w:sz="0" w:space="0" w:color="auto"/>
        <w:right w:val="none" w:sz="0" w:space="0" w:color="auto"/>
      </w:divBdr>
      <w:divsChild>
        <w:div w:id="1271817555">
          <w:marLeft w:val="0"/>
          <w:marRight w:val="0"/>
          <w:marTop w:val="0"/>
          <w:marBottom w:val="0"/>
          <w:divBdr>
            <w:top w:val="none" w:sz="0" w:space="0" w:color="auto"/>
            <w:left w:val="none" w:sz="0" w:space="0" w:color="auto"/>
            <w:bottom w:val="none" w:sz="0" w:space="0" w:color="auto"/>
            <w:right w:val="none" w:sz="0" w:space="0" w:color="auto"/>
          </w:divBdr>
          <w:divsChild>
            <w:div w:id="854225590">
              <w:marLeft w:val="0"/>
              <w:marRight w:val="0"/>
              <w:marTop w:val="0"/>
              <w:marBottom w:val="0"/>
              <w:divBdr>
                <w:top w:val="none" w:sz="0" w:space="0" w:color="auto"/>
                <w:left w:val="none" w:sz="0" w:space="0" w:color="auto"/>
                <w:bottom w:val="none" w:sz="0" w:space="0" w:color="auto"/>
                <w:right w:val="none" w:sz="0" w:space="0" w:color="auto"/>
              </w:divBdr>
              <w:divsChild>
                <w:div w:id="1087196013">
                  <w:marLeft w:val="0"/>
                  <w:marRight w:val="0"/>
                  <w:marTop w:val="0"/>
                  <w:marBottom w:val="0"/>
                  <w:divBdr>
                    <w:top w:val="none" w:sz="0" w:space="0" w:color="auto"/>
                    <w:left w:val="none" w:sz="0" w:space="0" w:color="auto"/>
                    <w:bottom w:val="none" w:sz="0" w:space="0" w:color="auto"/>
                    <w:right w:val="none" w:sz="0" w:space="0" w:color="auto"/>
                  </w:divBdr>
                  <w:divsChild>
                    <w:div w:id="16890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34071">
      <w:bodyDiv w:val="1"/>
      <w:marLeft w:val="0"/>
      <w:marRight w:val="0"/>
      <w:marTop w:val="0"/>
      <w:marBottom w:val="0"/>
      <w:divBdr>
        <w:top w:val="none" w:sz="0" w:space="0" w:color="auto"/>
        <w:left w:val="none" w:sz="0" w:space="0" w:color="auto"/>
        <w:bottom w:val="none" w:sz="0" w:space="0" w:color="auto"/>
        <w:right w:val="none" w:sz="0" w:space="0" w:color="auto"/>
      </w:divBdr>
      <w:divsChild>
        <w:div w:id="896089104">
          <w:marLeft w:val="0"/>
          <w:marRight w:val="0"/>
          <w:marTop w:val="0"/>
          <w:marBottom w:val="0"/>
          <w:divBdr>
            <w:top w:val="none" w:sz="0" w:space="0" w:color="auto"/>
            <w:left w:val="none" w:sz="0" w:space="0" w:color="auto"/>
            <w:bottom w:val="none" w:sz="0" w:space="0" w:color="auto"/>
            <w:right w:val="none" w:sz="0" w:space="0" w:color="auto"/>
          </w:divBdr>
          <w:divsChild>
            <w:div w:id="336423598">
              <w:marLeft w:val="0"/>
              <w:marRight w:val="0"/>
              <w:marTop w:val="0"/>
              <w:marBottom w:val="0"/>
              <w:divBdr>
                <w:top w:val="none" w:sz="0" w:space="0" w:color="auto"/>
                <w:left w:val="none" w:sz="0" w:space="0" w:color="auto"/>
                <w:bottom w:val="none" w:sz="0" w:space="0" w:color="auto"/>
                <w:right w:val="none" w:sz="0" w:space="0" w:color="auto"/>
              </w:divBdr>
              <w:divsChild>
                <w:div w:id="11822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2191">
      <w:bodyDiv w:val="1"/>
      <w:marLeft w:val="0"/>
      <w:marRight w:val="0"/>
      <w:marTop w:val="0"/>
      <w:marBottom w:val="0"/>
      <w:divBdr>
        <w:top w:val="none" w:sz="0" w:space="0" w:color="auto"/>
        <w:left w:val="none" w:sz="0" w:space="0" w:color="auto"/>
        <w:bottom w:val="none" w:sz="0" w:space="0" w:color="auto"/>
        <w:right w:val="none" w:sz="0" w:space="0" w:color="auto"/>
      </w:divBdr>
      <w:divsChild>
        <w:div w:id="974338048">
          <w:marLeft w:val="0"/>
          <w:marRight w:val="0"/>
          <w:marTop w:val="0"/>
          <w:marBottom w:val="0"/>
          <w:divBdr>
            <w:top w:val="none" w:sz="0" w:space="0" w:color="auto"/>
            <w:left w:val="none" w:sz="0" w:space="0" w:color="auto"/>
            <w:bottom w:val="none" w:sz="0" w:space="0" w:color="auto"/>
            <w:right w:val="none" w:sz="0" w:space="0" w:color="auto"/>
          </w:divBdr>
          <w:divsChild>
            <w:div w:id="517037658">
              <w:marLeft w:val="0"/>
              <w:marRight w:val="0"/>
              <w:marTop w:val="0"/>
              <w:marBottom w:val="0"/>
              <w:divBdr>
                <w:top w:val="none" w:sz="0" w:space="0" w:color="auto"/>
                <w:left w:val="none" w:sz="0" w:space="0" w:color="auto"/>
                <w:bottom w:val="none" w:sz="0" w:space="0" w:color="auto"/>
                <w:right w:val="none" w:sz="0" w:space="0" w:color="auto"/>
              </w:divBdr>
              <w:divsChild>
                <w:div w:id="5487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71108">
      <w:bodyDiv w:val="1"/>
      <w:marLeft w:val="0"/>
      <w:marRight w:val="0"/>
      <w:marTop w:val="0"/>
      <w:marBottom w:val="0"/>
      <w:divBdr>
        <w:top w:val="none" w:sz="0" w:space="0" w:color="auto"/>
        <w:left w:val="none" w:sz="0" w:space="0" w:color="auto"/>
        <w:bottom w:val="none" w:sz="0" w:space="0" w:color="auto"/>
        <w:right w:val="none" w:sz="0" w:space="0" w:color="auto"/>
      </w:divBdr>
      <w:divsChild>
        <w:div w:id="726147801">
          <w:marLeft w:val="0"/>
          <w:marRight w:val="0"/>
          <w:marTop w:val="0"/>
          <w:marBottom w:val="0"/>
          <w:divBdr>
            <w:top w:val="none" w:sz="0" w:space="0" w:color="auto"/>
            <w:left w:val="none" w:sz="0" w:space="0" w:color="auto"/>
            <w:bottom w:val="none" w:sz="0" w:space="0" w:color="auto"/>
            <w:right w:val="none" w:sz="0" w:space="0" w:color="auto"/>
          </w:divBdr>
          <w:divsChild>
            <w:div w:id="1136264243">
              <w:marLeft w:val="0"/>
              <w:marRight w:val="0"/>
              <w:marTop w:val="0"/>
              <w:marBottom w:val="0"/>
              <w:divBdr>
                <w:top w:val="none" w:sz="0" w:space="0" w:color="auto"/>
                <w:left w:val="none" w:sz="0" w:space="0" w:color="auto"/>
                <w:bottom w:val="none" w:sz="0" w:space="0" w:color="auto"/>
                <w:right w:val="none" w:sz="0" w:space="0" w:color="auto"/>
              </w:divBdr>
              <w:divsChild>
                <w:div w:id="193229700">
                  <w:marLeft w:val="0"/>
                  <w:marRight w:val="0"/>
                  <w:marTop w:val="0"/>
                  <w:marBottom w:val="0"/>
                  <w:divBdr>
                    <w:top w:val="none" w:sz="0" w:space="0" w:color="auto"/>
                    <w:left w:val="none" w:sz="0" w:space="0" w:color="auto"/>
                    <w:bottom w:val="none" w:sz="0" w:space="0" w:color="auto"/>
                    <w:right w:val="none" w:sz="0" w:space="0" w:color="auto"/>
                  </w:divBdr>
                  <w:divsChild>
                    <w:div w:id="3031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haveyoursay@justice.tas.gov.a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921</Words>
  <Characters>5253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2019-04-14T10:08:00Z</cp:lastPrinted>
  <dcterms:created xsi:type="dcterms:W3CDTF">2019-02-17T08:24:00Z</dcterms:created>
  <dcterms:modified xsi:type="dcterms:W3CDTF">2019-04-14T10:52:00Z</dcterms:modified>
</cp:coreProperties>
</file>