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E6ACE" w14:textId="77777777" w:rsidR="00AE5EFC" w:rsidRDefault="00AE5EFC" w:rsidP="00AE5EFC">
      <w:pPr>
        <w:ind w:right="-347"/>
        <w:jc w:val="center"/>
      </w:pPr>
      <w:bookmarkStart w:id="0" w:name="_GoBack"/>
      <w:bookmarkEnd w:id="0"/>
      <w:r>
        <w:rPr>
          <w:noProof/>
          <w:sz w:val="20"/>
          <w:szCs w:val="20"/>
          <w:lang w:val="en-AU" w:eastAsia="en-AU"/>
        </w:rPr>
        <w:drawing>
          <wp:inline distT="0" distB="0" distL="0" distR="0" wp14:anchorId="2C9C44BE" wp14:editId="0205F795">
            <wp:extent cx="3235960" cy="1099476"/>
            <wp:effectExtent l="0" t="0" r="0" b="0"/>
            <wp:docPr id="5" name="Picture 1" descr="Shared Docs:Public:Sister Organisations:CLC Tas:CLCLogos:CLCTas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 Docs:Public:Sister Organisations:CLC Tas:CLCLogos:CLCTascolou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7972" cy="1100160"/>
                    </a:xfrm>
                    <a:prstGeom prst="rect">
                      <a:avLst/>
                    </a:prstGeom>
                    <a:noFill/>
                    <a:ln>
                      <a:noFill/>
                    </a:ln>
                  </pic:spPr>
                </pic:pic>
              </a:graphicData>
            </a:graphic>
          </wp:inline>
        </w:drawing>
      </w:r>
    </w:p>
    <w:p w14:paraId="1C046CF4" w14:textId="77777777" w:rsidR="00AE5EFC" w:rsidRPr="003C786B" w:rsidRDefault="00AE5EFC" w:rsidP="00AE5EFC">
      <w:pPr>
        <w:ind w:right="-347"/>
        <w:rPr>
          <w:color w:val="000000" w:themeColor="text1"/>
        </w:rPr>
      </w:pPr>
    </w:p>
    <w:p w14:paraId="70D499E4" w14:textId="77777777" w:rsidR="00AE5EFC" w:rsidRPr="003C786B" w:rsidRDefault="00AE5EFC" w:rsidP="00AE5EFC">
      <w:pPr>
        <w:ind w:right="-347"/>
        <w:rPr>
          <w:color w:val="000000" w:themeColor="text1"/>
        </w:rPr>
      </w:pPr>
    </w:p>
    <w:p w14:paraId="2720A416" w14:textId="77777777" w:rsidR="00AE5EFC" w:rsidRPr="003C786B" w:rsidRDefault="00AE5EFC" w:rsidP="00AE5EFC">
      <w:pPr>
        <w:ind w:right="-347"/>
        <w:rPr>
          <w:color w:val="000000" w:themeColor="text1"/>
        </w:rPr>
      </w:pPr>
    </w:p>
    <w:p w14:paraId="2A4394F8" w14:textId="77777777" w:rsidR="00AE5EFC" w:rsidRPr="003C786B" w:rsidRDefault="00AE5EFC" w:rsidP="00AE5EFC">
      <w:pPr>
        <w:ind w:right="-347"/>
        <w:rPr>
          <w:color w:val="000000" w:themeColor="text1"/>
        </w:rPr>
      </w:pPr>
      <w:r w:rsidRPr="003C786B">
        <w:rPr>
          <w:color w:val="000000" w:themeColor="text1"/>
        </w:rPr>
        <w:t>10 May 2019</w:t>
      </w:r>
    </w:p>
    <w:p w14:paraId="7DB6B1AD" w14:textId="77777777" w:rsidR="00AE5EFC" w:rsidRPr="003C786B" w:rsidRDefault="00AE5EFC" w:rsidP="00AE5EFC">
      <w:pPr>
        <w:ind w:right="-347"/>
        <w:rPr>
          <w:color w:val="000000" w:themeColor="text1"/>
        </w:rPr>
      </w:pPr>
    </w:p>
    <w:p w14:paraId="64CB33E7" w14:textId="77777777" w:rsidR="00AE5EFC" w:rsidRPr="003C786B" w:rsidRDefault="00AE5EFC" w:rsidP="00AE5EFC">
      <w:pPr>
        <w:rPr>
          <w:rFonts w:eastAsia="Times New Roman"/>
          <w:color w:val="000000" w:themeColor="text1"/>
          <w:shd w:val="clear" w:color="auto" w:fill="FFFFFF"/>
        </w:rPr>
      </w:pPr>
      <w:r w:rsidRPr="003C786B">
        <w:rPr>
          <w:rFonts w:eastAsia="Times New Roman"/>
          <w:color w:val="000000" w:themeColor="text1"/>
          <w:shd w:val="clear" w:color="auto" w:fill="FFFFFF"/>
        </w:rPr>
        <w:t>Department of Justice </w:t>
      </w:r>
      <w:r w:rsidRPr="003C786B">
        <w:rPr>
          <w:rFonts w:eastAsia="Times New Roman"/>
          <w:color w:val="000000" w:themeColor="text1"/>
        </w:rPr>
        <w:br/>
      </w:r>
      <w:r w:rsidRPr="003C786B">
        <w:rPr>
          <w:rFonts w:eastAsia="Times New Roman"/>
          <w:color w:val="000000" w:themeColor="text1"/>
          <w:shd w:val="clear" w:color="auto" w:fill="FFFFFF"/>
        </w:rPr>
        <w:t>Strategic Legislation and Policy </w:t>
      </w:r>
      <w:r w:rsidRPr="003C786B">
        <w:rPr>
          <w:rFonts w:eastAsia="Times New Roman"/>
          <w:color w:val="000000" w:themeColor="text1"/>
        </w:rPr>
        <w:br/>
      </w:r>
      <w:r w:rsidRPr="003C786B">
        <w:rPr>
          <w:rFonts w:eastAsia="Times New Roman"/>
          <w:color w:val="000000" w:themeColor="text1"/>
          <w:shd w:val="clear" w:color="auto" w:fill="FFFFFF"/>
        </w:rPr>
        <w:t xml:space="preserve">GPO Box 825 </w:t>
      </w:r>
    </w:p>
    <w:p w14:paraId="62932113" w14:textId="77777777" w:rsidR="00AE5EFC" w:rsidRPr="003C786B" w:rsidRDefault="00AE5EFC" w:rsidP="00AE5EFC">
      <w:pPr>
        <w:rPr>
          <w:rFonts w:eastAsia="Times New Roman"/>
          <w:color w:val="000000" w:themeColor="text1"/>
        </w:rPr>
      </w:pPr>
      <w:r w:rsidRPr="003C786B">
        <w:rPr>
          <w:rFonts w:eastAsia="Times New Roman"/>
          <w:color w:val="000000" w:themeColor="text1"/>
          <w:shd w:val="clear" w:color="auto" w:fill="FFFFFF"/>
        </w:rPr>
        <w:t>Hobart TAS 7001</w:t>
      </w:r>
    </w:p>
    <w:p w14:paraId="4168AEEB" w14:textId="77777777" w:rsidR="00AE5EFC" w:rsidRPr="003C786B" w:rsidRDefault="00AE5EFC" w:rsidP="00AE5EFC">
      <w:pPr>
        <w:ind w:left="2160" w:firstLine="720"/>
        <w:rPr>
          <w:rFonts w:eastAsia="Times New Roman"/>
          <w:i/>
          <w:color w:val="000000" w:themeColor="text1"/>
        </w:rPr>
      </w:pPr>
      <w:r w:rsidRPr="003C786B">
        <w:rPr>
          <w:b/>
          <w:i/>
          <w:color w:val="000000" w:themeColor="text1"/>
        </w:rPr>
        <w:t xml:space="preserve">via email: </w:t>
      </w:r>
      <w:hyperlink r:id="rId8" w:history="1">
        <w:r w:rsidRPr="003C786B">
          <w:rPr>
            <w:rFonts w:eastAsia="Times New Roman"/>
            <w:i/>
            <w:color w:val="000000" w:themeColor="text1"/>
            <w:u w:val="single"/>
            <w:shd w:val="clear" w:color="auto" w:fill="FFFFFF"/>
          </w:rPr>
          <w:t>haveyoursay@justice.tas.gov.au</w:t>
        </w:r>
      </w:hyperlink>
    </w:p>
    <w:p w14:paraId="680B3F1E" w14:textId="77777777" w:rsidR="00AE5EFC" w:rsidRPr="003C786B" w:rsidRDefault="00AE5EFC" w:rsidP="00AE5EFC">
      <w:pPr>
        <w:ind w:right="-205"/>
        <w:rPr>
          <w:b/>
          <w:i/>
          <w:color w:val="000000" w:themeColor="text1"/>
        </w:rPr>
      </w:pPr>
    </w:p>
    <w:p w14:paraId="12814242" w14:textId="77777777" w:rsidR="00AE5EFC" w:rsidRPr="003C786B" w:rsidRDefault="00AE5EFC" w:rsidP="00AE5EFC">
      <w:pPr>
        <w:ind w:right="-347"/>
        <w:rPr>
          <w:color w:val="000000" w:themeColor="text1"/>
        </w:rPr>
      </w:pPr>
      <w:r w:rsidRPr="003C786B">
        <w:rPr>
          <w:color w:val="000000" w:themeColor="text1"/>
        </w:rPr>
        <w:t>To Emma Gunn,</w:t>
      </w:r>
    </w:p>
    <w:p w14:paraId="03D7A816" w14:textId="77777777" w:rsidR="00AE5EFC" w:rsidRPr="003C786B" w:rsidRDefault="00AE5EFC" w:rsidP="00AE5EFC">
      <w:pPr>
        <w:pBdr>
          <w:bottom w:val="single" w:sz="6" w:space="1" w:color="auto"/>
        </w:pBdr>
        <w:ind w:right="-347"/>
        <w:rPr>
          <w:b/>
          <w:color w:val="000000" w:themeColor="text1"/>
        </w:rPr>
      </w:pPr>
      <w:r w:rsidRPr="003C786B">
        <w:rPr>
          <w:b/>
          <w:color w:val="000000" w:themeColor="text1"/>
        </w:rPr>
        <w:t xml:space="preserve">Re: </w:t>
      </w:r>
      <w:r w:rsidRPr="003C786B">
        <w:rPr>
          <w:b/>
          <w:i/>
          <w:color w:val="000000" w:themeColor="text1"/>
        </w:rPr>
        <w:t>Magistrates Court (Criminal and General Division) Bill 2019</w:t>
      </w:r>
    </w:p>
    <w:p w14:paraId="0357F9C3" w14:textId="77777777" w:rsidR="00AE5EFC" w:rsidRPr="003C786B" w:rsidRDefault="00AE5EFC" w:rsidP="00AE5EFC">
      <w:pPr>
        <w:ind w:right="-347"/>
        <w:rPr>
          <w:rFonts w:cs="Arial"/>
          <w:color w:val="000000" w:themeColor="text1"/>
        </w:rPr>
      </w:pPr>
    </w:p>
    <w:p w14:paraId="61154FEE" w14:textId="055BAA6F" w:rsidR="00AE5EFC" w:rsidRPr="003C786B" w:rsidRDefault="00AE5EFC" w:rsidP="00AE5EFC">
      <w:pPr>
        <w:ind w:right="-347"/>
        <w:jc w:val="both"/>
        <w:rPr>
          <w:color w:val="000000" w:themeColor="text1"/>
        </w:rPr>
      </w:pPr>
      <w:r w:rsidRPr="003C786B">
        <w:rPr>
          <w:rFonts w:cs="Calibri"/>
          <w:color w:val="000000" w:themeColor="text1"/>
        </w:rPr>
        <w:t>Community Legal Centres Tasmania (CLC Tas)</w:t>
      </w:r>
      <w:r w:rsidRPr="003C786B">
        <w:rPr>
          <w:color w:val="000000" w:themeColor="text1"/>
        </w:rPr>
        <w:t xml:space="preserve"> welcomes the opportunity to provide comment on the </w:t>
      </w:r>
      <w:r w:rsidRPr="003C786B">
        <w:rPr>
          <w:i/>
          <w:color w:val="000000" w:themeColor="text1"/>
        </w:rPr>
        <w:t>Magistrates Court (Criminal and General Division) Bill 2019</w:t>
      </w:r>
      <w:r w:rsidR="009C0589" w:rsidRPr="003C786B">
        <w:rPr>
          <w:i/>
          <w:color w:val="000000" w:themeColor="text1"/>
        </w:rPr>
        <w:t xml:space="preserve"> </w:t>
      </w:r>
      <w:r w:rsidR="009C0589" w:rsidRPr="003C786B">
        <w:rPr>
          <w:color w:val="000000" w:themeColor="text1"/>
        </w:rPr>
        <w:t>(‘the Bill’)</w:t>
      </w:r>
      <w:r w:rsidRPr="003C786B">
        <w:rPr>
          <w:color w:val="000000" w:themeColor="text1"/>
        </w:rPr>
        <w:t xml:space="preserve">. </w:t>
      </w:r>
    </w:p>
    <w:p w14:paraId="09A8501B" w14:textId="77777777" w:rsidR="00AE5EFC" w:rsidRPr="003C786B" w:rsidRDefault="00AE5EFC" w:rsidP="00AE5EFC">
      <w:pPr>
        <w:ind w:right="-347"/>
        <w:jc w:val="both"/>
        <w:rPr>
          <w:color w:val="000000" w:themeColor="text1"/>
        </w:rPr>
      </w:pPr>
    </w:p>
    <w:p w14:paraId="65D06CDD" w14:textId="77777777" w:rsidR="00935175" w:rsidRPr="003C786B" w:rsidRDefault="00AE5EFC" w:rsidP="00DA756B">
      <w:pPr>
        <w:ind w:right="-347"/>
        <w:jc w:val="both"/>
        <w:rPr>
          <w:rFonts w:cs="Arial"/>
          <w:color w:val="000000" w:themeColor="text1"/>
        </w:rPr>
      </w:pPr>
      <w:r w:rsidRPr="003C786B">
        <w:rPr>
          <w:rFonts w:eastAsia="Times New Roman" w:cs="Arial"/>
          <w:color w:val="000000" w:themeColor="text1"/>
          <w:lang w:eastAsia="en-AU"/>
        </w:rPr>
        <w:t xml:space="preserve">CLC Tas </w:t>
      </w:r>
      <w:r w:rsidRPr="003C786B">
        <w:rPr>
          <w:rFonts w:cs="Arial"/>
          <w:color w:val="000000" w:themeColor="text1"/>
        </w:rPr>
        <w:t>is the peak body representing the interests of nine community legal centres (CLCs) located throughout Tasmania. We are a member-based, independent, not-for-profit and incorporated organisation that advocates for law reform on a range of public interest matters aimed at improving access to justice, reducing discrimination and protect</w:t>
      </w:r>
      <w:r w:rsidR="00935175" w:rsidRPr="003C786B">
        <w:rPr>
          <w:rFonts w:cs="Arial"/>
          <w:color w:val="000000" w:themeColor="text1"/>
        </w:rPr>
        <w:t>ing and promoting human rights.</w:t>
      </w:r>
    </w:p>
    <w:p w14:paraId="37116674" w14:textId="77777777" w:rsidR="00935175" w:rsidRPr="003C786B" w:rsidRDefault="00935175" w:rsidP="00DA756B">
      <w:pPr>
        <w:ind w:right="-347"/>
        <w:jc w:val="both"/>
        <w:rPr>
          <w:rFonts w:cs="Arial"/>
          <w:color w:val="000000" w:themeColor="text1"/>
        </w:rPr>
      </w:pPr>
    </w:p>
    <w:p w14:paraId="503CCE04" w14:textId="77777777" w:rsidR="009C0589" w:rsidRPr="003C786B" w:rsidRDefault="006C60B1" w:rsidP="00AE5EFC">
      <w:pPr>
        <w:ind w:right="-347"/>
        <w:jc w:val="both"/>
        <w:rPr>
          <w:rFonts w:cs="Arial"/>
          <w:color w:val="000000" w:themeColor="text1"/>
        </w:rPr>
      </w:pPr>
      <w:r w:rsidRPr="003C786B">
        <w:rPr>
          <w:rFonts w:cs="Arial"/>
          <w:color w:val="000000" w:themeColor="text1"/>
        </w:rPr>
        <w:t xml:space="preserve">We </w:t>
      </w:r>
      <w:r w:rsidR="00DA756B" w:rsidRPr="003C786B">
        <w:rPr>
          <w:rFonts w:cs="Arial"/>
          <w:color w:val="000000" w:themeColor="text1"/>
        </w:rPr>
        <w:t xml:space="preserve">are </w:t>
      </w:r>
      <w:r w:rsidRPr="003C786B">
        <w:rPr>
          <w:rFonts w:cs="Arial"/>
          <w:color w:val="000000" w:themeColor="text1"/>
        </w:rPr>
        <w:t>support</w:t>
      </w:r>
      <w:r w:rsidR="00DA756B" w:rsidRPr="003C786B">
        <w:rPr>
          <w:rFonts w:cs="Arial"/>
          <w:color w:val="000000" w:themeColor="text1"/>
        </w:rPr>
        <w:t>ive of the Bill and of the consultative pro</w:t>
      </w:r>
      <w:r w:rsidR="00D34B48" w:rsidRPr="003C786B">
        <w:rPr>
          <w:rFonts w:cs="Arial"/>
          <w:color w:val="000000" w:themeColor="text1"/>
        </w:rPr>
        <w:t>cess adopted by the Government</w:t>
      </w:r>
      <w:r w:rsidR="00935175" w:rsidRPr="003C786B">
        <w:rPr>
          <w:rFonts w:cs="Arial"/>
          <w:color w:val="000000" w:themeColor="text1"/>
        </w:rPr>
        <w:t xml:space="preserve"> over a number of years</w:t>
      </w:r>
      <w:r w:rsidR="00D34B48" w:rsidRPr="003C786B">
        <w:rPr>
          <w:rFonts w:cs="Arial"/>
          <w:color w:val="000000" w:themeColor="text1"/>
        </w:rPr>
        <w:t xml:space="preserve">. </w:t>
      </w:r>
      <w:r w:rsidR="00DA756B" w:rsidRPr="003C786B">
        <w:rPr>
          <w:rFonts w:cs="Arial"/>
          <w:color w:val="000000" w:themeColor="text1"/>
        </w:rPr>
        <w:t xml:space="preserve">We are particularly pleased that the Bill contains a comprehensive framework for the disclosure of prosecution evidence in summary offences that will ensure a defendant receives full disclosure of the case against them at the earliest opportunity. </w:t>
      </w:r>
    </w:p>
    <w:p w14:paraId="03313BD0" w14:textId="77777777" w:rsidR="009C0589" w:rsidRPr="003C786B" w:rsidRDefault="009C0589" w:rsidP="00AE5EFC">
      <w:pPr>
        <w:ind w:right="-347"/>
        <w:jc w:val="both"/>
        <w:rPr>
          <w:rFonts w:cs="Arial"/>
          <w:color w:val="000000" w:themeColor="text1"/>
        </w:rPr>
      </w:pPr>
    </w:p>
    <w:p w14:paraId="5511782F" w14:textId="2AF012B6" w:rsidR="00DD267A" w:rsidRPr="003C786B" w:rsidRDefault="00DD267A" w:rsidP="001F2D4E">
      <w:pPr>
        <w:ind w:right="-347"/>
        <w:jc w:val="both"/>
        <w:rPr>
          <w:rFonts w:cs="Arial"/>
          <w:b/>
          <w:i/>
          <w:color w:val="000000" w:themeColor="text1"/>
        </w:rPr>
      </w:pPr>
      <w:r w:rsidRPr="003C786B">
        <w:rPr>
          <w:rFonts w:cs="Arial"/>
          <w:b/>
          <w:i/>
          <w:color w:val="000000" w:themeColor="text1"/>
        </w:rPr>
        <w:t>Witness not answering</w:t>
      </w:r>
      <w:r w:rsidR="002F5803" w:rsidRPr="003C786B">
        <w:rPr>
          <w:rFonts w:cs="Arial"/>
          <w:b/>
          <w:i/>
          <w:color w:val="000000" w:themeColor="text1"/>
        </w:rPr>
        <w:t xml:space="preserve"> (clause 26)</w:t>
      </w:r>
    </w:p>
    <w:p w14:paraId="0CF50FF3" w14:textId="5D717671" w:rsidR="00A657A8" w:rsidRPr="003C786B" w:rsidRDefault="00B01669" w:rsidP="001F2D4E">
      <w:pPr>
        <w:ind w:right="-347"/>
        <w:jc w:val="both"/>
        <w:rPr>
          <w:bCs/>
          <w:color w:val="000000" w:themeColor="text1"/>
        </w:rPr>
      </w:pPr>
      <w:r w:rsidRPr="003C786B">
        <w:rPr>
          <w:bCs/>
          <w:color w:val="000000" w:themeColor="text1"/>
        </w:rPr>
        <w:t xml:space="preserve">Clause 26 </w:t>
      </w:r>
      <w:r w:rsidR="0021271C" w:rsidRPr="003C786B">
        <w:rPr>
          <w:bCs/>
          <w:color w:val="000000" w:themeColor="text1"/>
        </w:rPr>
        <w:t xml:space="preserve">of the Bill </w:t>
      </w:r>
      <w:r w:rsidRPr="003C786B">
        <w:rPr>
          <w:bCs/>
          <w:color w:val="000000" w:themeColor="text1"/>
        </w:rPr>
        <w:t xml:space="preserve">allows the court to imprison a witness who without reasonable excuse refuses to answer questions. In most cases, clause 26 will apply in circumstances in which a witness </w:t>
      </w:r>
      <w:r w:rsidR="003C091E" w:rsidRPr="003C786B">
        <w:rPr>
          <w:bCs/>
          <w:color w:val="000000" w:themeColor="text1"/>
        </w:rPr>
        <w:t>refuses to attend</w:t>
      </w:r>
      <w:r w:rsidRPr="003C786B">
        <w:rPr>
          <w:bCs/>
          <w:color w:val="000000" w:themeColor="text1"/>
        </w:rPr>
        <w:t xml:space="preserve"> </w:t>
      </w:r>
      <w:r w:rsidR="003C091E" w:rsidRPr="003C786B">
        <w:rPr>
          <w:bCs/>
          <w:color w:val="000000" w:themeColor="text1"/>
        </w:rPr>
        <w:t xml:space="preserve">court </w:t>
      </w:r>
      <w:r w:rsidRPr="003C786B">
        <w:rPr>
          <w:bCs/>
          <w:color w:val="000000" w:themeColor="text1"/>
        </w:rPr>
        <w:t xml:space="preserve">voluntarily </w:t>
      </w:r>
      <w:r w:rsidR="003C091E" w:rsidRPr="003C786B">
        <w:rPr>
          <w:bCs/>
          <w:color w:val="000000" w:themeColor="text1"/>
        </w:rPr>
        <w:t>and</w:t>
      </w:r>
      <w:r w:rsidRPr="003C786B">
        <w:rPr>
          <w:bCs/>
          <w:color w:val="000000" w:themeColor="text1"/>
        </w:rPr>
        <w:t xml:space="preserve"> is complying </w:t>
      </w:r>
      <w:r w:rsidR="003C091E" w:rsidRPr="003C786B">
        <w:rPr>
          <w:bCs/>
          <w:color w:val="000000" w:themeColor="text1"/>
        </w:rPr>
        <w:t>only because they have received</w:t>
      </w:r>
      <w:r w:rsidRPr="003C786B">
        <w:rPr>
          <w:bCs/>
          <w:color w:val="000000" w:themeColor="text1"/>
        </w:rPr>
        <w:t xml:space="preserve"> a witness atten</w:t>
      </w:r>
      <w:r w:rsidR="003C091E" w:rsidRPr="003C786B">
        <w:rPr>
          <w:bCs/>
          <w:color w:val="000000" w:themeColor="text1"/>
        </w:rPr>
        <w:t>dance notice or arrest</w:t>
      </w:r>
      <w:r w:rsidR="00A657A8" w:rsidRPr="003C786B">
        <w:rPr>
          <w:bCs/>
          <w:color w:val="000000" w:themeColor="text1"/>
        </w:rPr>
        <w:t xml:space="preserve"> warrant. </w:t>
      </w:r>
      <w:r w:rsidRPr="003C786B">
        <w:rPr>
          <w:bCs/>
          <w:color w:val="000000" w:themeColor="text1"/>
        </w:rPr>
        <w:t>We are concerned tha</w:t>
      </w:r>
      <w:r w:rsidR="0021271C" w:rsidRPr="003C786B">
        <w:rPr>
          <w:bCs/>
          <w:color w:val="000000" w:themeColor="text1"/>
        </w:rPr>
        <w:t xml:space="preserve">t clause 26 may have unintended </w:t>
      </w:r>
      <w:r w:rsidRPr="003C786B">
        <w:rPr>
          <w:bCs/>
          <w:color w:val="000000" w:themeColor="text1"/>
        </w:rPr>
        <w:t>consequences</w:t>
      </w:r>
      <w:r w:rsidR="003C091E" w:rsidRPr="003C786B">
        <w:rPr>
          <w:bCs/>
          <w:color w:val="000000" w:themeColor="text1"/>
        </w:rPr>
        <w:t>. For example, a family violence victim who refuses to give evidence may</w:t>
      </w:r>
      <w:r w:rsidR="00A657A8" w:rsidRPr="003C786B">
        <w:rPr>
          <w:bCs/>
          <w:color w:val="000000" w:themeColor="text1"/>
        </w:rPr>
        <w:t xml:space="preserve"> be imprisoned for up to a week. As the clause reads, the family violence victim may then be brought back before the court, refuse to answer questions and again be sentenced to seven days imprisonment.  </w:t>
      </w:r>
    </w:p>
    <w:p w14:paraId="131B07A3" w14:textId="77777777" w:rsidR="00A657A8" w:rsidRPr="003C786B" w:rsidRDefault="00A657A8" w:rsidP="001F2D4E">
      <w:pPr>
        <w:ind w:right="-347"/>
        <w:jc w:val="both"/>
        <w:rPr>
          <w:bCs/>
          <w:color w:val="000000" w:themeColor="text1"/>
        </w:rPr>
      </w:pPr>
    </w:p>
    <w:p w14:paraId="0EE1602D" w14:textId="21B5C5D1" w:rsidR="00B03452" w:rsidRPr="003C786B" w:rsidRDefault="00A657A8" w:rsidP="00B03452">
      <w:pPr>
        <w:ind w:right="-347"/>
        <w:jc w:val="both"/>
        <w:rPr>
          <w:bCs/>
          <w:color w:val="000000" w:themeColor="text1"/>
        </w:rPr>
      </w:pPr>
      <w:r w:rsidRPr="003C786B">
        <w:rPr>
          <w:bCs/>
          <w:color w:val="000000" w:themeColor="text1"/>
        </w:rPr>
        <w:t xml:space="preserve">Whilst we agree that there should be powers requiring witnesses to attend court, we strongly believe that no witness should be forced to give evidence. Practically, </w:t>
      </w:r>
      <w:r w:rsidRPr="003C786B">
        <w:rPr>
          <w:bCs/>
          <w:color w:val="000000" w:themeColor="text1"/>
        </w:rPr>
        <w:lastRenderedPageBreak/>
        <w:t xml:space="preserve">unfavourable witnesses are already dealt with in section 38 of the </w:t>
      </w:r>
      <w:r w:rsidRPr="003C786B">
        <w:rPr>
          <w:bCs/>
          <w:i/>
          <w:color w:val="000000" w:themeColor="text1"/>
        </w:rPr>
        <w:t>Evidence Act 2001</w:t>
      </w:r>
      <w:r w:rsidR="0021271C" w:rsidRPr="003C786B">
        <w:rPr>
          <w:bCs/>
          <w:color w:val="000000" w:themeColor="text1"/>
        </w:rPr>
        <w:t xml:space="preserve"> (Tas) and therefore, i</w:t>
      </w:r>
      <w:r w:rsidRPr="003C786B">
        <w:rPr>
          <w:bCs/>
          <w:color w:val="000000" w:themeColor="text1"/>
        </w:rPr>
        <w:t xml:space="preserve">n our opinion, clause 26 should be removed from the Bill.  </w:t>
      </w:r>
    </w:p>
    <w:p w14:paraId="07EAD0EA" w14:textId="77777777" w:rsidR="00B03452" w:rsidRPr="003C786B" w:rsidRDefault="00B03452" w:rsidP="00B03452">
      <w:pPr>
        <w:ind w:right="-347"/>
        <w:jc w:val="both"/>
        <w:rPr>
          <w:bCs/>
          <w:color w:val="000000" w:themeColor="text1"/>
        </w:rPr>
      </w:pPr>
    </w:p>
    <w:p w14:paraId="565D4832" w14:textId="5BE3982A" w:rsidR="00B03452" w:rsidRPr="003C786B" w:rsidRDefault="00B03452" w:rsidP="00B03452">
      <w:pPr>
        <w:shd w:val="clear" w:color="auto" w:fill="FFFFFF"/>
        <w:rPr>
          <w:rFonts w:cs="Times New Roman"/>
          <w:b/>
          <w:i/>
          <w:color w:val="000000" w:themeColor="text1"/>
          <w:lang w:val="en-AU"/>
        </w:rPr>
      </w:pPr>
      <w:r w:rsidRPr="003C786B">
        <w:rPr>
          <w:rFonts w:cs="Times New Roman"/>
          <w:b/>
          <w:i/>
          <w:color w:val="000000" w:themeColor="text1"/>
          <w:lang w:val="en-AU"/>
        </w:rPr>
        <w:t>Adjournment of Proceedings (clause 31)</w:t>
      </w:r>
    </w:p>
    <w:p w14:paraId="459E4F91" w14:textId="77777777" w:rsidR="00B03452" w:rsidRPr="003C786B" w:rsidRDefault="0093570E" w:rsidP="00B03452">
      <w:pPr>
        <w:ind w:right="-347"/>
        <w:jc w:val="both"/>
        <w:rPr>
          <w:bCs/>
          <w:color w:val="000000" w:themeColor="text1"/>
        </w:rPr>
      </w:pPr>
      <w:r w:rsidRPr="003C786B">
        <w:rPr>
          <w:rFonts w:cs="Times New Roman"/>
          <w:color w:val="000000" w:themeColor="text1"/>
          <w:lang w:val="en-AU"/>
        </w:rPr>
        <w:t xml:space="preserve">Clause 31 provides the court with the power to adjourn proceedings “if the court considers it in the interests of justice to do so”. But, the clause does not expressly provide that an accused is entitled to an adjournment on their first appearance. This is inconsistent with section 74A(1)(b) of the </w:t>
      </w:r>
      <w:r w:rsidRPr="003C786B">
        <w:rPr>
          <w:rFonts w:cs="Times New Roman"/>
          <w:i/>
          <w:color w:val="000000" w:themeColor="text1"/>
          <w:lang w:val="en-AU"/>
        </w:rPr>
        <w:t>Justices Act 1959</w:t>
      </w:r>
      <w:r w:rsidRPr="003C786B">
        <w:rPr>
          <w:rFonts w:cs="Times New Roman"/>
          <w:color w:val="000000" w:themeColor="text1"/>
          <w:lang w:val="en-AU"/>
        </w:rPr>
        <w:t xml:space="preserve"> (Tas) which expressly provides:</w:t>
      </w:r>
    </w:p>
    <w:p w14:paraId="10D7A0B1" w14:textId="77777777" w:rsidR="00B03452" w:rsidRPr="003C786B" w:rsidRDefault="00B03452" w:rsidP="00B03452">
      <w:pPr>
        <w:ind w:right="-347"/>
        <w:jc w:val="both"/>
        <w:rPr>
          <w:bCs/>
          <w:color w:val="000000" w:themeColor="text1"/>
        </w:rPr>
      </w:pPr>
    </w:p>
    <w:p w14:paraId="2D0D3E65" w14:textId="77777777" w:rsidR="00B03452" w:rsidRPr="003C786B" w:rsidRDefault="00B03452" w:rsidP="00B03452">
      <w:pPr>
        <w:shd w:val="clear" w:color="auto" w:fill="FFFFFF"/>
        <w:ind w:left="720" w:right="787"/>
        <w:jc w:val="both"/>
        <w:rPr>
          <w:rFonts w:cs="Times New Roman"/>
          <w:color w:val="000000" w:themeColor="text1"/>
          <w:sz w:val="22"/>
          <w:szCs w:val="22"/>
          <w:lang w:val="en-AU"/>
        </w:rPr>
      </w:pPr>
      <w:r w:rsidRPr="003C786B">
        <w:rPr>
          <w:rFonts w:eastAsia="Times New Roman" w:cs="Times New Roman"/>
          <w:color w:val="000000" w:themeColor="text1"/>
          <w:sz w:val="22"/>
          <w:szCs w:val="22"/>
          <w:shd w:val="clear" w:color="auto" w:fill="FFFFFF"/>
          <w:lang w:val="en-AU"/>
        </w:rPr>
        <w:t>(1) When a person charged with a simple offence to which he or she has not entered a plea in writing authorized by rules of court first appears before justices, the justices shall, if that person is not represented by counsel–</w:t>
      </w:r>
      <w:bookmarkStart w:id="1" w:name="GS74A@Gs1@Hpa@EN"/>
      <w:bookmarkStart w:id="2" w:name="GS74A@Gs1@Hpb@EN"/>
      <w:bookmarkEnd w:id="1"/>
      <w:bookmarkEnd w:id="2"/>
    </w:p>
    <w:p w14:paraId="701F6382" w14:textId="77777777" w:rsidR="00B03452" w:rsidRPr="003C786B" w:rsidRDefault="00B03452" w:rsidP="00B03452">
      <w:pPr>
        <w:shd w:val="clear" w:color="auto" w:fill="FFFFFF"/>
        <w:ind w:left="720" w:right="787"/>
        <w:jc w:val="both"/>
        <w:rPr>
          <w:rFonts w:cs="Times New Roman"/>
          <w:color w:val="000000" w:themeColor="text1"/>
          <w:sz w:val="22"/>
          <w:szCs w:val="22"/>
          <w:lang w:val="en-AU"/>
        </w:rPr>
      </w:pPr>
    </w:p>
    <w:p w14:paraId="7F39629E" w14:textId="77777777" w:rsidR="00B03452" w:rsidRPr="003C786B" w:rsidRDefault="00B03452" w:rsidP="00B03452">
      <w:pPr>
        <w:shd w:val="clear" w:color="auto" w:fill="FFFFFF"/>
        <w:ind w:left="1440" w:right="787"/>
        <w:jc w:val="both"/>
        <w:rPr>
          <w:rFonts w:cs="Times New Roman"/>
          <w:color w:val="000000" w:themeColor="text1"/>
          <w:sz w:val="22"/>
          <w:szCs w:val="22"/>
          <w:lang w:val="en-AU"/>
        </w:rPr>
      </w:pPr>
      <w:r w:rsidRPr="003C786B">
        <w:rPr>
          <w:rFonts w:eastAsia="Times New Roman" w:cs="Times New Roman"/>
          <w:color w:val="000000" w:themeColor="text1"/>
          <w:sz w:val="22"/>
          <w:szCs w:val="22"/>
          <w:lang w:val="en-AU"/>
        </w:rPr>
        <w:t>(b) inform the person that he or she is entitled to have the proceedings in respect of the charge adjourned in order to consider a course of action or to obtain legal advice in relation to the charge.</w:t>
      </w:r>
    </w:p>
    <w:p w14:paraId="1704C52E" w14:textId="77777777" w:rsidR="00B03452" w:rsidRPr="003C786B" w:rsidRDefault="00B03452" w:rsidP="00B03452">
      <w:pPr>
        <w:ind w:right="-347"/>
        <w:jc w:val="both"/>
        <w:rPr>
          <w:bCs/>
          <w:color w:val="000000" w:themeColor="text1"/>
        </w:rPr>
      </w:pPr>
    </w:p>
    <w:p w14:paraId="012F19A1" w14:textId="655F3741" w:rsidR="00D4228C" w:rsidRPr="003C786B" w:rsidRDefault="00B03452" w:rsidP="00B03452">
      <w:pPr>
        <w:ind w:right="-347"/>
        <w:jc w:val="both"/>
        <w:rPr>
          <w:bCs/>
          <w:color w:val="000000" w:themeColor="text1"/>
        </w:rPr>
      </w:pPr>
      <w:r w:rsidRPr="003C786B">
        <w:rPr>
          <w:rFonts w:cs="Times New Roman"/>
          <w:color w:val="000000" w:themeColor="text1"/>
          <w:lang w:val="en-AU"/>
        </w:rPr>
        <w:t xml:space="preserve">We strongly believe that clause 31 should be amended to expressly provide that an accused is entitled to an adjournment on their first appearance. </w:t>
      </w:r>
    </w:p>
    <w:p w14:paraId="06F6D6C3" w14:textId="77777777" w:rsidR="00D4228C" w:rsidRPr="003C786B" w:rsidRDefault="00D4228C" w:rsidP="001F2D4E">
      <w:pPr>
        <w:ind w:right="-347"/>
        <w:jc w:val="both"/>
        <w:rPr>
          <w:rFonts w:cs="Arial"/>
          <w:b/>
          <w:i/>
          <w:color w:val="000000" w:themeColor="text1"/>
        </w:rPr>
      </w:pPr>
    </w:p>
    <w:p w14:paraId="776CF663" w14:textId="7F56549A" w:rsidR="00FE5869" w:rsidRPr="003C786B" w:rsidRDefault="00DD267A" w:rsidP="001F2D4E">
      <w:pPr>
        <w:ind w:right="-347"/>
        <w:jc w:val="both"/>
        <w:rPr>
          <w:rFonts w:cs="Arial"/>
          <w:b/>
          <w:i/>
          <w:color w:val="000000" w:themeColor="text1"/>
        </w:rPr>
      </w:pPr>
      <w:r w:rsidRPr="003C786B">
        <w:rPr>
          <w:rFonts w:cs="Arial"/>
          <w:b/>
          <w:i/>
          <w:color w:val="000000" w:themeColor="text1"/>
        </w:rPr>
        <w:t>Pre-hearing d</w:t>
      </w:r>
      <w:r w:rsidR="00FE5869" w:rsidRPr="003C786B">
        <w:rPr>
          <w:rFonts w:cs="Arial"/>
          <w:b/>
          <w:i/>
          <w:color w:val="000000" w:themeColor="text1"/>
        </w:rPr>
        <w:t>isclosure</w:t>
      </w:r>
      <w:r w:rsidRPr="003C786B">
        <w:rPr>
          <w:rFonts w:cs="Arial"/>
          <w:b/>
          <w:i/>
          <w:color w:val="000000" w:themeColor="text1"/>
        </w:rPr>
        <w:t xml:space="preserve"> of prosecution case (clauses 64-78)</w:t>
      </w:r>
    </w:p>
    <w:p w14:paraId="6E1FC7A3" w14:textId="77777777" w:rsidR="001F2D4E" w:rsidRPr="003C786B" w:rsidRDefault="00D34B48" w:rsidP="001F2D4E">
      <w:pPr>
        <w:ind w:right="-347"/>
        <w:jc w:val="both"/>
        <w:rPr>
          <w:bCs/>
          <w:color w:val="000000" w:themeColor="text1"/>
        </w:rPr>
      </w:pPr>
      <w:r w:rsidRPr="003C786B">
        <w:rPr>
          <w:rFonts w:cs="Arial"/>
          <w:color w:val="000000" w:themeColor="text1"/>
        </w:rPr>
        <w:t xml:space="preserve">The disclosure of prosecution evidence in a timely manner is important for many reasons including reducing delays and inefficiencies. </w:t>
      </w:r>
      <w:r w:rsidR="00AE5EFC" w:rsidRPr="003C786B">
        <w:rPr>
          <w:bCs/>
          <w:color w:val="000000" w:themeColor="text1"/>
        </w:rPr>
        <w:t>Anecdotally, we are aware of a number of cases where the accused has had access to either no or insufficient evidence to confidently enter a plea, particularly in circumstances in which elements of the crime include a mental element or a legal defence is available.</w:t>
      </w:r>
    </w:p>
    <w:p w14:paraId="6BA7D3DB" w14:textId="77777777" w:rsidR="001F2D4E" w:rsidRPr="003C786B" w:rsidRDefault="001F2D4E" w:rsidP="001F2D4E">
      <w:pPr>
        <w:ind w:right="-347"/>
        <w:jc w:val="both"/>
        <w:rPr>
          <w:bCs/>
          <w:color w:val="000000" w:themeColor="text1"/>
        </w:rPr>
      </w:pPr>
    </w:p>
    <w:p w14:paraId="0680C53A" w14:textId="77777777" w:rsidR="007867B9" w:rsidRPr="003C786B" w:rsidRDefault="001F2D4E" w:rsidP="00AE5EFC">
      <w:pPr>
        <w:ind w:right="-347"/>
        <w:jc w:val="both"/>
        <w:rPr>
          <w:bCs/>
          <w:color w:val="000000" w:themeColor="text1"/>
        </w:rPr>
      </w:pPr>
      <w:r w:rsidRPr="003C786B">
        <w:rPr>
          <w:bCs/>
          <w:color w:val="000000" w:themeColor="text1"/>
        </w:rPr>
        <w:t>Unsurprisingly, the failure to provide disclosure in a timely manner has led to a significant backlog with a 2016 KPMG report finding that Tasmania has the second highest case backlog for criminal matters greater than 12 months at 11.8 per cent and the lowest clearance rate for criminal matters at 94 per cent.</w:t>
      </w:r>
      <w:r w:rsidRPr="003C786B">
        <w:rPr>
          <w:rStyle w:val="FootnoteReference"/>
          <w:bCs/>
          <w:color w:val="000000" w:themeColor="text1"/>
        </w:rPr>
        <w:footnoteReference w:id="1"/>
      </w:r>
      <w:r w:rsidRPr="003C786B">
        <w:rPr>
          <w:bCs/>
          <w:color w:val="000000" w:themeColor="text1"/>
        </w:rPr>
        <w:t xml:space="preserve"> </w:t>
      </w:r>
    </w:p>
    <w:p w14:paraId="46D7A732" w14:textId="77777777" w:rsidR="007867B9" w:rsidRPr="003C786B" w:rsidRDefault="007867B9" w:rsidP="00AE5EFC">
      <w:pPr>
        <w:ind w:right="-347"/>
        <w:jc w:val="both"/>
        <w:rPr>
          <w:bCs/>
          <w:color w:val="000000" w:themeColor="text1"/>
        </w:rPr>
      </w:pPr>
    </w:p>
    <w:p w14:paraId="0F8DB076" w14:textId="77777777" w:rsidR="003C786B" w:rsidRPr="003C786B" w:rsidRDefault="00AE5EFC" w:rsidP="00CF22AE">
      <w:pPr>
        <w:ind w:right="-347"/>
        <w:jc w:val="both"/>
        <w:rPr>
          <w:bCs/>
          <w:color w:val="000000" w:themeColor="text1"/>
        </w:rPr>
      </w:pPr>
      <w:r w:rsidRPr="003C786B">
        <w:rPr>
          <w:bCs/>
          <w:color w:val="000000" w:themeColor="text1"/>
        </w:rPr>
        <w:t xml:space="preserve">The failure </w:t>
      </w:r>
      <w:r w:rsidR="00935175" w:rsidRPr="003C786B">
        <w:rPr>
          <w:bCs/>
          <w:color w:val="000000" w:themeColor="text1"/>
        </w:rPr>
        <w:t xml:space="preserve">of the </w:t>
      </w:r>
      <w:r w:rsidR="00935175" w:rsidRPr="003C786B">
        <w:rPr>
          <w:bCs/>
          <w:i/>
          <w:color w:val="000000" w:themeColor="text1"/>
        </w:rPr>
        <w:t>Justices Act 1959</w:t>
      </w:r>
      <w:r w:rsidR="00935175" w:rsidRPr="003C786B">
        <w:rPr>
          <w:bCs/>
          <w:color w:val="000000" w:themeColor="text1"/>
        </w:rPr>
        <w:t xml:space="preserve"> (Tas)</w:t>
      </w:r>
      <w:r w:rsidRPr="003C786B">
        <w:rPr>
          <w:bCs/>
          <w:color w:val="000000" w:themeColor="text1"/>
        </w:rPr>
        <w:t xml:space="preserve"> to prescribe timeframes for the provision of disclosure means that defence counsel is regularly unable to provide good advice in a timely manner. In some cases, counsel may only have the complaint and the ‘Facts for the Prosecutor’ for multiple court appearances.</w:t>
      </w:r>
    </w:p>
    <w:p w14:paraId="1C2905C0" w14:textId="77777777" w:rsidR="003C786B" w:rsidRPr="003C786B" w:rsidRDefault="003C786B" w:rsidP="00CF22AE">
      <w:pPr>
        <w:ind w:right="-347"/>
        <w:jc w:val="both"/>
        <w:rPr>
          <w:bCs/>
          <w:color w:val="000000" w:themeColor="text1"/>
        </w:rPr>
      </w:pPr>
    </w:p>
    <w:p w14:paraId="40827EF4" w14:textId="49B7684C" w:rsidR="00CF22AE" w:rsidRPr="003C786B" w:rsidRDefault="001F1AD9" w:rsidP="00CF22AE">
      <w:pPr>
        <w:ind w:right="-347"/>
        <w:jc w:val="both"/>
        <w:rPr>
          <w:bCs/>
          <w:color w:val="000000" w:themeColor="text1"/>
        </w:rPr>
      </w:pPr>
      <w:r w:rsidRPr="003C786B">
        <w:rPr>
          <w:bCs/>
          <w:color w:val="000000" w:themeColor="text1"/>
        </w:rPr>
        <w:t xml:space="preserve">We are </w:t>
      </w:r>
      <w:r w:rsidR="001F2D4E" w:rsidRPr="003C786B">
        <w:rPr>
          <w:bCs/>
          <w:color w:val="000000" w:themeColor="text1"/>
        </w:rPr>
        <w:t xml:space="preserve">strongly </w:t>
      </w:r>
      <w:r w:rsidRPr="003C786B">
        <w:rPr>
          <w:bCs/>
          <w:color w:val="000000" w:themeColor="text1"/>
        </w:rPr>
        <w:t xml:space="preserve">supportive of </w:t>
      </w:r>
      <w:r w:rsidRPr="003C786B">
        <w:rPr>
          <w:color w:val="000000" w:themeColor="text1"/>
        </w:rPr>
        <w:t>the Bill</w:t>
      </w:r>
      <w:r w:rsidR="00CF22AE" w:rsidRPr="003C786B">
        <w:rPr>
          <w:color w:val="000000" w:themeColor="text1"/>
        </w:rPr>
        <w:t xml:space="preserve"> and its requirement that the preliminary brief for summary offences must be provided at least 21 days before the return day specified in the court attendance</w:t>
      </w:r>
      <w:r w:rsidR="00CF22AE" w:rsidRPr="003C786B">
        <w:rPr>
          <w:i/>
          <w:color w:val="000000" w:themeColor="text1"/>
        </w:rPr>
        <w:t xml:space="preserve"> </w:t>
      </w:r>
      <w:r w:rsidR="00CF22AE" w:rsidRPr="003C786B">
        <w:rPr>
          <w:color w:val="000000" w:themeColor="text1"/>
        </w:rPr>
        <w:t>notice.</w:t>
      </w:r>
      <w:r w:rsidR="00CF22AE" w:rsidRPr="003C786B">
        <w:rPr>
          <w:rStyle w:val="FootnoteReference"/>
          <w:color w:val="000000" w:themeColor="text1"/>
        </w:rPr>
        <w:footnoteReference w:id="2"/>
      </w:r>
      <w:r w:rsidR="001C5150" w:rsidRPr="003C786B">
        <w:rPr>
          <w:color w:val="000000" w:themeColor="text1"/>
        </w:rPr>
        <w:t xml:space="preserve"> The</w:t>
      </w:r>
      <w:r w:rsidR="00CF22AE" w:rsidRPr="003C786B">
        <w:rPr>
          <w:color w:val="000000" w:themeColor="text1"/>
        </w:rPr>
        <w:t xml:space="preserve"> Bill </w:t>
      </w:r>
      <w:r w:rsidRPr="003C786B">
        <w:rPr>
          <w:color w:val="000000" w:themeColor="text1"/>
        </w:rPr>
        <w:t xml:space="preserve">also provides that in relation to summary offences, the summary offence brief (‘full brief’) </w:t>
      </w:r>
      <w:r w:rsidR="00CF22AE" w:rsidRPr="003C786B">
        <w:rPr>
          <w:color w:val="000000" w:themeColor="text1"/>
        </w:rPr>
        <w:t xml:space="preserve">must be provided </w:t>
      </w:r>
      <w:r w:rsidRPr="003C786B">
        <w:rPr>
          <w:color w:val="000000" w:themeColor="text1"/>
        </w:rPr>
        <w:t>not later than 28</w:t>
      </w:r>
      <w:r w:rsidR="00CF22AE" w:rsidRPr="003C786B">
        <w:rPr>
          <w:color w:val="000000" w:themeColor="text1"/>
        </w:rPr>
        <w:t xml:space="preserve"> days before the case management hearing or, if a case management</w:t>
      </w:r>
      <w:r w:rsidR="00CF22AE" w:rsidRPr="003C786B">
        <w:rPr>
          <w:i/>
          <w:color w:val="000000" w:themeColor="text1"/>
        </w:rPr>
        <w:t xml:space="preserve"> </w:t>
      </w:r>
      <w:r w:rsidR="00CF22AE" w:rsidRPr="003C786B">
        <w:rPr>
          <w:color w:val="000000" w:themeColor="text1"/>
        </w:rPr>
        <w:t>hearing is not being held, th</w:t>
      </w:r>
      <w:r w:rsidRPr="003C786B">
        <w:rPr>
          <w:color w:val="000000" w:themeColor="text1"/>
        </w:rPr>
        <w:t>e hearing of the charge</w:t>
      </w:r>
      <w:r w:rsidR="00CF22AE" w:rsidRPr="003C786B">
        <w:rPr>
          <w:color w:val="000000" w:themeColor="text1"/>
        </w:rPr>
        <w:t>.</w:t>
      </w:r>
      <w:r w:rsidRPr="003C786B">
        <w:rPr>
          <w:rStyle w:val="FootnoteReference"/>
          <w:color w:val="000000" w:themeColor="text1"/>
        </w:rPr>
        <w:footnoteReference w:id="3"/>
      </w:r>
    </w:p>
    <w:p w14:paraId="53AC5684" w14:textId="77777777" w:rsidR="00413CC0" w:rsidRPr="003C786B" w:rsidRDefault="00413CC0" w:rsidP="00CF22AE">
      <w:pPr>
        <w:ind w:right="-347"/>
        <w:jc w:val="both"/>
        <w:rPr>
          <w:color w:val="000000" w:themeColor="text1"/>
        </w:rPr>
      </w:pPr>
    </w:p>
    <w:p w14:paraId="7C808136" w14:textId="7F71F46D" w:rsidR="00EC5900" w:rsidRPr="003C786B" w:rsidRDefault="00413CC0" w:rsidP="00CF22AE">
      <w:pPr>
        <w:ind w:right="-347"/>
        <w:jc w:val="both"/>
        <w:rPr>
          <w:color w:val="000000" w:themeColor="text1"/>
        </w:rPr>
      </w:pPr>
      <w:r w:rsidRPr="003C786B">
        <w:rPr>
          <w:color w:val="000000" w:themeColor="text1"/>
        </w:rPr>
        <w:t>In our opinion</w:t>
      </w:r>
      <w:r w:rsidR="00EC5900" w:rsidRPr="003C786B">
        <w:rPr>
          <w:color w:val="000000" w:themeColor="text1"/>
        </w:rPr>
        <w:t>,</w:t>
      </w:r>
      <w:r w:rsidRPr="003C786B">
        <w:rPr>
          <w:color w:val="000000" w:themeColor="text1"/>
        </w:rPr>
        <w:t xml:space="preserve"> the timeframes set out in the Bill will lead to decreased delay and greater court efficiencies with </w:t>
      </w:r>
      <w:r w:rsidR="00EC5900" w:rsidRPr="003C786B">
        <w:rPr>
          <w:color w:val="000000" w:themeColor="text1"/>
        </w:rPr>
        <w:t xml:space="preserve">earlier resolution of criminal hearings facilitated, including </w:t>
      </w:r>
      <w:r w:rsidRPr="003C786B">
        <w:rPr>
          <w:color w:val="000000" w:themeColor="text1"/>
        </w:rPr>
        <w:t xml:space="preserve">defence counsel </w:t>
      </w:r>
      <w:r w:rsidR="00EC5900" w:rsidRPr="003C786B">
        <w:rPr>
          <w:color w:val="000000" w:themeColor="text1"/>
        </w:rPr>
        <w:t xml:space="preserve">being </w:t>
      </w:r>
      <w:r w:rsidRPr="003C786B">
        <w:rPr>
          <w:color w:val="000000" w:themeColor="text1"/>
        </w:rPr>
        <w:t>in a better po</w:t>
      </w:r>
      <w:r w:rsidR="00EC5900" w:rsidRPr="003C786B">
        <w:rPr>
          <w:color w:val="000000" w:themeColor="text1"/>
        </w:rPr>
        <w:t>sition to advise their clients and engage in plea negotiation.</w:t>
      </w:r>
    </w:p>
    <w:p w14:paraId="6373C6EF" w14:textId="77777777" w:rsidR="00EC5900" w:rsidRPr="003C786B" w:rsidRDefault="00EC5900" w:rsidP="00CF22AE">
      <w:pPr>
        <w:ind w:right="-347"/>
        <w:jc w:val="both"/>
        <w:rPr>
          <w:color w:val="000000" w:themeColor="text1"/>
        </w:rPr>
      </w:pPr>
    </w:p>
    <w:p w14:paraId="1B730CE4" w14:textId="77777777" w:rsidR="009D468F" w:rsidRPr="003C786B" w:rsidRDefault="00EC5900" w:rsidP="009D468F">
      <w:pPr>
        <w:ind w:right="-347"/>
        <w:jc w:val="both"/>
        <w:rPr>
          <w:color w:val="000000" w:themeColor="text1"/>
        </w:rPr>
      </w:pPr>
      <w:r w:rsidRPr="003C786B">
        <w:rPr>
          <w:color w:val="000000" w:themeColor="text1"/>
        </w:rPr>
        <w:t>We strongly believe that the Bill could be strengthe</w:t>
      </w:r>
      <w:r w:rsidR="005C0B01" w:rsidRPr="003C786B">
        <w:rPr>
          <w:color w:val="000000" w:themeColor="text1"/>
        </w:rPr>
        <w:t>ned by expressly providing that prosecution disclosure is provided at no cost. Whilst clause 52(2) of the Bill states that the charge sheet is provided “free of charge” there is no express waiver for disclosure. Given that a charge of $53.90 may be applied for disclosure of each offence, it can be costly to receive disclosure in full.  We therefore recommend that the Bill expressly provide that both the preliminary brief and the summary offence brief are provi</w:t>
      </w:r>
      <w:r w:rsidR="009D468F" w:rsidRPr="003C786B">
        <w:rPr>
          <w:color w:val="000000" w:themeColor="text1"/>
        </w:rPr>
        <w:t>ded at no cost to the accused.</w:t>
      </w:r>
    </w:p>
    <w:p w14:paraId="63ECD55B" w14:textId="77777777" w:rsidR="009D468F" w:rsidRPr="003C786B" w:rsidRDefault="009D468F" w:rsidP="009D468F">
      <w:pPr>
        <w:ind w:right="-347"/>
        <w:jc w:val="both"/>
        <w:rPr>
          <w:color w:val="000000" w:themeColor="text1"/>
        </w:rPr>
      </w:pPr>
    </w:p>
    <w:p w14:paraId="434810E8" w14:textId="5816ECEA" w:rsidR="009D468F" w:rsidRPr="003C786B" w:rsidRDefault="009D468F" w:rsidP="00CF22AE">
      <w:pPr>
        <w:ind w:right="-347"/>
        <w:jc w:val="both"/>
        <w:rPr>
          <w:color w:val="000000" w:themeColor="text1"/>
        </w:rPr>
      </w:pPr>
      <w:r w:rsidRPr="003C786B">
        <w:rPr>
          <w:rFonts w:eastAsia="Times New Roman" w:cs="Times New Roman"/>
          <w:color w:val="000000" w:themeColor="text1"/>
          <w:lang w:val="en-AU" w:eastAsia="en-AU"/>
        </w:rPr>
        <w:t xml:space="preserve">We also believe that the requirement in clause 75 that </w:t>
      </w:r>
      <w:r w:rsidR="007867B9" w:rsidRPr="003C786B">
        <w:rPr>
          <w:rFonts w:eastAsia="Times New Roman" w:cs="Times New Roman"/>
          <w:color w:val="000000" w:themeColor="text1"/>
          <w:lang w:val="en-AU" w:eastAsia="en-AU"/>
        </w:rPr>
        <w:t xml:space="preserve">a prosecutor is not required to </w:t>
      </w:r>
      <w:r w:rsidRPr="003C786B">
        <w:rPr>
          <w:rFonts w:eastAsia="Times New Roman" w:cs="Times New Roman"/>
          <w:color w:val="000000" w:themeColor="text1"/>
          <w:lang w:val="en-AU" w:eastAsia="en-AU"/>
        </w:rPr>
        <w:t xml:space="preserve">provide either a preliminary or full brief if it has already been provided to the defendant is unnecessarily harsh. If the disclosure provisions of this Bill are passed without amendment, some defendants will receive disclosure before they have sought legal representation. </w:t>
      </w:r>
      <w:r w:rsidR="007867B9" w:rsidRPr="003C786B">
        <w:rPr>
          <w:rFonts w:eastAsia="Times New Roman" w:cs="Times New Roman"/>
          <w:color w:val="000000" w:themeColor="text1"/>
          <w:lang w:val="en-AU" w:eastAsia="en-AU"/>
        </w:rPr>
        <w:t>In our experience, some defendants</w:t>
      </w:r>
      <w:r w:rsidRPr="003C786B">
        <w:rPr>
          <w:rFonts w:eastAsia="Times New Roman" w:cs="Times New Roman"/>
          <w:color w:val="000000" w:themeColor="text1"/>
          <w:lang w:val="en-AU" w:eastAsia="en-AU"/>
        </w:rPr>
        <w:t xml:space="preserve"> </w:t>
      </w:r>
      <w:r w:rsidR="007867B9" w:rsidRPr="003C786B">
        <w:rPr>
          <w:rFonts w:eastAsia="Times New Roman" w:cs="Times New Roman"/>
          <w:color w:val="000000" w:themeColor="text1"/>
          <w:lang w:val="en-AU" w:eastAsia="en-AU"/>
        </w:rPr>
        <w:t xml:space="preserve">may </w:t>
      </w:r>
      <w:r w:rsidRPr="003C786B">
        <w:rPr>
          <w:rFonts w:eastAsia="Times New Roman" w:cs="Times New Roman"/>
          <w:color w:val="000000" w:themeColor="text1"/>
          <w:lang w:val="en-AU" w:eastAsia="en-AU"/>
        </w:rPr>
        <w:t xml:space="preserve">lose the documents, </w:t>
      </w:r>
      <w:r w:rsidR="007867B9" w:rsidRPr="003C786B">
        <w:rPr>
          <w:rFonts w:eastAsia="Times New Roman" w:cs="Times New Roman"/>
          <w:color w:val="000000" w:themeColor="text1"/>
          <w:lang w:val="en-AU" w:eastAsia="en-AU"/>
        </w:rPr>
        <w:t>or the documents are</w:t>
      </w:r>
      <w:r w:rsidRPr="003C786B">
        <w:rPr>
          <w:rFonts w:eastAsia="Times New Roman" w:cs="Times New Roman"/>
          <w:color w:val="000000" w:themeColor="text1"/>
          <w:lang w:val="en-AU" w:eastAsia="en-AU"/>
        </w:rPr>
        <w:t xml:space="preserve"> </w:t>
      </w:r>
      <w:r w:rsidR="007867B9" w:rsidRPr="003C786B">
        <w:rPr>
          <w:rFonts w:eastAsia="Times New Roman" w:cs="Times New Roman"/>
          <w:color w:val="000000" w:themeColor="text1"/>
          <w:lang w:val="en-AU" w:eastAsia="en-AU"/>
        </w:rPr>
        <w:t xml:space="preserve">not received or are </w:t>
      </w:r>
      <w:r w:rsidRPr="003C786B">
        <w:rPr>
          <w:rFonts w:eastAsia="Times New Roman" w:cs="Times New Roman"/>
          <w:color w:val="000000" w:themeColor="text1"/>
          <w:lang w:val="en-AU" w:eastAsia="en-AU"/>
        </w:rPr>
        <w:t>destroyed or there may be some other reason why they are no longer in possession of the documents. Ideally, we believe the prosecution should be required to have a copy of t</w:t>
      </w:r>
      <w:r w:rsidR="007867B9" w:rsidRPr="003C786B">
        <w:rPr>
          <w:rFonts w:eastAsia="Times New Roman" w:cs="Times New Roman"/>
          <w:color w:val="000000" w:themeColor="text1"/>
          <w:lang w:val="en-AU" w:eastAsia="en-AU"/>
        </w:rPr>
        <w:t xml:space="preserve">he disclosure documents on file so that they </w:t>
      </w:r>
      <w:r w:rsidRPr="003C786B">
        <w:rPr>
          <w:rFonts w:eastAsia="Times New Roman" w:cs="Times New Roman"/>
          <w:color w:val="000000" w:themeColor="text1"/>
          <w:lang w:val="en-AU" w:eastAsia="en-AU"/>
        </w:rPr>
        <w:t>can be easily provided to the defendant's legal representative. Alternatively, clause 75 should allow the defendant or their legal representative to make an application for disclosure.</w:t>
      </w:r>
    </w:p>
    <w:p w14:paraId="1E758F2E" w14:textId="77777777" w:rsidR="009D468F" w:rsidRPr="003C786B" w:rsidRDefault="009D468F" w:rsidP="00CF22AE">
      <w:pPr>
        <w:ind w:right="-347"/>
        <w:jc w:val="both"/>
        <w:rPr>
          <w:color w:val="000000" w:themeColor="text1"/>
        </w:rPr>
      </w:pPr>
    </w:p>
    <w:p w14:paraId="58AF0CF0" w14:textId="74299C18" w:rsidR="001F2D4E" w:rsidRPr="003C786B" w:rsidRDefault="001C17F8" w:rsidP="00CF22AE">
      <w:pPr>
        <w:ind w:right="-347"/>
        <w:jc w:val="both"/>
        <w:rPr>
          <w:color w:val="000000" w:themeColor="text1"/>
        </w:rPr>
      </w:pPr>
      <w:r w:rsidRPr="003C786B">
        <w:rPr>
          <w:color w:val="000000" w:themeColor="text1"/>
        </w:rPr>
        <w:t xml:space="preserve">Finally, </w:t>
      </w:r>
      <w:r w:rsidR="001F2D4E" w:rsidRPr="003C786B">
        <w:rPr>
          <w:color w:val="000000" w:themeColor="text1"/>
        </w:rPr>
        <w:t xml:space="preserve">efficiencies in the provision of disclosure will only be met if adequate resourcing is assured. The need for additional resources was highlighted in a recent </w:t>
      </w:r>
      <w:r w:rsidRPr="003C786B">
        <w:rPr>
          <w:color w:val="000000" w:themeColor="text1"/>
        </w:rPr>
        <w:t xml:space="preserve">Sentencing Advisory Council </w:t>
      </w:r>
      <w:r w:rsidR="001F2D4E" w:rsidRPr="003C786B">
        <w:rPr>
          <w:color w:val="000000" w:themeColor="text1"/>
        </w:rPr>
        <w:t xml:space="preserve">report </w:t>
      </w:r>
      <w:r w:rsidR="00D64689" w:rsidRPr="003C786B">
        <w:rPr>
          <w:color w:val="000000" w:themeColor="text1"/>
        </w:rPr>
        <w:t>in which it was</w:t>
      </w:r>
      <w:r w:rsidR="001F2D4E" w:rsidRPr="003C786B">
        <w:rPr>
          <w:color w:val="000000" w:themeColor="text1"/>
        </w:rPr>
        <w:t xml:space="preserve"> observed:</w:t>
      </w:r>
      <w:r w:rsidR="00967847" w:rsidRPr="003C786B">
        <w:rPr>
          <w:rStyle w:val="FootnoteReference"/>
          <w:color w:val="000000" w:themeColor="text1"/>
        </w:rPr>
        <w:footnoteReference w:id="4"/>
      </w:r>
    </w:p>
    <w:p w14:paraId="0B41C10C" w14:textId="77777777" w:rsidR="001F2D4E" w:rsidRPr="003C786B" w:rsidRDefault="001F2D4E" w:rsidP="00CF22AE">
      <w:pPr>
        <w:ind w:right="-347"/>
        <w:jc w:val="both"/>
        <w:rPr>
          <w:color w:val="000000" w:themeColor="text1"/>
        </w:rPr>
      </w:pPr>
    </w:p>
    <w:p w14:paraId="4BD1CC15" w14:textId="5D4CEBAB" w:rsidR="001C17F8" w:rsidRPr="003C786B" w:rsidRDefault="001C17F8" w:rsidP="008B4504">
      <w:pPr>
        <w:ind w:left="709" w:right="787"/>
        <w:jc w:val="both"/>
        <w:rPr>
          <w:bCs/>
          <w:color w:val="000000" w:themeColor="text1"/>
          <w:sz w:val="22"/>
          <w:szCs w:val="22"/>
        </w:rPr>
      </w:pPr>
      <w:r w:rsidRPr="003C786B">
        <w:rPr>
          <w:bCs/>
          <w:color w:val="000000" w:themeColor="text1"/>
          <w:sz w:val="22"/>
          <w:szCs w:val="22"/>
        </w:rPr>
        <w:t>Additional funding for Tasmania Police, Legal Aid and the Office of the Director of Public Prosecutions will be necessary to support changing practices in relation to disclosure and the early attention to matters by prosecution and defence.</w:t>
      </w:r>
    </w:p>
    <w:p w14:paraId="4589CABB" w14:textId="77777777" w:rsidR="00FE5869" w:rsidRPr="003C786B" w:rsidRDefault="00FE5869" w:rsidP="00AE5EFC">
      <w:pPr>
        <w:ind w:right="-347"/>
        <w:jc w:val="both"/>
        <w:rPr>
          <w:bCs/>
          <w:color w:val="000000" w:themeColor="text1"/>
        </w:rPr>
      </w:pPr>
    </w:p>
    <w:p w14:paraId="6D12C233" w14:textId="26635D8F" w:rsidR="008B4504" w:rsidRPr="003C786B" w:rsidRDefault="008B4504" w:rsidP="00AE5EFC">
      <w:pPr>
        <w:ind w:right="-347"/>
        <w:jc w:val="both"/>
        <w:rPr>
          <w:b/>
          <w:bCs/>
          <w:i/>
          <w:color w:val="000000" w:themeColor="text1"/>
        </w:rPr>
      </w:pPr>
      <w:r w:rsidRPr="003C786B">
        <w:rPr>
          <w:b/>
          <w:bCs/>
          <w:i/>
          <w:color w:val="000000" w:themeColor="text1"/>
        </w:rPr>
        <w:t>Alibi evidence if elected summary offence (clause 106)</w:t>
      </w:r>
    </w:p>
    <w:p w14:paraId="3E00239F" w14:textId="3442210A" w:rsidR="008B4504" w:rsidRPr="003C786B" w:rsidRDefault="009E5623" w:rsidP="00AE5EFC">
      <w:pPr>
        <w:ind w:right="-347"/>
        <w:jc w:val="both"/>
        <w:rPr>
          <w:bCs/>
          <w:color w:val="000000" w:themeColor="text1"/>
        </w:rPr>
      </w:pPr>
      <w:r w:rsidRPr="003C786B">
        <w:rPr>
          <w:bCs/>
          <w:color w:val="000000" w:themeColor="text1"/>
        </w:rPr>
        <w:t xml:space="preserve">Clause 106 allows the accused to adduce evidence in support an alibi or call a witness to give evidence in support of an alibi provided </w:t>
      </w:r>
      <w:r w:rsidR="00CA09BF" w:rsidRPr="003C786B">
        <w:rPr>
          <w:bCs/>
          <w:color w:val="000000" w:themeColor="text1"/>
        </w:rPr>
        <w:t xml:space="preserve">written notice </w:t>
      </w:r>
      <w:r w:rsidR="003C786B">
        <w:rPr>
          <w:bCs/>
          <w:color w:val="000000" w:themeColor="text1"/>
        </w:rPr>
        <w:t xml:space="preserve">has been provided to the prosecution </w:t>
      </w:r>
      <w:r w:rsidR="00CA09BF" w:rsidRPr="003C786B">
        <w:rPr>
          <w:bCs/>
          <w:color w:val="000000" w:themeColor="text1"/>
        </w:rPr>
        <w:t xml:space="preserve">within the prescribed period. The clause defines ‘prescribed period’ as 7 days. In our opinion, 7 days is </w:t>
      </w:r>
      <w:r w:rsidR="003C786B">
        <w:rPr>
          <w:bCs/>
          <w:color w:val="000000" w:themeColor="text1"/>
        </w:rPr>
        <w:t>too narrow a timeframe as an</w:t>
      </w:r>
      <w:r w:rsidR="00DA3F98" w:rsidRPr="003C786B">
        <w:rPr>
          <w:bCs/>
          <w:color w:val="000000" w:themeColor="text1"/>
        </w:rPr>
        <w:t xml:space="preserve"> accused may have practical difficulties getting an</w:t>
      </w:r>
      <w:r w:rsidR="003C786B">
        <w:rPr>
          <w:bCs/>
          <w:color w:val="000000" w:themeColor="text1"/>
        </w:rPr>
        <w:t xml:space="preserve"> appointment with legal counsel to draft the written notice.</w:t>
      </w:r>
      <w:r w:rsidR="00DA3F98" w:rsidRPr="003C786B">
        <w:rPr>
          <w:bCs/>
          <w:color w:val="000000" w:themeColor="text1"/>
        </w:rPr>
        <w:t xml:space="preserve"> We believe that the prescribed period for the serving of a written notice outlining the alibi</w:t>
      </w:r>
      <w:r w:rsidR="00CA09BF" w:rsidRPr="003C786B">
        <w:rPr>
          <w:bCs/>
          <w:color w:val="000000" w:themeColor="text1"/>
        </w:rPr>
        <w:t xml:space="preserve"> should be extended to at least 14 days.   </w:t>
      </w:r>
    </w:p>
    <w:p w14:paraId="03B10974" w14:textId="77777777" w:rsidR="008B4504" w:rsidRPr="003C786B" w:rsidRDefault="008B4504" w:rsidP="00AE5EFC">
      <w:pPr>
        <w:ind w:right="-347"/>
        <w:jc w:val="both"/>
        <w:rPr>
          <w:bCs/>
          <w:color w:val="000000" w:themeColor="text1"/>
        </w:rPr>
      </w:pPr>
    </w:p>
    <w:p w14:paraId="43F662BB" w14:textId="77777777" w:rsidR="003C786B" w:rsidRPr="003C786B" w:rsidRDefault="003C786B" w:rsidP="00AE5EFC">
      <w:pPr>
        <w:ind w:right="-347"/>
        <w:jc w:val="both"/>
        <w:rPr>
          <w:bCs/>
          <w:color w:val="000000" w:themeColor="text1"/>
        </w:rPr>
      </w:pPr>
    </w:p>
    <w:p w14:paraId="5E366FBB" w14:textId="77777777" w:rsidR="003C786B" w:rsidRPr="003C786B" w:rsidRDefault="003C786B" w:rsidP="00AE5EFC">
      <w:pPr>
        <w:ind w:right="-347"/>
        <w:jc w:val="both"/>
        <w:rPr>
          <w:bCs/>
          <w:color w:val="000000" w:themeColor="text1"/>
        </w:rPr>
      </w:pPr>
    </w:p>
    <w:p w14:paraId="696943EE" w14:textId="77777777" w:rsidR="003C786B" w:rsidRPr="003C786B" w:rsidRDefault="003C786B" w:rsidP="00AE5EFC">
      <w:pPr>
        <w:ind w:right="-347"/>
        <w:jc w:val="both"/>
        <w:rPr>
          <w:bCs/>
          <w:color w:val="000000" w:themeColor="text1"/>
        </w:rPr>
      </w:pPr>
    </w:p>
    <w:p w14:paraId="10DD7A3A" w14:textId="67FA52A6" w:rsidR="00AE5EFC" w:rsidRPr="003C786B" w:rsidRDefault="00AE5EFC" w:rsidP="00AE5EFC">
      <w:pPr>
        <w:ind w:right="-347"/>
        <w:jc w:val="both"/>
        <w:rPr>
          <w:bCs/>
          <w:color w:val="000000" w:themeColor="text1"/>
        </w:rPr>
      </w:pPr>
      <w:r w:rsidRPr="003C786B">
        <w:rPr>
          <w:bCs/>
          <w:color w:val="000000" w:themeColor="text1"/>
        </w:rPr>
        <w:t xml:space="preserve">If </w:t>
      </w:r>
      <w:r w:rsidR="003C786B">
        <w:rPr>
          <w:bCs/>
          <w:color w:val="000000" w:themeColor="text1"/>
        </w:rPr>
        <w:t xml:space="preserve">you have any queries or </w:t>
      </w:r>
      <w:r w:rsidRPr="003C786B">
        <w:rPr>
          <w:bCs/>
          <w:color w:val="000000" w:themeColor="text1"/>
        </w:rPr>
        <w:t>we can be of any further assistance, please do not hesitate to contact us.</w:t>
      </w:r>
    </w:p>
    <w:p w14:paraId="1BA6B9B2" w14:textId="77777777" w:rsidR="00AE5EFC" w:rsidRPr="003C786B" w:rsidRDefault="00AE5EFC" w:rsidP="00AE5EFC">
      <w:pPr>
        <w:ind w:right="-347"/>
        <w:jc w:val="both"/>
        <w:rPr>
          <w:bCs/>
          <w:color w:val="000000" w:themeColor="text1"/>
        </w:rPr>
      </w:pPr>
    </w:p>
    <w:p w14:paraId="44AD280B" w14:textId="77777777" w:rsidR="009D468F" w:rsidRPr="003C786B" w:rsidRDefault="009D468F" w:rsidP="00AE5EFC">
      <w:pPr>
        <w:ind w:right="-347"/>
        <w:jc w:val="both"/>
        <w:rPr>
          <w:bCs/>
          <w:color w:val="000000" w:themeColor="text1"/>
        </w:rPr>
      </w:pPr>
    </w:p>
    <w:p w14:paraId="26809C35" w14:textId="77777777" w:rsidR="00AE5EFC" w:rsidRPr="003C786B" w:rsidRDefault="00AE5EFC" w:rsidP="00AE5EFC">
      <w:pPr>
        <w:ind w:right="-347"/>
        <w:jc w:val="both"/>
        <w:rPr>
          <w:bCs/>
          <w:color w:val="000000" w:themeColor="text1"/>
        </w:rPr>
      </w:pPr>
      <w:r w:rsidRPr="003C786B">
        <w:rPr>
          <w:bCs/>
          <w:color w:val="000000" w:themeColor="text1"/>
        </w:rPr>
        <w:t>Yours faithfully,</w:t>
      </w:r>
    </w:p>
    <w:p w14:paraId="2EF554DA" w14:textId="77777777" w:rsidR="00AE5EFC" w:rsidRPr="003C786B" w:rsidRDefault="00AE5EFC" w:rsidP="00AE5EFC">
      <w:pPr>
        <w:ind w:right="-347"/>
        <w:jc w:val="both"/>
        <w:rPr>
          <w:bCs/>
          <w:color w:val="000000" w:themeColor="text1"/>
        </w:rPr>
      </w:pPr>
    </w:p>
    <w:p w14:paraId="14C5007F" w14:textId="77777777" w:rsidR="00AE5EFC" w:rsidRPr="003C786B" w:rsidRDefault="00AE5EFC" w:rsidP="00AE5EFC">
      <w:pPr>
        <w:ind w:right="-347"/>
        <w:jc w:val="both"/>
        <w:rPr>
          <w:bCs/>
          <w:color w:val="000000" w:themeColor="text1"/>
        </w:rPr>
      </w:pPr>
    </w:p>
    <w:p w14:paraId="64B0BEAF" w14:textId="77777777" w:rsidR="00AE5EFC" w:rsidRPr="003C786B" w:rsidRDefault="00AE5EFC" w:rsidP="00AE5EFC">
      <w:pPr>
        <w:ind w:right="-347"/>
        <w:jc w:val="both"/>
        <w:rPr>
          <w:bCs/>
          <w:color w:val="000000" w:themeColor="text1"/>
        </w:rPr>
      </w:pPr>
    </w:p>
    <w:p w14:paraId="6B902267" w14:textId="77777777" w:rsidR="00AE5EFC" w:rsidRPr="003C786B" w:rsidRDefault="00AE5EFC" w:rsidP="00AE5EFC">
      <w:pPr>
        <w:ind w:right="-347"/>
        <w:jc w:val="both"/>
        <w:rPr>
          <w:bCs/>
          <w:color w:val="000000" w:themeColor="text1"/>
        </w:rPr>
      </w:pPr>
      <w:r w:rsidRPr="003C786B">
        <w:rPr>
          <w:bCs/>
          <w:color w:val="000000" w:themeColor="text1"/>
        </w:rPr>
        <w:t>Benedict Bartl</w:t>
      </w:r>
    </w:p>
    <w:p w14:paraId="1384B9AA" w14:textId="77777777" w:rsidR="00AE5EFC" w:rsidRPr="003C786B" w:rsidRDefault="00AE5EFC" w:rsidP="00AE5EFC">
      <w:pPr>
        <w:ind w:right="-347"/>
        <w:jc w:val="both"/>
        <w:rPr>
          <w:bCs/>
          <w:color w:val="000000" w:themeColor="text1"/>
        </w:rPr>
      </w:pPr>
      <w:r w:rsidRPr="003C786B">
        <w:rPr>
          <w:bCs/>
          <w:color w:val="000000" w:themeColor="text1"/>
        </w:rPr>
        <w:t>Policy Officer</w:t>
      </w:r>
    </w:p>
    <w:p w14:paraId="70590654" w14:textId="7B56381B" w:rsidR="00E030BA" w:rsidRPr="003C786B" w:rsidRDefault="00AE5EFC" w:rsidP="00D64689">
      <w:pPr>
        <w:pBdr>
          <w:bottom w:val="single" w:sz="6" w:space="1" w:color="auto"/>
        </w:pBdr>
        <w:ind w:right="-347"/>
        <w:jc w:val="both"/>
        <w:rPr>
          <w:b/>
          <w:bCs/>
          <w:color w:val="000000" w:themeColor="text1"/>
        </w:rPr>
      </w:pPr>
      <w:r w:rsidRPr="003C786B">
        <w:rPr>
          <w:b/>
          <w:bCs/>
          <w:color w:val="000000" w:themeColor="text1"/>
        </w:rPr>
        <w:t>Community Legal Centres Tasmania</w:t>
      </w:r>
    </w:p>
    <w:sectPr w:rsidR="00E030BA" w:rsidRPr="003C786B" w:rsidSect="006C60B1">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FC8F5" w14:textId="77777777" w:rsidR="008E2571" w:rsidRDefault="008E2571" w:rsidP="00AE5EFC">
      <w:r>
        <w:separator/>
      </w:r>
    </w:p>
  </w:endnote>
  <w:endnote w:type="continuationSeparator" w:id="0">
    <w:p w14:paraId="1135D7DD" w14:textId="77777777" w:rsidR="008E2571" w:rsidRDefault="008E2571" w:rsidP="00AE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73964" w14:textId="77777777" w:rsidR="0021271C" w:rsidRDefault="0021271C" w:rsidP="006C60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17F42" w14:textId="77777777" w:rsidR="0021271C" w:rsidRDefault="0021271C" w:rsidP="006C60B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2CC05" w14:textId="77777777" w:rsidR="0021271C" w:rsidRDefault="0021271C" w:rsidP="006C60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2571">
      <w:rPr>
        <w:rStyle w:val="PageNumber"/>
        <w:noProof/>
      </w:rPr>
      <w:t>1</w:t>
    </w:r>
    <w:r>
      <w:rPr>
        <w:rStyle w:val="PageNumber"/>
      </w:rPr>
      <w:fldChar w:fldCharType="end"/>
    </w:r>
  </w:p>
  <w:p w14:paraId="7399BB59" w14:textId="77777777" w:rsidR="0021271C" w:rsidRDefault="0021271C" w:rsidP="006C60B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A1775" w14:textId="77777777" w:rsidR="008E2571" w:rsidRDefault="008E2571" w:rsidP="00AE5EFC">
      <w:r>
        <w:separator/>
      </w:r>
    </w:p>
  </w:footnote>
  <w:footnote w:type="continuationSeparator" w:id="0">
    <w:p w14:paraId="320C8117" w14:textId="77777777" w:rsidR="008E2571" w:rsidRDefault="008E2571" w:rsidP="00AE5EFC">
      <w:r>
        <w:continuationSeparator/>
      </w:r>
    </w:p>
  </w:footnote>
  <w:footnote w:id="1">
    <w:p w14:paraId="6F403323" w14:textId="77777777" w:rsidR="0021271C" w:rsidRDefault="0021271C" w:rsidP="001F2D4E">
      <w:pPr>
        <w:pStyle w:val="FootnoteText"/>
      </w:pPr>
      <w:r>
        <w:rPr>
          <w:rStyle w:val="FootnoteReference"/>
        </w:rPr>
        <w:footnoteRef/>
      </w:r>
      <w:r>
        <w:t xml:space="preserve"> </w:t>
      </w:r>
      <w:r w:rsidRPr="00935175">
        <w:rPr>
          <w:sz w:val="20"/>
          <w:szCs w:val="20"/>
        </w:rPr>
        <w:t xml:space="preserve">KPMG, </w:t>
      </w:r>
      <w:r w:rsidRPr="00935175">
        <w:rPr>
          <w:i/>
          <w:sz w:val="20"/>
          <w:szCs w:val="20"/>
        </w:rPr>
        <w:t>Review of the Magistrates Court of Tasmania</w:t>
      </w:r>
      <w:r w:rsidRPr="00935175">
        <w:rPr>
          <w:sz w:val="20"/>
          <w:szCs w:val="20"/>
        </w:rPr>
        <w:t xml:space="preserve"> (Department of Justice, 2017) at 17.</w:t>
      </w:r>
      <w:r>
        <w:t xml:space="preserve"> </w:t>
      </w:r>
    </w:p>
  </w:footnote>
  <w:footnote w:id="2">
    <w:p w14:paraId="3EC266E9" w14:textId="1EF797B2" w:rsidR="0021271C" w:rsidRDefault="0021271C">
      <w:pPr>
        <w:pStyle w:val="FootnoteText"/>
      </w:pPr>
      <w:r>
        <w:rPr>
          <w:rStyle w:val="FootnoteReference"/>
        </w:rPr>
        <w:footnoteRef/>
      </w:r>
      <w:r>
        <w:t xml:space="preserve"> </w:t>
      </w:r>
      <w:r w:rsidRPr="00CF22AE">
        <w:rPr>
          <w:sz w:val="20"/>
          <w:szCs w:val="20"/>
        </w:rPr>
        <w:t>Clause 64(1)(b).</w:t>
      </w:r>
      <w:r>
        <w:t xml:space="preserve"> </w:t>
      </w:r>
    </w:p>
  </w:footnote>
  <w:footnote w:id="3">
    <w:p w14:paraId="78F45142" w14:textId="0B32E405" w:rsidR="0021271C" w:rsidRDefault="0021271C">
      <w:pPr>
        <w:pStyle w:val="FootnoteText"/>
      </w:pPr>
      <w:r>
        <w:rPr>
          <w:rStyle w:val="FootnoteReference"/>
        </w:rPr>
        <w:footnoteRef/>
      </w:r>
      <w:r>
        <w:t xml:space="preserve"> </w:t>
      </w:r>
      <w:r w:rsidRPr="001F1AD9">
        <w:rPr>
          <w:sz w:val="20"/>
          <w:szCs w:val="20"/>
        </w:rPr>
        <w:t>Clause 66(2).</w:t>
      </w:r>
      <w:r>
        <w:t xml:space="preserve"> </w:t>
      </w:r>
    </w:p>
  </w:footnote>
  <w:footnote w:id="4">
    <w:p w14:paraId="4A307C34" w14:textId="4BB4D3B2" w:rsidR="0021271C" w:rsidRDefault="0021271C">
      <w:pPr>
        <w:pStyle w:val="FootnoteText"/>
      </w:pPr>
      <w:r>
        <w:rPr>
          <w:rStyle w:val="FootnoteReference"/>
        </w:rPr>
        <w:footnoteRef/>
      </w:r>
      <w:r>
        <w:t xml:space="preserve"> </w:t>
      </w:r>
      <w:r w:rsidRPr="00967847">
        <w:rPr>
          <w:sz w:val="20"/>
          <w:szCs w:val="20"/>
        </w:rPr>
        <w:t xml:space="preserve">Sentencing Advisory Council, </w:t>
      </w:r>
      <w:r w:rsidRPr="00967847">
        <w:rPr>
          <w:i/>
          <w:sz w:val="20"/>
          <w:szCs w:val="20"/>
        </w:rPr>
        <w:t>Statutory Sentencing Reductions for Pleas of Guilty</w:t>
      </w:r>
      <w:r w:rsidRPr="00967847">
        <w:rPr>
          <w:sz w:val="20"/>
          <w:szCs w:val="20"/>
        </w:rPr>
        <w:t xml:space="preserve"> (Final Report No. 10 (October 2018) at vii.</w:t>
      </w:r>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B7EE5"/>
    <w:multiLevelType w:val="hybridMultilevel"/>
    <w:tmpl w:val="D94C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61A03"/>
    <w:multiLevelType w:val="hybridMultilevel"/>
    <w:tmpl w:val="382C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306BB0"/>
    <w:multiLevelType w:val="hybridMultilevel"/>
    <w:tmpl w:val="E7F09D3E"/>
    <w:lvl w:ilvl="0" w:tplc="07F6BCF8">
      <w:start w:val="1"/>
      <w:numFmt w:val="decimal"/>
      <w:lvlText w:val="%1."/>
      <w:lvlJc w:val="left"/>
      <w:pPr>
        <w:ind w:left="720" w:hanging="360"/>
      </w:pPr>
      <w:rPr>
        <w:rFonts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294E41"/>
    <w:multiLevelType w:val="hybridMultilevel"/>
    <w:tmpl w:val="AE78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FC"/>
    <w:rsid w:val="001C17F8"/>
    <w:rsid w:val="001C5150"/>
    <w:rsid w:val="001F1AD9"/>
    <w:rsid w:val="001F2D4E"/>
    <w:rsid w:val="0021271C"/>
    <w:rsid w:val="0028455B"/>
    <w:rsid w:val="002F5803"/>
    <w:rsid w:val="003525C8"/>
    <w:rsid w:val="003C091E"/>
    <w:rsid w:val="003C786B"/>
    <w:rsid w:val="00413CC0"/>
    <w:rsid w:val="004332E9"/>
    <w:rsid w:val="004C0469"/>
    <w:rsid w:val="005C0B01"/>
    <w:rsid w:val="006C60B1"/>
    <w:rsid w:val="007867B9"/>
    <w:rsid w:val="007F002C"/>
    <w:rsid w:val="008B4504"/>
    <w:rsid w:val="008E2571"/>
    <w:rsid w:val="00935175"/>
    <w:rsid w:val="0093570E"/>
    <w:rsid w:val="00967847"/>
    <w:rsid w:val="009C0589"/>
    <w:rsid w:val="009D468F"/>
    <w:rsid w:val="009E5623"/>
    <w:rsid w:val="00A54A37"/>
    <w:rsid w:val="00A657A8"/>
    <w:rsid w:val="00AE5EFC"/>
    <w:rsid w:val="00B01669"/>
    <w:rsid w:val="00B03452"/>
    <w:rsid w:val="00B22F65"/>
    <w:rsid w:val="00B82B5F"/>
    <w:rsid w:val="00BA795B"/>
    <w:rsid w:val="00BC2C6C"/>
    <w:rsid w:val="00C00956"/>
    <w:rsid w:val="00C1009A"/>
    <w:rsid w:val="00CA09BF"/>
    <w:rsid w:val="00CD7D75"/>
    <w:rsid w:val="00CF22AE"/>
    <w:rsid w:val="00D34B48"/>
    <w:rsid w:val="00D4228C"/>
    <w:rsid w:val="00D64689"/>
    <w:rsid w:val="00DA3F98"/>
    <w:rsid w:val="00DA756B"/>
    <w:rsid w:val="00DD267A"/>
    <w:rsid w:val="00E030BA"/>
    <w:rsid w:val="00E6091C"/>
    <w:rsid w:val="00E75422"/>
    <w:rsid w:val="00EC5900"/>
    <w:rsid w:val="00F32FDB"/>
    <w:rsid w:val="00FE5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7B68B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Text"/>
    <w:basedOn w:val="Normal"/>
    <w:link w:val="FootnoteTextChar"/>
    <w:unhideWhenUsed/>
    <w:rsid w:val="00AE5EFC"/>
  </w:style>
  <w:style w:type="character" w:customStyle="1" w:styleId="FootnoteTextChar">
    <w:name w:val="Footnote Text Char"/>
    <w:aliases w:val="Footnote Char,Text Char"/>
    <w:basedOn w:val="DefaultParagraphFont"/>
    <w:link w:val="FootnoteText"/>
    <w:rsid w:val="00AE5EFC"/>
  </w:style>
  <w:style w:type="character" w:styleId="FootnoteReference">
    <w:name w:val="footnote reference"/>
    <w:basedOn w:val="DefaultParagraphFont"/>
    <w:unhideWhenUsed/>
    <w:rsid w:val="00AE5EFC"/>
    <w:rPr>
      <w:vertAlign w:val="superscript"/>
    </w:rPr>
  </w:style>
  <w:style w:type="character" w:styleId="Hyperlink">
    <w:name w:val="Hyperlink"/>
    <w:basedOn w:val="DefaultParagraphFont"/>
    <w:uiPriority w:val="99"/>
    <w:unhideWhenUsed/>
    <w:rsid w:val="00AE5EFC"/>
    <w:rPr>
      <w:color w:val="0000FF" w:themeColor="hyperlink"/>
      <w:u w:val="single"/>
    </w:rPr>
  </w:style>
  <w:style w:type="paragraph" w:styleId="ListParagraph">
    <w:name w:val="List Paragraph"/>
    <w:basedOn w:val="Normal"/>
    <w:uiPriority w:val="34"/>
    <w:qFormat/>
    <w:rsid w:val="00AE5EFC"/>
    <w:pPr>
      <w:ind w:left="720"/>
      <w:contextualSpacing/>
    </w:pPr>
  </w:style>
  <w:style w:type="paragraph" w:styleId="Footer">
    <w:name w:val="footer"/>
    <w:basedOn w:val="Normal"/>
    <w:link w:val="FooterChar"/>
    <w:uiPriority w:val="99"/>
    <w:unhideWhenUsed/>
    <w:rsid w:val="00AE5EFC"/>
    <w:pPr>
      <w:tabs>
        <w:tab w:val="center" w:pos="4513"/>
        <w:tab w:val="right" w:pos="9026"/>
      </w:tabs>
    </w:pPr>
  </w:style>
  <w:style w:type="character" w:customStyle="1" w:styleId="FooterChar">
    <w:name w:val="Footer Char"/>
    <w:basedOn w:val="DefaultParagraphFont"/>
    <w:link w:val="Footer"/>
    <w:uiPriority w:val="99"/>
    <w:rsid w:val="00AE5EFC"/>
  </w:style>
  <w:style w:type="character" w:styleId="PageNumber">
    <w:name w:val="page number"/>
    <w:basedOn w:val="DefaultParagraphFont"/>
    <w:uiPriority w:val="99"/>
    <w:semiHidden/>
    <w:unhideWhenUsed/>
    <w:rsid w:val="00AE5EFC"/>
  </w:style>
  <w:style w:type="paragraph" w:styleId="BalloonText">
    <w:name w:val="Balloon Text"/>
    <w:basedOn w:val="Normal"/>
    <w:link w:val="BalloonTextChar"/>
    <w:uiPriority w:val="99"/>
    <w:semiHidden/>
    <w:unhideWhenUsed/>
    <w:rsid w:val="00AE5E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5EFC"/>
    <w:rPr>
      <w:rFonts w:ascii="Lucida Grande" w:hAnsi="Lucida Grande" w:cs="Lucida Grande"/>
      <w:sz w:val="18"/>
      <w:szCs w:val="18"/>
    </w:rPr>
  </w:style>
  <w:style w:type="paragraph" w:styleId="NormalWeb">
    <w:name w:val="Normal (Web)"/>
    <w:basedOn w:val="Normal"/>
    <w:uiPriority w:val="99"/>
    <w:semiHidden/>
    <w:unhideWhenUsed/>
    <w:rsid w:val="00AE5EFC"/>
    <w:pPr>
      <w:spacing w:before="100" w:beforeAutospacing="1" w:after="100" w:afterAutospacing="1"/>
    </w:pPr>
    <w:rPr>
      <w:rFonts w:ascii="Times New Roman" w:hAnsi="Times New Roman" w:cs="Times New Roman"/>
      <w:sz w:val="20"/>
      <w:szCs w:val="20"/>
      <w:lang w:val="en-AU"/>
    </w:rPr>
  </w:style>
  <w:style w:type="character" w:styleId="Emphasis">
    <w:name w:val="Emphasis"/>
    <w:basedOn w:val="DefaultParagraphFont"/>
    <w:uiPriority w:val="20"/>
    <w:qFormat/>
    <w:rsid w:val="00AE5E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867005">
      <w:bodyDiv w:val="1"/>
      <w:marLeft w:val="0"/>
      <w:marRight w:val="0"/>
      <w:marTop w:val="0"/>
      <w:marBottom w:val="0"/>
      <w:divBdr>
        <w:top w:val="none" w:sz="0" w:space="0" w:color="auto"/>
        <w:left w:val="none" w:sz="0" w:space="0" w:color="auto"/>
        <w:bottom w:val="none" w:sz="0" w:space="0" w:color="auto"/>
        <w:right w:val="none" w:sz="0" w:space="0" w:color="auto"/>
      </w:divBdr>
      <w:divsChild>
        <w:div w:id="856577078">
          <w:blockQuote w:val="1"/>
          <w:marLeft w:val="0"/>
          <w:marRight w:val="0"/>
          <w:marTop w:val="120"/>
          <w:marBottom w:val="120"/>
          <w:divBdr>
            <w:top w:val="none" w:sz="0" w:space="0" w:color="auto"/>
            <w:left w:val="none" w:sz="0" w:space="0" w:color="auto"/>
            <w:bottom w:val="none" w:sz="0" w:space="0" w:color="auto"/>
            <w:right w:val="none" w:sz="0" w:space="0" w:color="auto"/>
          </w:divBdr>
        </w:div>
        <w:div w:id="892623936">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1227180031">
      <w:bodyDiv w:val="1"/>
      <w:marLeft w:val="0"/>
      <w:marRight w:val="0"/>
      <w:marTop w:val="0"/>
      <w:marBottom w:val="0"/>
      <w:divBdr>
        <w:top w:val="none" w:sz="0" w:space="0" w:color="auto"/>
        <w:left w:val="none" w:sz="0" w:space="0" w:color="auto"/>
        <w:bottom w:val="none" w:sz="0" w:space="0" w:color="auto"/>
        <w:right w:val="none" w:sz="0" w:space="0" w:color="auto"/>
      </w:divBdr>
    </w:div>
    <w:div w:id="1285884994">
      <w:bodyDiv w:val="1"/>
      <w:marLeft w:val="0"/>
      <w:marRight w:val="0"/>
      <w:marTop w:val="0"/>
      <w:marBottom w:val="0"/>
      <w:divBdr>
        <w:top w:val="none" w:sz="0" w:space="0" w:color="auto"/>
        <w:left w:val="none" w:sz="0" w:space="0" w:color="auto"/>
        <w:bottom w:val="none" w:sz="0" w:space="0" w:color="auto"/>
        <w:right w:val="none" w:sz="0" w:space="0" w:color="auto"/>
      </w:divBdr>
      <w:divsChild>
        <w:div w:id="254746571">
          <w:marLeft w:val="0"/>
          <w:marRight w:val="0"/>
          <w:marTop w:val="0"/>
          <w:marBottom w:val="0"/>
          <w:divBdr>
            <w:top w:val="none" w:sz="0" w:space="0" w:color="auto"/>
            <w:left w:val="none" w:sz="0" w:space="0" w:color="auto"/>
            <w:bottom w:val="none" w:sz="0" w:space="0" w:color="auto"/>
            <w:right w:val="none" w:sz="0" w:space="0" w:color="auto"/>
          </w:divBdr>
        </w:div>
      </w:divsChild>
    </w:div>
    <w:div w:id="1403867626">
      <w:bodyDiv w:val="1"/>
      <w:marLeft w:val="0"/>
      <w:marRight w:val="0"/>
      <w:marTop w:val="0"/>
      <w:marBottom w:val="0"/>
      <w:divBdr>
        <w:top w:val="none" w:sz="0" w:space="0" w:color="auto"/>
        <w:left w:val="none" w:sz="0" w:space="0" w:color="auto"/>
        <w:bottom w:val="none" w:sz="0" w:space="0" w:color="auto"/>
        <w:right w:val="none" w:sz="0" w:space="0" w:color="auto"/>
      </w:divBdr>
    </w:div>
    <w:div w:id="1457405583">
      <w:bodyDiv w:val="1"/>
      <w:marLeft w:val="0"/>
      <w:marRight w:val="0"/>
      <w:marTop w:val="0"/>
      <w:marBottom w:val="0"/>
      <w:divBdr>
        <w:top w:val="none" w:sz="0" w:space="0" w:color="auto"/>
        <w:left w:val="none" w:sz="0" w:space="0" w:color="auto"/>
        <w:bottom w:val="none" w:sz="0" w:space="0" w:color="auto"/>
        <w:right w:val="none" w:sz="0" w:space="0" w:color="auto"/>
      </w:divBdr>
    </w:div>
    <w:div w:id="1606383183">
      <w:bodyDiv w:val="1"/>
      <w:marLeft w:val="0"/>
      <w:marRight w:val="0"/>
      <w:marTop w:val="0"/>
      <w:marBottom w:val="0"/>
      <w:divBdr>
        <w:top w:val="none" w:sz="0" w:space="0" w:color="auto"/>
        <w:left w:val="none" w:sz="0" w:space="0" w:color="auto"/>
        <w:bottom w:val="none" w:sz="0" w:space="0" w:color="auto"/>
        <w:right w:val="none" w:sz="0" w:space="0" w:color="auto"/>
      </w:divBdr>
    </w:div>
    <w:div w:id="1628122573">
      <w:bodyDiv w:val="1"/>
      <w:marLeft w:val="0"/>
      <w:marRight w:val="0"/>
      <w:marTop w:val="0"/>
      <w:marBottom w:val="0"/>
      <w:divBdr>
        <w:top w:val="none" w:sz="0" w:space="0" w:color="auto"/>
        <w:left w:val="none" w:sz="0" w:space="0" w:color="auto"/>
        <w:bottom w:val="none" w:sz="0" w:space="0" w:color="auto"/>
        <w:right w:val="none" w:sz="0" w:space="0" w:color="auto"/>
      </w:divBdr>
    </w:div>
    <w:div w:id="1945649580">
      <w:bodyDiv w:val="1"/>
      <w:marLeft w:val="0"/>
      <w:marRight w:val="0"/>
      <w:marTop w:val="0"/>
      <w:marBottom w:val="0"/>
      <w:divBdr>
        <w:top w:val="none" w:sz="0" w:space="0" w:color="auto"/>
        <w:left w:val="none" w:sz="0" w:space="0" w:color="auto"/>
        <w:bottom w:val="none" w:sz="0" w:space="0" w:color="auto"/>
        <w:right w:val="none" w:sz="0" w:space="0" w:color="auto"/>
      </w:divBdr>
      <w:divsChild>
        <w:div w:id="1853953247">
          <w:marLeft w:val="0"/>
          <w:marRight w:val="0"/>
          <w:marTop w:val="0"/>
          <w:marBottom w:val="0"/>
          <w:divBdr>
            <w:top w:val="none" w:sz="0" w:space="0" w:color="auto"/>
            <w:left w:val="none" w:sz="0" w:space="0" w:color="auto"/>
            <w:bottom w:val="none" w:sz="0" w:space="0" w:color="auto"/>
            <w:right w:val="none" w:sz="0" w:space="0" w:color="auto"/>
          </w:divBdr>
          <w:divsChild>
            <w:div w:id="790828874">
              <w:marLeft w:val="0"/>
              <w:marRight w:val="0"/>
              <w:marTop w:val="0"/>
              <w:marBottom w:val="0"/>
              <w:divBdr>
                <w:top w:val="none" w:sz="0" w:space="0" w:color="auto"/>
                <w:left w:val="none" w:sz="0" w:space="0" w:color="auto"/>
                <w:bottom w:val="none" w:sz="0" w:space="0" w:color="auto"/>
                <w:right w:val="none" w:sz="0" w:space="0" w:color="auto"/>
              </w:divBdr>
            </w:div>
            <w:div w:id="999775632">
              <w:marLeft w:val="0"/>
              <w:marRight w:val="0"/>
              <w:marTop w:val="0"/>
              <w:marBottom w:val="0"/>
              <w:divBdr>
                <w:top w:val="none" w:sz="0" w:space="0" w:color="auto"/>
                <w:left w:val="none" w:sz="0" w:space="0" w:color="auto"/>
                <w:bottom w:val="none" w:sz="0" w:space="0" w:color="auto"/>
                <w:right w:val="none" w:sz="0" w:space="0" w:color="auto"/>
              </w:divBdr>
              <w:divsChild>
                <w:div w:id="1859998228">
                  <w:marLeft w:val="0"/>
                  <w:marRight w:val="0"/>
                  <w:marTop w:val="0"/>
                  <w:marBottom w:val="0"/>
                  <w:divBdr>
                    <w:top w:val="none" w:sz="0" w:space="0" w:color="auto"/>
                    <w:left w:val="none" w:sz="0" w:space="0" w:color="auto"/>
                    <w:bottom w:val="none" w:sz="0" w:space="0" w:color="auto"/>
                    <w:right w:val="none" w:sz="0" w:space="0" w:color="auto"/>
                  </w:divBdr>
                </w:div>
                <w:div w:id="1690525722">
                  <w:marLeft w:val="0"/>
                  <w:marRight w:val="0"/>
                  <w:marTop w:val="0"/>
                  <w:marBottom w:val="0"/>
                  <w:divBdr>
                    <w:top w:val="none" w:sz="0" w:space="0" w:color="auto"/>
                    <w:left w:val="none" w:sz="0" w:space="0" w:color="auto"/>
                    <w:bottom w:val="none" w:sz="0" w:space="0" w:color="auto"/>
                    <w:right w:val="none" w:sz="0" w:space="0" w:color="auto"/>
                  </w:divBdr>
                </w:div>
                <w:div w:id="1825050000">
                  <w:marLeft w:val="0"/>
                  <w:marRight w:val="0"/>
                  <w:marTop w:val="0"/>
                  <w:marBottom w:val="0"/>
                  <w:divBdr>
                    <w:top w:val="none" w:sz="0" w:space="0" w:color="auto"/>
                    <w:left w:val="none" w:sz="0" w:space="0" w:color="auto"/>
                    <w:bottom w:val="none" w:sz="0" w:space="0" w:color="auto"/>
                    <w:right w:val="none" w:sz="0" w:space="0" w:color="auto"/>
                  </w:divBdr>
                </w:div>
                <w:div w:id="13162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38653">
          <w:marLeft w:val="0"/>
          <w:marRight w:val="0"/>
          <w:marTop w:val="0"/>
          <w:marBottom w:val="0"/>
          <w:divBdr>
            <w:top w:val="none" w:sz="0" w:space="0" w:color="auto"/>
            <w:left w:val="none" w:sz="0" w:space="0" w:color="auto"/>
            <w:bottom w:val="none" w:sz="0" w:space="0" w:color="auto"/>
            <w:right w:val="none" w:sz="0" w:space="0" w:color="auto"/>
          </w:divBdr>
        </w:div>
      </w:divsChild>
    </w:div>
    <w:div w:id="20900746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haveyoursay@justice.tas.gov.au"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6566</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TACLC</Company>
  <LinksUpToDate>false</LinksUpToDate>
  <CharactersWithSpaces>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Worker</dc:creator>
  <cp:keywords/>
  <dc:description/>
  <cp:lastModifiedBy>Microsoft Office User</cp:lastModifiedBy>
  <cp:revision>2</cp:revision>
  <dcterms:created xsi:type="dcterms:W3CDTF">2019-05-13T23:17:00Z</dcterms:created>
  <dcterms:modified xsi:type="dcterms:W3CDTF">2019-05-13T23:17:00Z</dcterms:modified>
</cp:coreProperties>
</file>