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D55E" w14:textId="77777777" w:rsidR="00674600" w:rsidRDefault="00674600" w:rsidP="00674600">
      <w:pPr>
        <w:ind w:right="-205"/>
        <w:jc w:val="center"/>
      </w:pPr>
      <w:r w:rsidRPr="00B10735">
        <w:rPr>
          <w:noProof/>
          <w:sz w:val="20"/>
          <w:szCs w:val="20"/>
          <w:lang w:eastAsia="en-AU"/>
        </w:rPr>
        <w:drawing>
          <wp:inline distT="0" distB="0" distL="0" distR="0" wp14:anchorId="538BCBEF" wp14:editId="351B7BB9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5D20" w14:textId="77777777" w:rsidR="00674600" w:rsidRPr="00EB55F4" w:rsidRDefault="00674600" w:rsidP="00674600">
      <w:pPr>
        <w:ind w:right="-205"/>
      </w:pPr>
    </w:p>
    <w:p w14:paraId="6B4B76A1" w14:textId="77777777" w:rsidR="00674600" w:rsidRPr="00674600" w:rsidRDefault="00674600" w:rsidP="00674600">
      <w:pPr>
        <w:ind w:right="-205"/>
      </w:pPr>
    </w:p>
    <w:p w14:paraId="4912EECE" w14:textId="77777777" w:rsidR="00674600" w:rsidRPr="00674600" w:rsidRDefault="00674600" w:rsidP="00674600">
      <w:pPr>
        <w:ind w:right="-205"/>
      </w:pPr>
      <w:r w:rsidRPr="00674600">
        <w:t>1 February 2019</w:t>
      </w:r>
    </w:p>
    <w:p w14:paraId="76603976" w14:textId="77777777" w:rsidR="00674600" w:rsidRPr="00674600" w:rsidRDefault="00674600" w:rsidP="00674600">
      <w:pPr>
        <w:ind w:right="-205"/>
      </w:pPr>
    </w:p>
    <w:p w14:paraId="648961E5" w14:textId="77777777" w:rsidR="00E0014E" w:rsidRDefault="00674600" w:rsidP="00674600">
      <w:pPr>
        <w:rPr>
          <w:rFonts w:eastAsia="Times New Roman" w:cs="Times New Roman"/>
          <w:color w:val="212529"/>
          <w:shd w:val="clear" w:color="auto" w:fill="FFFFFF"/>
        </w:rPr>
      </w:pPr>
      <w:r w:rsidRPr="00674600">
        <w:rPr>
          <w:rFonts w:eastAsia="Times New Roman" w:cs="Times New Roman"/>
          <w:color w:val="212529"/>
          <w:shd w:val="clear" w:color="auto" w:fill="FFFFFF"/>
        </w:rPr>
        <w:t>Department of Justice </w:t>
      </w:r>
      <w:r w:rsidRPr="00674600">
        <w:rPr>
          <w:rFonts w:eastAsia="Times New Roman" w:cs="Times New Roman"/>
          <w:color w:val="212529"/>
        </w:rPr>
        <w:br/>
      </w:r>
      <w:r w:rsidRPr="00674600">
        <w:rPr>
          <w:rFonts w:eastAsia="Times New Roman" w:cs="Times New Roman"/>
          <w:color w:val="212529"/>
          <w:shd w:val="clear" w:color="auto" w:fill="FFFFFF"/>
        </w:rPr>
        <w:t>Strategic Legislation and Policy </w:t>
      </w:r>
      <w:r w:rsidRPr="00674600">
        <w:rPr>
          <w:rFonts w:eastAsia="Times New Roman" w:cs="Times New Roman"/>
          <w:color w:val="212529"/>
        </w:rPr>
        <w:br/>
      </w:r>
      <w:r w:rsidRPr="00674600">
        <w:rPr>
          <w:rFonts w:eastAsia="Times New Roman" w:cs="Times New Roman"/>
          <w:color w:val="212529"/>
          <w:shd w:val="clear" w:color="auto" w:fill="FFFFFF"/>
        </w:rPr>
        <w:t xml:space="preserve">GPO Box 825 </w:t>
      </w:r>
    </w:p>
    <w:p w14:paraId="057D7C1D" w14:textId="77777777" w:rsidR="00674600" w:rsidRPr="00E0014E" w:rsidRDefault="00674600" w:rsidP="00674600">
      <w:pPr>
        <w:rPr>
          <w:rFonts w:eastAsia="Times New Roman" w:cs="Times New Roman"/>
        </w:rPr>
      </w:pPr>
      <w:r w:rsidRPr="00674600">
        <w:rPr>
          <w:rFonts w:eastAsia="Times New Roman" w:cs="Times New Roman"/>
          <w:color w:val="212529"/>
          <w:shd w:val="clear" w:color="auto" w:fill="FFFFFF"/>
        </w:rPr>
        <w:t>Hobart TAS 7001</w:t>
      </w:r>
    </w:p>
    <w:p w14:paraId="3A0F29EB" w14:textId="77777777" w:rsidR="00674600" w:rsidRPr="00674600" w:rsidRDefault="00674600" w:rsidP="00674600">
      <w:pPr>
        <w:ind w:left="2160" w:firstLine="720"/>
        <w:rPr>
          <w:rFonts w:eastAsia="Times New Roman" w:cs="Times New Roman"/>
          <w:i/>
        </w:rPr>
      </w:pPr>
      <w:r w:rsidRPr="00674600">
        <w:rPr>
          <w:b/>
          <w:i/>
        </w:rPr>
        <w:t xml:space="preserve">via email: </w:t>
      </w:r>
      <w:hyperlink r:id="rId8" w:history="1">
        <w:r w:rsidRPr="00674600">
          <w:rPr>
            <w:rFonts w:eastAsia="Times New Roman" w:cs="Times New Roman"/>
            <w:i/>
            <w:color w:val="0000FF"/>
            <w:u w:val="single"/>
            <w:shd w:val="clear" w:color="auto" w:fill="FFFFFF"/>
          </w:rPr>
          <w:t>haveyoursay@justice.tas.gov.au</w:t>
        </w:r>
      </w:hyperlink>
    </w:p>
    <w:p w14:paraId="72C7FDDA" w14:textId="77777777" w:rsidR="00674600" w:rsidRPr="00674600" w:rsidRDefault="00674600" w:rsidP="00674600">
      <w:pPr>
        <w:ind w:right="-205"/>
        <w:rPr>
          <w:b/>
          <w:i/>
        </w:rPr>
      </w:pPr>
    </w:p>
    <w:p w14:paraId="7D627A18" w14:textId="579F6DCC" w:rsidR="00674600" w:rsidRPr="00EB55F4" w:rsidRDefault="00CD1507" w:rsidP="00674600">
      <w:pPr>
        <w:ind w:right="-64"/>
      </w:pPr>
      <w:r>
        <w:t>To Georgina Hay</w:t>
      </w:r>
      <w:r w:rsidR="00674600" w:rsidRPr="00EB55F4">
        <w:t>,</w:t>
      </w:r>
    </w:p>
    <w:p w14:paraId="45F2EC1F" w14:textId="77777777" w:rsidR="00674600" w:rsidRPr="00EB55F4" w:rsidRDefault="00674600" w:rsidP="00674600">
      <w:pPr>
        <w:pBdr>
          <w:bottom w:val="single" w:sz="6" w:space="1" w:color="auto"/>
        </w:pBdr>
        <w:rPr>
          <w:b/>
        </w:rPr>
      </w:pPr>
      <w:r w:rsidRPr="00EB55F4">
        <w:rPr>
          <w:b/>
        </w:rPr>
        <w:t xml:space="preserve">Re: </w:t>
      </w:r>
      <w:r>
        <w:rPr>
          <w:b/>
          <w:i/>
        </w:rPr>
        <w:t>Criminal Code Amendment (Bullying)</w:t>
      </w:r>
      <w:r w:rsidRPr="00EB55F4">
        <w:rPr>
          <w:b/>
          <w:i/>
        </w:rPr>
        <w:t xml:space="preserve"> Bill 201</w:t>
      </w:r>
      <w:r>
        <w:rPr>
          <w:b/>
          <w:i/>
        </w:rPr>
        <w:t>9</w:t>
      </w:r>
    </w:p>
    <w:p w14:paraId="13592F6A" w14:textId="77777777" w:rsidR="00674600" w:rsidRPr="00EB55F4" w:rsidRDefault="00674600" w:rsidP="00674600">
      <w:pPr>
        <w:ind w:right="-64"/>
      </w:pPr>
      <w:r w:rsidRPr="00EB55F4">
        <w:t xml:space="preserve"> </w:t>
      </w:r>
    </w:p>
    <w:p w14:paraId="5F7CBA4A" w14:textId="77777777" w:rsidR="00674600" w:rsidRDefault="00674600" w:rsidP="00674600">
      <w:pPr>
        <w:ind w:right="-347"/>
        <w:jc w:val="both"/>
      </w:pPr>
      <w:r w:rsidRPr="008A004F">
        <w:rPr>
          <w:rFonts w:cs="Calibri"/>
        </w:rPr>
        <w:t>Community Legal Centres Tasmania (CLC Tas)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 xml:space="preserve">provide </w:t>
      </w:r>
      <w:r w:rsidRPr="00C1176A">
        <w:t xml:space="preserve">comment on the </w:t>
      </w:r>
      <w:r>
        <w:rPr>
          <w:i/>
        </w:rPr>
        <w:t xml:space="preserve">Criminal Code Amendment (Bullying) Bill 2019 </w:t>
      </w:r>
      <w:r w:rsidRPr="00EB55F4">
        <w:rPr>
          <w:color w:val="0D0D0D" w:themeColor="text1" w:themeTint="F2"/>
        </w:rPr>
        <w:t>(‘the Bill’).</w:t>
      </w:r>
      <w:r w:rsidRPr="00EB55F4">
        <w:rPr>
          <w:rStyle w:val="FootnoteReference"/>
          <w:color w:val="0D0D0D" w:themeColor="text1" w:themeTint="F2"/>
        </w:rPr>
        <w:footnoteReference w:id="1"/>
      </w:r>
    </w:p>
    <w:p w14:paraId="4F039F58" w14:textId="77777777" w:rsidR="00674600" w:rsidRDefault="00674600" w:rsidP="00674600">
      <w:pPr>
        <w:ind w:right="-347"/>
        <w:jc w:val="both"/>
      </w:pPr>
    </w:p>
    <w:p w14:paraId="5904D37A" w14:textId="77777777" w:rsidR="00674600" w:rsidRPr="001F3A86" w:rsidRDefault="00674600" w:rsidP="00674600">
      <w:pPr>
        <w:ind w:right="-347"/>
        <w:jc w:val="both"/>
      </w:pPr>
      <w:r w:rsidRPr="008A004F">
        <w:rPr>
          <w:rFonts w:eastAsia="Times New Roman" w:cs="Arial"/>
          <w:lang w:eastAsia="en-AU"/>
        </w:rPr>
        <w:t xml:space="preserve">CLC Tas </w:t>
      </w:r>
      <w:r w:rsidRPr="008A004F">
        <w:rPr>
          <w:rFonts w:cs="Arial"/>
        </w:rPr>
        <w:t xml:space="preserve">is the peak body representing the interests of </w:t>
      </w:r>
      <w:r>
        <w:rPr>
          <w:rFonts w:cs="Arial"/>
        </w:rPr>
        <w:t>nine</w:t>
      </w:r>
      <w:r w:rsidRPr="008A004F">
        <w:rPr>
          <w:rFonts w:cs="Arial"/>
        </w:rPr>
        <w:t xml:space="preserve"> community legal centres (CLCs) located throu</w:t>
      </w:r>
      <w:r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>-for-profit and incorporated organisation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2931C75D" w14:textId="77777777" w:rsidR="00674600" w:rsidRDefault="00674600" w:rsidP="00674600">
      <w:pPr>
        <w:ind w:right="-347"/>
        <w:jc w:val="both"/>
        <w:rPr>
          <w:rFonts w:cs="Arial"/>
          <w:color w:val="000000"/>
        </w:rPr>
      </w:pPr>
    </w:p>
    <w:p w14:paraId="6654765B" w14:textId="0AA1508A" w:rsidR="00AD0793" w:rsidRDefault="00C166D3" w:rsidP="00FB6D50">
      <w:pPr>
        <w:ind w:right="-347"/>
        <w:jc w:val="both"/>
      </w:pPr>
      <w:r w:rsidRPr="00AD0793">
        <w:t xml:space="preserve">We support the </w:t>
      </w:r>
      <w:r w:rsidR="00FB6D50" w:rsidRPr="00AD0793">
        <w:t xml:space="preserve">Government’s </w:t>
      </w:r>
      <w:r w:rsidRPr="00AD0793">
        <w:t xml:space="preserve">intent </w:t>
      </w:r>
      <w:r w:rsidR="00FB6D50" w:rsidRPr="00AD0793">
        <w:t xml:space="preserve">to amend the </w:t>
      </w:r>
      <w:r w:rsidR="00FB6D50" w:rsidRPr="00AD0793">
        <w:rPr>
          <w:i/>
        </w:rPr>
        <w:t>Criminal Code Act 1924</w:t>
      </w:r>
      <w:r w:rsidR="00FB6D50" w:rsidRPr="00AD0793">
        <w:t xml:space="preserve"> </w:t>
      </w:r>
      <w:r w:rsidR="00822D90" w:rsidRPr="00AD0793">
        <w:t xml:space="preserve">(Tas) </w:t>
      </w:r>
      <w:r w:rsidR="00FB6D50" w:rsidRPr="00AD0793">
        <w:t xml:space="preserve">and provide for the prosecution of persons who </w:t>
      </w:r>
      <w:r w:rsidR="00656E0F" w:rsidRPr="00AD0793">
        <w:t xml:space="preserve">either in person or through electronic </w:t>
      </w:r>
      <w:r w:rsidR="00822D90" w:rsidRPr="00AD0793">
        <w:t xml:space="preserve">forms of </w:t>
      </w:r>
      <w:r w:rsidR="00656E0F" w:rsidRPr="00AD0793">
        <w:t xml:space="preserve">communication </w:t>
      </w:r>
      <w:r w:rsidR="00B00E52" w:rsidRPr="00AD0793">
        <w:t xml:space="preserve">intend to cause </w:t>
      </w:r>
      <w:r w:rsidR="00FB6D50" w:rsidRPr="00AD0793">
        <w:t xml:space="preserve">physical or mental harm to others. </w:t>
      </w:r>
      <w:r w:rsidR="002C7E78" w:rsidRPr="00AD0793">
        <w:t xml:space="preserve">However, </w:t>
      </w:r>
      <w:r w:rsidR="00A90E6D" w:rsidRPr="00AD0793">
        <w:t xml:space="preserve">the use of the criminal law to address bullying </w:t>
      </w:r>
      <w:r w:rsidR="00323937" w:rsidRPr="00AD0793">
        <w:t xml:space="preserve">is only </w:t>
      </w:r>
      <w:r w:rsidR="00A90E6D" w:rsidRPr="00AD0793">
        <w:t xml:space="preserve">one </w:t>
      </w:r>
      <w:r w:rsidR="007E6957" w:rsidRPr="00AD0793">
        <w:t xml:space="preserve">of fifteen recommendations </w:t>
      </w:r>
      <w:r w:rsidR="00323937" w:rsidRPr="00AD0793">
        <w:t>contained in</w:t>
      </w:r>
      <w:r w:rsidRPr="00AD0793">
        <w:t xml:space="preserve"> the </w:t>
      </w:r>
      <w:r w:rsidR="007C7F36">
        <w:t xml:space="preserve">comprehensive review of bulling by the </w:t>
      </w:r>
      <w:r w:rsidRPr="00AD0793">
        <w:t>Tasmania Law Reform Institute</w:t>
      </w:r>
      <w:r w:rsidR="008A5E8A" w:rsidRPr="00AD0793">
        <w:t>.</w:t>
      </w:r>
      <w:r w:rsidR="008A5E8A" w:rsidRPr="00AD0793">
        <w:rPr>
          <w:rStyle w:val="FootnoteReference"/>
        </w:rPr>
        <w:footnoteReference w:id="2"/>
      </w:r>
      <w:r w:rsidR="00CA64F9">
        <w:t xml:space="preserve"> </w:t>
      </w:r>
      <w:r w:rsidR="00323937" w:rsidRPr="00AD0793">
        <w:t>W</w:t>
      </w:r>
      <w:r w:rsidR="00BE1E3A" w:rsidRPr="00AD0793">
        <w:t xml:space="preserve">e strongly believe that </w:t>
      </w:r>
      <w:r w:rsidR="00633749" w:rsidRPr="00AD0793">
        <w:t xml:space="preserve">bullying must be tackled </w:t>
      </w:r>
      <w:r w:rsidR="00323937" w:rsidRPr="00AD0793">
        <w:t>holistically</w:t>
      </w:r>
      <w:r w:rsidR="00633749" w:rsidRPr="00AD0793">
        <w:t xml:space="preserve"> and </w:t>
      </w:r>
      <w:r w:rsidR="00656E0F" w:rsidRPr="00AD0793">
        <w:t>encourage</w:t>
      </w:r>
      <w:r w:rsidR="00633749" w:rsidRPr="00AD0793">
        <w:t xml:space="preserve"> the </w:t>
      </w:r>
      <w:r w:rsidR="00323937" w:rsidRPr="00AD0793">
        <w:t xml:space="preserve">Government </w:t>
      </w:r>
      <w:r w:rsidR="00656E0F" w:rsidRPr="00AD0793">
        <w:t>to</w:t>
      </w:r>
      <w:r w:rsidR="00AD0793">
        <w:t xml:space="preserve"> adopt the TLRI’s ‘ti</w:t>
      </w:r>
      <w:r w:rsidR="00092B6F">
        <w:t>ered response’ comprising both</w:t>
      </w:r>
      <w:r w:rsidR="00AD0793">
        <w:t xml:space="preserve"> criminal and civil </w:t>
      </w:r>
      <w:r w:rsidR="00092B6F">
        <w:t xml:space="preserve">justice </w:t>
      </w:r>
      <w:r w:rsidR="00AD0793">
        <w:t>response</w:t>
      </w:r>
      <w:r w:rsidR="00092B6F">
        <w:t>s</w:t>
      </w:r>
      <w:r w:rsidR="00AD0793">
        <w:t xml:space="preserve"> as well as the </w:t>
      </w:r>
      <w:r w:rsidR="000C2AE2">
        <w:t xml:space="preserve">introduction </w:t>
      </w:r>
      <w:r w:rsidR="00AD0793">
        <w:t>of legislative requirements to implement anti-bullying policies and procedures</w:t>
      </w:r>
      <w:r w:rsidR="00092B6F">
        <w:t xml:space="preserve"> in schools</w:t>
      </w:r>
      <w:r w:rsidR="00AD0793">
        <w:t xml:space="preserve">.  </w:t>
      </w:r>
    </w:p>
    <w:p w14:paraId="35731442" w14:textId="77777777" w:rsidR="00B00E52" w:rsidRDefault="00B00E52" w:rsidP="00FB6D50">
      <w:pPr>
        <w:ind w:right="-347"/>
        <w:jc w:val="both"/>
      </w:pPr>
    </w:p>
    <w:p w14:paraId="1ADCFD79" w14:textId="0BD01939" w:rsidR="00B00E52" w:rsidRPr="00F818ED" w:rsidRDefault="00B00E52" w:rsidP="00F818E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B00E52">
        <w:rPr>
          <w:b/>
          <w:i/>
        </w:rPr>
        <w:t xml:space="preserve">Amendments to the Criminal Code Act 1924 </w:t>
      </w:r>
      <w:r w:rsidRPr="00F818ED">
        <w:rPr>
          <w:b/>
        </w:rPr>
        <w:t>(Tas</w:t>
      </w:r>
      <w:r w:rsidR="00F818ED" w:rsidRPr="00F818ED">
        <w:rPr>
          <w:rFonts w:eastAsia="Times New Roman" w:cs="Times New Roman"/>
          <w:b/>
        </w:rPr>
        <w:t>)</w:t>
      </w:r>
      <w:r w:rsidR="00F818ED" w:rsidRPr="00F818ED">
        <w:rPr>
          <w:b/>
          <w:i/>
        </w:rPr>
        <w:t xml:space="preserve"> </w:t>
      </w:r>
    </w:p>
    <w:p w14:paraId="470B3204" w14:textId="7165D7B2" w:rsidR="00546F1F" w:rsidRDefault="00092B6F" w:rsidP="00B00E52">
      <w:pPr>
        <w:ind w:right="-347"/>
        <w:jc w:val="both"/>
      </w:pPr>
      <w:r>
        <w:t>The proposed a</w:t>
      </w:r>
      <w:r w:rsidR="00E604E1">
        <w:t>mendment</w:t>
      </w:r>
      <w:r w:rsidR="006E4F06">
        <w:t>s</w:t>
      </w:r>
      <w:r w:rsidR="00E604E1">
        <w:t xml:space="preserve"> to section </w:t>
      </w:r>
      <w:r w:rsidR="00E604E1" w:rsidRPr="00691FB6">
        <w:t>19</w:t>
      </w:r>
      <w:r w:rsidR="00691FB6" w:rsidRPr="00691FB6">
        <w:t>2</w:t>
      </w:r>
      <w:r w:rsidR="00E604E1">
        <w:t xml:space="preserve"> of the </w:t>
      </w:r>
      <w:r w:rsidR="00E604E1" w:rsidRPr="00691FB6">
        <w:rPr>
          <w:i/>
        </w:rPr>
        <w:t>Criminal Code Act</w:t>
      </w:r>
      <w:r w:rsidR="00691FB6" w:rsidRPr="00691FB6">
        <w:rPr>
          <w:i/>
        </w:rPr>
        <w:t xml:space="preserve"> 1924</w:t>
      </w:r>
      <w:r w:rsidR="00691FB6">
        <w:t xml:space="preserve"> (Tas)</w:t>
      </w:r>
      <w:r w:rsidR="006E4F06">
        <w:t xml:space="preserve"> to </w:t>
      </w:r>
      <w:r w:rsidR="00822D90">
        <w:t>broaden</w:t>
      </w:r>
      <w:r w:rsidR="007D2238">
        <w:t xml:space="preserve"> stalking to include </w:t>
      </w:r>
      <w:r w:rsidR="006E4F06">
        <w:t xml:space="preserve">bullying </w:t>
      </w:r>
      <w:r w:rsidR="007D2238">
        <w:t>are</w:t>
      </w:r>
      <w:r w:rsidR="006E4F06">
        <w:t xml:space="preserve"> supported. </w:t>
      </w:r>
      <w:r w:rsidR="00822D90">
        <w:t xml:space="preserve">We also endorse </w:t>
      </w:r>
      <w:r w:rsidR="007D2238">
        <w:t xml:space="preserve">the application of the same </w:t>
      </w:r>
      <w:r w:rsidR="00546F1F">
        <w:t>mental</w:t>
      </w:r>
      <w:r w:rsidR="007D2238">
        <w:t xml:space="preserve"> element for both </w:t>
      </w:r>
      <w:r w:rsidR="00822D90">
        <w:t>offences</w:t>
      </w:r>
      <w:r w:rsidR="00546F1F">
        <w:t>, namely that an offender has</w:t>
      </w:r>
      <w:r w:rsidR="007D2238">
        <w:t xml:space="preserve"> intent to cause harm, or actually causes harm and knew or ought to have known that harm would be likely to occur. </w:t>
      </w:r>
    </w:p>
    <w:p w14:paraId="4A02DDEC" w14:textId="77777777" w:rsidR="00546F1F" w:rsidRDefault="00546F1F" w:rsidP="00B00E52">
      <w:pPr>
        <w:ind w:right="-347"/>
        <w:jc w:val="both"/>
      </w:pPr>
    </w:p>
    <w:p w14:paraId="5B430D77" w14:textId="5835FEA5" w:rsidR="004B53EB" w:rsidRDefault="00092B6F" w:rsidP="006139B6">
      <w:pPr>
        <w:ind w:right="-347"/>
        <w:jc w:val="both"/>
      </w:pPr>
      <w:r>
        <w:lastRenderedPageBreak/>
        <w:t>We believe the</w:t>
      </w:r>
      <w:r w:rsidR="006E4F06">
        <w:t xml:space="preserve"> inclusion </w:t>
      </w:r>
      <w:r w:rsidR="007D2238">
        <w:t xml:space="preserve">of bullying </w:t>
      </w:r>
      <w:r w:rsidR="006E4F06">
        <w:t xml:space="preserve">in the </w:t>
      </w:r>
      <w:r w:rsidR="001970A8" w:rsidRPr="00691FB6">
        <w:rPr>
          <w:i/>
        </w:rPr>
        <w:t>Criminal Code Act 1924</w:t>
      </w:r>
      <w:r w:rsidR="001970A8">
        <w:t xml:space="preserve"> (Tas) will demonstrate the communities</w:t>
      </w:r>
      <w:r>
        <w:t xml:space="preserve">’ </w:t>
      </w:r>
      <w:r w:rsidR="001970A8">
        <w:t>abho</w:t>
      </w:r>
      <w:r>
        <w:t>rrence of</w:t>
      </w:r>
      <w:r w:rsidR="007D2238">
        <w:t xml:space="preserve"> bulling behaviour, </w:t>
      </w:r>
      <w:r w:rsidR="001970A8">
        <w:t>act as an educative tool for members of the community about the seriousness with which the law views such conduct</w:t>
      </w:r>
      <w:r w:rsidR="007D2238">
        <w:t xml:space="preserve"> and empower victims to make complaints</w:t>
      </w:r>
      <w:r w:rsidR="001970A8">
        <w:t xml:space="preserve">. </w:t>
      </w:r>
    </w:p>
    <w:p w14:paraId="61C025EE" w14:textId="77777777" w:rsidR="004B53EB" w:rsidRDefault="004B53EB" w:rsidP="006139B6">
      <w:pPr>
        <w:ind w:right="-347"/>
        <w:jc w:val="both"/>
      </w:pPr>
    </w:p>
    <w:p w14:paraId="4A27BC8E" w14:textId="36687E40" w:rsidR="006139B6" w:rsidRDefault="00AC3143" w:rsidP="006139B6">
      <w:pPr>
        <w:ind w:right="-347"/>
        <w:jc w:val="both"/>
      </w:pPr>
      <w:r>
        <w:t xml:space="preserve">However, the criminal law is a blunt instrument and </w:t>
      </w:r>
      <w:r w:rsidR="00546F1F">
        <w:t>should be targeted at the most intransigent and persistent offenders. In many cases, a criminal response to bullying</w:t>
      </w:r>
      <w:r>
        <w:t xml:space="preserve"> will not be appropriate either because it involves a youth offender or because the offending </w:t>
      </w:r>
      <w:r w:rsidR="00546F1F">
        <w:t>is not serious enough</w:t>
      </w:r>
      <w:r w:rsidR="00502DBD">
        <w:t xml:space="preserve">. In such circumstances, alternative dispute resolution processes should be offered. </w:t>
      </w:r>
    </w:p>
    <w:p w14:paraId="0123CC65" w14:textId="77777777" w:rsidR="002655D2" w:rsidRPr="002655D2" w:rsidRDefault="002655D2" w:rsidP="002655D2">
      <w:pPr>
        <w:ind w:right="-347"/>
        <w:jc w:val="both"/>
      </w:pPr>
    </w:p>
    <w:p w14:paraId="0A2D2652" w14:textId="5FA5AF49" w:rsidR="002655D2" w:rsidRPr="002655D2" w:rsidRDefault="002655D2" w:rsidP="002655D2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2655D2">
        <w:rPr>
          <w:rFonts w:eastAsia="Times New Roman" w:cs="Times New Roman"/>
          <w:b/>
          <w:i/>
        </w:rPr>
        <w:t>Justices Act 1959</w:t>
      </w:r>
      <w:r w:rsidRPr="002655D2">
        <w:rPr>
          <w:rFonts w:eastAsia="Times New Roman" w:cs="Times New Roman"/>
          <w:b/>
        </w:rPr>
        <w:t xml:space="preserve"> (Tas) </w:t>
      </w:r>
    </w:p>
    <w:p w14:paraId="321FC8FF" w14:textId="4B79F8F2" w:rsidR="00AA452F" w:rsidRDefault="003D34F3" w:rsidP="00394162">
      <w:pPr>
        <w:ind w:right="-347"/>
        <w:jc w:val="both"/>
        <w:rPr>
          <w:rFonts w:eastAsia="Times New Roman" w:cs="Times New Roman"/>
        </w:rPr>
      </w:pPr>
      <w:r w:rsidRPr="00C40B64">
        <w:rPr>
          <w:rFonts w:eastAsia="Times New Roman" w:cs="Times New Roman"/>
        </w:rPr>
        <w:t xml:space="preserve">Whilst </w:t>
      </w:r>
      <w:r w:rsidR="00FC2E52">
        <w:rPr>
          <w:rFonts w:eastAsia="Times New Roman" w:cs="Times New Roman"/>
        </w:rPr>
        <w:t xml:space="preserve">we strongly support </w:t>
      </w:r>
      <w:r w:rsidRPr="00C40B64">
        <w:rPr>
          <w:rFonts w:eastAsia="Times New Roman" w:cs="Times New Roman"/>
        </w:rPr>
        <w:t>the inclusion of bullying in the definition o</w:t>
      </w:r>
      <w:r w:rsidR="00FC2E52">
        <w:rPr>
          <w:rFonts w:eastAsia="Times New Roman" w:cs="Times New Roman"/>
        </w:rPr>
        <w:t>f ‘family violence’</w:t>
      </w:r>
      <w:r w:rsidRPr="00C40B64">
        <w:rPr>
          <w:rFonts w:eastAsia="Times New Roman" w:cs="Times New Roman"/>
        </w:rPr>
        <w:t xml:space="preserve">, </w:t>
      </w:r>
      <w:r w:rsidR="00C40B64" w:rsidRPr="00C40B64">
        <w:rPr>
          <w:rFonts w:eastAsia="Times New Roman" w:cs="Times New Roman"/>
        </w:rPr>
        <w:t>the application of</w:t>
      </w:r>
      <w:r w:rsidR="008D5814" w:rsidRPr="00C40B64">
        <w:rPr>
          <w:rFonts w:eastAsia="Times New Roman" w:cs="Times New Roman"/>
        </w:rPr>
        <w:t xml:space="preserve"> family violence orders is restricted to “</w:t>
      </w:r>
      <w:r w:rsidR="008D5814" w:rsidRPr="008D5814">
        <w:rPr>
          <w:rFonts w:eastAsia="Times New Roman" w:cs="Times New Roman"/>
          <w:color w:val="000000"/>
          <w:shd w:val="clear" w:color="auto" w:fill="FFFFFF"/>
        </w:rPr>
        <w:t>conduct committed by a person, directly or indirectly, against that person's spouse or partner</w:t>
      </w:r>
      <w:r w:rsidR="008D5814" w:rsidRPr="00C40B64">
        <w:rPr>
          <w:rFonts w:eastAsia="Times New Roman" w:cs="Times New Roman"/>
          <w:color w:val="000000"/>
          <w:shd w:val="clear" w:color="auto" w:fill="FFFFFF"/>
        </w:rPr>
        <w:t>”.</w:t>
      </w:r>
      <w:r w:rsidR="008D5814" w:rsidRPr="00C40B64">
        <w:rPr>
          <w:rStyle w:val="FootnoteReference"/>
          <w:rFonts w:eastAsia="Times New Roman" w:cs="Times New Roman"/>
          <w:color w:val="000000"/>
          <w:shd w:val="clear" w:color="auto" w:fill="FFFFFF"/>
        </w:rPr>
        <w:footnoteReference w:id="3"/>
      </w:r>
      <w:r w:rsidR="00C40B64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FC2E52" w:rsidRPr="00C40B64">
        <w:rPr>
          <w:rFonts w:eastAsia="Times New Roman" w:cs="Times New Roman"/>
        </w:rPr>
        <w:t xml:space="preserve">It </w:t>
      </w:r>
      <w:r w:rsidR="00FC2E52">
        <w:rPr>
          <w:rFonts w:eastAsia="Times New Roman" w:cs="Times New Roman"/>
        </w:rPr>
        <w:t xml:space="preserve">is unclear why the Bill has not </w:t>
      </w:r>
      <w:r w:rsidR="00AA452F">
        <w:rPr>
          <w:rFonts w:eastAsia="Times New Roman" w:cs="Times New Roman"/>
        </w:rPr>
        <w:t>been broadened to</w:t>
      </w:r>
      <w:r w:rsidR="00FC2E52">
        <w:rPr>
          <w:rFonts w:eastAsia="Times New Roman" w:cs="Times New Roman"/>
        </w:rPr>
        <w:t xml:space="preserve"> allow </w:t>
      </w:r>
      <w:r w:rsidR="00FC2E52" w:rsidRPr="000C2AE2">
        <w:rPr>
          <w:rFonts w:eastAsia="Times New Roman" w:cs="Times New Roman"/>
          <w:i/>
        </w:rPr>
        <w:t>any</w:t>
      </w:r>
      <w:r w:rsidR="00FC2E52">
        <w:rPr>
          <w:rFonts w:eastAsia="Times New Roman" w:cs="Times New Roman"/>
        </w:rPr>
        <w:t xml:space="preserve"> person subject to serious bullying to apply for a restraining order. </w:t>
      </w:r>
      <w:r w:rsidR="00FC2E52">
        <w:rPr>
          <w:rFonts w:eastAsia="Times New Roman" w:cs="Times New Roman"/>
          <w:color w:val="000000"/>
          <w:shd w:val="clear" w:color="auto" w:fill="FFFFFF"/>
        </w:rPr>
        <w:t xml:space="preserve">On policy grounds it is difficult to understand why a </w:t>
      </w:r>
      <w:r w:rsidR="00FC2E52" w:rsidRPr="00394162">
        <w:rPr>
          <w:rFonts w:eastAsia="Times New Roman" w:cs="Times New Roman"/>
          <w:color w:val="000000"/>
          <w:shd w:val="clear" w:color="auto" w:fill="FFFFFF"/>
        </w:rPr>
        <w:t xml:space="preserve">victim should </w:t>
      </w:r>
      <w:r w:rsidR="00FC2E52">
        <w:rPr>
          <w:rFonts w:eastAsia="Times New Roman" w:cs="Times New Roman"/>
          <w:color w:val="000000"/>
          <w:shd w:val="clear" w:color="auto" w:fill="FFFFFF"/>
        </w:rPr>
        <w:t xml:space="preserve">only </w:t>
      </w:r>
      <w:r w:rsidR="00FC2E52" w:rsidRPr="00394162">
        <w:rPr>
          <w:rFonts w:eastAsia="Times New Roman" w:cs="Times New Roman"/>
          <w:color w:val="000000"/>
          <w:shd w:val="clear" w:color="auto" w:fill="FFFFFF"/>
        </w:rPr>
        <w:t>be able to apply for an</w:t>
      </w:r>
      <w:r w:rsidR="00FC2E5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FC2E52" w:rsidRPr="00394162">
        <w:rPr>
          <w:rFonts w:eastAsia="Times New Roman" w:cs="Times New Roman"/>
          <w:color w:val="000000"/>
          <w:shd w:val="clear" w:color="auto" w:fill="FFFFFF"/>
        </w:rPr>
        <w:t>order</w:t>
      </w:r>
      <w:r w:rsidR="00FC2E52">
        <w:rPr>
          <w:rFonts w:eastAsia="Times New Roman" w:cs="Times New Roman"/>
          <w:color w:val="000000"/>
          <w:shd w:val="clear" w:color="auto" w:fill="FFFFFF"/>
        </w:rPr>
        <w:t xml:space="preserve"> designed to stop the </w:t>
      </w:r>
      <w:r w:rsidR="00AA452F">
        <w:rPr>
          <w:rFonts w:eastAsia="Times New Roman" w:cs="Times New Roman"/>
          <w:color w:val="000000"/>
          <w:shd w:val="clear" w:color="auto" w:fill="FFFFFF"/>
        </w:rPr>
        <w:t xml:space="preserve">bullying </w:t>
      </w:r>
      <w:r w:rsidR="00FC2E52">
        <w:rPr>
          <w:rFonts w:eastAsia="Times New Roman" w:cs="Times New Roman"/>
          <w:color w:val="000000"/>
          <w:shd w:val="clear" w:color="auto" w:fill="FFFFFF"/>
        </w:rPr>
        <w:t>behaviour if it involves their spouse or partner.</w:t>
      </w:r>
      <w:r w:rsidR="00AA452F">
        <w:rPr>
          <w:rFonts w:eastAsia="Times New Roman" w:cs="Times New Roman"/>
          <w:color w:val="000000"/>
          <w:shd w:val="clear" w:color="auto" w:fill="FFFFFF"/>
        </w:rPr>
        <w:t xml:space="preserve"> We therefore strongly recommend that the Bill be amended to include amendments to </w:t>
      </w:r>
      <w:r w:rsidR="00AA452F" w:rsidRPr="00C40B64">
        <w:rPr>
          <w:rFonts w:eastAsia="Times New Roman" w:cs="Times New Roman"/>
        </w:rPr>
        <w:t xml:space="preserve">section 106B of the </w:t>
      </w:r>
      <w:r w:rsidR="00AA452F" w:rsidRPr="00C40B64">
        <w:rPr>
          <w:rFonts w:eastAsia="Times New Roman" w:cs="Times New Roman"/>
          <w:i/>
        </w:rPr>
        <w:t>Justices Act 1959</w:t>
      </w:r>
      <w:r w:rsidR="00AA452F" w:rsidRPr="00C40B64">
        <w:rPr>
          <w:rFonts w:eastAsia="Times New Roman" w:cs="Times New Roman"/>
        </w:rPr>
        <w:t xml:space="preserve"> (Tas)</w:t>
      </w:r>
      <w:r w:rsidR="00AA452F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FC2E52" w:rsidRPr="00C40B64">
        <w:rPr>
          <w:rFonts w:eastAsia="Times New Roman" w:cs="Times New Roman"/>
        </w:rPr>
        <w:t>as recommended by the TLRI.</w:t>
      </w:r>
      <w:r w:rsidR="00FC2E52">
        <w:rPr>
          <w:rStyle w:val="FootnoteReference"/>
          <w:rFonts w:eastAsia="Times New Roman" w:cs="Times New Roman"/>
          <w:color w:val="000000"/>
          <w:shd w:val="clear" w:color="auto" w:fill="FFFFFF"/>
        </w:rPr>
        <w:footnoteReference w:id="4"/>
      </w:r>
      <w:r w:rsidR="00FC2E52" w:rsidRPr="00C40B64">
        <w:rPr>
          <w:rFonts w:eastAsia="Times New Roman" w:cs="Times New Roman"/>
        </w:rPr>
        <w:t xml:space="preserve"> </w:t>
      </w:r>
    </w:p>
    <w:p w14:paraId="100A54F5" w14:textId="77777777" w:rsidR="00775670" w:rsidRDefault="00775670" w:rsidP="00775670">
      <w:pPr>
        <w:ind w:right="-205"/>
        <w:rPr>
          <w:rFonts w:eastAsia="Times New Roman" w:cs="Times New Roman"/>
        </w:rPr>
      </w:pPr>
    </w:p>
    <w:p w14:paraId="7769FEA9" w14:textId="77777777" w:rsidR="00775670" w:rsidRPr="00775670" w:rsidRDefault="00775670" w:rsidP="00775670">
      <w:pPr>
        <w:pStyle w:val="ListParagraph"/>
        <w:numPr>
          <w:ilvl w:val="0"/>
          <w:numId w:val="2"/>
        </w:numPr>
        <w:ind w:right="-205"/>
        <w:rPr>
          <w:rFonts w:eastAsia="Times New Roman" w:cs="Times New Roman"/>
          <w:b/>
        </w:rPr>
      </w:pPr>
      <w:r w:rsidRPr="00775670">
        <w:rPr>
          <w:rFonts w:eastAsia="Times New Roman" w:cs="Times New Roman"/>
          <w:b/>
        </w:rPr>
        <w:t xml:space="preserve">Director of Public Prosecutions Consent </w:t>
      </w:r>
    </w:p>
    <w:p w14:paraId="385B9A6C" w14:textId="3D2087EF" w:rsidR="00775670" w:rsidRPr="000126AA" w:rsidRDefault="00775670" w:rsidP="00775670">
      <w:pPr>
        <w:pStyle w:val="NoSpacing"/>
        <w:ind w:right="-347"/>
        <w:jc w:val="both"/>
        <w:rPr>
          <w:sz w:val="24"/>
          <w:szCs w:val="24"/>
        </w:rPr>
      </w:pPr>
      <w:r w:rsidRPr="000126AA">
        <w:rPr>
          <w:sz w:val="24"/>
          <w:szCs w:val="24"/>
        </w:rPr>
        <w:t xml:space="preserve">The requirement that the Director of Public Prosecutions provide consent before a prosecution for bullying is commenced is an important safeguard to ensure that the charge is only made in appropriate cases. Nevertheless, we strongly believe that the circumstances justifying a prosecution of </w:t>
      </w:r>
      <w:r>
        <w:rPr>
          <w:sz w:val="24"/>
          <w:szCs w:val="24"/>
        </w:rPr>
        <w:t xml:space="preserve">bullying should be publicly available, particularly as persons capable of being charged with the new offence and under 18 years of age is likely to be disproportionately high. </w:t>
      </w:r>
      <w:r w:rsidRPr="000126AA">
        <w:rPr>
          <w:sz w:val="24"/>
          <w:szCs w:val="24"/>
        </w:rPr>
        <w:t>We therefore recommend that the Director of Public Prosecutions publicly release guidelines outlining the considerations ta</w:t>
      </w:r>
      <w:r>
        <w:rPr>
          <w:sz w:val="24"/>
          <w:szCs w:val="24"/>
        </w:rPr>
        <w:t>ken into account in determin</w:t>
      </w:r>
      <w:r w:rsidR="000C2AE2">
        <w:rPr>
          <w:sz w:val="24"/>
          <w:szCs w:val="24"/>
        </w:rPr>
        <w:t xml:space="preserve">ing the prosecution of bullying </w:t>
      </w:r>
      <w:r>
        <w:rPr>
          <w:sz w:val="24"/>
          <w:szCs w:val="24"/>
        </w:rPr>
        <w:t>behaviour</w:t>
      </w:r>
      <w:r w:rsidRPr="000126AA">
        <w:rPr>
          <w:sz w:val="24"/>
          <w:szCs w:val="24"/>
        </w:rPr>
        <w:t xml:space="preserve">. </w:t>
      </w:r>
    </w:p>
    <w:p w14:paraId="1EFDE5DF" w14:textId="77777777" w:rsidR="00196F11" w:rsidRDefault="00196F11" w:rsidP="00394162">
      <w:pPr>
        <w:ind w:right="-347"/>
        <w:jc w:val="both"/>
        <w:rPr>
          <w:rFonts w:eastAsia="Times New Roman" w:cs="Times New Roman"/>
        </w:rPr>
      </w:pPr>
    </w:p>
    <w:p w14:paraId="0D6858C8" w14:textId="5BA3278E" w:rsidR="00196F11" w:rsidRPr="000A7B63" w:rsidRDefault="00196F11" w:rsidP="00196F11">
      <w:pPr>
        <w:pStyle w:val="ListParagraph"/>
        <w:numPr>
          <w:ilvl w:val="0"/>
          <w:numId w:val="2"/>
        </w:numPr>
        <w:ind w:right="-347"/>
        <w:jc w:val="both"/>
        <w:rPr>
          <w:rFonts w:eastAsia="Times New Roman" w:cs="Times New Roman"/>
          <w:b/>
        </w:rPr>
      </w:pPr>
      <w:r w:rsidRPr="000A7B63">
        <w:rPr>
          <w:rFonts w:eastAsia="Times New Roman" w:cs="Times New Roman"/>
          <w:b/>
        </w:rPr>
        <w:t>Mediation</w:t>
      </w:r>
    </w:p>
    <w:p w14:paraId="65BBFDEE" w14:textId="2D3FF2FC" w:rsidR="00773D26" w:rsidRDefault="00196F11" w:rsidP="00773D26">
      <w:pPr>
        <w:ind w:right="-347"/>
        <w:jc w:val="both"/>
        <w:rPr>
          <w:rFonts w:eastAsia="Times New Roman" w:cs="Times New Roman"/>
        </w:rPr>
      </w:pPr>
      <w:r w:rsidRPr="000A7B63">
        <w:rPr>
          <w:rFonts w:eastAsia="Times New Roman" w:cs="Times New Roman"/>
        </w:rPr>
        <w:t xml:space="preserve">As well as the amendments to the </w:t>
      </w:r>
      <w:r w:rsidRPr="000A7B63">
        <w:rPr>
          <w:i/>
        </w:rPr>
        <w:t>Criminal Code Act 1924</w:t>
      </w:r>
      <w:r w:rsidRPr="000A7B63">
        <w:t xml:space="preserve"> (Tas</w:t>
      </w:r>
      <w:r w:rsidR="000A7B63">
        <w:rPr>
          <w:rFonts w:eastAsia="Times New Roman" w:cs="Times New Roman"/>
        </w:rPr>
        <w:t xml:space="preserve">) and the </w:t>
      </w:r>
      <w:r w:rsidR="000D6183" w:rsidRPr="000A7B63">
        <w:rPr>
          <w:rFonts w:eastAsia="Times New Roman" w:cs="Times New Roman"/>
          <w:i/>
        </w:rPr>
        <w:t xml:space="preserve">Family Violence Act 2004 </w:t>
      </w:r>
      <w:r w:rsidR="000D6183" w:rsidRPr="000A7B63">
        <w:rPr>
          <w:rFonts w:eastAsia="Times New Roman" w:cs="Times New Roman"/>
        </w:rPr>
        <w:t>(Tas) and the</w:t>
      </w:r>
      <w:r w:rsidR="000A7B63">
        <w:rPr>
          <w:rFonts w:eastAsia="Times New Roman" w:cs="Times New Roman"/>
        </w:rPr>
        <w:t xml:space="preserve"> inclusion of amendments to the</w:t>
      </w:r>
      <w:r w:rsidR="000D6183" w:rsidRPr="000A7B63">
        <w:rPr>
          <w:rFonts w:eastAsia="Times New Roman" w:cs="Times New Roman"/>
        </w:rPr>
        <w:t xml:space="preserve"> </w:t>
      </w:r>
      <w:r w:rsidR="000D6183" w:rsidRPr="000A7B63">
        <w:rPr>
          <w:rFonts w:eastAsia="Times New Roman" w:cs="Times New Roman"/>
          <w:i/>
        </w:rPr>
        <w:t>Justices Act 1959</w:t>
      </w:r>
      <w:r w:rsidR="000D6183" w:rsidRPr="000A7B63">
        <w:rPr>
          <w:rFonts w:eastAsia="Times New Roman" w:cs="Times New Roman"/>
        </w:rPr>
        <w:t xml:space="preserve"> (Tas)</w:t>
      </w:r>
      <w:r w:rsidR="000A7B63">
        <w:rPr>
          <w:rFonts w:eastAsia="Times New Roman" w:cs="Times New Roman"/>
        </w:rPr>
        <w:t xml:space="preserve"> we also urge the Government to consider the TLRI’s proposal for the development of a “second-tier, civil framework that institutes a mediated and restorative justice response to bullying”.</w:t>
      </w:r>
      <w:r w:rsidR="000A7B63">
        <w:rPr>
          <w:rStyle w:val="FootnoteReference"/>
          <w:rFonts w:eastAsia="Times New Roman" w:cs="Times New Roman"/>
        </w:rPr>
        <w:footnoteReference w:id="5"/>
      </w:r>
      <w:r w:rsidRPr="000A7B63">
        <w:rPr>
          <w:rFonts w:eastAsia="Times New Roman" w:cs="Times New Roman"/>
        </w:rPr>
        <w:t xml:space="preserve"> </w:t>
      </w:r>
      <w:r w:rsidR="008F5F84">
        <w:rPr>
          <w:rFonts w:eastAsia="Times New Roman" w:cs="Times New Roman"/>
        </w:rPr>
        <w:t>The adva</w:t>
      </w:r>
      <w:r w:rsidR="00C00BF9">
        <w:rPr>
          <w:rFonts w:eastAsia="Times New Roman" w:cs="Times New Roman"/>
        </w:rPr>
        <w:t>ntage of adopting this approach, as noted by the TLRI is that “f</w:t>
      </w:r>
      <w:r w:rsidR="00F818ED" w:rsidRPr="00F818ED">
        <w:rPr>
          <w:rFonts w:eastAsia="Times New Roman" w:cs="Times New Roman"/>
        </w:rPr>
        <w:t>acilitating early intervention could prevent more serious harm eventuating for the victim and</w:t>
      </w:r>
      <w:r w:rsidR="00F818ED">
        <w:rPr>
          <w:rFonts w:eastAsia="Times New Roman" w:cs="Times New Roman"/>
        </w:rPr>
        <w:t xml:space="preserve"> </w:t>
      </w:r>
      <w:r w:rsidR="00F818ED" w:rsidRPr="00F818ED">
        <w:rPr>
          <w:rFonts w:eastAsia="Times New Roman" w:cs="Times New Roman"/>
        </w:rPr>
        <w:t>also support the bully to change his or her behaviour</w:t>
      </w:r>
      <w:r w:rsidR="00C00BF9">
        <w:rPr>
          <w:rFonts w:eastAsia="Times New Roman" w:cs="Times New Roman"/>
        </w:rPr>
        <w:t>”</w:t>
      </w:r>
      <w:r w:rsidR="00F818ED" w:rsidRPr="00F818ED">
        <w:rPr>
          <w:rFonts w:eastAsia="Times New Roman" w:cs="Times New Roman"/>
        </w:rPr>
        <w:t>.</w:t>
      </w:r>
      <w:r w:rsidR="00C00BF9">
        <w:rPr>
          <w:rStyle w:val="FootnoteReference"/>
          <w:rFonts w:eastAsia="Times New Roman" w:cs="Times New Roman"/>
        </w:rPr>
        <w:footnoteReference w:id="6"/>
      </w:r>
      <w:r w:rsidR="00F818ED" w:rsidRPr="00F818ED">
        <w:rPr>
          <w:rFonts w:eastAsia="Times New Roman" w:cs="Times New Roman"/>
        </w:rPr>
        <w:t xml:space="preserve"> </w:t>
      </w:r>
    </w:p>
    <w:p w14:paraId="2E509DA1" w14:textId="3F9E7413" w:rsidR="00773D26" w:rsidRPr="00773D26" w:rsidRDefault="00773D26" w:rsidP="00773D2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6F4453">
        <w:rPr>
          <w:rFonts w:eastAsia="Times New Roman" w:cs="Times New Roman"/>
          <w:b/>
        </w:rPr>
        <w:t>Workplace Bullying</w:t>
      </w:r>
    </w:p>
    <w:p w14:paraId="517E414F" w14:textId="6D6169B9" w:rsidR="000E45E7" w:rsidRDefault="000C2AE2" w:rsidP="000E45E7">
      <w:pPr>
        <w:ind w:right="-34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Additi</w:t>
      </w:r>
      <w:bookmarkStart w:id="0" w:name="_GoBack"/>
      <w:bookmarkEnd w:id="0"/>
      <w:r>
        <w:rPr>
          <w:rFonts w:eastAsia="Times New Roman" w:cs="Times New Roman"/>
        </w:rPr>
        <w:t xml:space="preserve">onally, </w:t>
      </w:r>
      <w:r w:rsidR="00775670">
        <w:rPr>
          <w:rFonts w:eastAsia="Times New Roman" w:cs="Times New Roman"/>
        </w:rPr>
        <w:t>bullying must</w:t>
      </w:r>
      <w:r w:rsidR="00E234D5">
        <w:rPr>
          <w:rFonts w:eastAsia="Times New Roman" w:cs="Times New Roman"/>
        </w:rPr>
        <w:t xml:space="preserve"> </w:t>
      </w:r>
      <w:r w:rsidR="00533520">
        <w:rPr>
          <w:rFonts w:eastAsia="Times New Roman" w:cs="Times New Roman"/>
        </w:rPr>
        <w:t>be addressed in the workplace. Whilst it is acknowledged that t</w:t>
      </w:r>
      <w:r w:rsidR="00E234D5">
        <w:rPr>
          <w:rFonts w:eastAsia="Times New Roman" w:cs="Times New Roman"/>
        </w:rPr>
        <w:t>he Bill goes some way t</w:t>
      </w:r>
      <w:r w:rsidR="00533520">
        <w:rPr>
          <w:rFonts w:eastAsia="Times New Roman" w:cs="Times New Roman"/>
        </w:rPr>
        <w:t xml:space="preserve">o addressing workplace bullying, the amendments proposed will only address </w:t>
      </w:r>
      <w:r w:rsidR="0090567D">
        <w:rPr>
          <w:rFonts w:eastAsia="Times New Roman" w:cs="Times New Roman"/>
        </w:rPr>
        <w:t xml:space="preserve">the most serious of cases. With </w:t>
      </w:r>
      <w:r w:rsidR="00E234D5">
        <w:rPr>
          <w:rFonts w:eastAsia="Times New Roman" w:cs="Times New Roman"/>
        </w:rPr>
        <w:t xml:space="preserve">the </w:t>
      </w:r>
      <w:r w:rsidR="00E234D5" w:rsidRPr="00533520">
        <w:rPr>
          <w:rFonts w:eastAsia="Times New Roman" w:cs="Times New Roman"/>
          <w:i/>
        </w:rPr>
        <w:t>Fair Work Act</w:t>
      </w:r>
      <w:r w:rsidR="00533520" w:rsidRPr="00533520">
        <w:rPr>
          <w:rFonts w:eastAsia="Times New Roman" w:cs="Times New Roman"/>
          <w:i/>
        </w:rPr>
        <w:t xml:space="preserve"> 2009</w:t>
      </w:r>
      <w:r w:rsidR="00533520">
        <w:rPr>
          <w:rFonts w:eastAsia="Times New Roman" w:cs="Times New Roman"/>
        </w:rPr>
        <w:t xml:space="preserve"> (Cth)</w:t>
      </w:r>
      <w:r w:rsidR="00E234D5">
        <w:rPr>
          <w:rFonts w:eastAsia="Times New Roman" w:cs="Times New Roman"/>
        </w:rPr>
        <w:t xml:space="preserve"> </w:t>
      </w:r>
      <w:r w:rsidR="0090567D">
        <w:rPr>
          <w:rFonts w:eastAsia="Times New Roman" w:cs="Times New Roman"/>
        </w:rPr>
        <w:t>unable to review bullying if a worker has already left the workforce and unable to make an order requiring the payment of a financial remedy,</w:t>
      </w:r>
      <w:r w:rsidR="0090567D">
        <w:rPr>
          <w:rStyle w:val="FootnoteReference"/>
          <w:rFonts w:eastAsia="Times New Roman" w:cs="Times New Roman"/>
        </w:rPr>
        <w:footnoteReference w:id="7"/>
      </w:r>
      <w:r w:rsidR="0090567D">
        <w:rPr>
          <w:rFonts w:eastAsia="Times New Roman" w:cs="Times New Roman"/>
        </w:rPr>
        <w:t xml:space="preserve"> it is clear that reform must be introduced at a state level. We encourage the Government to introduce the reforms proposed by the TLRI in</w:t>
      </w:r>
      <w:r w:rsidR="00CE6C63">
        <w:rPr>
          <w:rFonts w:eastAsia="Times New Roman" w:cs="Times New Roman"/>
        </w:rPr>
        <w:t>cluding:</w:t>
      </w:r>
    </w:p>
    <w:p w14:paraId="4E7157A4" w14:textId="77777777" w:rsidR="000E45E7" w:rsidRDefault="000E45E7" w:rsidP="000E45E7">
      <w:pPr>
        <w:ind w:right="-347"/>
        <w:jc w:val="both"/>
        <w:rPr>
          <w:rFonts w:eastAsia="Times New Roman" w:cs="Times New Roman"/>
        </w:rPr>
      </w:pPr>
    </w:p>
    <w:p w14:paraId="333E40FE" w14:textId="77777777" w:rsidR="000E45E7" w:rsidRDefault="000E45E7" w:rsidP="000E45E7">
      <w:pPr>
        <w:pStyle w:val="ListParagraph"/>
        <w:numPr>
          <w:ilvl w:val="0"/>
          <w:numId w:val="3"/>
        </w:numPr>
        <w:ind w:right="-34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Granting jurisdiction to the Tasmanian Industrial Commission to deal with bullying complaints from workers unable to use the Fair Work jurisdiction and’</w:t>
      </w:r>
    </w:p>
    <w:p w14:paraId="76501EB8" w14:textId="77777777" w:rsidR="000E45E7" w:rsidRDefault="000E45E7" w:rsidP="000E45E7">
      <w:pPr>
        <w:pStyle w:val="ListParagraph"/>
        <w:numPr>
          <w:ilvl w:val="0"/>
          <w:numId w:val="3"/>
        </w:numPr>
        <w:ind w:right="-34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That a duty to prevent bullying be imposed on employers and;</w:t>
      </w:r>
    </w:p>
    <w:p w14:paraId="7AB77FDC" w14:textId="77777777" w:rsidR="000E45E7" w:rsidRDefault="000E45E7" w:rsidP="000E45E7">
      <w:pPr>
        <w:pStyle w:val="ListParagraph"/>
        <w:numPr>
          <w:ilvl w:val="0"/>
          <w:numId w:val="3"/>
        </w:numPr>
        <w:ind w:right="-34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That employers include in their anti-bullying policies and procedures a process by which bystanders can report bullying within the workplace and provisions that protect employees who report or intervene from reprisal. </w:t>
      </w:r>
    </w:p>
    <w:p w14:paraId="6CB12769" w14:textId="77777777" w:rsidR="000E45E7" w:rsidRPr="009F6B74" w:rsidRDefault="000E45E7" w:rsidP="000E45E7">
      <w:pPr>
        <w:ind w:right="-347"/>
        <w:jc w:val="both"/>
        <w:rPr>
          <w:rFonts w:eastAsia="Times New Roman" w:cs="Times New Roman"/>
        </w:rPr>
      </w:pPr>
    </w:p>
    <w:p w14:paraId="6D3C0950" w14:textId="33C2033B" w:rsidR="000E45E7" w:rsidRPr="009F6B74" w:rsidRDefault="000E45E7" w:rsidP="000E45E7">
      <w:pPr>
        <w:pStyle w:val="ListParagraph"/>
        <w:numPr>
          <w:ilvl w:val="0"/>
          <w:numId w:val="2"/>
        </w:numPr>
        <w:ind w:right="-347"/>
        <w:jc w:val="both"/>
        <w:rPr>
          <w:rFonts w:eastAsia="Times New Roman" w:cs="Times New Roman"/>
          <w:b/>
        </w:rPr>
      </w:pPr>
      <w:r w:rsidRPr="009F6B74">
        <w:rPr>
          <w:rFonts w:eastAsia="Times New Roman" w:cs="Times New Roman"/>
          <w:b/>
        </w:rPr>
        <w:t>School regulation</w:t>
      </w:r>
    </w:p>
    <w:p w14:paraId="6DB52734" w14:textId="42DFDC88" w:rsidR="003B04E6" w:rsidRDefault="00576261" w:rsidP="00775670">
      <w:pPr>
        <w:ind w:right="-347"/>
        <w:jc w:val="both"/>
        <w:rPr>
          <w:rFonts w:eastAsia="Times New Roman" w:cs="Times New Roman"/>
        </w:rPr>
      </w:pPr>
      <w:r w:rsidRPr="009F6B74">
        <w:rPr>
          <w:rFonts w:eastAsia="Times New Roman" w:cs="Times New Roman"/>
          <w:lang w:eastAsia="en-AU"/>
        </w:rPr>
        <w:t>Finally,</w:t>
      </w:r>
      <w:r w:rsidR="001B5779" w:rsidRPr="009F6B74">
        <w:rPr>
          <w:rFonts w:eastAsia="Times New Roman" w:cs="Times New Roman"/>
          <w:lang w:eastAsia="en-AU"/>
        </w:rPr>
        <w:t xml:space="preserve"> studies point to Australia having </w:t>
      </w:r>
      <w:r w:rsidR="001B5779" w:rsidRPr="001B5779">
        <w:rPr>
          <w:rFonts w:eastAsia="Times New Roman" w:cs="Times New Roman"/>
          <w:lang w:eastAsia="en-AU"/>
        </w:rPr>
        <w:t xml:space="preserve">amongst the highest incidence of bullying in schools globally and </w:t>
      </w:r>
      <w:r w:rsidR="001B5779" w:rsidRPr="009F6B74">
        <w:rPr>
          <w:rFonts w:eastAsia="Times New Roman" w:cs="Times New Roman"/>
          <w:lang w:eastAsia="en-AU"/>
        </w:rPr>
        <w:t>that teachers are ill-equipped to</w:t>
      </w:r>
      <w:r w:rsidR="001B5779" w:rsidRPr="001B5779">
        <w:rPr>
          <w:rFonts w:eastAsia="Times New Roman" w:cs="Times New Roman"/>
          <w:lang w:eastAsia="en-AU"/>
        </w:rPr>
        <w:t xml:space="preserve"> stop bullying behaviours</w:t>
      </w:r>
      <w:r w:rsidR="001B5779" w:rsidRPr="009F6B74">
        <w:rPr>
          <w:rFonts w:eastAsia="Times New Roman" w:cs="Times New Roman"/>
          <w:lang w:eastAsia="en-AU"/>
        </w:rPr>
        <w:t>.</w:t>
      </w:r>
      <w:r w:rsidR="001B5779" w:rsidRPr="009F6B74">
        <w:rPr>
          <w:rStyle w:val="FootnoteReference"/>
          <w:rFonts w:eastAsia="Times New Roman" w:cs="Times New Roman"/>
          <w:lang w:eastAsia="en-AU"/>
        </w:rPr>
        <w:footnoteReference w:id="8"/>
      </w:r>
      <w:r w:rsidR="000E45E7" w:rsidRPr="009F6B74">
        <w:rPr>
          <w:rFonts w:eastAsia="Times New Roman" w:cs="Times New Roman"/>
          <w:lang w:eastAsia="en-AU"/>
        </w:rPr>
        <w:t xml:space="preserve"> The lack of resourcing in Tasmanian schools has seen </w:t>
      </w:r>
      <w:r w:rsidR="001B5779" w:rsidRPr="009F6B74">
        <w:rPr>
          <w:rFonts w:eastAsia="Times New Roman" w:cs="Times New Roman"/>
          <w:lang w:eastAsia="en-AU"/>
        </w:rPr>
        <w:t>Equal Opportunity Tasmania</w:t>
      </w:r>
      <w:r w:rsidR="000E45E7" w:rsidRPr="009F6B74">
        <w:rPr>
          <w:rFonts w:eastAsia="Times New Roman" w:cs="Times New Roman"/>
          <w:lang w:eastAsia="en-AU"/>
        </w:rPr>
        <w:t xml:space="preserve"> observe</w:t>
      </w:r>
      <w:r w:rsidR="001B5779" w:rsidRPr="009F6B74">
        <w:rPr>
          <w:rFonts w:eastAsia="Times New Roman" w:cs="Times New Roman"/>
          <w:lang w:eastAsia="en-AU"/>
        </w:rPr>
        <w:t xml:space="preserve"> that “many students believe complaints of bullying are not being addressed within schools and that little is done to prevent escalation of bullying behaviour”.</w:t>
      </w:r>
      <w:r w:rsidR="001B5779" w:rsidRPr="009F6B74">
        <w:rPr>
          <w:rStyle w:val="FootnoteReference"/>
          <w:rFonts w:eastAsia="Times New Roman" w:cs="Times New Roman"/>
          <w:lang w:eastAsia="en-AU"/>
        </w:rPr>
        <w:footnoteReference w:id="9"/>
      </w:r>
      <w:r w:rsidR="001B5779" w:rsidRPr="009F6B74">
        <w:rPr>
          <w:rFonts w:eastAsia="Times New Roman" w:cs="Times New Roman"/>
          <w:lang w:eastAsia="en-AU"/>
        </w:rPr>
        <w:t xml:space="preserve"> </w:t>
      </w:r>
      <w:r w:rsidR="00B92F6B" w:rsidRPr="009F6B74">
        <w:rPr>
          <w:rFonts w:eastAsia="Times New Roman" w:cs="Times New Roman"/>
          <w:lang w:eastAsia="en-AU"/>
        </w:rPr>
        <w:t>We strongly agree with the TLRI recommendation that would mandate anti-bullying policies and procedures at schools.</w:t>
      </w:r>
      <w:r w:rsidR="00B92F6B" w:rsidRPr="009F6B74">
        <w:rPr>
          <w:rStyle w:val="FootnoteReference"/>
          <w:rFonts w:eastAsia="Times New Roman" w:cs="Times New Roman"/>
          <w:lang w:eastAsia="en-AU"/>
        </w:rPr>
        <w:footnoteReference w:id="10"/>
      </w:r>
      <w:r w:rsidR="00975CCB">
        <w:rPr>
          <w:rFonts w:eastAsia="Times New Roman" w:cs="Times New Roman"/>
          <w:lang w:eastAsia="en-AU"/>
        </w:rPr>
        <w:t xml:space="preserve"> </w:t>
      </w:r>
    </w:p>
    <w:p w14:paraId="211C1A5C" w14:textId="77777777" w:rsidR="00775670" w:rsidRPr="000126AA" w:rsidRDefault="00775670" w:rsidP="00775670">
      <w:pPr>
        <w:ind w:right="-347"/>
        <w:jc w:val="both"/>
        <w:rPr>
          <w:rFonts w:eastAsia="Times New Roman" w:cs="Times New Roman"/>
        </w:rPr>
      </w:pPr>
    </w:p>
    <w:p w14:paraId="4553C6F9" w14:textId="77777777" w:rsidR="000126AA" w:rsidRDefault="000126AA" w:rsidP="00674600">
      <w:pPr>
        <w:ind w:right="-205"/>
        <w:rPr>
          <w:rFonts w:eastAsia="Times New Roman" w:cs="Times New Roman"/>
        </w:rPr>
      </w:pPr>
    </w:p>
    <w:p w14:paraId="72F1AC9B" w14:textId="77777777" w:rsidR="00674600" w:rsidRPr="00EB55F4" w:rsidRDefault="00674600" w:rsidP="00674600">
      <w:pPr>
        <w:ind w:right="-205"/>
        <w:rPr>
          <w:rFonts w:eastAsia="Times New Roman" w:cs="Times New Roman"/>
        </w:rPr>
      </w:pPr>
      <w:r w:rsidRPr="00EB55F4">
        <w:rPr>
          <w:rFonts w:eastAsia="Times New Roman" w:cs="Times New Roman"/>
        </w:rPr>
        <w:t>If you have any queries, please do not hesitate to contact us.</w:t>
      </w:r>
    </w:p>
    <w:p w14:paraId="3C77B743" w14:textId="77777777" w:rsidR="00674600" w:rsidRPr="00EB55F4" w:rsidRDefault="00674600" w:rsidP="00674600">
      <w:pPr>
        <w:rPr>
          <w:rFonts w:eastAsia="Times New Roman" w:cs="Times New Roman"/>
        </w:rPr>
      </w:pPr>
    </w:p>
    <w:p w14:paraId="57BE500B" w14:textId="77777777" w:rsidR="00674600" w:rsidRPr="00EB55F4" w:rsidRDefault="00674600" w:rsidP="00674600">
      <w:pPr>
        <w:rPr>
          <w:rFonts w:eastAsia="Times New Roman" w:cs="Times New Roman"/>
        </w:rPr>
      </w:pPr>
    </w:p>
    <w:p w14:paraId="3B119382" w14:textId="77777777" w:rsidR="00674600" w:rsidRPr="00EB55F4" w:rsidRDefault="00674600" w:rsidP="00674600">
      <w:pPr>
        <w:rPr>
          <w:rFonts w:eastAsia="Times New Roman" w:cs="Times New Roman"/>
        </w:rPr>
      </w:pPr>
      <w:r w:rsidRPr="00EB55F4">
        <w:rPr>
          <w:rFonts w:eastAsia="Times New Roman" w:cs="Times New Roman"/>
        </w:rPr>
        <w:t>Yours faithfully,</w:t>
      </w:r>
    </w:p>
    <w:p w14:paraId="2C54B014" w14:textId="77777777" w:rsidR="00674600" w:rsidRPr="00EB55F4" w:rsidRDefault="00674600" w:rsidP="00674600">
      <w:pPr>
        <w:rPr>
          <w:rFonts w:eastAsia="Times New Roman" w:cs="Times New Roman"/>
        </w:rPr>
      </w:pPr>
    </w:p>
    <w:p w14:paraId="47F3BE8A" w14:textId="77777777" w:rsidR="00674600" w:rsidRPr="00EB55F4" w:rsidRDefault="00674600" w:rsidP="00674600">
      <w:pPr>
        <w:rPr>
          <w:rFonts w:eastAsia="Times New Roman" w:cs="Times New Roman"/>
        </w:rPr>
      </w:pPr>
    </w:p>
    <w:p w14:paraId="6CE194B7" w14:textId="77777777" w:rsidR="00674600" w:rsidRPr="00EB55F4" w:rsidRDefault="00674600" w:rsidP="00674600">
      <w:pPr>
        <w:rPr>
          <w:rFonts w:eastAsia="Times New Roman" w:cs="Times New Roman"/>
        </w:rPr>
      </w:pPr>
    </w:p>
    <w:p w14:paraId="25130F7E" w14:textId="77777777" w:rsidR="00674600" w:rsidRPr="00EB55F4" w:rsidRDefault="00674600" w:rsidP="00674600">
      <w:pPr>
        <w:rPr>
          <w:rFonts w:eastAsia="Times New Roman" w:cs="Times New Roman"/>
        </w:rPr>
      </w:pPr>
      <w:r w:rsidRPr="00EB55F4">
        <w:rPr>
          <w:rFonts w:eastAsia="Times New Roman" w:cs="Times New Roman"/>
        </w:rPr>
        <w:t>Benedict Bartl</w:t>
      </w:r>
    </w:p>
    <w:p w14:paraId="67461489" w14:textId="77777777" w:rsidR="00674600" w:rsidRPr="00EB55F4" w:rsidRDefault="00674600" w:rsidP="00674600">
      <w:pPr>
        <w:rPr>
          <w:rFonts w:eastAsia="Times New Roman" w:cs="Times New Roman"/>
        </w:rPr>
      </w:pPr>
      <w:r w:rsidRPr="00EB55F4">
        <w:rPr>
          <w:rFonts w:eastAsia="Times New Roman" w:cs="Times New Roman"/>
        </w:rPr>
        <w:t>Policy Officer</w:t>
      </w:r>
    </w:p>
    <w:p w14:paraId="068EBBB7" w14:textId="77777777" w:rsidR="00674600" w:rsidRPr="00EB55F4" w:rsidRDefault="00674600" w:rsidP="00674600">
      <w:pPr>
        <w:pBdr>
          <w:bottom w:val="single" w:sz="6" w:space="1" w:color="auto"/>
        </w:pBdr>
        <w:rPr>
          <w:rFonts w:eastAsia="Times New Roman" w:cs="Times New Roman"/>
          <w:b/>
        </w:rPr>
      </w:pPr>
      <w:r w:rsidRPr="00EB55F4">
        <w:rPr>
          <w:rFonts w:eastAsia="Times New Roman" w:cs="Times New Roman"/>
          <w:b/>
        </w:rPr>
        <w:t>Community Legal Centres Tasmania</w:t>
      </w:r>
    </w:p>
    <w:p w14:paraId="2CC41D32" w14:textId="77777777" w:rsidR="00674600" w:rsidRPr="00EB55F4" w:rsidRDefault="00674600" w:rsidP="00674600">
      <w:pPr>
        <w:rPr>
          <w:rFonts w:eastAsia="Times New Roman" w:cs="Times New Roman"/>
        </w:rPr>
      </w:pPr>
    </w:p>
    <w:p w14:paraId="4AEBCFB2" w14:textId="465233F6" w:rsidR="004C0469" w:rsidRPr="00975CCB" w:rsidRDefault="004C0469" w:rsidP="00975CCB">
      <w:pPr>
        <w:rPr>
          <w:b/>
        </w:rPr>
      </w:pPr>
    </w:p>
    <w:sectPr w:rsidR="004C0469" w:rsidRPr="00975CCB" w:rsidSect="00CD1507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4D9AF" w14:textId="77777777" w:rsidR="00700CFF" w:rsidRDefault="00700CFF" w:rsidP="00674600">
      <w:r>
        <w:separator/>
      </w:r>
    </w:p>
  </w:endnote>
  <w:endnote w:type="continuationSeparator" w:id="0">
    <w:p w14:paraId="17016D2E" w14:textId="77777777" w:rsidR="00700CFF" w:rsidRDefault="00700CFF" w:rsidP="0067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8A4E" w14:textId="77777777" w:rsidR="0080221C" w:rsidRDefault="0080221C" w:rsidP="00CD15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0A9B3" w14:textId="77777777" w:rsidR="0080221C" w:rsidRDefault="0080221C" w:rsidP="00CD15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4EE4" w14:textId="77777777" w:rsidR="0080221C" w:rsidRDefault="0080221C" w:rsidP="00CD15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C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D749A8" w14:textId="77777777" w:rsidR="0080221C" w:rsidRDefault="0080221C" w:rsidP="00CD1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26EC" w14:textId="77777777" w:rsidR="00700CFF" w:rsidRDefault="00700CFF" w:rsidP="00674600">
      <w:r>
        <w:separator/>
      </w:r>
    </w:p>
  </w:footnote>
  <w:footnote w:type="continuationSeparator" w:id="0">
    <w:p w14:paraId="700E639B" w14:textId="77777777" w:rsidR="00700CFF" w:rsidRDefault="00700CFF" w:rsidP="00674600">
      <w:r>
        <w:continuationSeparator/>
      </w:r>
    </w:p>
  </w:footnote>
  <w:footnote w:id="1">
    <w:p w14:paraId="3C7D7AEA" w14:textId="172B26DB" w:rsidR="0080221C" w:rsidRPr="00EB55F4" w:rsidRDefault="0080221C" w:rsidP="00674600">
      <w:pPr>
        <w:pStyle w:val="FootnoteText"/>
        <w:rPr>
          <w:lang w:val="en-US"/>
        </w:rPr>
      </w:pPr>
      <w:r w:rsidRPr="00EB55F4">
        <w:rPr>
          <w:rStyle w:val="FootnoteReference"/>
        </w:rPr>
        <w:footnoteRef/>
      </w:r>
      <w:r w:rsidRPr="00EB55F4">
        <w:t xml:space="preserve"> </w:t>
      </w:r>
      <w:r w:rsidRPr="00EB55F4">
        <w:rPr>
          <w:color w:val="000000" w:themeColor="text1"/>
          <w:sz w:val="20"/>
          <w:szCs w:val="20"/>
        </w:rPr>
        <w:t>CLC Tas would like to acknowledge Zoey Dwyer who assisted in the prepar</w:t>
      </w:r>
      <w:r>
        <w:rPr>
          <w:color w:val="000000" w:themeColor="text1"/>
          <w:sz w:val="20"/>
          <w:szCs w:val="20"/>
        </w:rPr>
        <w:t xml:space="preserve">ation of this </w:t>
      </w:r>
      <w:r w:rsidRPr="00EB55F4">
        <w:rPr>
          <w:color w:val="000000" w:themeColor="text1"/>
          <w:sz w:val="20"/>
          <w:szCs w:val="20"/>
        </w:rPr>
        <w:t xml:space="preserve">response. </w:t>
      </w:r>
    </w:p>
  </w:footnote>
  <w:footnote w:id="2">
    <w:p w14:paraId="0BFCD8A2" w14:textId="092EC28B" w:rsidR="0080221C" w:rsidRPr="008A5E8A" w:rsidRDefault="00802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5E8A">
        <w:rPr>
          <w:sz w:val="20"/>
          <w:szCs w:val="20"/>
          <w:lang w:val="en-US"/>
        </w:rPr>
        <w:t xml:space="preserve">Tasmania Law Reform Institute, </w:t>
      </w:r>
      <w:r w:rsidRPr="008A5E8A">
        <w:rPr>
          <w:i/>
          <w:sz w:val="20"/>
          <w:szCs w:val="20"/>
          <w:lang w:val="en-US"/>
        </w:rPr>
        <w:t>Bullying</w:t>
      </w:r>
      <w:r w:rsidRPr="008A5E8A">
        <w:rPr>
          <w:sz w:val="20"/>
          <w:szCs w:val="20"/>
          <w:lang w:val="en-US"/>
        </w:rPr>
        <w:t>, Final Report No. 22 (January 2016).</w:t>
      </w:r>
    </w:p>
  </w:footnote>
  <w:footnote w:id="3">
    <w:p w14:paraId="0066E714" w14:textId="1782CF82" w:rsidR="0080221C" w:rsidRPr="008D5814" w:rsidRDefault="00802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Section 7</w:t>
      </w:r>
      <w:r w:rsidRPr="00397D3F">
        <w:rPr>
          <w:sz w:val="20"/>
          <w:szCs w:val="20"/>
          <w:lang w:val="en-US"/>
        </w:rPr>
        <w:t xml:space="preserve"> of the </w:t>
      </w:r>
      <w:r w:rsidRPr="00397D3F">
        <w:rPr>
          <w:rFonts w:eastAsia="Times New Roman" w:cs="Times New Roman"/>
          <w:i/>
          <w:sz w:val="20"/>
          <w:szCs w:val="20"/>
        </w:rPr>
        <w:t xml:space="preserve">Family Violence Act 2004 </w:t>
      </w:r>
      <w:r w:rsidRPr="00397D3F">
        <w:rPr>
          <w:rFonts w:eastAsia="Times New Roman" w:cs="Times New Roman"/>
          <w:sz w:val="20"/>
          <w:szCs w:val="20"/>
        </w:rPr>
        <w:t>(Tas).</w:t>
      </w:r>
    </w:p>
  </w:footnote>
  <w:footnote w:id="4">
    <w:p w14:paraId="08B8CA86" w14:textId="77777777" w:rsidR="0080221C" w:rsidRPr="003D28FD" w:rsidRDefault="0080221C" w:rsidP="00FC2E5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5E8A">
        <w:rPr>
          <w:sz w:val="20"/>
          <w:szCs w:val="20"/>
          <w:lang w:val="en-US"/>
        </w:rPr>
        <w:t xml:space="preserve">Tasmania Law Reform Institute, </w:t>
      </w:r>
      <w:r w:rsidRPr="008A5E8A">
        <w:rPr>
          <w:i/>
          <w:sz w:val="20"/>
          <w:szCs w:val="20"/>
          <w:lang w:val="en-US"/>
        </w:rPr>
        <w:t>Bullying</w:t>
      </w:r>
      <w:r w:rsidRPr="008A5E8A">
        <w:rPr>
          <w:sz w:val="20"/>
          <w:szCs w:val="20"/>
          <w:lang w:val="en-US"/>
        </w:rPr>
        <w:t>, Final Report No. 22 (January 2016)</w:t>
      </w:r>
      <w:r>
        <w:rPr>
          <w:sz w:val="20"/>
          <w:szCs w:val="20"/>
          <w:lang w:val="en-US"/>
        </w:rPr>
        <w:t xml:space="preserve">, recommendation 4. </w:t>
      </w:r>
    </w:p>
  </w:footnote>
  <w:footnote w:id="5">
    <w:p w14:paraId="4E148AF9" w14:textId="6C3AA5FF" w:rsidR="0080221C" w:rsidRPr="000A7B63" w:rsidRDefault="00802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5E8A">
        <w:rPr>
          <w:sz w:val="20"/>
          <w:szCs w:val="20"/>
          <w:lang w:val="en-US"/>
        </w:rPr>
        <w:t xml:space="preserve">Tasmania Law Reform Institute, </w:t>
      </w:r>
      <w:r w:rsidRPr="008A5E8A">
        <w:rPr>
          <w:i/>
          <w:sz w:val="20"/>
          <w:szCs w:val="20"/>
          <w:lang w:val="en-US"/>
        </w:rPr>
        <w:t>Bullying</w:t>
      </w:r>
      <w:r w:rsidRPr="008A5E8A">
        <w:rPr>
          <w:sz w:val="20"/>
          <w:szCs w:val="20"/>
          <w:lang w:val="en-US"/>
        </w:rPr>
        <w:t>, Final Report No. 22 (January 2016)</w:t>
      </w:r>
      <w:r>
        <w:rPr>
          <w:sz w:val="20"/>
          <w:szCs w:val="20"/>
          <w:lang w:val="en-US"/>
        </w:rPr>
        <w:t>, recommendation 5.</w:t>
      </w:r>
    </w:p>
  </w:footnote>
  <w:footnote w:id="6">
    <w:p w14:paraId="1135100E" w14:textId="3229D06C" w:rsidR="0080221C" w:rsidRPr="00C00BF9" w:rsidRDefault="00802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5E8A">
        <w:rPr>
          <w:sz w:val="20"/>
          <w:szCs w:val="20"/>
          <w:lang w:val="en-US"/>
        </w:rPr>
        <w:t xml:space="preserve">Tasmania Law Reform Institute, </w:t>
      </w:r>
      <w:r w:rsidRPr="008A5E8A">
        <w:rPr>
          <w:i/>
          <w:sz w:val="20"/>
          <w:szCs w:val="20"/>
          <w:lang w:val="en-US"/>
        </w:rPr>
        <w:t>Bullying</w:t>
      </w:r>
      <w:r w:rsidRPr="008A5E8A">
        <w:rPr>
          <w:sz w:val="20"/>
          <w:szCs w:val="20"/>
          <w:lang w:val="en-US"/>
        </w:rPr>
        <w:t>, Final Report No. 22 (January 2016)</w:t>
      </w:r>
      <w:r>
        <w:rPr>
          <w:sz w:val="20"/>
          <w:szCs w:val="20"/>
          <w:lang w:val="en-US"/>
        </w:rPr>
        <w:t>, paragraph 3.4.18.</w:t>
      </w:r>
    </w:p>
  </w:footnote>
  <w:footnote w:id="7">
    <w:p w14:paraId="30D4597E" w14:textId="0B357197" w:rsidR="0090567D" w:rsidRDefault="009056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567D">
        <w:rPr>
          <w:rFonts w:eastAsia="Times New Roman" w:cs="Times New Roman"/>
          <w:sz w:val="20"/>
          <w:szCs w:val="20"/>
        </w:rPr>
        <w:t xml:space="preserve">Section 789FF of the </w:t>
      </w:r>
      <w:r w:rsidRPr="0090567D">
        <w:rPr>
          <w:rFonts w:eastAsia="Times New Roman" w:cs="Times New Roman"/>
          <w:i/>
          <w:sz w:val="20"/>
          <w:szCs w:val="20"/>
        </w:rPr>
        <w:t>Fair Work Act 2009</w:t>
      </w:r>
      <w:r w:rsidRPr="0090567D">
        <w:rPr>
          <w:rFonts w:eastAsia="Times New Roman" w:cs="Times New Roman"/>
          <w:sz w:val="20"/>
          <w:szCs w:val="20"/>
        </w:rPr>
        <w:t xml:space="preserve"> (Cth).</w:t>
      </w:r>
      <w:r>
        <w:rPr>
          <w:rFonts w:eastAsia="Times New Roman" w:cs="Times New Roman"/>
        </w:rPr>
        <w:t xml:space="preserve"> </w:t>
      </w:r>
    </w:p>
  </w:footnote>
  <w:footnote w:id="8">
    <w:p w14:paraId="0051E94E" w14:textId="3DA46E0C" w:rsidR="001B5779" w:rsidRPr="00153961" w:rsidRDefault="001B5779" w:rsidP="00153961">
      <w:pPr>
        <w:rPr>
          <w:rFonts w:ascii="Times New Roman" w:eastAsia="Times New Roman" w:hAnsi="Times New Roman" w:cs="Times New Roman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 w:rsidR="00153961" w:rsidRPr="00153961">
        <w:rPr>
          <w:rFonts w:eastAsia="Times New Roman" w:cs="Times New Roman"/>
          <w:sz w:val="20"/>
          <w:szCs w:val="20"/>
          <w:lang w:eastAsia="en-AU"/>
        </w:rPr>
        <w:t>Ken Rigby</w:t>
      </w:r>
      <w:r w:rsidR="00153961">
        <w:rPr>
          <w:rFonts w:eastAsia="Times New Roman" w:cs="Times New Roman"/>
          <w:sz w:val="20"/>
          <w:szCs w:val="20"/>
          <w:lang w:eastAsia="en-AU"/>
        </w:rPr>
        <w:t xml:space="preserve">, </w:t>
      </w:r>
      <w:r w:rsidR="00153961" w:rsidRPr="00153961">
        <w:rPr>
          <w:rFonts w:eastAsia="Times New Roman" w:cs="Times New Roman"/>
          <w:sz w:val="20"/>
          <w:szCs w:val="20"/>
          <w:lang w:eastAsia="en-AU"/>
        </w:rPr>
        <w:t xml:space="preserve">What can schools do about cases of bullying? (2011) 29(4) </w:t>
      </w:r>
      <w:r w:rsidR="00153961" w:rsidRPr="00153961">
        <w:rPr>
          <w:rFonts w:eastAsia="Times New Roman" w:cs="Times New Roman"/>
          <w:i/>
          <w:sz w:val="20"/>
          <w:szCs w:val="20"/>
          <w:lang w:eastAsia="en-AU"/>
        </w:rPr>
        <w:t xml:space="preserve">Pastoral Care in Education </w:t>
      </w:r>
      <w:r w:rsidR="00153961" w:rsidRPr="00153961">
        <w:rPr>
          <w:rFonts w:eastAsia="Times New Roman" w:cs="Times New Roman"/>
          <w:sz w:val="20"/>
          <w:szCs w:val="20"/>
          <w:lang w:eastAsia="en-AU"/>
        </w:rPr>
        <w:t xml:space="preserve">275 as found in </w:t>
      </w:r>
      <w:r w:rsidR="00153961" w:rsidRPr="00153961">
        <w:rPr>
          <w:sz w:val="20"/>
          <w:szCs w:val="20"/>
          <w:lang w:val="en-US"/>
        </w:rPr>
        <w:t xml:space="preserve">Tasmania Law Reform Institute, </w:t>
      </w:r>
      <w:r w:rsidR="00153961" w:rsidRPr="00153961">
        <w:rPr>
          <w:i/>
          <w:sz w:val="20"/>
          <w:szCs w:val="20"/>
          <w:lang w:val="en-US"/>
        </w:rPr>
        <w:t>Bullying</w:t>
      </w:r>
      <w:r w:rsidR="00153961" w:rsidRPr="00153961">
        <w:rPr>
          <w:sz w:val="20"/>
          <w:szCs w:val="20"/>
          <w:lang w:val="en-US"/>
        </w:rPr>
        <w:t>, Final Report No. 22 (January 2016) at paragraph 3.6.25.</w:t>
      </w:r>
      <w:r w:rsidR="00153961">
        <w:rPr>
          <w:rFonts w:ascii="Times New Roman" w:eastAsia="Times New Roman" w:hAnsi="Times New Roman" w:cs="Times New Roman"/>
          <w:lang w:eastAsia="en-AU"/>
        </w:rPr>
        <w:t xml:space="preserve"> </w:t>
      </w:r>
    </w:p>
  </w:footnote>
  <w:footnote w:id="9">
    <w:p w14:paraId="2F43F252" w14:textId="029F6E7C" w:rsidR="001B5779" w:rsidRDefault="001B57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5E8A">
        <w:rPr>
          <w:sz w:val="20"/>
          <w:szCs w:val="20"/>
          <w:lang w:val="en-US"/>
        </w:rPr>
        <w:t xml:space="preserve">Tasmania Law Reform Institute, </w:t>
      </w:r>
      <w:r w:rsidRPr="008A5E8A">
        <w:rPr>
          <w:i/>
          <w:sz w:val="20"/>
          <w:szCs w:val="20"/>
          <w:lang w:val="en-US"/>
        </w:rPr>
        <w:t>Bullying</w:t>
      </w:r>
      <w:r w:rsidRPr="008A5E8A">
        <w:rPr>
          <w:sz w:val="20"/>
          <w:szCs w:val="20"/>
          <w:lang w:val="en-US"/>
        </w:rPr>
        <w:t>, Final Report No. 22 (January 2016)</w:t>
      </w:r>
      <w:r>
        <w:rPr>
          <w:sz w:val="20"/>
          <w:szCs w:val="20"/>
          <w:lang w:val="en-US"/>
        </w:rPr>
        <w:t xml:space="preserve"> at paragraph 3.6.25.</w:t>
      </w:r>
    </w:p>
  </w:footnote>
  <w:footnote w:id="10">
    <w:p w14:paraId="506F71FC" w14:textId="59F4BE0D" w:rsidR="00B92F6B" w:rsidRDefault="00B92F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D2D97" w:rsidRPr="008A5E8A">
        <w:rPr>
          <w:sz w:val="20"/>
          <w:szCs w:val="20"/>
          <w:lang w:val="en-US"/>
        </w:rPr>
        <w:t xml:space="preserve">Tasmania Law Reform Institute, </w:t>
      </w:r>
      <w:r w:rsidR="009D2D97" w:rsidRPr="008A5E8A">
        <w:rPr>
          <w:i/>
          <w:sz w:val="20"/>
          <w:szCs w:val="20"/>
          <w:lang w:val="en-US"/>
        </w:rPr>
        <w:t>Bullying</w:t>
      </w:r>
      <w:r w:rsidR="009D2D97" w:rsidRPr="008A5E8A">
        <w:rPr>
          <w:sz w:val="20"/>
          <w:szCs w:val="20"/>
          <w:lang w:val="en-US"/>
        </w:rPr>
        <w:t>, Final Report No. 22 (January 2016)</w:t>
      </w:r>
      <w:r w:rsidR="009D2D97">
        <w:rPr>
          <w:sz w:val="20"/>
          <w:szCs w:val="20"/>
          <w:lang w:val="en-US"/>
        </w:rPr>
        <w:t>, recommendation 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E0"/>
    <w:multiLevelType w:val="hybridMultilevel"/>
    <w:tmpl w:val="7E0AC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F2E"/>
    <w:multiLevelType w:val="hybridMultilevel"/>
    <w:tmpl w:val="6A1402FA"/>
    <w:lvl w:ilvl="0" w:tplc="70609AA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C183A"/>
    <w:multiLevelType w:val="hybridMultilevel"/>
    <w:tmpl w:val="411C3266"/>
    <w:lvl w:ilvl="0" w:tplc="0C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425A2604"/>
    <w:multiLevelType w:val="hybridMultilevel"/>
    <w:tmpl w:val="637C2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6AF5"/>
    <w:multiLevelType w:val="hybridMultilevel"/>
    <w:tmpl w:val="2D7EAE90"/>
    <w:lvl w:ilvl="0" w:tplc="E8D03776">
      <w:start w:val="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00"/>
    <w:rsid w:val="000126AA"/>
    <w:rsid w:val="00092B6F"/>
    <w:rsid w:val="000A7B63"/>
    <w:rsid w:val="000C2AE2"/>
    <w:rsid w:val="000D6183"/>
    <w:rsid w:val="000E45E7"/>
    <w:rsid w:val="00153961"/>
    <w:rsid w:val="00175D7C"/>
    <w:rsid w:val="00194FE3"/>
    <w:rsid w:val="00196F11"/>
    <w:rsid w:val="001970A8"/>
    <w:rsid w:val="001B5779"/>
    <w:rsid w:val="001E4773"/>
    <w:rsid w:val="002354D2"/>
    <w:rsid w:val="00237D07"/>
    <w:rsid w:val="00250882"/>
    <w:rsid w:val="00256B95"/>
    <w:rsid w:val="002655D2"/>
    <w:rsid w:val="002C7E78"/>
    <w:rsid w:val="002E7AC8"/>
    <w:rsid w:val="00323937"/>
    <w:rsid w:val="003748BB"/>
    <w:rsid w:val="00386D8C"/>
    <w:rsid w:val="00394162"/>
    <w:rsid w:val="00397D3F"/>
    <w:rsid w:val="003B04E6"/>
    <w:rsid w:val="003D28FD"/>
    <w:rsid w:val="003D34F3"/>
    <w:rsid w:val="00433E13"/>
    <w:rsid w:val="004B53EB"/>
    <w:rsid w:val="004C0469"/>
    <w:rsid w:val="004C46E8"/>
    <w:rsid w:val="00502DBD"/>
    <w:rsid w:val="00533520"/>
    <w:rsid w:val="00546F1F"/>
    <w:rsid w:val="005539E3"/>
    <w:rsid w:val="00576261"/>
    <w:rsid w:val="005B2DD1"/>
    <w:rsid w:val="005E09CE"/>
    <w:rsid w:val="006139B6"/>
    <w:rsid w:val="00617504"/>
    <w:rsid w:val="00633749"/>
    <w:rsid w:val="00656E0F"/>
    <w:rsid w:val="00674600"/>
    <w:rsid w:val="006777C5"/>
    <w:rsid w:val="00691FB6"/>
    <w:rsid w:val="006E4F06"/>
    <w:rsid w:val="006F4453"/>
    <w:rsid w:val="00700CFF"/>
    <w:rsid w:val="00773D26"/>
    <w:rsid w:val="00775670"/>
    <w:rsid w:val="00785DF1"/>
    <w:rsid w:val="007C7F36"/>
    <w:rsid w:val="007D2238"/>
    <w:rsid w:val="007E6957"/>
    <w:rsid w:val="007E6AD8"/>
    <w:rsid w:val="007F1FD4"/>
    <w:rsid w:val="0080221C"/>
    <w:rsid w:val="00822D90"/>
    <w:rsid w:val="008A5E8A"/>
    <w:rsid w:val="008D346A"/>
    <w:rsid w:val="008D5814"/>
    <w:rsid w:val="008F263E"/>
    <w:rsid w:val="008F5F84"/>
    <w:rsid w:val="0090567D"/>
    <w:rsid w:val="00945AF1"/>
    <w:rsid w:val="00964A92"/>
    <w:rsid w:val="00975CCB"/>
    <w:rsid w:val="00986D65"/>
    <w:rsid w:val="009A0C4D"/>
    <w:rsid w:val="009D2D97"/>
    <w:rsid w:val="009F6B74"/>
    <w:rsid w:val="00A47956"/>
    <w:rsid w:val="00A5592B"/>
    <w:rsid w:val="00A90E6D"/>
    <w:rsid w:val="00A9320A"/>
    <w:rsid w:val="00AA452F"/>
    <w:rsid w:val="00AC3143"/>
    <w:rsid w:val="00AD0793"/>
    <w:rsid w:val="00B00E52"/>
    <w:rsid w:val="00B04350"/>
    <w:rsid w:val="00B71BB2"/>
    <w:rsid w:val="00B92F6B"/>
    <w:rsid w:val="00BE1E3A"/>
    <w:rsid w:val="00BE3B2F"/>
    <w:rsid w:val="00BE5E74"/>
    <w:rsid w:val="00C00BF9"/>
    <w:rsid w:val="00C166D3"/>
    <w:rsid w:val="00C40B64"/>
    <w:rsid w:val="00CA64F9"/>
    <w:rsid w:val="00CD1507"/>
    <w:rsid w:val="00CE6C63"/>
    <w:rsid w:val="00CF2959"/>
    <w:rsid w:val="00D549A0"/>
    <w:rsid w:val="00DC587F"/>
    <w:rsid w:val="00E0014E"/>
    <w:rsid w:val="00E234D5"/>
    <w:rsid w:val="00E477C6"/>
    <w:rsid w:val="00E604E1"/>
    <w:rsid w:val="00EA0D21"/>
    <w:rsid w:val="00F818ED"/>
    <w:rsid w:val="00FB6D50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66F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0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iPriority w:val="99"/>
    <w:unhideWhenUsed/>
    <w:qFormat/>
    <w:rsid w:val="00674600"/>
  </w:style>
  <w:style w:type="character" w:customStyle="1" w:styleId="FootnoteTextChar">
    <w:name w:val="Footnote Text Char"/>
    <w:aliases w:val="Footnote Char,Text Char"/>
    <w:basedOn w:val="DefaultParagraphFont"/>
    <w:link w:val="FootnoteText"/>
    <w:uiPriority w:val="99"/>
    <w:rsid w:val="00674600"/>
    <w:rPr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674600"/>
    <w:rPr>
      <w:vertAlign w:val="superscript"/>
    </w:rPr>
  </w:style>
  <w:style w:type="paragraph" w:styleId="NoSpacing">
    <w:name w:val="No Spacing"/>
    <w:uiPriority w:val="1"/>
    <w:qFormat/>
    <w:rsid w:val="00674600"/>
    <w:rPr>
      <w:rFonts w:cs="Times New Roman"/>
      <w:sz w:val="20"/>
      <w:szCs w:val="20"/>
    </w:rPr>
  </w:style>
  <w:style w:type="paragraph" w:styleId="ListParagraph">
    <w:name w:val="List Paragraph"/>
    <w:aliases w:val="EOT List Paragraph"/>
    <w:basedOn w:val="Normal"/>
    <w:link w:val="ListParagraphChar"/>
    <w:uiPriority w:val="34"/>
    <w:qFormat/>
    <w:rsid w:val="00674600"/>
    <w:pPr>
      <w:ind w:left="720"/>
      <w:contextualSpacing/>
    </w:pPr>
  </w:style>
  <w:style w:type="character" w:customStyle="1" w:styleId="ListParagraphChar">
    <w:name w:val="List Paragraph Char"/>
    <w:aliases w:val="EOT List Paragraph Char"/>
    <w:link w:val="ListParagraph"/>
    <w:uiPriority w:val="1"/>
    <w:rsid w:val="00674600"/>
    <w:rPr>
      <w:lang w:val="en-AU"/>
    </w:rPr>
  </w:style>
  <w:style w:type="character" w:styleId="Hyperlink">
    <w:name w:val="Hyperlink"/>
    <w:uiPriority w:val="99"/>
    <w:rsid w:val="006746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4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600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674600"/>
  </w:style>
  <w:style w:type="paragraph" w:styleId="BalloonText">
    <w:name w:val="Balloon Text"/>
    <w:basedOn w:val="Normal"/>
    <w:link w:val="BalloonTextChar"/>
    <w:uiPriority w:val="99"/>
    <w:semiHidden/>
    <w:unhideWhenUsed/>
    <w:rsid w:val="006746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00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haveyoursay@justice.tas.gov.a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945</Words>
  <Characters>5392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TACLC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Microsoft Office User</cp:lastModifiedBy>
  <cp:revision>14</cp:revision>
  <dcterms:created xsi:type="dcterms:W3CDTF">2019-01-28T21:31:00Z</dcterms:created>
  <dcterms:modified xsi:type="dcterms:W3CDTF">2019-02-01T04:20:00Z</dcterms:modified>
</cp:coreProperties>
</file>