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9ECEE" w14:textId="77777777" w:rsidR="006A60AD" w:rsidRDefault="006A60AD" w:rsidP="006A60AD">
      <w:pPr>
        <w:ind w:right="-205"/>
        <w:jc w:val="center"/>
      </w:pPr>
      <w:bookmarkStart w:id="0" w:name="_GoBack"/>
      <w:bookmarkEnd w:id="0"/>
      <w:r w:rsidRPr="00B10735">
        <w:rPr>
          <w:noProof/>
          <w:sz w:val="20"/>
          <w:szCs w:val="20"/>
          <w:lang w:val="en-AU" w:eastAsia="en-AU"/>
        </w:rPr>
        <w:drawing>
          <wp:inline distT="0" distB="0" distL="0" distR="0" wp14:anchorId="02E76447" wp14:editId="01FEA9ED">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23C31B4A" w14:textId="77777777" w:rsidR="006A60AD" w:rsidRDefault="006A60AD" w:rsidP="006A60AD">
      <w:pPr>
        <w:ind w:right="-205"/>
      </w:pPr>
    </w:p>
    <w:p w14:paraId="0EFA9B89" w14:textId="77777777" w:rsidR="006A60AD" w:rsidRPr="00FA08CC" w:rsidRDefault="006A60AD" w:rsidP="006A60AD">
      <w:pPr>
        <w:ind w:right="-205"/>
      </w:pPr>
    </w:p>
    <w:p w14:paraId="3F2D8C58" w14:textId="4652EF5E" w:rsidR="006A60AD" w:rsidRPr="00FA08CC" w:rsidRDefault="00BB2EC5" w:rsidP="00391A23">
      <w:pPr>
        <w:pStyle w:val="NoSpacing"/>
      </w:pPr>
      <w:r>
        <w:t>9</w:t>
      </w:r>
      <w:r w:rsidR="006A60AD">
        <w:t xml:space="preserve"> February 2018</w:t>
      </w:r>
    </w:p>
    <w:p w14:paraId="516DE0F0" w14:textId="77777777" w:rsidR="006A60AD" w:rsidRPr="00FA08CC" w:rsidRDefault="006A60AD" w:rsidP="00391A23">
      <w:pPr>
        <w:pStyle w:val="NoSpacing"/>
      </w:pPr>
    </w:p>
    <w:p w14:paraId="7F5B3046" w14:textId="77777777" w:rsidR="006A60AD" w:rsidRPr="00FA08CC" w:rsidRDefault="006A60AD" w:rsidP="00391A23">
      <w:pPr>
        <w:pStyle w:val="NoSpacing"/>
      </w:pPr>
      <w:r w:rsidRPr="00FA08CC">
        <w:t>Department of Justice</w:t>
      </w:r>
    </w:p>
    <w:p w14:paraId="6857EC82" w14:textId="77777777" w:rsidR="006A60AD" w:rsidRDefault="006A60AD" w:rsidP="00391A23">
      <w:pPr>
        <w:pStyle w:val="NoSpacing"/>
      </w:pPr>
      <w:r w:rsidRPr="00FA08CC">
        <w:t>Office of Strategic Legislation and Policy</w:t>
      </w:r>
    </w:p>
    <w:p w14:paraId="10191377" w14:textId="77777777" w:rsidR="006A60AD" w:rsidRPr="00FA08CC" w:rsidRDefault="006A60AD" w:rsidP="00391A23">
      <w:pPr>
        <w:pStyle w:val="NoSpacing"/>
      </w:pPr>
      <w:r w:rsidRPr="00FA08CC">
        <w:t>GPO Box 825</w:t>
      </w:r>
    </w:p>
    <w:p w14:paraId="5498BCB9" w14:textId="3E54E857" w:rsidR="006A60AD" w:rsidRDefault="006A60AD" w:rsidP="00391A23">
      <w:pPr>
        <w:pStyle w:val="NoSpacing"/>
      </w:pPr>
      <w:r w:rsidRPr="00FA08CC">
        <w:t>Hobart TAS 7001</w:t>
      </w:r>
      <w:r>
        <w:tab/>
      </w:r>
    </w:p>
    <w:p w14:paraId="27F14313" w14:textId="7730FC2A" w:rsidR="006A60AD" w:rsidRPr="00BB2EC5" w:rsidRDefault="00BB2EC5" w:rsidP="00391A23">
      <w:pPr>
        <w:pStyle w:val="NoSpacing"/>
        <w:rPr>
          <w:color w:val="000000" w:themeColor="text1"/>
        </w:rPr>
      </w:pPr>
      <w:proofErr w:type="spellStart"/>
      <w:r w:rsidRPr="00BB2EC5">
        <w:rPr>
          <w:color w:val="000000" w:themeColor="text1"/>
        </w:rPr>
        <w:t>attn:</w:t>
      </w:r>
      <w:proofErr w:type="spellEnd"/>
      <w:r w:rsidRPr="00BB2EC5">
        <w:rPr>
          <w:color w:val="000000" w:themeColor="text1"/>
        </w:rPr>
        <w:t xml:space="preserve"> </w:t>
      </w:r>
      <w:r>
        <w:rPr>
          <w:color w:val="000000" w:themeColor="text1"/>
        </w:rPr>
        <w:t>Principal Policy Officer</w:t>
      </w:r>
    </w:p>
    <w:p w14:paraId="028CDF6D" w14:textId="77777777" w:rsidR="006A60AD" w:rsidRPr="00BB2EC5" w:rsidRDefault="006A60AD" w:rsidP="00391A23">
      <w:pPr>
        <w:pStyle w:val="NoSpacing"/>
        <w:rPr>
          <w:b/>
          <w:color w:val="000000" w:themeColor="text1"/>
        </w:rPr>
      </w:pPr>
    </w:p>
    <w:p w14:paraId="71640062" w14:textId="22A0FA7A" w:rsidR="006A60AD" w:rsidRPr="00BB2EC5" w:rsidRDefault="006A60AD" w:rsidP="00391A23">
      <w:pPr>
        <w:pStyle w:val="NoSpacing"/>
        <w:ind w:left="1440" w:firstLine="720"/>
        <w:rPr>
          <w:color w:val="000000" w:themeColor="text1"/>
        </w:rPr>
      </w:pPr>
      <w:r w:rsidRPr="00BB2EC5">
        <w:rPr>
          <w:b/>
          <w:color w:val="000000" w:themeColor="text1"/>
        </w:rPr>
        <w:t xml:space="preserve">via email: </w:t>
      </w:r>
      <w:hyperlink r:id="rId8" w:history="1">
        <w:r w:rsidR="00391A23" w:rsidRPr="00421854">
          <w:rPr>
            <w:rStyle w:val="Hyperlink"/>
            <w:i/>
          </w:rPr>
          <w:t>legislation.development@justice.tas.gov.au</w:t>
        </w:r>
      </w:hyperlink>
      <w:r w:rsidR="00391A23">
        <w:rPr>
          <w:i/>
          <w:color w:val="000000" w:themeColor="text1"/>
        </w:rPr>
        <w:t xml:space="preserve"> </w:t>
      </w:r>
    </w:p>
    <w:p w14:paraId="246F9AC1" w14:textId="77777777" w:rsidR="006A60AD" w:rsidRPr="00BB2EC5" w:rsidRDefault="006A60AD" w:rsidP="00391A23">
      <w:pPr>
        <w:pStyle w:val="NoSpacing"/>
        <w:rPr>
          <w:color w:val="000000" w:themeColor="text1"/>
        </w:rPr>
      </w:pPr>
      <w:r w:rsidRPr="00BB2EC5">
        <w:rPr>
          <w:color w:val="000000" w:themeColor="text1"/>
        </w:rPr>
        <w:tab/>
      </w:r>
      <w:r w:rsidRPr="00BB2EC5">
        <w:rPr>
          <w:color w:val="000000" w:themeColor="text1"/>
        </w:rPr>
        <w:tab/>
      </w:r>
      <w:r w:rsidRPr="00BB2EC5">
        <w:rPr>
          <w:color w:val="000000" w:themeColor="text1"/>
        </w:rPr>
        <w:tab/>
      </w:r>
    </w:p>
    <w:p w14:paraId="68909EED" w14:textId="6E29E9A2" w:rsidR="006A60AD" w:rsidRPr="00BB2EC5" w:rsidRDefault="00BB2EC5" w:rsidP="00391A23">
      <w:pPr>
        <w:pStyle w:val="NoSpacing"/>
        <w:rPr>
          <w:color w:val="000000" w:themeColor="text1"/>
        </w:rPr>
      </w:pPr>
      <w:r>
        <w:rPr>
          <w:color w:val="000000" w:themeColor="text1"/>
        </w:rPr>
        <w:t>To</w:t>
      </w:r>
      <w:r w:rsidRPr="00BB2EC5">
        <w:rPr>
          <w:color w:val="000000" w:themeColor="text1"/>
        </w:rPr>
        <w:t xml:space="preserve"> Emma</w:t>
      </w:r>
      <w:r>
        <w:rPr>
          <w:color w:val="000000" w:themeColor="text1"/>
        </w:rPr>
        <w:t xml:space="preserve"> Gunn</w:t>
      </w:r>
      <w:r w:rsidR="006A60AD" w:rsidRPr="00BB2EC5">
        <w:rPr>
          <w:color w:val="000000" w:themeColor="text1"/>
        </w:rPr>
        <w:t>,</w:t>
      </w:r>
    </w:p>
    <w:p w14:paraId="0F2DC883" w14:textId="22F75F7C" w:rsidR="006A60AD" w:rsidRDefault="006A60AD" w:rsidP="00391A23">
      <w:pPr>
        <w:pStyle w:val="NoSpacing"/>
        <w:pBdr>
          <w:bottom w:val="single" w:sz="6" w:space="1" w:color="auto"/>
        </w:pBdr>
        <w:rPr>
          <w:b/>
          <w:i/>
        </w:rPr>
      </w:pPr>
      <w:r w:rsidRPr="00FA08CC">
        <w:rPr>
          <w:b/>
        </w:rPr>
        <w:t xml:space="preserve">Re: </w:t>
      </w:r>
      <w:r w:rsidR="00391A23">
        <w:rPr>
          <w:b/>
        </w:rPr>
        <w:t>Response</w:t>
      </w:r>
      <w:r w:rsidR="00301053">
        <w:rPr>
          <w:b/>
        </w:rPr>
        <w:t xml:space="preserve"> to the </w:t>
      </w:r>
      <w:r w:rsidR="00301053" w:rsidRPr="00301053">
        <w:rPr>
          <w:b/>
          <w:i/>
        </w:rPr>
        <w:t>Reforms to the Tasmanian Bail System – Position Paper</w:t>
      </w:r>
    </w:p>
    <w:p w14:paraId="6A71F7F8" w14:textId="0716CE39" w:rsidR="006A60AD" w:rsidRDefault="006A60AD" w:rsidP="00391A23">
      <w:pPr>
        <w:pStyle w:val="NoSpacing"/>
      </w:pPr>
    </w:p>
    <w:p w14:paraId="2BE64B19" w14:textId="036FA1BF" w:rsidR="006A60AD" w:rsidRPr="00FA08CC" w:rsidRDefault="006A60AD" w:rsidP="00391A23">
      <w:pPr>
        <w:pStyle w:val="NoSpacing"/>
        <w:jc w:val="both"/>
      </w:pPr>
      <w:r w:rsidRPr="00FA08CC">
        <w:rPr>
          <w:rFonts w:cs="Calibri"/>
        </w:rPr>
        <w:t xml:space="preserve">Community Legal </w:t>
      </w:r>
      <w:proofErr w:type="spellStart"/>
      <w:r w:rsidRPr="00FA08CC">
        <w:rPr>
          <w:rFonts w:cs="Calibri"/>
        </w:rPr>
        <w:t>Centres</w:t>
      </w:r>
      <w:proofErr w:type="spellEnd"/>
      <w:r w:rsidRPr="00FA08CC">
        <w:rPr>
          <w:rFonts w:cs="Calibri"/>
        </w:rPr>
        <w:t xml:space="preserve"> Tasmania (CLC </w:t>
      </w:r>
      <w:proofErr w:type="spellStart"/>
      <w:r w:rsidRPr="00FA08CC">
        <w:rPr>
          <w:rFonts w:cs="Calibri"/>
        </w:rPr>
        <w:t>Tas</w:t>
      </w:r>
      <w:proofErr w:type="spellEnd"/>
      <w:r w:rsidRPr="00FA08CC">
        <w:rPr>
          <w:rFonts w:cs="Calibri"/>
        </w:rPr>
        <w:t>)</w:t>
      </w:r>
      <w:r w:rsidRPr="00FA08CC">
        <w:t xml:space="preserve"> welcomes the opportunity to </w:t>
      </w:r>
      <w:r w:rsidRPr="008B1E75">
        <w:t xml:space="preserve">provide comment on the </w:t>
      </w:r>
      <w:r>
        <w:rPr>
          <w:i/>
        </w:rPr>
        <w:t>Reforms to the Tasmanian Bail System – Position Paper.</w:t>
      </w:r>
      <w:r w:rsidRPr="006A60AD">
        <w:rPr>
          <w:rStyle w:val="FootnoteReference"/>
        </w:rPr>
        <w:footnoteReference w:id="1"/>
      </w:r>
      <w:r w:rsidRPr="006A60AD">
        <w:t xml:space="preserve"> </w:t>
      </w:r>
    </w:p>
    <w:p w14:paraId="3CDBCA23" w14:textId="77777777" w:rsidR="006A60AD" w:rsidRPr="00FA08CC" w:rsidRDefault="006A60AD" w:rsidP="00391A23">
      <w:pPr>
        <w:pStyle w:val="NoSpacing"/>
        <w:jc w:val="both"/>
      </w:pPr>
    </w:p>
    <w:p w14:paraId="56E66233" w14:textId="07EBE324" w:rsidR="006A60AD" w:rsidRDefault="006A60AD" w:rsidP="00391A23">
      <w:pPr>
        <w:pStyle w:val="NoSpacing"/>
        <w:jc w:val="both"/>
        <w:rPr>
          <w:rFonts w:cs="Arial"/>
          <w:color w:val="000000"/>
        </w:rPr>
      </w:pPr>
      <w:r w:rsidRPr="00FA08CC">
        <w:rPr>
          <w:rFonts w:eastAsia="Times New Roman" w:cs="Arial"/>
          <w:lang w:eastAsia="en-AU"/>
        </w:rPr>
        <w:t xml:space="preserve">CLC </w:t>
      </w:r>
      <w:proofErr w:type="spellStart"/>
      <w:r w:rsidRPr="00FA08CC">
        <w:rPr>
          <w:rFonts w:eastAsia="Times New Roman" w:cs="Arial"/>
          <w:lang w:eastAsia="en-AU"/>
        </w:rPr>
        <w:t>Tas</w:t>
      </w:r>
      <w:proofErr w:type="spellEnd"/>
      <w:r w:rsidRPr="00FA08CC">
        <w:rPr>
          <w:rFonts w:eastAsia="Times New Roman" w:cs="Arial"/>
          <w:lang w:eastAsia="en-AU"/>
        </w:rPr>
        <w:t xml:space="preserve"> </w:t>
      </w:r>
      <w:r w:rsidRPr="00FA08CC">
        <w:rPr>
          <w:rFonts w:cs="Arial"/>
        </w:rPr>
        <w:t xml:space="preserve">is the peak body representing the interests of </w:t>
      </w:r>
      <w:r>
        <w:rPr>
          <w:rFonts w:cs="Arial"/>
        </w:rPr>
        <w:t>nine</w:t>
      </w:r>
      <w:r w:rsidRPr="00FA08CC">
        <w:rPr>
          <w:rFonts w:cs="Arial"/>
        </w:rPr>
        <w:t xml:space="preserve"> </w:t>
      </w:r>
      <w:proofErr w:type="gramStart"/>
      <w:r w:rsidRPr="00FA08CC">
        <w:rPr>
          <w:rFonts w:cs="Arial"/>
        </w:rPr>
        <w:t>community</w:t>
      </w:r>
      <w:proofErr w:type="gramEnd"/>
      <w:r w:rsidRPr="00FA08CC">
        <w:rPr>
          <w:rFonts w:cs="Arial"/>
        </w:rPr>
        <w:t xml:space="preserve"> legal </w:t>
      </w:r>
      <w:proofErr w:type="spellStart"/>
      <w:r w:rsidRPr="00FA08CC">
        <w:rPr>
          <w:rFonts w:cs="Arial"/>
        </w:rPr>
        <w:t>centres</w:t>
      </w:r>
      <w:proofErr w:type="spellEnd"/>
      <w:r w:rsidRPr="00FA08CC">
        <w:rPr>
          <w:rFonts w:cs="Arial"/>
        </w:rPr>
        <w:t xml:space="preserve"> (CLCs) located throughout Tasmania. We are a member-based, independent, not-for-profit and incorporated </w:t>
      </w:r>
      <w:proofErr w:type="spellStart"/>
      <w:r w:rsidRPr="00FA08CC">
        <w:rPr>
          <w:rFonts w:cs="Arial"/>
        </w:rPr>
        <w:t>organisation</w:t>
      </w:r>
      <w:proofErr w:type="spellEnd"/>
      <w:r w:rsidRPr="00FA08CC">
        <w:rPr>
          <w:rFonts w:cs="Arial"/>
        </w:rPr>
        <w:t xml:space="preserve"> that</w:t>
      </w:r>
      <w:r w:rsidRPr="00FA08CC">
        <w:rPr>
          <w:rFonts w:cs="Arial"/>
          <w:color w:val="000000"/>
        </w:rPr>
        <w:t xml:space="preserve"> advocates for law reform on a range of public interest matters aimed at improving access to justice, reducing discrimination and protecting and promoting human rights.</w:t>
      </w:r>
    </w:p>
    <w:p w14:paraId="5F523549" w14:textId="77777777" w:rsidR="006A60AD" w:rsidRDefault="006A60AD" w:rsidP="00391A23">
      <w:pPr>
        <w:pStyle w:val="NoSpacing"/>
        <w:jc w:val="both"/>
        <w:rPr>
          <w:rFonts w:cs="Arial"/>
          <w:color w:val="000000"/>
        </w:rPr>
      </w:pPr>
    </w:p>
    <w:p w14:paraId="7770B685" w14:textId="55AEA7C0" w:rsidR="006A60AD" w:rsidRDefault="006A60AD" w:rsidP="00391A23">
      <w:pPr>
        <w:pStyle w:val="NoSpacing"/>
        <w:jc w:val="both"/>
      </w:pPr>
      <w:r>
        <w:t xml:space="preserve">We </w:t>
      </w:r>
      <w:r w:rsidR="00744413">
        <w:t xml:space="preserve">strongly </w:t>
      </w:r>
      <w:r>
        <w:t xml:space="preserve">support </w:t>
      </w:r>
      <w:r w:rsidR="006D658A">
        <w:t>many of</w:t>
      </w:r>
      <w:r>
        <w:t xml:space="preserve"> the reforms proposed in the position paper, </w:t>
      </w:r>
      <w:r w:rsidR="00301053">
        <w:t>particularly</w:t>
      </w:r>
      <w:r>
        <w:t xml:space="preserve"> </w:t>
      </w:r>
      <w:r w:rsidR="006D658A">
        <w:t>those reforms that</w:t>
      </w:r>
      <w:r>
        <w:t xml:space="preserve"> </w:t>
      </w:r>
      <w:r w:rsidR="006D658A">
        <w:t>seek to clarify and simpl</w:t>
      </w:r>
      <w:r w:rsidR="00391A23">
        <w:t>if</w:t>
      </w:r>
      <w:r w:rsidR="006D658A">
        <w:t xml:space="preserve">y the law. However, we do not support the proposal to reverse </w:t>
      </w:r>
      <w:r w:rsidR="00391A23">
        <w:t xml:space="preserve">the onus of proof by introducing either the </w:t>
      </w:r>
      <w:r w:rsidR="00391A23" w:rsidRPr="00EE366A">
        <w:t xml:space="preserve">‘exceptional circumstances’ </w:t>
      </w:r>
      <w:r w:rsidR="004004AC">
        <w:t xml:space="preserve">or ‘show good reason’ test primarily because of the likely increase on an already overstretched prison system. </w:t>
      </w:r>
      <w:r w:rsidR="00391A23">
        <w:t xml:space="preserve"> </w:t>
      </w:r>
    </w:p>
    <w:p w14:paraId="04889C49" w14:textId="77777777" w:rsidR="00DA6D19" w:rsidRDefault="00DA6D19" w:rsidP="00391A23">
      <w:pPr>
        <w:pStyle w:val="NoSpacing"/>
        <w:jc w:val="both"/>
        <w:rPr>
          <w:b/>
          <w:i/>
        </w:rPr>
      </w:pPr>
    </w:p>
    <w:p w14:paraId="2FA34EFC" w14:textId="0641EBF7" w:rsidR="00301053" w:rsidRPr="00301053" w:rsidRDefault="00301053" w:rsidP="00391A23">
      <w:pPr>
        <w:pStyle w:val="NoSpacing"/>
        <w:jc w:val="both"/>
        <w:rPr>
          <w:b/>
          <w:i/>
        </w:rPr>
      </w:pPr>
      <w:r>
        <w:rPr>
          <w:b/>
          <w:i/>
        </w:rPr>
        <w:t xml:space="preserve">- </w:t>
      </w:r>
      <w:r w:rsidRPr="00301053">
        <w:rPr>
          <w:b/>
          <w:i/>
        </w:rPr>
        <w:t>Simplifying and clarifying Bail Law</w:t>
      </w:r>
    </w:p>
    <w:p w14:paraId="383FACA1" w14:textId="77777777" w:rsidR="00AC5C75" w:rsidRDefault="00744413" w:rsidP="00391A23">
      <w:pPr>
        <w:pStyle w:val="NoSpacing"/>
        <w:jc w:val="both"/>
      </w:pPr>
      <w:r>
        <w:t>The failure of our le</w:t>
      </w:r>
      <w:r w:rsidR="00E465E7">
        <w:t xml:space="preserve">gislators to clearly articulate </w:t>
      </w:r>
      <w:r>
        <w:t xml:space="preserve">the purpose and objectives of </w:t>
      </w:r>
      <w:r w:rsidR="00A4685E">
        <w:t xml:space="preserve">bail </w:t>
      </w:r>
      <w:r w:rsidR="00E465E7">
        <w:t>contributes to the</w:t>
      </w:r>
      <w:r w:rsidR="0055753D">
        <w:t xml:space="preserve"> lack of understanding </w:t>
      </w:r>
      <w:r w:rsidR="00E465E7">
        <w:t xml:space="preserve">and uncertainty </w:t>
      </w:r>
      <w:r w:rsidR="0055753D">
        <w:t xml:space="preserve">in the wider community. </w:t>
      </w:r>
      <w:r w:rsidR="00DA6D19">
        <w:t>This confusion is compounded by the competing considerations that the judiciary must weigh up in their decision to grant bail</w:t>
      </w:r>
      <w:r w:rsidR="001E3394">
        <w:t xml:space="preserve">. </w:t>
      </w:r>
      <w:r>
        <w:t xml:space="preserve">We </w:t>
      </w:r>
      <w:r w:rsidR="0055753D">
        <w:t xml:space="preserve">therefore </w:t>
      </w:r>
      <w:r>
        <w:t>st</w:t>
      </w:r>
      <w:r w:rsidR="00E465E7">
        <w:t>rongly support the adoption of</w:t>
      </w:r>
      <w:r>
        <w:t xml:space="preserve"> </w:t>
      </w:r>
      <w:r w:rsidR="00E465E7">
        <w:t xml:space="preserve">a </w:t>
      </w:r>
      <w:r w:rsidR="00DA6D19">
        <w:t>clear</w:t>
      </w:r>
      <w:r>
        <w:t xml:space="preserve"> statement</w:t>
      </w:r>
      <w:r w:rsidR="00E465E7">
        <w:t xml:space="preserve"> that sets</w:t>
      </w:r>
      <w:r>
        <w:t xml:space="preserve"> out the purpose and objectives of bail </w:t>
      </w:r>
      <w:r w:rsidR="00DA6D19">
        <w:t xml:space="preserve">as well as articulating the principles that underpin the grant of bail. </w:t>
      </w:r>
    </w:p>
    <w:p w14:paraId="717F2A23" w14:textId="77777777" w:rsidR="00AC5C75" w:rsidRDefault="00AC5C75" w:rsidP="00391A23">
      <w:pPr>
        <w:pStyle w:val="NoSpacing"/>
        <w:jc w:val="both"/>
      </w:pPr>
    </w:p>
    <w:p w14:paraId="2A061F93" w14:textId="0AE4E3BC" w:rsidR="00301053" w:rsidRPr="00326CC1" w:rsidRDefault="00326CC1" w:rsidP="00391A23">
      <w:pPr>
        <w:pStyle w:val="NoSpacing"/>
        <w:jc w:val="both"/>
        <w:rPr>
          <w:color w:val="000000" w:themeColor="text1"/>
        </w:rPr>
      </w:pPr>
      <w:r w:rsidRPr="00326CC1">
        <w:rPr>
          <w:color w:val="000000" w:themeColor="text1"/>
        </w:rPr>
        <w:lastRenderedPageBreak/>
        <w:t>We believe that the proposed objects clause should articulate the presumption of innocence and the prima facie right to liberty, limited only to the extent necessary by the administration of justice and the protection of the community.</w:t>
      </w:r>
    </w:p>
    <w:p w14:paraId="0A01525B" w14:textId="77777777" w:rsidR="00326CC1" w:rsidRDefault="00326CC1" w:rsidP="00391A23">
      <w:pPr>
        <w:pStyle w:val="NoSpacing"/>
        <w:jc w:val="both"/>
        <w:rPr>
          <w:b/>
          <w:i/>
        </w:rPr>
      </w:pPr>
    </w:p>
    <w:p w14:paraId="734880BD" w14:textId="77777777" w:rsidR="00D8320B" w:rsidRPr="00301053" w:rsidRDefault="00D8320B" w:rsidP="00391A23">
      <w:pPr>
        <w:pStyle w:val="NoSpacing"/>
        <w:jc w:val="both"/>
        <w:rPr>
          <w:b/>
        </w:rPr>
      </w:pPr>
      <w:r w:rsidRPr="00301053">
        <w:rPr>
          <w:b/>
          <w:i/>
        </w:rPr>
        <w:t xml:space="preserve">Issue 1:  Should the Tasmanian Bail Act include an “unacceptable risk test” which contains a list of relevant circumstances to take into account when assessing if the accused is of an unacceptable risk that differs from the outlined considerations in R </w:t>
      </w:r>
      <w:proofErr w:type="gramStart"/>
      <w:r w:rsidRPr="00301053">
        <w:rPr>
          <w:b/>
          <w:i/>
        </w:rPr>
        <w:t>v</w:t>
      </w:r>
      <w:proofErr w:type="gramEnd"/>
      <w:r w:rsidRPr="00301053">
        <w:rPr>
          <w:b/>
          <w:i/>
        </w:rPr>
        <w:t xml:space="preserve"> Fisher?</w:t>
      </w:r>
    </w:p>
    <w:p w14:paraId="28197273" w14:textId="77777777" w:rsidR="00D8320B" w:rsidRDefault="00D8320B" w:rsidP="00391A23">
      <w:pPr>
        <w:pStyle w:val="NoSpacing"/>
        <w:jc w:val="both"/>
      </w:pPr>
    </w:p>
    <w:p w14:paraId="36F4FD2E" w14:textId="30313C88" w:rsidR="006A60AD" w:rsidRDefault="00A81FC4" w:rsidP="00391A23">
      <w:pPr>
        <w:pStyle w:val="NoSpacing"/>
        <w:jc w:val="both"/>
      </w:pPr>
      <w:r>
        <w:t>It is a long</w:t>
      </w:r>
      <w:r w:rsidR="00B6631C">
        <w:t xml:space="preserve"> established</w:t>
      </w:r>
      <w:r>
        <w:t xml:space="preserve"> principle of both Australia</w:t>
      </w:r>
      <w:r w:rsidR="00B6631C">
        <w:t xml:space="preserve">n and international law that a person </w:t>
      </w:r>
      <w:r>
        <w:t>is innocent until proven guilty</w:t>
      </w:r>
      <w:r>
        <w:rPr>
          <w:rStyle w:val="FootnoteReference"/>
        </w:rPr>
        <w:footnoteReference w:id="2"/>
      </w:r>
      <w:r w:rsidR="00B6631C">
        <w:t xml:space="preserve"> and that </w:t>
      </w:r>
      <w:r w:rsidR="00177253">
        <w:t xml:space="preserve">a person should only be deprived of their liberty </w:t>
      </w:r>
      <w:r w:rsidR="00B6631C">
        <w:t xml:space="preserve">where there are appropriate grounds for doing so. </w:t>
      </w:r>
      <w:r w:rsidR="00177253">
        <w:t xml:space="preserve">In Tasmania, </w:t>
      </w:r>
      <w:r w:rsidR="00F410B7">
        <w:t xml:space="preserve">the </w:t>
      </w:r>
      <w:r w:rsidR="00301053">
        <w:t xml:space="preserve">seminal </w:t>
      </w:r>
      <w:r w:rsidR="00F410B7">
        <w:t xml:space="preserve">case </w:t>
      </w:r>
      <w:r w:rsidR="00301053">
        <w:t>is</w:t>
      </w:r>
      <w:r w:rsidR="00F410B7">
        <w:t xml:space="preserve"> </w:t>
      </w:r>
      <w:r w:rsidR="00F410B7" w:rsidRPr="00D8320B">
        <w:rPr>
          <w:i/>
        </w:rPr>
        <w:t>R v Fisher</w:t>
      </w:r>
      <w:r w:rsidR="00F410B7">
        <w:rPr>
          <w:rStyle w:val="FootnoteReference"/>
        </w:rPr>
        <w:footnoteReference w:id="3"/>
      </w:r>
      <w:r w:rsidR="00F410B7">
        <w:t xml:space="preserve"> </w:t>
      </w:r>
      <w:r w:rsidR="00301053">
        <w:t xml:space="preserve">in which Crawford J affirms the fundamental </w:t>
      </w:r>
      <w:r w:rsidR="00F410B7">
        <w:t xml:space="preserve">presumption “… that </w:t>
      </w:r>
      <w:r w:rsidR="00F410B7" w:rsidRPr="00053C1C">
        <w:rPr>
          <w:i/>
        </w:rPr>
        <w:t>prima facie</w:t>
      </w:r>
      <w:r w:rsidR="00F410B7">
        <w:t xml:space="preserve"> every accused is entitled to his freedom until he stands trial”</w:t>
      </w:r>
      <w:r w:rsidR="00F410B7" w:rsidRPr="00931F31">
        <w:rPr>
          <w:vertAlign w:val="superscript"/>
        </w:rPr>
        <w:t>1</w:t>
      </w:r>
      <w:r w:rsidR="00F410B7">
        <w:t xml:space="preserve"> except </w:t>
      </w:r>
      <w:r w:rsidR="00C21CCB">
        <w:t xml:space="preserve">in cases </w:t>
      </w:r>
      <w:r w:rsidR="00F410B7">
        <w:t>where an accused is charged with murder.</w:t>
      </w:r>
      <w:r w:rsidR="006F3B9D">
        <w:t xml:space="preserve"> </w:t>
      </w:r>
      <w:r w:rsidR="00891AFB">
        <w:t xml:space="preserve">Crawford J </w:t>
      </w:r>
      <w:r w:rsidR="006F3B9D">
        <w:t>then set</w:t>
      </w:r>
      <w:r w:rsidR="00301053">
        <w:t>s</w:t>
      </w:r>
      <w:r w:rsidR="00891AFB">
        <w:t xml:space="preserve"> out a </w:t>
      </w:r>
      <w:r w:rsidR="00301053">
        <w:t>non-exhaustive list of</w:t>
      </w:r>
      <w:r w:rsidR="00891AFB">
        <w:t xml:space="preserve"> factors that s</w:t>
      </w:r>
      <w:r w:rsidR="00861C37">
        <w:t>hould be considered i</w:t>
      </w:r>
      <w:r w:rsidR="006F3B9D">
        <w:t>n de</w:t>
      </w:r>
      <w:r w:rsidR="00AC7AE6">
        <w:t xml:space="preserve">termining </w:t>
      </w:r>
      <w:r w:rsidR="00861C37">
        <w:t>the</w:t>
      </w:r>
      <w:r w:rsidR="00AC7AE6">
        <w:t xml:space="preserve"> grant</w:t>
      </w:r>
      <w:r w:rsidR="00861C37">
        <w:t xml:space="preserve"> of</w:t>
      </w:r>
      <w:r w:rsidR="00AC7AE6">
        <w:t xml:space="preserve"> bail.</w:t>
      </w:r>
      <w:r w:rsidR="00AC7AE6">
        <w:rPr>
          <w:rStyle w:val="FootnoteReference"/>
        </w:rPr>
        <w:footnoteReference w:id="4"/>
      </w:r>
    </w:p>
    <w:p w14:paraId="6EF12D79" w14:textId="77777777" w:rsidR="007A6E53" w:rsidRDefault="007A6E53" w:rsidP="00391A23">
      <w:pPr>
        <w:pStyle w:val="NoSpacing"/>
        <w:jc w:val="both"/>
      </w:pPr>
    </w:p>
    <w:p w14:paraId="6E26C5E2" w14:textId="22AA3419" w:rsidR="006F3B9D" w:rsidRDefault="006F3B9D" w:rsidP="00391A23">
      <w:pPr>
        <w:pStyle w:val="NoSpacing"/>
        <w:jc w:val="both"/>
      </w:pPr>
      <w:r>
        <w:t>More recently, Victoria, N</w:t>
      </w:r>
      <w:r w:rsidR="00AC7AE6">
        <w:t xml:space="preserve">ew </w:t>
      </w:r>
      <w:r>
        <w:t>S</w:t>
      </w:r>
      <w:r w:rsidR="00AC7AE6">
        <w:t xml:space="preserve">outh </w:t>
      </w:r>
      <w:r>
        <w:t>W</w:t>
      </w:r>
      <w:r w:rsidR="00AC7AE6">
        <w:t>ales</w:t>
      </w:r>
      <w:r>
        <w:t xml:space="preserve"> and Q</w:t>
      </w:r>
      <w:r w:rsidR="00AC7AE6">
        <w:t>ueensland</w:t>
      </w:r>
      <w:r>
        <w:t xml:space="preserve"> have sought to </w:t>
      </w:r>
      <w:r w:rsidR="00777C82">
        <w:t>emphasize</w:t>
      </w:r>
      <w:r>
        <w:t xml:space="preserve"> the safety and welfare of the community </w:t>
      </w:r>
      <w:r w:rsidR="007575CF">
        <w:t>by introducing</w:t>
      </w:r>
      <w:r>
        <w:t xml:space="preserve"> an ‘unacceptable risk’ test. This test requires a court to refuse a bail application if satisfied that there is an unacceptable risk that the accused if released on bail would:</w:t>
      </w:r>
    </w:p>
    <w:p w14:paraId="68B24350" w14:textId="77777777" w:rsidR="007575CF" w:rsidRDefault="007575CF" w:rsidP="00391A23">
      <w:pPr>
        <w:pStyle w:val="NoSpacing"/>
        <w:jc w:val="both"/>
      </w:pPr>
    </w:p>
    <w:p w14:paraId="5BBE54B2" w14:textId="77777777" w:rsidR="00391A23" w:rsidRDefault="006F3B9D" w:rsidP="00391A23">
      <w:pPr>
        <w:pStyle w:val="NoSpacing"/>
        <w:numPr>
          <w:ilvl w:val="0"/>
          <w:numId w:val="4"/>
        </w:numPr>
        <w:jc w:val="both"/>
      </w:pPr>
      <w:r w:rsidRPr="006F3B9D">
        <w:t xml:space="preserve">fail to surrender himself or herself into custody in answer to his bail; </w:t>
      </w:r>
    </w:p>
    <w:p w14:paraId="4638D704" w14:textId="77777777" w:rsidR="00391A23" w:rsidRDefault="006F3B9D" w:rsidP="00391A23">
      <w:pPr>
        <w:pStyle w:val="NoSpacing"/>
        <w:numPr>
          <w:ilvl w:val="0"/>
          <w:numId w:val="4"/>
        </w:numPr>
        <w:jc w:val="both"/>
      </w:pPr>
      <w:r w:rsidRPr="006F3B9D">
        <w:t xml:space="preserve">commit an offence whilst on bail; </w:t>
      </w:r>
    </w:p>
    <w:p w14:paraId="0939F4F0" w14:textId="77777777" w:rsidR="00391A23" w:rsidRDefault="006F3B9D" w:rsidP="00391A23">
      <w:pPr>
        <w:pStyle w:val="NoSpacing"/>
        <w:numPr>
          <w:ilvl w:val="0"/>
          <w:numId w:val="4"/>
        </w:numPr>
        <w:jc w:val="both"/>
      </w:pPr>
      <w:r w:rsidRPr="006F3B9D">
        <w:t xml:space="preserve">endanger the safety or welfare of members of the public; or </w:t>
      </w:r>
    </w:p>
    <w:p w14:paraId="5271D7F2" w14:textId="0F764094" w:rsidR="006F3B9D" w:rsidRPr="006F3B9D" w:rsidRDefault="006F3B9D" w:rsidP="00391A23">
      <w:pPr>
        <w:pStyle w:val="NoSpacing"/>
        <w:numPr>
          <w:ilvl w:val="0"/>
          <w:numId w:val="4"/>
        </w:numPr>
        <w:jc w:val="both"/>
      </w:pPr>
      <w:r w:rsidRPr="006F3B9D">
        <w:t>interfere with witnesses or otherwise obstruct the course of justice whether in relation to himself or herself or any other person.</w:t>
      </w:r>
    </w:p>
    <w:p w14:paraId="6125DC56" w14:textId="60825C92" w:rsidR="006F3B9D" w:rsidRDefault="006F3B9D" w:rsidP="00391A23">
      <w:pPr>
        <w:pStyle w:val="NoSpacing"/>
        <w:jc w:val="both"/>
      </w:pPr>
      <w:r>
        <w:t xml:space="preserve"> </w:t>
      </w:r>
    </w:p>
    <w:p w14:paraId="4114B616" w14:textId="2179638C" w:rsidR="00144670" w:rsidRPr="0010335E" w:rsidRDefault="00C12B3D" w:rsidP="00391A23">
      <w:pPr>
        <w:pStyle w:val="NoSpacing"/>
        <w:jc w:val="both"/>
        <w:rPr>
          <w:color w:val="000000" w:themeColor="text1"/>
        </w:rPr>
      </w:pPr>
      <w:r w:rsidRPr="0010335E">
        <w:rPr>
          <w:color w:val="000000" w:themeColor="text1"/>
        </w:rPr>
        <w:t>Whilst all of these factors are broadly recognized</w:t>
      </w:r>
      <w:r w:rsidR="007004FC" w:rsidRPr="0010335E">
        <w:rPr>
          <w:color w:val="000000" w:themeColor="text1"/>
        </w:rPr>
        <w:t xml:space="preserve"> in the Tasmanian decision of</w:t>
      </w:r>
      <w:r w:rsidRPr="0010335E">
        <w:rPr>
          <w:color w:val="000000" w:themeColor="text1"/>
        </w:rPr>
        <w:t xml:space="preserve"> </w:t>
      </w:r>
      <w:r w:rsidR="007004FC" w:rsidRPr="0010335E">
        <w:rPr>
          <w:i/>
          <w:color w:val="000000" w:themeColor="text1"/>
        </w:rPr>
        <w:t xml:space="preserve">R </w:t>
      </w:r>
      <w:proofErr w:type="gramStart"/>
      <w:r w:rsidR="007004FC" w:rsidRPr="0010335E">
        <w:rPr>
          <w:i/>
          <w:color w:val="000000" w:themeColor="text1"/>
        </w:rPr>
        <w:t>v</w:t>
      </w:r>
      <w:proofErr w:type="gramEnd"/>
      <w:r w:rsidR="007004FC" w:rsidRPr="0010335E">
        <w:rPr>
          <w:i/>
          <w:color w:val="000000" w:themeColor="text1"/>
        </w:rPr>
        <w:t xml:space="preserve"> Fisher</w:t>
      </w:r>
      <w:r w:rsidRPr="0010335E">
        <w:rPr>
          <w:color w:val="000000" w:themeColor="text1"/>
        </w:rPr>
        <w:t>,</w:t>
      </w:r>
      <w:r w:rsidR="007004FC" w:rsidRPr="0010335E">
        <w:rPr>
          <w:color w:val="000000" w:themeColor="text1"/>
        </w:rPr>
        <w:t xml:space="preserve"> it is acknowledged that as the law currently stands, t</w:t>
      </w:r>
      <w:r w:rsidR="007004FC" w:rsidRPr="0010335E">
        <w:rPr>
          <w:rFonts w:ascii="Times New Roman" w:hAnsi="Times New Roman" w:cs="Times New Roman"/>
          <w:color w:val="000000" w:themeColor="text1"/>
        </w:rPr>
        <w:t>he primary consideration is whether the accused will answer bail. While the inclusion of an ‘unacceptable risk’ test in Tasmanian law would elevate the public interest above many other factors that are currently considered,</w:t>
      </w:r>
      <w:r w:rsidR="00326CC1">
        <w:rPr>
          <w:rFonts w:ascii="Times New Roman" w:hAnsi="Times New Roman" w:cs="Times New Roman"/>
          <w:color w:val="000000" w:themeColor="text1"/>
        </w:rPr>
        <w:t xml:space="preserve"> </w:t>
      </w:r>
      <w:r w:rsidR="00F1340C" w:rsidRPr="0010335E">
        <w:rPr>
          <w:color w:val="000000" w:themeColor="text1"/>
        </w:rPr>
        <w:t>the adoption of the test in</w:t>
      </w:r>
      <w:r w:rsidR="005F7425" w:rsidRPr="0010335E">
        <w:rPr>
          <w:color w:val="000000" w:themeColor="text1"/>
        </w:rPr>
        <w:t xml:space="preserve"> legislation</w:t>
      </w:r>
      <w:r w:rsidR="00144670" w:rsidRPr="0010335E">
        <w:rPr>
          <w:color w:val="000000" w:themeColor="text1"/>
        </w:rPr>
        <w:t xml:space="preserve"> </w:t>
      </w:r>
      <w:r w:rsidR="00565C09">
        <w:rPr>
          <w:color w:val="000000" w:themeColor="text1"/>
        </w:rPr>
        <w:t xml:space="preserve">is supported </w:t>
      </w:r>
      <w:r w:rsidR="00144670" w:rsidRPr="0010335E">
        <w:rPr>
          <w:color w:val="000000" w:themeColor="text1"/>
        </w:rPr>
        <w:t>on the basis that it will provide a clear reference point for both the legal profession and the wider community.</w:t>
      </w:r>
    </w:p>
    <w:p w14:paraId="0487C447" w14:textId="77777777" w:rsidR="00144670" w:rsidRDefault="00144670" w:rsidP="00391A23">
      <w:pPr>
        <w:pStyle w:val="NoSpacing"/>
        <w:jc w:val="both"/>
      </w:pPr>
    </w:p>
    <w:p w14:paraId="44F2D7E6" w14:textId="0FA5C9EA" w:rsidR="00A25EE6" w:rsidRDefault="00AB2E37" w:rsidP="00391A23">
      <w:pPr>
        <w:pStyle w:val="NoSpacing"/>
        <w:jc w:val="both"/>
      </w:pPr>
      <w:r>
        <w:t>In adopting an ‘unacceptable risk</w:t>
      </w:r>
      <w:r w:rsidR="00144670">
        <w:t xml:space="preserve">’ It is important that the list </w:t>
      </w:r>
      <w:r>
        <w:t>of relevant considerations</w:t>
      </w:r>
      <w:r w:rsidR="00A25EE6">
        <w:t xml:space="preserve"> </w:t>
      </w:r>
      <w:r w:rsidR="00950ADA">
        <w:t>is</w:t>
      </w:r>
      <w:r w:rsidR="00144670">
        <w:t xml:space="preserve"> non-exhaustive and </w:t>
      </w:r>
      <w:r w:rsidR="00301053">
        <w:t>expressly</w:t>
      </w:r>
      <w:r w:rsidR="00A25EE6">
        <w:t xml:space="preserve"> include</w:t>
      </w:r>
      <w:r w:rsidR="00301053">
        <w:t>s</w:t>
      </w:r>
      <w:r w:rsidR="00A25EE6">
        <w:t xml:space="preserve"> factors that may have an impact on the accused including</w:t>
      </w:r>
      <w:r w:rsidR="00894311">
        <w:t>:</w:t>
      </w:r>
      <w:r w:rsidR="00894311">
        <w:rPr>
          <w:rStyle w:val="FootnoteReference"/>
        </w:rPr>
        <w:footnoteReference w:id="5"/>
      </w:r>
      <w:r w:rsidR="00A25EE6">
        <w:t xml:space="preserve"> </w:t>
      </w:r>
    </w:p>
    <w:p w14:paraId="469839BE" w14:textId="77777777" w:rsidR="00391A23" w:rsidRDefault="00391A23" w:rsidP="00391A23">
      <w:pPr>
        <w:pStyle w:val="NoSpacing"/>
        <w:jc w:val="both"/>
        <w:rPr>
          <w:color w:val="000000" w:themeColor="text1"/>
        </w:rPr>
      </w:pPr>
    </w:p>
    <w:p w14:paraId="370BA6FB" w14:textId="77777777" w:rsidR="00391A23" w:rsidRDefault="00301053" w:rsidP="00391A23">
      <w:pPr>
        <w:pStyle w:val="NoSpacing"/>
        <w:numPr>
          <w:ilvl w:val="0"/>
          <w:numId w:val="5"/>
        </w:numPr>
        <w:jc w:val="both"/>
        <w:rPr>
          <w:color w:val="000000" w:themeColor="text1"/>
        </w:rPr>
      </w:pPr>
      <w:r>
        <w:rPr>
          <w:color w:val="000000" w:themeColor="text1"/>
        </w:rPr>
        <w:t xml:space="preserve">the need for the accused </w:t>
      </w:r>
      <w:r w:rsidR="00A25EE6" w:rsidRPr="00894311">
        <w:rPr>
          <w:color w:val="000000" w:themeColor="text1"/>
        </w:rPr>
        <w:t>to be free for any other lawful reason;</w:t>
      </w:r>
      <w:r w:rsidR="009A060E">
        <w:rPr>
          <w:rStyle w:val="FootnoteReference"/>
          <w:color w:val="000000" w:themeColor="text1"/>
        </w:rPr>
        <w:footnoteReference w:id="6"/>
      </w:r>
      <w:r w:rsidR="00144670">
        <w:rPr>
          <w:color w:val="000000" w:themeColor="text1"/>
        </w:rPr>
        <w:t xml:space="preserve"> and</w:t>
      </w:r>
      <w:r w:rsidR="00A25EE6" w:rsidRPr="00894311">
        <w:rPr>
          <w:color w:val="000000" w:themeColor="text1"/>
        </w:rPr>
        <w:t xml:space="preserve"> </w:t>
      </w:r>
    </w:p>
    <w:p w14:paraId="7D475AD2" w14:textId="77777777" w:rsidR="00391A23" w:rsidRDefault="00894311" w:rsidP="00391A23">
      <w:pPr>
        <w:pStyle w:val="NoSpacing"/>
        <w:numPr>
          <w:ilvl w:val="0"/>
          <w:numId w:val="5"/>
        </w:numPr>
        <w:jc w:val="both"/>
        <w:rPr>
          <w:color w:val="000000" w:themeColor="text1"/>
        </w:rPr>
      </w:pPr>
      <w:r w:rsidRPr="00391A23">
        <w:rPr>
          <w:color w:val="000000" w:themeColor="text1"/>
        </w:rPr>
        <w:t>the l</w:t>
      </w:r>
      <w:r w:rsidR="00301053" w:rsidRPr="00391A23">
        <w:rPr>
          <w:color w:val="000000" w:themeColor="text1"/>
        </w:rPr>
        <w:t>ength of time the accused</w:t>
      </w:r>
      <w:r w:rsidRPr="00391A23">
        <w:rPr>
          <w:color w:val="000000" w:themeColor="text1"/>
        </w:rPr>
        <w:t xml:space="preserve"> is likely to spend in custody if bail is refused;</w:t>
      </w:r>
      <w:r w:rsidR="00144670" w:rsidRPr="00391A23">
        <w:rPr>
          <w:color w:val="000000" w:themeColor="text1"/>
        </w:rPr>
        <w:t xml:space="preserve"> and</w:t>
      </w:r>
    </w:p>
    <w:p w14:paraId="2757059D" w14:textId="35741A62" w:rsidR="00144670" w:rsidRPr="00391A23" w:rsidRDefault="00144670" w:rsidP="00391A23">
      <w:pPr>
        <w:pStyle w:val="NoSpacing"/>
        <w:numPr>
          <w:ilvl w:val="0"/>
          <w:numId w:val="5"/>
        </w:numPr>
        <w:jc w:val="both"/>
        <w:rPr>
          <w:color w:val="000000" w:themeColor="text1"/>
        </w:rPr>
      </w:pPr>
      <w:r w:rsidRPr="00391A23">
        <w:rPr>
          <w:color w:val="000000" w:themeColor="text1"/>
        </w:rPr>
        <w:t>any special vulnerabi</w:t>
      </w:r>
      <w:r w:rsidR="00301053" w:rsidRPr="00391A23">
        <w:rPr>
          <w:color w:val="000000" w:themeColor="text1"/>
        </w:rPr>
        <w:t>lity or needs the accused</w:t>
      </w:r>
      <w:r w:rsidRPr="00391A23">
        <w:rPr>
          <w:color w:val="000000" w:themeColor="text1"/>
        </w:rPr>
        <w:t xml:space="preserve"> has including because of youth, being an Aboriginal or Torres Strait Islander, </w:t>
      </w:r>
      <w:r w:rsidR="00565C09" w:rsidRPr="00391A23">
        <w:rPr>
          <w:color w:val="000000" w:themeColor="text1"/>
        </w:rPr>
        <w:t xml:space="preserve">of a non-English speaking background </w:t>
      </w:r>
      <w:r w:rsidRPr="00391A23">
        <w:rPr>
          <w:color w:val="000000" w:themeColor="text1"/>
        </w:rPr>
        <w:t>or having a cognitive or mental health impairment.</w:t>
      </w:r>
    </w:p>
    <w:p w14:paraId="70B89A80" w14:textId="1E480150" w:rsidR="006A60AD" w:rsidRDefault="006A60AD" w:rsidP="00391A23">
      <w:pPr>
        <w:pStyle w:val="NoSpacing"/>
        <w:jc w:val="both"/>
      </w:pPr>
    </w:p>
    <w:p w14:paraId="6FE2E673" w14:textId="77777777" w:rsidR="00D31CB8" w:rsidRDefault="00D31CB8" w:rsidP="00391A23">
      <w:pPr>
        <w:pStyle w:val="NoSpacing"/>
        <w:jc w:val="both"/>
      </w:pPr>
    </w:p>
    <w:p w14:paraId="750C1B4E" w14:textId="77777777" w:rsidR="006A60AD" w:rsidRPr="00325152" w:rsidRDefault="006A60AD" w:rsidP="00391A23">
      <w:pPr>
        <w:pStyle w:val="NoSpacing"/>
        <w:jc w:val="both"/>
        <w:rPr>
          <w:b/>
          <w:i/>
        </w:rPr>
      </w:pPr>
      <w:r w:rsidRPr="00325152">
        <w:rPr>
          <w:b/>
          <w:i/>
        </w:rPr>
        <w:t>Issue 2: Should the Tasmanian Bail Act include a reversal of onus with an exceptional circumstances test for a limited number of offences?</w:t>
      </w:r>
    </w:p>
    <w:p w14:paraId="6C807472" w14:textId="77777777" w:rsidR="006A60AD" w:rsidRPr="00325152" w:rsidRDefault="006A60AD" w:rsidP="00391A23">
      <w:pPr>
        <w:pStyle w:val="NoSpacing"/>
        <w:jc w:val="both"/>
        <w:rPr>
          <w:b/>
          <w:i/>
        </w:rPr>
      </w:pPr>
      <w:r w:rsidRPr="00325152">
        <w:rPr>
          <w:b/>
          <w:i/>
        </w:rPr>
        <w:t>Issue 2A: Should a “show good reason test be included in Tasmanian bail law?</w:t>
      </w:r>
    </w:p>
    <w:p w14:paraId="17003606" w14:textId="77777777" w:rsidR="006A60AD" w:rsidRDefault="006A60AD" w:rsidP="00391A23">
      <w:pPr>
        <w:pStyle w:val="NoSpacing"/>
        <w:jc w:val="both"/>
      </w:pPr>
    </w:p>
    <w:p w14:paraId="05DA1B8B" w14:textId="17C55090" w:rsidR="00565C09" w:rsidRPr="00EE366A" w:rsidRDefault="00565C09" w:rsidP="00391A23">
      <w:pPr>
        <w:pStyle w:val="NoSpacing"/>
        <w:jc w:val="both"/>
        <w:rPr>
          <w:rFonts w:eastAsia="Times New Roman" w:cs="Times New Roman"/>
          <w:lang w:val="en-AU"/>
        </w:rPr>
      </w:pPr>
      <w:r w:rsidRPr="00EE366A">
        <w:t xml:space="preserve">We do not believe that either the ‘exceptional circumstances’ or the ‘show good reason’ tests should be adopted in Tasmania. The proposed tests reverse the onus of proof, requiring the accused to demonstrate that bail should be granted and are a significant encroachment on the accused’s right to the presumption of innocence and the </w:t>
      </w:r>
      <w:r w:rsidRPr="00EE366A">
        <w:rPr>
          <w:i/>
        </w:rPr>
        <w:t>prima facie</w:t>
      </w:r>
      <w:r w:rsidRPr="00EE366A">
        <w:t xml:space="preserve"> right to liberty. The </w:t>
      </w:r>
      <w:r w:rsidRPr="00EE366A">
        <w:rPr>
          <w:rFonts w:eastAsia="Times New Roman" w:cs="Times New Roman"/>
          <w:lang w:val="en-AU"/>
        </w:rPr>
        <w:t>adoption of one or both tests is also likely to be in breach of a</w:t>
      </w:r>
      <w:r w:rsidR="00EE366A">
        <w:rPr>
          <w:rFonts w:eastAsia="Times New Roman" w:cs="Times New Roman"/>
          <w:lang w:val="en-AU"/>
        </w:rPr>
        <w:t>rticle 9(</w:t>
      </w:r>
      <w:r w:rsidRPr="00EE366A">
        <w:rPr>
          <w:rFonts w:eastAsia="Times New Roman" w:cs="Times New Roman"/>
          <w:lang w:val="en-AU"/>
        </w:rPr>
        <w:t>3</w:t>
      </w:r>
      <w:r w:rsidR="00EE366A">
        <w:rPr>
          <w:rFonts w:eastAsia="Times New Roman" w:cs="Times New Roman"/>
          <w:lang w:val="en-AU"/>
        </w:rPr>
        <w:t>)</w:t>
      </w:r>
      <w:r w:rsidRPr="00EE366A">
        <w:rPr>
          <w:rFonts w:eastAsia="Times New Roman" w:cs="Times New Roman"/>
          <w:lang w:val="en-AU"/>
        </w:rPr>
        <w:t xml:space="preserve"> of the International Covenant on Civil and Political Rights which provides that “It shall not be the general rule that persons awaiting trial shall be detained in custody”. </w:t>
      </w:r>
    </w:p>
    <w:p w14:paraId="1B5F6044" w14:textId="77777777" w:rsidR="00565C09" w:rsidRPr="00EE366A" w:rsidRDefault="00565C09" w:rsidP="00391A23">
      <w:pPr>
        <w:pStyle w:val="NoSpacing"/>
        <w:jc w:val="both"/>
        <w:rPr>
          <w:rFonts w:eastAsia="Times New Roman" w:cs="Times New Roman"/>
          <w:lang w:val="en-AU"/>
        </w:rPr>
      </w:pPr>
    </w:p>
    <w:p w14:paraId="204C5D77" w14:textId="588ACA11" w:rsidR="00325152" w:rsidRPr="00E872A3" w:rsidRDefault="00565C09" w:rsidP="00E872A3">
      <w:pPr>
        <w:pStyle w:val="NoSpacing"/>
        <w:jc w:val="both"/>
      </w:pPr>
      <w:r w:rsidRPr="00EE366A">
        <w:t xml:space="preserve">We strongly believe that an accused is entitled to the presumption of innocence and the right to liberty unless the State can satisfy the court that the grant of bail should not be made. As Justice Estcourt has previously noted </w:t>
      </w:r>
      <w:r w:rsidRPr="00EE366A">
        <w:rPr>
          <w:rFonts w:eastAsia="Times New Roman" w:cs="Times New Roman"/>
          <w:lang w:val="en-AU"/>
        </w:rPr>
        <w:t xml:space="preserve">“the rule of law is threatened by any unjustified weakening of the presumption of innocence and the presumption of an accused’s </w:t>
      </w:r>
      <w:r w:rsidRPr="00EE366A">
        <w:rPr>
          <w:rFonts w:eastAsia="Times New Roman" w:cs="Times New Roman"/>
          <w:i/>
          <w:lang w:val="en-AU"/>
        </w:rPr>
        <w:t>prima facie</w:t>
      </w:r>
      <w:r w:rsidRPr="00EE366A">
        <w:rPr>
          <w:rFonts w:eastAsia="Times New Roman" w:cs="Times New Roman"/>
          <w:lang w:val="en-AU"/>
        </w:rPr>
        <w:t xml:space="preserve"> entitlement to bail pending trial”.</w:t>
      </w:r>
      <w:r w:rsidRPr="00EE366A">
        <w:rPr>
          <w:rStyle w:val="FootnoteReference"/>
          <w:rFonts w:eastAsia="Times New Roman" w:cs="Times New Roman"/>
          <w:lang w:val="en-AU"/>
        </w:rPr>
        <w:footnoteReference w:id="7"/>
      </w:r>
      <w:r w:rsidR="00E872A3">
        <w:rPr>
          <w:rFonts w:eastAsia="Times New Roman" w:cs="Times New Roman"/>
          <w:lang w:val="en-AU"/>
        </w:rPr>
        <w:t xml:space="preserve"> </w:t>
      </w:r>
    </w:p>
    <w:p w14:paraId="7F986E42" w14:textId="77777777" w:rsidR="00325152" w:rsidRDefault="00325152" w:rsidP="00391A23">
      <w:pPr>
        <w:pStyle w:val="NoSpacing"/>
        <w:jc w:val="both"/>
      </w:pPr>
    </w:p>
    <w:p w14:paraId="3B1E8696" w14:textId="674E6018" w:rsidR="00325152" w:rsidRDefault="00565C09" w:rsidP="00391A23">
      <w:pPr>
        <w:pStyle w:val="NoSpacing"/>
        <w:jc w:val="both"/>
        <w:rPr>
          <w:rFonts w:eastAsia="Times New Roman" w:cs="Times New Roman"/>
          <w:lang w:val="en-AU"/>
        </w:rPr>
      </w:pPr>
      <w:r w:rsidRPr="00EE366A">
        <w:t>Finally, we are concerned that the reversal of the onus of proof is likely to result in an increase in prisoners on remand. In a 2002 Tasmania Law Reform Institute report it was observed that t</w:t>
      </w:r>
      <w:r w:rsidR="00EE366A">
        <w:rPr>
          <w:rFonts w:eastAsia="Times New Roman" w:cs="Times New Roman"/>
          <w:lang w:val="en-AU"/>
        </w:rPr>
        <w:t>he proportion of</w:t>
      </w:r>
      <w:r w:rsidRPr="00EE366A">
        <w:rPr>
          <w:rFonts w:eastAsia="Times New Roman" w:cs="Times New Roman"/>
          <w:lang w:val="en-AU"/>
        </w:rPr>
        <w:t xml:space="preserve"> </w:t>
      </w:r>
      <w:r w:rsidR="00EE366A">
        <w:rPr>
          <w:rFonts w:eastAsia="Times New Roman" w:cs="Times New Roman"/>
          <w:lang w:val="en-AU"/>
        </w:rPr>
        <w:t xml:space="preserve">prisoners </w:t>
      </w:r>
      <w:r w:rsidRPr="00EE366A">
        <w:rPr>
          <w:rFonts w:eastAsia="Times New Roman" w:cs="Times New Roman"/>
          <w:lang w:val="en-AU"/>
        </w:rPr>
        <w:t>on remand in Tasmania had increased over the previous decade from 12.3 per cent to 20.8 per cent.</w:t>
      </w:r>
      <w:r w:rsidRPr="00EE366A">
        <w:rPr>
          <w:rStyle w:val="FootnoteReference"/>
          <w:rFonts w:eastAsia="Times New Roman" w:cs="Times New Roman"/>
          <w:lang w:val="en-AU"/>
        </w:rPr>
        <w:footnoteReference w:id="8"/>
      </w:r>
      <w:r w:rsidRPr="00EE366A">
        <w:rPr>
          <w:rFonts w:eastAsia="Times New Roman" w:cs="Times New Roman"/>
          <w:lang w:val="en-AU"/>
        </w:rPr>
        <w:t xml:space="preserve"> More recently, in December 2017 the Department of Justice provided data noting that 28 per cent of </w:t>
      </w:r>
      <w:r w:rsidR="00EE366A">
        <w:rPr>
          <w:rFonts w:eastAsia="Times New Roman" w:cs="Times New Roman"/>
          <w:lang w:val="en-AU"/>
        </w:rPr>
        <w:t>prisoners were</w:t>
      </w:r>
      <w:r w:rsidRPr="00EE366A">
        <w:rPr>
          <w:rFonts w:eastAsia="Times New Roman" w:cs="Times New Roman"/>
          <w:lang w:val="en-AU"/>
        </w:rPr>
        <w:t xml:space="preserve"> on remand.</w:t>
      </w:r>
      <w:r w:rsidRPr="00EE366A">
        <w:rPr>
          <w:rStyle w:val="FootnoteReference"/>
          <w:rFonts w:eastAsia="Times New Roman" w:cs="Times New Roman"/>
          <w:lang w:val="en-AU"/>
        </w:rPr>
        <w:footnoteReference w:id="9"/>
      </w:r>
      <w:r w:rsidR="004B6CD7">
        <w:rPr>
          <w:rFonts w:eastAsia="Times New Roman" w:cs="Times New Roman"/>
          <w:lang w:val="en-AU"/>
        </w:rPr>
        <w:t xml:space="preserve"> </w:t>
      </w:r>
      <w:r w:rsidRPr="00EE366A">
        <w:rPr>
          <w:rFonts w:eastAsia="Times New Roman" w:cs="Times New Roman"/>
          <w:lang w:val="en-AU"/>
        </w:rPr>
        <w:t xml:space="preserve">With almost one-third of </w:t>
      </w:r>
      <w:r w:rsidR="00EE366A">
        <w:rPr>
          <w:rFonts w:eastAsia="Times New Roman" w:cs="Times New Roman"/>
          <w:lang w:val="en-AU"/>
        </w:rPr>
        <w:t xml:space="preserve">Tasmanian prisoners </w:t>
      </w:r>
      <w:r w:rsidRPr="00EE366A">
        <w:rPr>
          <w:rFonts w:eastAsia="Times New Roman" w:cs="Times New Roman"/>
          <w:lang w:val="en-AU"/>
        </w:rPr>
        <w:t xml:space="preserve">on remand, any weakening of the presumption of innocence </w:t>
      </w:r>
      <w:r w:rsidR="00EE366A">
        <w:rPr>
          <w:rFonts w:eastAsia="Times New Roman" w:cs="Times New Roman"/>
          <w:lang w:val="en-AU"/>
        </w:rPr>
        <w:t xml:space="preserve">and their liberty </w:t>
      </w:r>
      <w:r w:rsidRPr="00EE366A">
        <w:rPr>
          <w:rFonts w:eastAsia="Times New Roman" w:cs="Times New Roman"/>
          <w:lang w:val="en-AU"/>
        </w:rPr>
        <w:t>is likely to place a significant strain on</w:t>
      </w:r>
      <w:r w:rsidR="00EE366A">
        <w:rPr>
          <w:rFonts w:eastAsia="Times New Roman" w:cs="Times New Roman"/>
          <w:lang w:val="en-AU"/>
        </w:rPr>
        <w:t xml:space="preserve"> an already over-stretched prison system.</w:t>
      </w:r>
    </w:p>
    <w:p w14:paraId="5F76D6D9" w14:textId="77777777" w:rsidR="00E872A3" w:rsidRDefault="00E872A3" w:rsidP="00391A23">
      <w:pPr>
        <w:pStyle w:val="NoSpacing"/>
        <w:jc w:val="both"/>
        <w:rPr>
          <w:rFonts w:eastAsia="Times New Roman" w:cs="Times New Roman"/>
          <w:lang w:val="en-AU"/>
        </w:rPr>
      </w:pPr>
    </w:p>
    <w:p w14:paraId="0FD83320" w14:textId="77777777" w:rsidR="00D31CB8" w:rsidRDefault="00D31CB8" w:rsidP="00391A23">
      <w:pPr>
        <w:pStyle w:val="NoSpacing"/>
        <w:jc w:val="both"/>
        <w:rPr>
          <w:rFonts w:eastAsia="Times New Roman" w:cs="Times New Roman"/>
          <w:lang w:val="en-AU"/>
        </w:rPr>
      </w:pPr>
    </w:p>
    <w:p w14:paraId="742E1E13" w14:textId="77777777" w:rsidR="00D31CB8" w:rsidRDefault="00D31CB8" w:rsidP="00391A23">
      <w:pPr>
        <w:pStyle w:val="NoSpacing"/>
        <w:jc w:val="both"/>
        <w:rPr>
          <w:rFonts w:eastAsia="Times New Roman" w:cs="Times New Roman"/>
          <w:lang w:val="en-AU"/>
        </w:rPr>
      </w:pPr>
    </w:p>
    <w:p w14:paraId="2844BBBC" w14:textId="77777777" w:rsidR="00D31CB8" w:rsidRDefault="00D31CB8" w:rsidP="00391A23">
      <w:pPr>
        <w:pStyle w:val="NoSpacing"/>
        <w:jc w:val="both"/>
        <w:rPr>
          <w:rFonts w:eastAsia="Times New Roman" w:cs="Times New Roman"/>
          <w:lang w:val="en-AU"/>
        </w:rPr>
      </w:pPr>
    </w:p>
    <w:p w14:paraId="6D1D3984" w14:textId="18144BE7" w:rsidR="00E872A3" w:rsidRDefault="00E872A3" w:rsidP="00391A23">
      <w:pPr>
        <w:pStyle w:val="NoSpacing"/>
        <w:jc w:val="both"/>
        <w:rPr>
          <w:rFonts w:eastAsia="Times New Roman" w:cs="Times New Roman"/>
          <w:lang w:val="en-AU"/>
        </w:rPr>
      </w:pPr>
      <w:r>
        <w:rPr>
          <w:rFonts w:eastAsia="Times New Roman" w:cs="Times New Roman"/>
          <w:lang w:val="en-AU"/>
        </w:rPr>
        <w:t>As well, a</w:t>
      </w:r>
      <w:r w:rsidRPr="00325152">
        <w:rPr>
          <w:rFonts w:eastAsia="Times New Roman" w:cs="Times New Roman"/>
          <w:lang w:val="en-AU"/>
        </w:rPr>
        <w:t xml:space="preserve"> number of</w:t>
      </w:r>
      <w:r>
        <w:rPr>
          <w:rFonts w:eastAsia="Times New Roman" w:cs="Times New Roman"/>
          <w:lang w:val="en-AU"/>
        </w:rPr>
        <w:t xml:space="preserve"> our centres have</w:t>
      </w:r>
      <w:r w:rsidRPr="00325152">
        <w:rPr>
          <w:rFonts w:eastAsia="Times New Roman" w:cs="Times New Roman"/>
          <w:lang w:val="en-AU"/>
        </w:rPr>
        <w:t xml:space="preserve"> reported instances where an accused having been on remand for many months has sought legal advice about changing </w:t>
      </w:r>
      <w:r>
        <w:rPr>
          <w:rFonts w:eastAsia="Times New Roman" w:cs="Times New Roman"/>
          <w:lang w:val="en-AU"/>
        </w:rPr>
        <w:t xml:space="preserve">their </w:t>
      </w:r>
      <w:r w:rsidRPr="00325152">
        <w:rPr>
          <w:rFonts w:eastAsia="Times New Roman" w:cs="Times New Roman"/>
          <w:lang w:val="en-AU"/>
        </w:rPr>
        <w:t xml:space="preserve">plea and the likely sentences. Having received the advice, the accused has concluded that they are likely to get time served </w:t>
      </w:r>
      <w:r>
        <w:rPr>
          <w:rFonts w:eastAsia="Times New Roman" w:cs="Times New Roman"/>
          <w:lang w:val="en-AU"/>
        </w:rPr>
        <w:t>and have</w:t>
      </w:r>
      <w:r w:rsidRPr="00325152">
        <w:rPr>
          <w:rFonts w:eastAsia="Times New Roman" w:cs="Times New Roman"/>
          <w:lang w:val="en-AU"/>
        </w:rPr>
        <w:t xml:space="preserve"> change</w:t>
      </w:r>
      <w:r>
        <w:rPr>
          <w:rFonts w:eastAsia="Times New Roman" w:cs="Times New Roman"/>
          <w:lang w:val="en-AU"/>
        </w:rPr>
        <w:t>d</w:t>
      </w:r>
      <w:r w:rsidRPr="00325152">
        <w:rPr>
          <w:rFonts w:eastAsia="Times New Roman" w:cs="Times New Roman"/>
          <w:lang w:val="en-AU"/>
        </w:rPr>
        <w:t xml:space="preserve"> their plea to guilty.</w:t>
      </w:r>
      <w:r>
        <w:rPr>
          <w:rFonts w:eastAsia="Times New Roman" w:cs="Times New Roman"/>
          <w:lang w:val="en-AU"/>
        </w:rPr>
        <w:t xml:space="preserve"> In other words, the accused has made</w:t>
      </w:r>
      <w:r w:rsidRPr="00325152">
        <w:rPr>
          <w:rFonts w:eastAsia="Times New Roman" w:cs="Times New Roman"/>
          <w:lang w:val="en-AU"/>
        </w:rPr>
        <w:t xml:space="preserve"> the decisio</w:t>
      </w:r>
      <w:r>
        <w:rPr>
          <w:rFonts w:eastAsia="Times New Roman" w:cs="Times New Roman"/>
          <w:lang w:val="en-AU"/>
        </w:rPr>
        <w:t xml:space="preserve">n to plead guilty, not based on their </w:t>
      </w:r>
      <w:r w:rsidRPr="00325152">
        <w:rPr>
          <w:rFonts w:eastAsia="Times New Roman" w:cs="Times New Roman"/>
          <w:lang w:val="en-AU"/>
        </w:rPr>
        <w:t>guil</w:t>
      </w:r>
      <w:r>
        <w:rPr>
          <w:rFonts w:eastAsia="Times New Roman" w:cs="Times New Roman"/>
          <w:lang w:val="en-AU"/>
        </w:rPr>
        <w:t>t or innocence but for finalisation</w:t>
      </w:r>
      <w:r w:rsidRPr="00325152">
        <w:rPr>
          <w:rFonts w:eastAsia="Times New Roman" w:cs="Times New Roman"/>
          <w:lang w:val="en-AU"/>
        </w:rPr>
        <w:t>.</w:t>
      </w:r>
    </w:p>
    <w:p w14:paraId="47B25A76" w14:textId="77777777" w:rsidR="004B6CD7" w:rsidRDefault="004B6CD7" w:rsidP="00391A23">
      <w:pPr>
        <w:pStyle w:val="NoSpacing"/>
        <w:jc w:val="both"/>
        <w:rPr>
          <w:rFonts w:eastAsia="Times New Roman" w:cs="Times New Roman"/>
          <w:lang w:val="en-AU"/>
        </w:rPr>
      </w:pPr>
    </w:p>
    <w:p w14:paraId="02651D01" w14:textId="77777777" w:rsidR="00325152" w:rsidRDefault="00325152" w:rsidP="00391A23">
      <w:pPr>
        <w:pStyle w:val="NoSpacing"/>
        <w:jc w:val="both"/>
        <w:rPr>
          <w:rFonts w:eastAsia="Times New Roman" w:cs="Times New Roman"/>
          <w:lang w:val="en-AU"/>
        </w:rPr>
      </w:pPr>
      <w:r>
        <w:rPr>
          <w:rFonts w:eastAsia="Times New Roman" w:cs="Times New Roman"/>
          <w:lang w:val="en-AU"/>
        </w:rPr>
        <w:t xml:space="preserve">If you have any queries or we can be of any further assistance, please do not hesitate to contact us. </w:t>
      </w:r>
    </w:p>
    <w:p w14:paraId="017EA7EC" w14:textId="77777777" w:rsidR="00325152" w:rsidRDefault="00325152" w:rsidP="00391A23">
      <w:pPr>
        <w:pStyle w:val="NoSpacing"/>
        <w:jc w:val="both"/>
        <w:rPr>
          <w:rFonts w:eastAsia="Times New Roman" w:cs="Times New Roman"/>
          <w:lang w:val="en-AU"/>
        </w:rPr>
      </w:pPr>
    </w:p>
    <w:p w14:paraId="5D4C3A12" w14:textId="77777777" w:rsidR="00E872A3" w:rsidRDefault="00E872A3" w:rsidP="00391A23">
      <w:pPr>
        <w:pStyle w:val="NoSpacing"/>
        <w:jc w:val="both"/>
        <w:rPr>
          <w:rFonts w:eastAsia="Times New Roman" w:cs="Times New Roman"/>
          <w:lang w:val="en-AU"/>
        </w:rPr>
      </w:pPr>
    </w:p>
    <w:p w14:paraId="60902793" w14:textId="77777777" w:rsidR="00325152" w:rsidRDefault="00325152" w:rsidP="00391A23">
      <w:pPr>
        <w:pStyle w:val="NoSpacing"/>
        <w:jc w:val="both"/>
        <w:rPr>
          <w:rFonts w:eastAsia="Times New Roman" w:cs="Times New Roman"/>
          <w:lang w:val="en-AU"/>
        </w:rPr>
      </w:pPr>
      <w:r>
        <w:rPr>
          <w:rFonts w:eastAsia="Times New Roman" w:cs="Times New Roman"/>
          <w:lang w:val="en-AU"/>
        </w:rPr>
        <w:t>Yours faithfully,</w:t>
      </w:r>
    </w:p>
    <w:p w14:paraId="7FC1C2E9" w14:textId="77777777" w:rsidR="00325152" w:rsidRDefault="00325152" w:rsidP="00391A23">
      <w:pPr>
        <w:pStyle w:val="NoSpacing"/>
        <w:jc w:val="both"/>
        <w:rPr>
          <w:rFonts w:eastAsia="Times New Roman" w:cs="Times New Roman"/>
          <w:lang w:val="en-AU"/>
        </w:rPr>
      </w:pPr>
    </w:p>
    <w:p w14:paraId="475F5A82" w14:textId="77777777" w:rsidR="00325152" w:rsidRDefault="00325152" w:rsidP="00391A23">
      <w:pPr>
        <w:pStyle w:val="NoSpacing"/>
        <w:jc w:val="both"/>
        <w:rPr>
          <w:rFonts w:eastAsia="Times New Roman" w:cs="Times New Roman"/>
          <w:lang w:val="en-AU"/>
        </w:rPr>
      </w:pPr>
    </w:p>
    <w:p w14:paraId="505CBF6C" w14:textId="77777777" w:rsidR="00E872A3" w:rsidRDefault="00E872A3" w:rsidP="00391A23">
      <w:pPr>
        <w:pStyle w:val="NoSpacing"/>
        <w:jc w:val="both"/>
        <w:rPr>
          <w:rFonts w:eastAsia="Times New Roman" w:cs="Times New Roman"/>
          <w:lang w:val="en-AU"/>
        </w:rPr>
      </w:pPr>
    </w:p>
    <w:p w14:paraId="301FFC6D" w14:textId="77777777" w:rsidR="00325152" w:rsidRDefault="00325152" w:rsidP="00391A23">
      <w:pPr>
        <w:pStyle w:val="NoSpacing"/>
        <w:jc w:val="both"/>
        <w:rPr>
          <w:rFonts w:eastAsia="Times New Roman" w:cs="Times New Roman"/>
          <w:lang w:val="en-AU"/>
        </w:rPr>
      </w:pPr>
      <w:r>
        <w:rPr>
          <w:rFonts w:eastAsia="Times New Roman" w:cs="Times New Roman"/>
          <w:lang w:val="en-AU"/>
        </w:rPr>
        <w:t xml:space="preserve">Benedict </w:t>
      </w:r>
      <w:proofErr w:type="spellStart"/>
      <w:r>
        <w:rPr>
          <w:rFonts w:eastAsia="Times New Roman" w:cs="Times New Roman"/>
          <w:lang w:val="en-AU"/>
        </w:rPr>
        <w:t>Bartl</w:t>
      </w:r>
      <w:proofErr w:type="spellEnd"/>
    </w:p>
    <w:p w14:paraId="33D1E9C0" w14:textId="77777777" w:rsidR="00325152" w:rsidRDefault="00325152" w:rsidP="00391A23">
      <w:pPr>
        <w:pStyle w:val="NoSpacing"/>
        <w:jc w:val="both"/>
        <w:rPr>
          <w:rFonts w:eastAsia="Times New Roman" w:cs="Times New Roman"/>
          <w:lang w:val="en-AU"/>
        </w:rPr>
      </w:pPr>
      <w:r>
        <w:rPr>
          <w:rFonts w:eastAsia="Times New Roman" w:cs="Times New Roman"/>
          <w:lang w:val="en-AU"/>
        </w:rPr>
        <w:t>Policy Officer</w:t>
      </w:r>
    </w:p>
    <w:p w14:paraId="22BA742E" w14:textId="77777777" w:rsidR="00325152" w:rsidRPr="00325152" w:rsidRDefault="00325152" w:rsidP="00391A23">
      <w:pPr>
        <w:pStyle w:val="NoSpacing"/>
        <w:pBdr>
          <w:bottom w:val="single" w:sz="6" w:space="1" w:color="auto"/>
        </w:pBdr>
        <w:jc w:val="both"/>
        <w:rPr>
          <w:rFonts w:eastAsia="Times New Roman" w:cs="Times New Roman"/>
          <w:b/>
          <w:lang w:val="en-AU"/>
        </w:rPr>
      </w:pPr>
      <w:r w:rsidRPr="00325152">
        <w:rPr>
          <w:rFonts w:eastAsia="Times New Roman" w:cs="Times New Roman"/>
          <w:b/>
          <w:lang w:val="en-AU"/>
        </w:rPr>
        <w:t>Community Legal Centres Tasmania</w:t>
      </w:r>
    </w:p>
    <w:p w14:paraId="388716D3" w14:textId="77777777" w:rsidR="00325152" w:rsidRDefault="00325152" w:rsidP="00391A23">
      <w:pPr>
        <w:pStyle w:val="NoSpacing"/>
        <w:jc w:val="both"/>
        <w:rPr>
          <w:rFonts w:eastAsia="Times New Roman" w:cs="Times New Roman"/>
          <w:lang w:val="en-AU"/>
        </w:rPr>
      </w:pPr>
    </w:p>
    <w:p w14:paraId="3ACC78F6" w14:textId="77777777" w:rsidR="006F3B9D" w:rsidRDefault="006F3B9D" w:rsidP="00391A23">
      <w:pPr>
        <w:pStyle w:val="NoSpacing"/>
        <w:jc w:val="both"/>
      </w:pPr>
    </w:p>
    <w:p w14:paraId="514937D4" w14:textId="77777777" w:rsidR="006F3B9D" w:rsidRDefault="006F3B9D" w:rsidP="00391A23">
      <w:pPr>
        <w:pStyle w:val="NoSpacing"/>
        <w:jc w:val="both"/>
      </w:pPr>
    </w:p>
    <w:p w14:paraId="7AEAABF1" w14:textId="77777777" w:rsidR="00A4685E" w:rsidRDefault="00A4685E" w:rsidP="00391A23">
      <w:pPr>
        <w:pStyle w:val="NoSpacing"/>
        <w:jc w:val="both"/>
      </w:pPr>
    </w:p>
    <w:p w14:paraId="7EEF06A8" w14:textId="53BDFE2A" w:rsidR="00744413" w:rsidRDefault="00744413" w:rsidP="00391A23">
      <w:pPr>
        <w:pStyle w:val="NoSpacing"/>
        <w:jc w:val="both"/>
      </w:pPr>
      <w:r>
        <w:t xml:space="preserve"> </w:t>
      </w:r>
    </w:p>
    <w:p w14:paraId="2B602CBC" w14:textId="77777777" w:rsidR="001963F6" w:rsidRDefault="001963F6" w:rsidP="00391A23">
      <w:pPr>
        <w:pStyle w:val="NoSpacing"/>
        <w:jc w:val="both"/>
      </w:pPr>
    </w:p>
    <w:p w14:paraId="23A0E25E" w14:textId="77777777" w:rsidR="001963F6" w:rsidRDefault="001963F6" w:rsidP="00391A23">
      <w:pPr>
        <w:pStyle w:val="NoSpacing"/>
        <w:jc w:val="both"/>
      </w:pPr>
    </w:p>
    <w:p w14:paraId="0378ECE4" w14:textId="77777777" w:rsidR="003C5DA4" w:rsidRDefault="003C5DA4" w:rsidP="00391A23">
      <w:pPr>
        <w:pStyle w:val="NoSpacing"/>
        <w:jc w:val="both"/>
      </w:pPr>
    </w:p>
    <w:p w14:paraId="5124A518" w14:textId="77777777" w:rsidR="003C5DA4" w:rsidRDefault="003C5DA4" w:rsidP="00391A23">
      <w:pPr>
        <w:pStyle w:val="NoSpacing"/>
        <w:jc w:val="both"/>
      </w:pPr>
    </w:p>
    <w:sectPr w:rsidR="003C5DA4"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D2F3D" w14:textId="77777777" w:rsidR="00C64AEB" w:rsidRDefault="00C64AEB" w:rsidP="006A60AD">
      <w:r>
        <w:separator/>
      </w:r>
    </w:p>
  </w:endnote>
  <w:endnote w:type="continuationSeparator" w:id="0">
    <w:p w14:paraId="18D0E3C6" w14:textId="77777777" w:rsidR="00C64AEB" w:rsidRDefault="00C64AEB" w:rsidP="006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Sans Light">
    <w:altName w:val="Avenir Black"/>
    <w:charset w:val="00"/>
    <w:family w:val="swiss"/>
    <w:pitch w:val="variable"/>
    <w:sig w:usb0="00000001" w:usb1="00000000" w:usb2="00000000" w:usb3="00000000" w:csb0="00000093"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3B03C" w14:textId="77777777" w:rsidR="00C64AEB" w:rsidRDefault="00C64AEB" w:rsidP="006A60AD">
      <w:r>
        <w:separator/>
      </w:r>
    </w:p>
  </w:footnote>
  <w:footnote w:type="continuationSeparator" w:id="0">
    <w:p w14:paraId="12BE109D" w14:textId="77777777" w:rsidR="00C64AEB" w:rsidRDefault="00C64AEB" w:rsidP="006A60AD">
      <w:r>
        <w:continuationSeparator/>
      </w:r>
    </w:p>
  </w:footnote>
  <w:footnote w:id="1">
    <w:p w14:paraId="6C9CD7CD" w14:textId="16220E0B" w:rsidR="00DA6D19" w:rsidRPr="006A60AD" w:rsidRDefault="00DA6D19">
      <w:pPr>
        <w:pStyle w:val="FootnoteText"/>
        <w:rPr>
          <w:lang w:val="en-US"/>
        </w:rPr>
      </w:pPr>
      <w:r>
        <w:rPr>
          <w:rStyle w:val="FootnoteReference"/>
        </w:rPr>
        <w:footnoteRef/>
      </w:r>
      <w:r>
        <w:t xml:space="preserve"> </w:t>
      </w:r>
      <w:r w:rsidRPr="00E91951">
        <w:rPr>
          <w:sz w:val="20"/>
          <w:szCs w:val="20"/>
          <w:lang w:val="en-US"/>
        </w:rPr>
        <w:t xml:space="preserve">CLC </w:t>
      </w:r>
      <w:proofErr w:type="spellStart"/>
      <w:r w:rsidRPr="00E91951">
        <w:rPr>
          <w:sz w:val="20"/>
          <w:szCs w:val="20"/>
          <w:lang w:val="en-US"/>
        </w:rPr>
        <w:t>Tas</w:t>
      </w:r>
      <w:proofErr w:type="spellEnd"/>
      <w:r w:rsidRPr="00E91951">
        <w:rPr>
          <w:sz w:val="20"/>
          <w:szCs w:val="20"/>
          <w:lang w:val="en-US"/>
        </w:rPr>
        <w:t xml:space="preserve"> would like to acknowledge</w:t>
      </w:r>
      <w:r>
        <w:rPr>
          <w:sz w:val="20"/>
          <w:szCs w:val="20"/>
          <w:lang w:val="en-US"/>
        </w:rPr>
        <w:t xml:space="preserve"> </w:t>
      </w:r>
      <w:proofErr w:type="spellStart"/>
      <w:r>
        <w:rPr>
          <w:sz w:val="20"/>
          <w:szCs w:val="20"/>
          <w:lang w:val="en-US"/>
        </w:rPr>
        <w:t>Jessanna</w:t>
      </w:r>
      <w:proofErr w:type="spellEnd"/>
      <w:r>
        <w:rPr>
          <w:sz w:val="20"/>
          <w:szCs w:val="20"/>
          <w:lang w:val="en-US"/>
        </w:rPr>
        <w:t xml:space="preserve"> Gent who assisted in the preparation of this response.</w:t>
      </w:r>
    </w:p>
  </w:footnote>
  <w:footnote w:id="2">
    <w:p w14:paraId="41C3317E" w14:textId="2934FBAC" w:rsidR="00DA6D19" w:rsidRPr="00E71961" w:rsidRDefault="00DA6D19">
      <w:pPr>
        <w:pStyle w:val="FootnoteText"/>
        <w:rPr>
          <w:sz w:val="20"/>
          <w:szCs w:val="20"/>
          <w:lang w:val="en-US"/>
        </w:rPr>
      </w:pPr>
      <w:r>
        <w:rPr>
          <w:rStyle w:val="FootnoteReference"/>
        </w:rPr>
        <w:footnoteRef/>
      </w:r>
      <w:r>
        <w:t xml:space="preserve"> </w:t>
      </w:r>
      <w:r w:rsidRPr="00E71961">
        <w:rPr>
          <w:sz w:val="20"/>
          <w:szCs w:val="20"/>
        </w:rPr>
        <w:t xml:space="preserve">Article 14(2) of the </w:t>
      </w:r>
      <w:r w:rsidRPr="00E71961">
        <w:rPr>
          <w:i/>
          <w:sz w:val="20"/>
          <w:szCs w:val="20"/>
        </w:rPr>
        <w:t>International Covenant on Civil and Political Rights</w:t>
      </w:r>
      <w:r w:rsidRPr="00E71961">
        <w:rPr>
          <w:sz w:val="20"/>
          <w:szCs w:val="20"/>
        </w:rPr>
        <w:t xml:space="preserve">. </w:t>
      </w:r>
    </w:p>
  </w:footnote>
  <w:footnote w:id="3">
    <w:p w14:paraId="595FBD35" w14:textId="692665E5" w:rsidR="00DA6D19" w:rsidRPr="00F410B7" w:rsidRDefault="00DA6D19">
      <w:pPr>
        <w:pStyle w:val="FootnoteText"/>
        <w:rPr>
          <w:lang w:val="en-US"/>
        </w:rPr>
      </w:pPr>
      <w:r>
        <w:rPr>
          <w:rStyle w:val="FootnoteReference"/>
        </w:rPr>
        <w:footnoteRef/>
      </w:r>
      <w:r>
        <w:t xml:space="preserve"> </w:t>
      </w:r>
      <w:r w:rsidRPr="00E71961">
        <w:rPr>
          <w:sz w:val="20"/>
          <w:szCs w:val="20"/>
        </w:rPr>
        <w:t xml:space="preserve">(1964) </w:t>
      </w:r>
      <w:r>
        <w:rPr>
          <w:sz w:val="20"/>
          <w:szCs w:val="20"/>
        </w:rPr>
        <w:t xml:space="preserve">14 </w:t>
      </w:r>
      <w:proofErr w:type="spellStart"/>
      <w:r>
        <w:rPr>
          <w:sz w:val="20"/>
          <w:szCs w:val="20"/>
        </w:rPr>
        <w:t>Tas</w:t>
      </w:r>
      <w:proofErr w:type="spellEnd"/>
      <w:r>
        <w:rPr>
          <w:sz w:val="20"/>
          <w:szCs w:val="20"/>
        </w:rPr>
        <w:t xml:space="preserve"> R 12</w:t>
      </w:r>
      <w:r w:rsidRPr="00E71961">
        <w:rPr>
          <w:sz w:val="20"/>
          <w:szCs w:val="20"/>
        </w:rPr>
        <w:t>.</w:t>
      </w:r>
    </w:p>
  </w:footnote>
  <w:footnote w:id="4">
    <w:p w14:paraId="2FFE4AF5" w14:textId="011FEA6C" w:rsidR="00DA6D19" w:rsidRPr="00AC7AE6" w:rsidRDefault="00DA6D19">
      <w:pPr>
        <w:pStyle w:val="FootnoteText"/>
        <w:rPr>
          <w:lang w:val="en-US"/>
        </w:rPr>
      </w:pPr>
      <w:r>
        <w:rPr>
          <w:rStyle w:val="FootnoteReference"/>
        </w:rPr>
        <w:footnoteRef/>
      </w:r>
      <w:r>
        <w:t xml:space="preserve"> </w:t>
      </w:r>
      <w:r>
        <w:rPr>
          <w:sz w:val="20"/>
          <w:szCs w:val="20"/>
        </w:rPr>
        <w:t xml:space="preserve">(1964) 14 </w:t>
      </w:r>
      <w:proofErr w:type="spellStart"/>
      <w:r>
        <w:rPr>
          <w:sz w:val="20"/>
          <w:szCs w:val="20"/>
        </w:rPr>
        <w:t>Tas</w:t>
      </w:r>
      <w:proofErr w:type="spellEnd"/>
      <w:r>
        <w:rPr>
          <w:sz w:val="20"/>
          <w:szCs w:val="20"/>
        </w:rPr>
        <w:t xml:space="preserve"> R 12 at paras. 8-19</w:t>
      </w:r>
      <w:r w:rsidRPr="00E71961">
        <w:rPr>
          <w:sz w:val="20"/>
          <w:szCs w:val="20"/>
        </w:rPr>
        <w:t xml:space="preserve"> per Crawford J.</w:t>
      </w:r>
    </w:p>
  </w:footnote>
  <w:footnote w:id="5">
    <w:p w14:paraId="1F46516F" w14:textId="18D7B1A5" w:rsidR="00DA6D19" w:rsidRPr="00894311" w:rsidRDefault="00DA6D19">
      <w:pPr>
        <w:pStyle w:val="FootnoteText"/>
        <w:rPr>
          <w:lang w:val="en-US"/>
        </w:rPr>
      </w:pPr>
      <w:r>
        <w:rPr>
          <w:rStyle w:val="FootnoteReference"/>
        </w:rPr>
        <w:footnoteRef/>
      </w:r>
      <w:r>
        <w:t xml:space="preserve"> </w:t>
      </w:r>
      <w:r w:rsidRPr="00894311">
        <w:rPr>
          <w:sz w:val="20"/>
          <w:szCs w:val="20"/>
        </w:rPr>
        <w:t xml:space="preserve">Section 18 of the </w:t>
      </w:r>
      <w:r w:rsidRPr="00894311">
        <w:rPr>
          <w:i/>
          <w:sz w:val="20"/>
          <w:szCs w:val="20"/>
        </w:rPr>
        <w:t>Bail Act 2013</w:t>
      </w:r>
      <w:r w:rsidRPr="00894311">
        <w:rPr>
          <w:sz w:val="20"/>
          <w:szCs w:val="20"/>
        </w:rPr>
        <w:t xml:space="preserve"> (NSW).</w:t>
      </w:r>
      <w:r>
        <w:t xml:space="preserve"> </w:t>
      </w:r>
      <w:r w:rsidRPr="00894311">
        <w:rPr>
          <w:lang w:val="en-US"/>
        </w:rPr>
        <w:t xml:space="preserve"> </w:t>
      </w:r>
    </w:p>
  </w:footnote>
  <w:footnote w:id="6">
    <w:p w14:paraId="005567AE" w14:textId="77777777" w:rsidR="009A060E" w:rsidRPr="009A060E" w:rsidRDefault="009A060E" w:rsidP="009A060E">
      <w:pPr>
        <w:pStyle w:val="FootnoteText"/>
        <w:rPr>
          <w:lang w:val="en-US"/>
        </w:rPr>
      </w:pPr>
      <w:r>
        <w:rPr>
          <w:rStyle w:val="FootnoteReference"/>
        </w:rPr>
        <w:footnoteRef/>
      </w:r>
      <w:r>
        <w:t xml:space="preserve"> </w:t>
      </w:r>
      <w:r w:rsidRPr="009A060E">
        <w:rPr>
          <w:sz w:val="20"/>
          <w:szCs w:val="20"/>
          <w:lang w:val="en-US"/>
        </w:rPr>
        <w:t xml:space="preserve">In our opinion, ‘lawful purpose’ should be defined broadly to include an accused’s right to work, obtain an education, participate in family life, access health services and maintain housing. </w:t>
      </w:r>
    </w:p>
  </w:footnote>
  <w:footnote w:id="7">
    <w:p w14:paraId="3EB0D0BD" w14:textId="5DB0A8E5" w:rsidR="00565C09" w:rsidRPr="00E872A3" w:rsidRDefault="00565C09" w:rsidP="00E872A3">
      <w:pPr>
        <w:rPr>
          <w:rFonts w:ascii="Times" w:eastAsia="Times New Roman" w:hAnsi="Times" w:cs="Times New Roman"/>
          <w:sz w:val="20"/>
          <w:szCs w:val="20"/>
          <w:lang w:val="en-AU"/>
        </w:rPr>
      </w:pPr>
      <w:r>
        <w:rPr>
          <w:rStyle w:val="FootnoteReference"/>
        </w:rPr>
        <w:footnoteRef/>
      </w:r>
      <w:r>
        <w:t xml:space="preserve"> </w:t>
      </w:r>
      <w:r w:rsidRPr="000112FD">
        <w:rPr>
          <w:rFonts w:eastAsia="Times New Roman" w:cs="Times New Roman"/>
          <w:sz w:val="20"/>
          <w:szCs w:val="20"/>
          <w:lang w:val="en-AU"/>
        </w:rPr>
        <w:t xml:space="preserve">Stephen Estcourt, </w:t>
      </w:r>
      <w:r w:rsidRPr="000112FD">
        <w:rPr>
          <w:rFonts w:eastAsia="Times New Roman" w:cs="Times New Roman"/>
          <w:i/>
          <w:sz w:val="20"/>
          <w:szCs w:val="20"/>
          <w:lang w:val="en-AU"/>
        </w:rPr>
        <w:t>Bail – Some People Don’t Get it</w:t>
      </w:r>
      <w:r w:rsidRPr="000112FD">
        <w:rPr>
          <w:rFonts w:eastAsia="Times New Roman" w:cs="Times New Roman"/>
          <w:sz w:val="20"/>
          <w:szCs w:val="20"/>
          <w:lang w:val="en-AU"/>
        </w:rPr>
        <w:t xml:space="preserve">, </w:t>
      </w:r>
      <w:r w:rsidRPr="000112FD">
        <w:rPr>
          <w:rFonts w:eastAsia="Times New Roman" w:cs="Times New Roman"/>
          <w:color w:val="333333"/>
          <w:sz w:val="20"/>
          <w:szCs w:val="20"/>
          <w:shd w:val="clear" w:color="auto" w:fill="FFFFFF"/>
          <w:lang w:val="en-AU"/>
        </w:rPr>
        <w:t>article published in </w:t>
      </w:r>
      <w:r w:rsidRPr="000112FD">
        <w:rPr>
          <w:rFonts w:eastAsia="Times New Roman" w:cs="Times New Roman"/>
          <w:i/>
          <w:iCs/>
          <w:color w:val="333333"/>
          <w:sz w:val="20"/>
          <w:szCs w:val="20"/>
          <w:shd w:val="clear" w:color="auto" w:fill="FFFFFF"/>
          <w:lang w:val="en-AU"/>
        </w:rPr>
        <w:t>Counsel: The Journal of the Tasmanian Bar</w:t>
      </w:r>
      <w:r w:rsidRPr="000112FD">
        <w:rPr>
          <w:rFonts w:eastAsia="Times New Roman" w:cs="Times New Roman"/>
          <w:color w:val="333333"/>
          <w:sz w:val="20"/>
          <w:szCs w:val="20"/>
          <w:shd w:val="clear" w:color="auto" w:fill="FFFFFF"/>
          <w:lang w:val="en-AU"/>
        </w:rPr>
        <w:t> </w:t>
      </w:r>
      <w:r w:rsidRPr="000112FD">
        <w:rPr>
          <w:rFonts w:eastAsia="Times New Roman" w:cs="Times New Roman"/>
          <w:iCs/>
          <w:color w:val="333333"/>
          <w:sz w:val="20"/>
          <w:szCs w:val="20"/>
          <w:shd w:val="clear" w:color="auto" w:fill="FFFFFF"/>
          <w:lang w:val="en-AU"/>
        </w:rPr>
        <w:t xml:space="preserve">(2016) 1(1) Counsel 10. As found at </w:t>
      </w:r>
      <w:hyperlink r:id="rId1" w:history="1">
        <w:r w:rsidRPr="000112FD">
          <w:rPr>
            <w:rStyle w:val="Hyperlink"/>
            <w:rFonts w:eastAsia="Times New Roman" w:cs="Times New Roman"/>
            <w:sz w:val="20"/>
            <w:szCs w:val="20"/>
            <w:lang w:val="en-AU"/>
          </w:rPr>
          <w:t>http://www.supremecourt.tas.gov.au/publications/speeches/estcourt_j</w:t>
        </w:r>
      </w:hyperlink>
      <w:r w:rsidRPr="000112FD">
        <w:rPr>
          <w:rFonts w:eastAsia="Times New Roman" w:cs="Times New Roman"/>
          <w:sz w:val="20"/>
          <w:szCs w:val="20"/>
          <w:lang w:val="en-AU"/>
        </w:rPr>
        <w:t xml:space="preserve"> (Accessed 7th February 2018).</w:t>
      </w:r>
      <w:r>
        <w:rPr>
          <w:rFonts w:ascii="Times" w:eastAsia="Times New Roman" w:hAnsi="Times" w:cs="Times New Roman"/>
          <w:lang w:val="en-AU"/>
        </w:rPr>
        <w:t xml:space="preserve"> </w:t>
      </w:r>
    </w:p>
  </w:footnote>
  <w:footnote w:id="8">
    <w:p w14:paraId="2044BDED" w14:textId="77777777" w:rsidR="00565C09" w:rsidRPr="00FF32B7" w:rsidRDefault="00565C09" w:rsidP="00565C09">
      <w:pPr>
        <w:jc w:val="both"/>
      </w:pPr>
      <w:r>
        <w:rPr>
          <w:rStyle w:val="FootnoteReference"/>
        </w:rPr>
        <w:footnoteRef/>
      </w:r>
      <w:r>
        <w:t xml:space="preserve"> </w:t>
      </w:r>
      <w:r w:rsidRPr="00FF32B7">
        <w:rPr>
          <w:sz w:val="20"/>
          <w:szCs w:val="20"/>
        </w:rPr>
        <w:t xml:space="preserve">Tasmania Law Reform Institute, </w:t>
      </w:r>
      <w:r w:rsidRPr="00FF32B7">
        <w:rPr>
          <w:i/>
          <w:sz w:val="20"/>
          <w:szCs w:val="20"/>
        </w:rPr>
        <w:t>Offending while on Bail Research Paper</w:t>
      </w:r>
      <w:r w:rsidRPr="00FF32B7">
        <w:rPr>
          <w:sz w:val="20"/>
          <w:szCs w:val="20"/>
        </w:rPr>
        <w:t>, No 1 May 2004 at 6.</w:t>
      </w:r>
      <w:r>
        <w:t xml:space="preserve"> </w:t>
      </w:r>
    </w:p>
  </w:footnote>
  <w:footnote w:id="9">
    <w:p w14:paraId="0836E9B8" w14:textId="77777777" w:rsidR="00565C09" w:rsidRPr="004D3BC8" w:rsidRDefault="00565C09" w:rsidP="00565C09">
      <w:pPr>
        <w:pStyle w:val="FootnoteText"/>
        <w:rPr>
          <w:lang w:val="en-US"/>
        </w:rPr>
      </w:pPr>
      <w:r>
        <w:rPr>
          <w:rStyle w:val="FootnoteReference"/>
        </w:rPr>
        <w:footnoteRef/>
      </w:r>
      <w:r>
        <w:t xml:space="preserve"> </w:t>
      </w:r>
      <w:r w:rsidRPr="00735EF7">
        <w:rPr>
          <w:sz w:val="20"/>
          <w:szCs w:val="20"/>
          <w:lang w:val="en-US"/>
        </w:rPr>
        <w:t>Response received from David Sealy, Statutory Appointments, Policy and Projects Officer with the Department of Justice on 8</w:t>
      </w:r>
      <w:r w:rsidRPr="00735EF7">
        <w:rPr>
          <w:sz w:val="20"/>
          <w:szCs w:val="20"/>
          <w:vertAlign w:val="superscript"/>
          <w:lang w:val="en-US"/>
        </w:rPr>
        <w:t>th</w:t>
      </w:r>
      <w:r w:rsidRPr="00735EF7">
        <w:rPr>
          <w:sz w:val="20"/>
          <w:szCs w:val="20"/>
          <w:lang w:val="en-US"/>
        </w:rPr>
        <w:t xml:space="preserve"> December 2017.</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FB5"/>
    <w:multiLevelType w:val="hybridMultilevel"/>
    <w:tmpl w:val="A8D20D50"/>
    <w:lvl w:ilvl="0" w:tplc="DEE0B70A">
      <w:start w:val="1"/>
      <w:numFmt w:val="bullet"/>
      <w:pStyle w:val="GovBullets"/>
      <w:lvlText w:val=""/>
      <w:lvlJc w:val="left"/>
      <w:pPr>
        <w:ind w:left="340"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F7069"/>
    <w:multiLevelType w:val="hybridMultilevel"/>
    <w:tmpl w:val="62D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EB7303"/>
    <w:multiLevelType w:val="hybridMultilevel"/>
    <w:tmpl w:val="2B640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2645BA"/>
    <w:multiLevelType w:val="hybridMultilevel"/>
    <w:tmpl w:val="65829E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410CF5"/>
    <w:multiLevelType w:val="hybridMultilevel"/>
    <w:tmpl w:val="80F83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A4"/>
    <w:rsid w:val="00020CEB"/>
    <w:rsid w:val="000B7B4A"/>
    <w:rsid w:val="0010335E"/>
    <w:rsid w:val="001340E9"/>
    <w:rsid w:val="00144670"/>
    <w:rsid w:val="00177253"/>
    <w:rsid w:val="001963F6"/>
    <w:rsid w:val="001E3394"/>
    <w:rsid w:val="00301053"/>
    <w:rsid w:val="00325152"/>
    <w:rsid w:val="00326CC1"/>
    <w:rsid w:val="00391A23"/>
    <w:rsid w:val="003C5DA4"/>
    <w:rsid w:val="004004AC"/>
    <w:rsid w:val="004B6CD7"/>
    <w:rsid w:val="004C0469"/>
    <w:rsid w:val="00501EEA"/>
    <w:rsid w:val="0055753D"/>
    <w:rsid w:val="00565C09"/>
    <w:rsid w:val="005E7E3A"/>
    <w:rsid w:val="005F7425"/>
    <w:rsid w:val="006A60AD"/>
    <w:rsid w:val="006D658A"/>
    <w:rsid w:val="006F3B9D"/>
    <w:rsid w:val="007004FC"/>
    <w:rsid w:val="00711935"/>
    <w:rsid w:val="0072681E"/>
    <w:rsid w:val="00744413"/>
    <w:rsid w:val="0075218D"/>
    <w:rsid w:val="007575CF"/>
    <w:rsid w:val="00777C82"/>
    <w:rsid w:val="007A6E53"/>
    <w:rsid w:val="00812AA2"/>
    <w:rsid w:val="00861C37"/>
    <w:rsid w:val="00891AFB"/>
    <w:rsid w:val="00894311"/>
    <w:rsid w:val="00940010"/>
    <w:rsid w:val="00950ADA"/>
    <w:rsid w:val="00985242"/>
    <w:rsid w:val="009A060E"/>
    <w:rsid w:val="00A25EE6"/>
    <w:rsid w:val="00A4685E"/>
    <w:rsid w:val="00A81FC4"/>
    <w:rsid w:val="00AB2E37"/>
    <w:rsid w:val="00AC5C75"/>
    <w:rsid w:val="00AC7AE6"/>
    <w:rsid w:val="00AE3A1A"/>
    <w:rsid w:val="00B6631C"/>
    <w:rsid w:val="00BB2EC5"/>
    <w:rsid w:val="00C05544"/>
    <w:rsid w:val="00C12B3D"/>
    <w:rsid w:val="00C21CCB"/>
    <w:rsid w:val="00C62704"/>
    <w:rsid w:val="00C64AEB"/>
    <w:rsid w:val="00C95E20"/>
    <w:rsid w:val="00D15BF2"/>
    <w:rsid w:val="00D31CB8"/>
    <w:rsid w:val="00D8320B"/>
    <w:rsid w:val="00DA6D19"/>
    <w:rsid w:val="00E0763F"/>
    <w:rsid w:val="00E465E7"/>
    <w:rsid w:val="00E71961"/>
    <w:rsid w:val="00E872A3"/>
    <w:rsid w:val="00EE366A"/>
    <w:rsid w:val="00F1340C"/>
    <w:rsid w:val="00F410B7"/>
    <w:rsid w:val="00FA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ADA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AD"/>
    <w:pPr>
      <w:ind w:left="720"/>
      <w:contextualSpacing/>
    </w:pPr>
    <w:rPr>
      <w:lang w:val="en-AU"/>
    </w:rPr>
  </w:style>
  <w:style w:type="paragraph" w:styleId="FootnoteText">
    <w:name w:val="footnote text"/>
    <w:basedOn w:val="Normal"/>
    <w:link w:val="FootnoteTextChar"/>
    <w:uiPriority w:val="99"/>
    <w:unhideWhenUsed/>
    <w:rsid w:val="006A60AD"/>
    <w:rPr>
      <w:lang w:val="en-AU"/>
    </w:rPr>
  </w:style>
  <w:style w:type="character" w:customStyle="1" w:styleId="FootnoteTextChar">
    <w:name w:val="Footnote Text Char"/>
    <w:basedOn w:val="DefaultParagraphFont"/>
    <w:link w:val="FootnoteText"/>
    <w:uiPriority w:val="99"/>
    <w:rsid w:val="006A60AD"/>
    <w:rPr>
      <w:lang w:val="en-AU"/>
    </w:rPr>
  </w:style>
  <w:style w:type="character" w:styleId="FootnoteReference">
    <w:name w:val="footnote reference"/>
    <w:basedOn w:val="DefaultParagraphFont"/>
    <w:uiPriority w:val="99"/>
    <w:unhideWhenUsed/>
    <w:rsid w:val="006A60AD"/>
    <w:rPr>
      <w:vertAlign w:val="superscript"/>
    </w:rPr>
  </w:style>
  <w:style w:type="paragraph" w:styleId="BalloonText">
    <w:name w:val="Balloon Text"/>
    <w:basedOn w:val="Normal"/>
    <w:link w:val="BalloonTextChar"/>
    <w:uiPriority w:val="99"/>
    <w:semiHidden/>
    <w:unhideWhenUsed/>
    <w:rsid w:val="006A6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0AD"/>
    <w:rPr>
      <w:rFonts w:ascii="Lucida Grande" w:hAnsi="Lucida Grande" w:cs="Lucida Grande"/>
      <w:sz w:val="18"/>
      <w:szCs w:val="18"/>
    </w:rPr>
  </w:style>
  <w:style w:type="paragraph" w:customStyle="1" w:styleId="GovBullets">
    <w:name w:val="Gov Bullets"/>
    <w:basedOn w:val="Normal"/>
    <w:qFormat/>
    <w:rsid w:val="006F3B9D"/>
    <w:pPr>
      <w:numPr>
        <w:numId w:val="2"/>
      </w:numPr>
      <w:spacing w:after="120" w:line="300" w:lineRule="exact"/>
    </w:pPr>
    <w:rPr>
      <w:rFonts w:ascii="GillSans Light" w:eastAsia="Cambria" w:hAnsi="GillSans Light" w:cs="Times New Roman"/>
    </w:rPr>
  </w:style>
  <w:style w:type="character" w:styleId="Hyperlink">
    <w:name w:val="Hyperlink"/>
    <w:basedOn w:val="DefaultParagraphFont"/>
    <w:uiPriority w:val="99"/>
    <w:unhideWhenUsed/>
    <w:rsid w:val="00565C09"/>
    <w:rPr>
      <w:color w:val="0000FF" w:themeColor="hyperlink"/>
      <w:u w:val="single"/>
    </w:rPr>
  </w:style>
  <w:style w:type="paragraph" w:styleId="NoSpacing">
    <w:name w:val="No Spacing"/>
    <w:uiPriority w:val="1"/>
    <w:qFormat/>
    <w:rsid w:val="0039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egislation.development@justice.tas.gov.a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upremecourt.tas.gov.au/publications/speeches/estcourt_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2</cp:revision>
  <cp:lastPrinted>2018-02-12T05:19:00Z</cp:lastPrinted>
  <dcterms:created xsi:type="dcterms:W3CDTF">2018-02-13T00:29:00Z</dcterms:created>
  <dcterms:modified xsi:type="dcterms:W3CDTF">2018-02-13T00:29:00Z</dcterms:modified>
</cp:coreProperties>
</file>