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C8F59" w14:textId="77777777" w:rsidR="00417C74" w:rsidRDefault="00417C74" w:rsidP="00417C74">
      <w:pPr>
        <w:ind w:right="-205"/>
        <w:jc w:val="center"/>
      </w:pPr>
      <w:r w:rsidRPr="00B10735">
        <w:rPr>
          <w:noProof/>
          <w:sz w:val="20"/>
          <w:szCs w:val="20"/>
          <w:lang w:eastAsia="en-AU"/>
        </w:rPr>
        <w:drawing>
          <wp:inline distT="0" distB="0" distL="0" distR="0" wp14:anchorId="2A075589" wp14:editId="76693E56">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5D741A07" w14:textId="77777777" w:rsidR="00417C74" w:rsidRPr="00EB55F4" w:rsidRDefault="00417C74" w:rsidP="00417C74">
      <w:pPr>
        <w:ind w:right="-205"/>
      </w:pPr>
    </w:p>
    <w:p w14:paraId="4A17706F" w14:textId="77777777" w:rsidR="00417C74" w:rsidRPr="00EB55F4" w:rsidRDefault="00417C74" w:rsidP="00417C74">
      <w:pPr>
        <w:ind w:right="-205"/>
      </w:pPr>
    </w:p>
    <w:p w14:paraId="00412FC4" w14:textId="25CDA257" w:rsidR="00417C74" w:rsidRPr="00EB55F4" w:rsidRDefault="00730B50" w:rsidP="00417C74">
      <w:pPr>
        <w:ind w:right="-205"/>
      </w:pPr>
      <w:r>
        <w:t>27</w:t>
      </w:r>
      <w:bookmarkStart w:id="0" w:name="_GoBack"/>
      <w:bookmarkEnd w:id="0"/>
      <w:r w:rsidR="00417C74" w:rsidRPr="00EB55F4">
        <w:t xml:space="preserve"> </w:t>
      </w:r>
      <w:r w:rsidR="00276BBA" w:rsidRPr="00EB55F4">
        <w:t>Nov</w:t>
      </w:r>
      <w:r w:rsidR="00417C74" w:rsidRPr="00EB55F4">
        <w:t>ember 2018</w:t>
      </w:r>
    </w:p>
    <w:p w14:paraId="5FD212B8" w14:textId="77777777" w:rsidR="00417C74" w:rsidRPr="00EB55F4" w:rsidRDefault="00417C74" w:rsidP="00417C74">
      <w:pPr>
        <w:ind w:right="-205"/>
      </w:pPr>
    </w:p>
    <w:p w14:paraId="1925169B" w14:textId="77777777" w:rsidR="00417C74" w:rsidRPr="00EB55F4" w:rsidRDefault="00417C74" w:rsidP="00417C74">
      <w:r w:rsidRPr="00EB55F4">
        <w:t>The Honourable Jim Wilkinson</w:t>
      </w:r>
    </w:p>
    <w:p w14:paraId="3EE1008A" w14:textId="77777777" w:rsidR="00417C74" w:rsidRPr="00EB55F4" w:rsidRDefault="00417C74" w:rsidP="00417C74">
      <w:r w:rsidRPr="00EB55F4">
        <w:t>President of the Legislative Council</w:t>
      </w:r>
    </w:p>
    <w:p w14:paraId="58DE8BDE" w14:textId="77777777" w:rsidR="00417C74" w:rsidRPr="00EB55F4" w:rsidRDefault="00417C74" w:rsidP="00417C74">
      <w:r w:rsidRPr="00EB55F4">
        <w:t>Parliament House</w:t>
      </w:r>
    </w:p>
    <w:p w14:paraId="6CA8A667" w14:textId="77777777" w:rsidR="00417C74" w:rsidRPr="00EB55F4" w:rsidRDefault="00417C74" w:rsidP="00417C74">
      <w:r w:rsidRPr="00EB55F4">
        <w:t>Hobart TAS 7000</w:t>
      </w:r>
    </w:p>
    <w:p w14:paraId="1D04A6B2" w14:textId="77777777" w:rsidR="00417C74" w:rsidRPr="00EB55F4" w:rsidRDefault="00417C74" w:rsidP="00417C74">
      <w:pPr>
        <w:ind w:right="-205"/>
        <w:rPr>
          <w:b/>
          <w:i/>
        </w:rPr>
      </w:pPr>
      <w:r w:rsidRPr="00EB55F4">
        <w:tab/>
      </w:r>
      <w:r w:rsidRPr="00EB55F4">
        <w:tab/>
      </w:r>
      <w:r w:rsidRPr="00EB55F4">
        <w:tab/>
      </w:r>
      <w:r w:rsidRPr="00EB55F4">
        <w:rPr>
          <w:b/>
          <w:i/>
        </w:rPr>
        <w:t xml:space="preserve">via email: </w:t>
      </w:r>
      <w:r w:rsidRPr="00EB55F4">
        <w:rPr>
          <w:i/>
          <w:color w:val="0000FF"/>
        </w:rPr>
        <w:t>jim.wilkinson@parliament.tas.gov.au</w:t>
      </w:r>
    </w:p>
    <w:p w14:paraId="567BB615" w14:textId="77777777" w:rsidR="00417C74" w:rsidRPr="00EB55F4" w:rsidRDefault="00417C74" w:rsidP="00417C74">
      <w:pPr>
        <w:ind w:right="-205"/>
        <w:rPr>
          <w:b/>
          <w:i/>
        </w:rPr>
      </w:pPr>
    </w:p>
    <w:p w14:paraId="63051F0A" w14:textId="77777777" w:rsidR="00417C74" w:rsidRPr="00EB55F4" w:rsidRDefault="00417C74" w:rsidP="00417C74">
      <w:pPr>
        <w:ind w:right="-64"/>
      </w:pPr>
      <w:r w:rsidRPr="00EB55F4">
        <w:t>Dear Jim,</w:t>
      </w:r>
    </w:p>
    <w:p w14:paraId="5684B38C" w14:textId="77777777" w:rsidR="00417C74" w:rsidRPr="00EB55F4" w:rsidRDefault="00417C74" w:rsidP="00417C74">
      <w:pPr>
        <w:pBdr>
          <w:bottom w:val="single" w:sz="6" w:space="1" w:color="auto"/>
        </w:pBdr>
        <w:rPr>
          <w:b/>
        </w:rPr>
      </w:pPr>
      <w:r w:rsidRPr="00EB55F4">
        <w:rPr>
          <w:b/>
        </w:rPr>
        <w:t xml:space="preserve">Re: </w:t>
      </w:r>
      <w:r w:rsidR="00276BBA" w:rsidRPr="00EB55F4">
        <w:rPr>
          <w:b/>
          <w:i/>
        </w:rPr>
        <w:t>Justice and Related Legislation (Marriage Amendments)</w:t>
      </w:r>
      <w:r w:rsidRPr="00EB55F4">
        <w:rPr>
          <w:b/>
          <w:i/>
        </w:rPr>
        <w:t xml:space="preserve"> Bill 2018</w:t>
      </w:r>
    </w:p>
    <w:p w14:paraId="3BE8F7CC" w14:textId="77777777" w:rsidR="00417C74" w:rsidRPr="00EB55F4" w:rsidRDefault="00417C74" w:rsidP="00417C74">
      <w:pPr>
        <w:ind w:right="-64"/>
      </w:pPr>
      <w:r w:rsidRPr="00EB55F4">
        <w:t xml:space="preserve"> </w:t>
      </w:r>
    </w:p>
    <w:p w14:paraId="0529D827" w14:textId="68567247" w:rsidR="009C41DE" w:rsidRPr="00EB55F4" w:rsidRDefault="00417C74" w:rsidP="00276BBA">
      <w:pPr>
        <w:ind w:right="-205"/>
        <w:jc w:val="both"/>
        <w:rPr>
          <w:color w:val="0D0D0D" w:themeColor="text1" w:themeTint="F2"/>
        </w:rPr>
      </w:pPr>
      <w:r w:rsidRPr="00EB55F4">
        <w:rPr>
          <w:rFonts w:cs="Calibri"/>
          <w:color w:val="0D0D0D" w:themeColor="text1" w:themeTint="F2"/>
        </w:rPr>
        <w:t xml:space="preserve">Community Legal Centres Tasmania (CLC </w:t>
      </w:r>
      <w:proofErr w:type="spellStart"/>
      <w:r w:rsidRPr="00EB55F4">
        <w:rPr>
          <w:rFonts w:cs="Calibri"/>
          <w:color w:val="0D0D0D" w:themeColor="text1" w:themeTint="F2"/>
        </w:rPr>
        <w:t>Tas</w:t>
      </w:r>
      <w:proofErr w:type="spellEnd"/>
      <w:r w:rsidRPr="00EB55F4">
        <w:rPr>
          <w:rFonts w:cs="Calibri"/>
          <w:color w:val="0D0D0D" w:themeColor="text1" w:themeTint="F2"/>
        </w:rPr>
        <w:t>)</w:t>
      </w:r>
      <w:r w:rsidRPr="00EB55F4">
        <w:rPr>
          <w:color w:val="0D0D0D" w:themeColor="text1" w:themeTint="F2"/>
        </w:rPr>
        <w:t xml:space="preserve"> </w:t>
      </w:r>
      <w:r w:rsidR="00276BBA" w:rsidRPr="00EB55F4">
        <w:rPr>
          <w:color w:val="0D0D0D" w:themeColor="text1" w:themeTint="F2"/>
        </w:rPr>
        <w:t xml:space="preserve">is writing to urge members of the Legislative Council to support the passing of the </w:t>
      </w:r>
      <w:r w:rsidR="00276BBA" w:rsidRPr="00EB55F4">
        <w:rPr>
          <w:i/>
          <w:color w:val="0D0D0D" w:themeColor="text1" w:themeTint="F2"/>
        </w:rPr>
        <w:t>Justice and Related Legislation (Marriage Amendments) Bill 2018</w:t>
      </w:r>
      <w:r w:rsidR="00276BBA" w:rsidRPr="00EB55F4">
        <w:rPr>
          <w:color w:val="0D0D0D" w:themeColor="text1" w:themeTint="F2"/>
        </w:rPr>
        <w:t xml:space="preserve"> </w:t>
      </w:r>
      <w:r w:rsidRPr="00EB55F4">
        <w:rPr>
          <w:color w:val="0D0D0D" w:themeColor="text1" w:themeTint="F2"/>
        </w:rPr>
        <w:t>(‘the Bill’).</w:t>
      </w:r>
      <w:r w:rsidR="00276BBA" w:rsidRPr="00EB55F4">
        <w:rPr>
          <w:rStyle w:val="FootnoteReference"/>
          <w:color w:val="0D0D0D" w:themeColor="text1" w:themeTint="F2"/>
        </w:rPr>
        <w:footnoteReference w:id="1"/>
      </w:r>
      <w:r w:rsidR="00470A0E" w:rsidRPr="00EB55F4">
        <w:rPr>
          <w:color w:val="0D0D0D" w:themeColor="text1" w:themeTint="F2"/>
        </w:rPr>
        <w:t xml:space="preserve"> </w:t>
      </w:r>
    </w:p>
    <w:p w14:paraId="4D2CB339" w14:textId="77777777" w:rsidR="009C41DE" w:rsidRPr="00EB55F4" w:rsidRDefault="009C41DE" w:rsidP="00276BBA">
      <w:pPr>
        <w:ind w:right="-205"/>
        <w:jc w:val="both"/>
        <w:rPr>
          <w:color w:val="0D0D0D" w:themeColor="text1" w:themeTint="F2"/>
        </w:rPr>
      </w:pPr>
    </w:p>
    <w:p w14:paraId="5A7074F7" w14:textId="07AC962A" w:rsidR="003B74CA" w:rsidRPr="00EB55F4" w:rsidRDefault="00276BBA" w:rsidP="003B74CA">
      <w:pPr>
        <w:ind w:right="-205"/>
        <w:jc w:val="both"/>
        <w:rPr>
          <w:color w:val="0D0D0D" w:themeColor="text1" w:themeTint="F2"/>
        </w:rPr>
      </w:pPr>
      <w:r w:rsidRPr="00EB55F4">
        <w:rPr>
          <w:color w:val="0D0D0D" w:themeColor="text1" w:themeTint="F2"/>
        </w:rPr>
        <w:t>We strongly support the intent of the Bill</w:t>
      </w:r>
      <w:r w:rsidR="00A83617" w:rsidRPr="00EB55F4">
        <w:rPr>
          <w:color w:val="0D0D0D" w:themeColor="text1" w:themeTint="F2"/>
        </w:rPr>
        <w:t xml:space="preserve"> </w:t>
      </w:r>
      <w:r w:rsidR="00A15C80" w:rsidRPr="00EB55F4">
        <w:rPr>
          <w:color w:val="0D0D0D" w:themeColor="text1" w:themeTint="F2"/>
        </w:rPr>
        <w:t xml:space="preserve">and its aim of recognising </w:t>
      </w:r>
      <w:r w:rsidR="00675A51" w:rsidRPr="00EB55F4">
        <w:rPr>
          <w:color w:val="0D0D0D" w:themeColor="text1" w:themeTint="F2"/>
        </w:rPr>
        <w:t xml:space="preserve">sex and </w:t>
      </w:r>
      <w:r w:rsidR="00A15C80" w:rsidRPr="00EB55F4">
        <w:rPr>
          <w:color w:val="0D0D0D" w:themeColor="text1" w:themeTint="F2"/>
        </w:rPr>
        <w:t>gender diversity in law and reducing discrimination against members of our community who i</w:t>
      </w:r>
      <w:r w:rsidR="00675A51" w:rsidRPr="00EB55F4">
        <w:rPr>
          <w:color w:val="0D0D0D" w:themeColor="text1" w:themeTint="F2"/>
        </w:rPr>
        <w:t xml:space="preserve">dentify as </w:t>
      </w:r>
      <w:r w:rsidR="00A15C80" w:rsidRPr="00EB55F4">
        <w:rPr>
          <w:color w:val="0D0D0D" w:themeColor="text1" w:themeTint="F2"/>
        </w:rPr>
        <w:t xml:space="preserve">other than male or female (non-binary). The support of the Legislative Council will </w:t>
      </w:r>
      <w:r w:rsidR="00B22A63" w:rsidRPr="00EB55F4">
        <w:rPr>
          <w:color w:val="0D0D0D" w:themeColor="text1" w:themeTint="F2"/>
        </w:rPr>
        <w:t xml:space="preserve">ensure that </w:t>
      </w:r>
      <w:r w:rsidR="00A15C80" w:rsidRPr="00EB55F4">
        <w:rPr>
          <w:color w:val="0D0D0D" w:themeColor="text1" w:themeTint="F2"/>
        </w:rPr>
        <w:t>Tasmanian</w:t>
      </w:r>
      <w:r w:rsidR="003B5F1D" w:rsidRPr="00EB55F4">
        <w:rPr>
          <w:color w:val="0D0D0D" w:themeColor="text1" w:themeTint="F2"/>
        </w:rPr>
        <w:t xml:space="preserve"> le</w:t>
      </w:r>
      <w:r w:rsidR="009C41DE" w:rsidRPr="00EB55F4">
        <w:rPr>
          <w:color w:val="0D0D0D" w:themeColor="text1" w:themeTint="F2"/>
        </w:rPr>
        <w:t>gislation is consistent with</w:t>
      </w:r>
      <w:r w:rsidR="007315FB" w:rsidRPr="00EB55F4">
        <w:rPr>
          <w:color w:val="0D0D0D" w:themeColor="text1" w:themeTint="F2"/>
        </w:rPr>
        <w:t xml:space="preserve"> </w:t>
      </w:r>
      <w:r w:rsidR="005E62B5" w:rsidRPr="00EB55F4">
        <w:rPr>
          <w:color w:val="0D0D0D" w:themeColor="text1" w:themeTint="F2"/>
        </w:rPr>
        <w:t xml:space="preserve">the </w:t>
      </w:r>
      <w:r w:rsidR="005E62B5" w:rsidRPr="00EB55F4">
        <w:rPr>
          <w:i/>
          <w:color w:val="0D0D0D" w:themeColor="text1" w:themeTint="F2"/>
        </w:rPr>
        <w:t>Anti-Discrimination Act 1998</w:t>
      </w:r>
      <w:r w:rsidR="005E62B5" w:rsidRPr="00EB55F4">
        <w:rPr>
          <w:color w:val="0D0D0D" w:themeColor="text1" w:themeTint="F2"/>
        </w:rPr>
        <w:t xml:space="preserve"> (</w:t>
      </w:r>
      <w:proofErr w:type="spellStart"/>
      <w:r w:rsidR="005E62B5" w:rsidRPr="00EB55F4">
        <w:rPr>
          <w:color w:val="0D0D0D" w:themeColor="text1" w:themeTint="F2"/>
        </w:rPr>
        <w:t>Tas</w:t>
      </w:r>
      <w:proofErr w:type="spellEnd"/>
      <w:r w:rsidR="005E62B5" w:rsidRPr="00EB55F4">
        <w:rPr>
          <w:color w:val="0D0D0D" w:themeColor="text1" w:themeTint="F2"/>
        </w:rPr>
        <w:t>)</w:t>
      </w:r>
      <w:r w:rsidR="005E62B5">
        <w:rPr>
          <w:color w:val="0D0D0D" w:themeColor="text1" w:themeTint="F2"/>
        </w:rPr>
        <w:t xml:space="preserve"> </w:t>
      </w:r>
      <w:r w:rsidR="004F63B0">
        <w:rPr>
          <w:color w:val="0D0D0D" w:themeColor="text1" w:themeTint="F2"/>
        </w:rPr>
        <w:t xml:space="preserve">and the </w:t>
      </w:r>
      <w:r w:rsidR="007315FB" w:rsidRPr="00EB55F4">
        <w:rPr>
          <w:color w:val="0D0D0D" w:themeColor="text1" w:themeTint="F2"/>
        </w:rPr>
        <w:t xml:space="preserve">recent changes to the </w:t>
      </w:r>
      <w:r w:rsidR="007315FB" w:rsidRPr="00EB55F4">
        <w:rPr>
          <w:i/>
          <w:color w:val="0D0D0D" w:themeColor="text1" w:themeTint="F2"/>
        </w:rPr>
        <w:t>Marriage Act 1961</w:t>
      </w:r>
      <w:r w:rsidR="007315FB" w:rsidRPr="00EB55F4">
        <w:rPr>
          <w:color w:val="0D0D0D" w:themeColor="text1" w:themeTint="F2"/>
        </w:rPr>
        <w:t xml:space="preserve"> (</w:t>
      </w:r>
      <w:proofErr w:type="spellStart"/>
      <w:r w:rsidR="007315FB" w:rsidRPr="00EB55F4">
        <w:rPr>
          <w:color w:val="0D0D0D" w:themeColor="text1" w:themeTint="F2"/>
        </w:rPr>
        <w:t>Cth</w:t>
      </w:r>
      <w:proofErr w:type="spellEnd"/>
      <w:r w:rsidR="007315FB" w:rsidRPr="00EB55F4">
        <w:rPr>
          <w:color w:val="0D0D0D" w:themeColor="text1" w:themeTint="F2"/>
        </w:rPr>
        <w:t>)</w:t>
      </w:r>
      <w:r w:rsidR="00277F38" w:rsidRPr="00EB55F4">
        <w:rPr>
          <w:color w:val="0D0D0D" w:themeColor="text1" w:themeTint="F2"/>
        </w:rPr>
        <w:t xml:space="preserve">. </w:t>
      </w:r>
      <w:r w:rsidR="00520426" w:rsidRPr="00EB55F4">
        <w:rPr>
          <w:color w:val="0D0D0D" w:themeColor="text1" w:themeTint="F2"/>
        </w:rPr>
        <w:t xml:space="preserve">Importantly, the amendments are consistent with </w:t>
      </w:r>
      <w:r w:rsidR="00277F38" w:rsidRPr="00EB55F4">
        <w:rPr>
          <w:color w:val="0D0D0D" w:themeColor="text1" w:themeTint="F2"/>
        </w:rPr>
        <w:t>Australia’s</w:t>
      </w:r>
      <w:r w:rsidR="00520426" w:rsidRPr="00EB55F4">
        <w:rPr>
          <w:color w:val="0D0D0D" w:themeColor="text1" w:themeTint="F2"/>
        </w:rPr>
        <w:t xml:space="preserve"> international human rights obligations including the </w:t>
      </w:r>
      <w:r w:rsidR="00520426" w:rsidRPr="00EB55F4">
        <w:rPr>
          <w:i/>
          <w:color w:val="0D0D0D" w:themeColor="text1" w:themeTint="F2"/>
        </w:rPr>
        <w:t>Yogyakarta</w:t>
      </w:r>
      <w:r w:rsidR="00520426" w:rsidRPr="00EB55F4">
        <w:rPr>
          <w:color w:val="0D0D0D" w:themeColor="text1" w:themeTint="F2"/>
        </w:rPr>
        <w:t xml:space="preserve"> </w:t>
      </w:r>
      <w:r w:rsidR="00520426" w:rsidRPr="00EB55F4">
        <w:rPr>
          <w:i/>
          <w:color w:val="0D0D0D" w:themeColor="text1" w:themeTint="F2"/>
        </w:rPr>
        <w:t>Principles on the Application of International Human Rights Law in relation to Sexual Orientation and Gender Identity</w:t>
      </w:r>
      <w:r w:rsidR="00520426" w:rsidRPr="00EB55F4">
        <w:rPr>
          <w:color w:val="0D0D0D" w:themeColor="text1" w:themeTint="F2"/>
        </w:rPr>
        <w:t xml:space="preserve"> which </w:t>
      </w:r>
      <w:r w:rsidR="00C51ADD" w:rsidRPr="00EB55F4">
        <w:rPr>
          <w:color w:val="0D0D0D" w:themeColor="text1" w:themeTint="F2"/>
        </w:rPr>
        <w:t>observed more than a decade ago</w:t>
      </w:r>
      <w:r w:rsidR="00520426" w:rsidRPr="00EB55F4">
        <w:rPr>
          <w:color w:val="0D0D0D" w:themeColor="text1" w:themeTint="F2"/>
        </w:rPr>
        <w:t>:</w:t>
      </w:r>
      <w:r w:rsidR="00520426" w:rsidRPr="00EB55F4">
        <w:rPr>
          <w:rStyle w:val="FootnoteReference"/>
          <w:color w:val="0D0D0D" w:themeColor="text1" w:themeTint="F2"/>
        </w:rPr>
        <w:footnoteReference w:id="2"/>
      </w:r>
      <w:r w:rsidR="00520426" w:rsidRPr="00EB55F4">
        <w:rPr>
          <w:color w:val="0D0D0D" w:themeColor="text1" w:themeTint="F2"/>
        </w:rPr>
        <w:t xml:space="preserve">  </w:t>
      </w:r>
    </w:p>
    <w:p w14:paraId="76001B17" w14:textId="77777777" w:rsidR="003B74CA" w:rsidRPr="00EB55F4" w:rsidRDefault="003B74CA" w:rsidP="003B74CA">
      <w:pPr>
        <w:ind w:right="-205"/>
        <w:jc w:val="both"/>
        <w:rPr>
          <w:color w:val="0D0D0D" w:themeColor="text1" w:themeTint="F2"/>
        </w:rPr>
      </w:pPr>
    </w:p>
    <w:p w14:paraId="4B2A77E0" w14:textId="77777777" w:rsidR="00326E54" w:rsidRPr="00EB55F4" w:rsidRDefault="003B74CA" w:rsidP="00326E54">
      <w:pPr>
        <w:ind w:left="426" w:right="503"/>
        <w:jc w:val="both"/>
        <w:rPr>
          <w:rFonts w:eastAsia="Times New Roman" w:cs="Times New Roman"/>
          <w:color w:val="0D0D0D" w:themeColor="text1" w:themeTint="F2"/>
          <w:sz w:val="22"/>
          <w:szCs w:val="22"/>
        </w:rPr>
      </w:pPr>
      <w:r w:rsidRPr="00EB55F4">
        <w:rPr>
          <w:rFonts w:eastAsia="Times New Roman" w:cs="Times New Roman"/>
          <w:color w:val="0D0D0D" w:themeColor="text1" w:themeTint="F2"/>
          <w:sz w:val="22"/>
          <w:szCs w:val="22"/>
        </w:rPr>
        <w:t xml:space="preserve">Many States and societies impose gender and sexual orientation norms on individuals through custom, law and violence and seek to control how they experience personal relationships and how they identify themselves. The policing of sexuality remains a major force behind continuing gender-based violence and gender inequality. </w:t>
      </w:r>
    </w:p>
    <w:p w14:paraId="13155CB4" w14:textId="77777777" w:rsidR="00584A4A" w:rsidRDefault="00584A4A" w:rsidP="003B74CA">
      <w:pPr>
        <w:ind w:right="-205"/>
        <w:jc w:val="both"/>
        <w:rPr>
          <w:color w:val="0D0D0D" w:themeColor="text1" w:themeTint="F2"/>
        </w:rPr>
      </w:pPr>
    </w:p>
    <w:p w14:paraId="2733EC2C" w14:textId="49DF3587" w:rsidR="005B0D09" w:rsidRPr="00EB55F4" w:rsidRDefault="007315FB" w:rsidP="003B74CA">
      <w:pPr>
        <w:ind w:right="-205"/>
        <w:jc w:val="both"/>
        <w:rPr>
          <w:color w:val="000000" w:themeColor="text1"/>
        </w:rPr>
      </w:pPr>
      <w:r w:rsidRPr="00EB55F4">
        <w:rPr>
          <w:color w:val="000000" w:themeColor="text1"/>
        </w:rPr>
        <w:lastRenderedPageBreak/>
        <w:t>Importantly, the Yogy</w:t>
      </w:r>
      <w:r w:rsidR="00E23E47" w:rsidRPr="00EB55F4">
        <w:rPr>
          <w:color w:val="000000" w:themeColor="text1"/>
        </w:rPr>
        <w:t xml:space="preserve">akarta principles have </w:t>
      </w:r>
      <w:r w:rsidR="005D3EED" w:rsidRPr="00EB55F4">
        <w:rPr>
          <w:color w:val="000000" w:themeColor="text1"/>
        </w:rPr>
        <w:t>recently been complemented</w:t>
      </w:r>
      <w:r w:rsidR="00E23E47" w:rsidRPr="00EB55F4">
        <w:rPr>
          <w:color w:val="000000" w:themeColor="text1"/>
        </w:rPr>
        <w:t xml:space="preserve"> </w:t>
      </w:r>
      <w:r w:rsidR="005D3EED" w:rsidRPr="00EB55F4">
        <w:rPr>
          <w:color w:val="000000" w:themeColor="text1"/>
        </w:rPr>
        <w:t xml:space="preserve">with the </w:t>
      </w:r>
      <w:r w:rsidR="005D3EED" w:rsidRPr="00EB55F4">
        <w:rPr>
          <w:i/>
          <w:color w:val="000000" w:themeColor="text1"/>
        </w:rPr>
        <w:t>Yogyakarta principles</w:t>
      </w:r>
      <w:r w:rsidR="005D3EED" w:rsidRPr="00EB55F4">
        <w:rPr>
          <w:i/>
          <w:color w:val="000000" w:themeColor="text1"/>
        </w:rPr>
        <w:t xml:space="preserve"> plus 10</w:t>
      </w:r>
      <w:r w:rsidR="005D3EED" w:rsidRPr="00EB55F4">
        <w:rPr>
          <w:color w:val="000000" w:themeColor="text1"/>
        </w:rPr>
        <w:t xml:space="preserve"> </w:t>
      </w:r>
      <w:r w:rsidR="00584A4A">
        <w:rPr>
          <w:color w:val="000000" w:themeColor="text1"/>
        </w:rPr>
        <w:t>which explicitly includes the removal of gender from identity documents</w:t>
      </w:r>
      <w:r w:rsidR="005D3EED" w:rsidRPr="00E23E47">
        <w:rPr>
          <w:rFonts w:eastAsia="Times New Roman" w:cs="Times New Roman"/>
          <w:color w:val="000000" w:themeColor="text1"/>
          <w:shd w:val="clear" w:color="auto" w:fill="FFFFFF"/>
          <w:lang w:eastAsia="en-AU"/>
        </w:rPr>
        <w:t>.</w:t>
      </w:r>
      <w:r w:rsidR="005D3EED" w:rsidRPr="00EB55F4">
        <w:rPr>
          <w:rStyle w:val="FootnoteReference"/>
          <w:rFonts w:eastAsia="Times New Roman" w:cs="Times New Roman"/>
          <w:color w:val="000000" w:themeColor="text1"/>
          <w:shd w:val="clear" w:color="auto" w:fill="FFFFFF"/>
          <w:lang w:eastAsia="en-AU"/>
        </w:rPr>
        <w:footnoteReference w:id="3"/>
      </w:r>
      <w:r w:rsidR="005D3EED" w:rsidRPr="00EB55F4">
        <w:rPr>
          <w:color w:val="000000" w:themeColor="text1"/>
        </w:rPr>
        <w:t xml:space="preserve"> </w:t>
      </w:r>
      <w:r w:rsidR="005D3EED" w:rsidRPr="00EB55F4">
        <w:rPr>
          <w:color w:val="000000" w:themeColor="text1"/>
        </w:rPr>
        <w:t xml:space="preserve"> </w:t>
      </w:r>
    </w:p>
    <w:p w14:paraId="01DDED8A" w14:textId="77777777" w:rsidR="005B0D09" w:rsidRPr="00EB55F4" w:rsidRDefault="005B0D09" w:rsidP="003B74CA">
      <w:pPr>
        <w:ind w:right="-205"/>
        <w:jc w:val="both"/>
        <w:rPr>
          <w:color w:val="000000" w:themeColor="text1"/>
        </w:rPr>
      </w:pPr>
    </w:p>
    <w:p w14:paraId="600C979D" w14:textId="39EE7D28" w:rsidR="00E23E47" w:rsidRPr="00EB55F4" w:rsidRDefault="00520426" w:rsidP="003B74CA">
      <w:pPr>
        <w:ind w:right="-205"/>
        <w:jc w:val="both"/>
        <w:rPr>
          <w:color w:val="000000" w:themeColor="text1"/>
        </w:rPr>
      </w:pPr>
      <w:r w:rsidRPr="00EB55F4">
        <w:rPr>
          <w:color w:val="0D0D0D" w:themeColor="text1" w:themeTint="F2"/>
        </w:rPr>
        <w:t>By passing these amendments the Legislative Council</w:t>
      </w:r>
      <w:r w:rsidR="003B74CA" w:rsidRPr="00EB55F4">
        <w:rPr>
          <w:color w:val="0D0D0D" w:themeColor="text1" w:themeTint="F2"/>
        </w:rPr>
        <w:t xml:space="preserve"> has an opportunity </w:t>
      </w:r>
      <w:r w:rsidR="00277F38" w:rsidRPr="00EB55F4">
        <w:rPr>
          <w:color w:val="0D0D0D" w:themeColor="text1" w:themeTint="F2"/>
        </w:rPr>
        <w:t xml:space="preserve">to better protect the rights of members of our community </w:t>
      </w:r>
      <w:r w:rsidR="00675A51" w:rsidRPr="00EB55F4">
        <w:rPr>
          <w:color w:val="0D0D0D" w:themeColor="text1" w:themeTint="F2"/>
        </w:rPr>
        <w:t xml:space="preserve">with </w:t>
      </w:r>
      <w:r w:rsidR="00326E54" w:rsidRPr="00EB55F4">
        <w:rPr>
          <w:color w:val="0D0D0D" w:themeColor="text1" w:themeTint="F2"/>
        </w:rPr>
        <w:t xml:space="preserve">sex </w:t>
      </w:r>
      <w:r w:rsidR="00675A51" w:rsidRPr="00EB55F4">
        <w:rPr>
          <w:color w:val="0D0D0D" w:themeColor="text1" w:themeTint="F2"/>
        </w:rPr>
        <w:t xml:space="preserve">and gender diversity </w:t>
      </w:r>
      <w:r w:rsidR="003B74CA" w:rsidRPr="00EB55F4">
        <w:rPr>
          <w:color w:val="0D0D0D" w:themeColor="text1" w:themeTint="F2"/>
        </w:rPr>
        <w:t>and thereby “promise a different future where all people born free and equal in dignity and rights can fulfil that precious birthright”.</w:t>
      </w:r>
      <w:r w:rsidR="003B74CA" w:rsidRPr="00EB55F4">
        <w:rPr>
          <w:rStyle w:val="FootnoteReference"/>
          <w:color w:val="0D0D0D" w:themeColor="text1" w:themeTint="F2"/>
        </w:rPr>
        <w:footnoteReference w:id="4"/>
      </w:r>
    </w:p>
    <w:p w14:paraId="3108D54E" w14:textId="77777777" w:rsidR="007A29D6" w:rsidRPr="00EB55F4" w:rsidRDefault="007A29D6" w:rsidP="007A29D6">
      <w:pPr>
        <w:ind w:right="-205"/>
        <w:jc w:val="both"/>
        <w:rPr>
          <w:rFonts w:eastAsia="Times New Roman" w:cs="Times New Roman"/>
        </w:rPr>
      </w:pPr>
    </w:p>
    <w:p w14:paraId="3AEBD7D8" w14:textId="77777777" w:rsidR="007A29D6" w:rsidRPr="00EB55F4" w:rsidRDefault="007A29D6" w:rsidP="007A29D6">
      <w:pPr>
        <w:pStyle w:val="ListParagraph"/>
        <w:numPr>
          <w:ilvl w:val="0"/>
          <w:numId w:val="7"/>
        </w:numPr>
        <w:ind w:right="-205"/>
        <w:jc w:val="both"/>
        <w:rPr>
          <w:b/>
          <w:color w:val="0D0D0D" w:themeColor="text1" w:themeTint="F2"/>
        </w:rPr>
      </w:pPr>
      <w:r w:rsidRPr="00EB55F4">
        <w:rPr>
          <w:b/>
          <w:i/>
          <w:color w:val="0D0D0D" w:themeColor="text1" w:themeTint="F2"/>
        </w:rPr>
        <w:t>Anti-Discrimination Act 1998</w:t>
      </w:r>
      <w:r w:rsidRPr="00EB55F4">
        <w:rPr>
          <w:b/>
          <w:color w:val="0D0D0D" w:themeColor="text1" w:themeTint="F2"/>
        </w:rPr>
        <w:t xml:space="preserve"> (</w:t>
      </w:r>
      <w:proofErr w:type="spellStart"/>
      <w:r w:rsidRPr="00EB55F4">
        <w:rPr>
          <w:b/>
          <w:color w:val="0D0D0D" w:themeColor="text1" w:themeTint="F2"/>
        </w:rPr>
        <w:t>Tas</w:t>
      </w:r>
      <w:proofErr w:type="spellEnd"/>
      <w:r w:rsidRPr="00EB55F4">
        <w:rPr>
          <w:b/>
          <w:color w:val="0D0D0D" w:themeColor="text1" w:themeTint="F2"/>
        </w:rPr>
        <w:t>)</w:t>
      </w:r>
    </w:p>
    <w:p w14:paraId="04C45064" w14:textId="1F9EA6C4" w:rsidR="007A29D6" w:rsidRPr="00EB55F4" w:rsidRDefault="007A29D6" w:rsidP="007A29D6">
      <w:pPr>
        <w:ind w:right="-205"/>
        <w:jc w:val="both"/>
        <w:rPr>
          <w:color w:val="0D0D0D" w:themeColor="text1" w:themeTint="F2"/>
        </w:rPr>
      </w:pPr>
      <w:r w:rsidRPr="00EB55F4">
        <w:rPr>
          <w:color w:val="0D0D0D" w:themeColor="text1" w:themeTint="F2"/>
        </w:rPr>
        <w:t xml:space="preserve">The recognition by the House of Assembly that the strengthening of protections </w:t>
      </w:r>
      <w:r w:rsidR="00675A51" w:rsidRPr="00EB55F4">
        <w:rPr>
          <w:color w:val="0D0D0D" w:themeColor="text1" w:themeTint="F2"/>
        </w:rPr>
        <w:t>for persons with sex and gender diversity</w:t>
      </w:r>
      <w:r w:rsidRPr="00EB55F4">
        <w:rPr>
          <w:color w:val="0D0D0D" w:themeColor="text1" w:themeTint="F2"/>
        </w:rPr>
        <w:t xml:space="preserve"> in the </w:t>
      </w:r>
      <w:r w:rsidRPr="00EB55F4">
        <w:rPr>
          <w:i/>
          <w:color w:val="0D0D0D" w:themeColor="text1" w:themeTint="F2"/>
        </w:rPr>
        <w:t>Anti-Discrimination Act 1998</w:t>
      </w:r>
      <w:r w:rsidRPr="00EB55F4">
        <w:rPr>
          <w:color w:val="0D0D0D" w:themeColor="text1" w:themeTint="F2"/>
        </w:rPr>
        <w:t xml:space="preserve"> (</w:t>
      </w:r>
      <w:proofErr w:type="spellStart"/>
      <w:r w:rsidRPr="00EB55F4">
        <w:rPr>
          <w:color w:val="0D0D0D" w:themeColor="text1" w:themeTint="F2"/>
        </w:rPr>
        <w:t>Tas</w:t>
      </w:r>
      <w:proofErr w:type="spellEnd"/>
      <w:r w:rsidRPr="00EB55F4">
        <w:rPr>
          <w:color w:val="0D0D0D" w:themeColor="text1" w:themeTint="F2"/>
        </w:rPr>
        <w:t xml:space="preserve">) is welcomed. For example, the </w:t>
      </w:r>
      <w:r w:rsidRPr="00EB55F4">
        <w:rPr>
          <w:rFonts w:cs="Times New Roman"/>
          <w:lang w:eastAsia="en-AU"/>
        </w:rPr>
        <w:t>Office of the High Commissioner for Human Rights has observed that many intersex people suffer discrimination and violence due to their sex characteristics:</w:t>
      </w:r>
      <w:r w:rsidRPr="00EB55F4">
        <w:rPr>
          <w:rStyle w:val="FootnoteReference"/>
          <w:rFonts w:cs="Times New Roman"/>
          <w:lang w:eastAsia="en-AU"/>
        </w:rPr>
        <w:footnoteReference w:id="5"/>
      </w:r>
      <w:r w:rsidRPr="00EB55F4">
        <w:rPr>
          <w:rFonts w:cs="Times New Roman"/>
          <w:lang w:eastAsia="en-AU"/>
        </w:rPr>
        <w:t xml:space="preserve"> </w:t>
      </w:r>
    </w:p>
    <w:p w14:paraId="7A4CB469" w14:textId="77777777" w:rsidR="007A29D6" w:rsidRPr="00EB55F4" w:rsidRDefault="007A29D6" w:rsidP="007A29D6">
      <w:pPr>
        <w:ind w:right="-205"/>
        <w:jc w:val="both"/>
        <w:rPr>
          <w:color w:val="0D0D0D" w:themeColor="text1" w:themeTint="F2"/>
        </w:rPr>
      </w:pPr>
    </w:p>
    <w:p w14:paraId="6BB2272A" w14:textId="77777777" w:rsidR="007A29D6" w:rsidRPr="00EB55F4" w:rsidRDefault="007A29D6" w:rsidP="007A29D6">
      <w:pPr>
        <w:ind w:left="426" w:right="503"/>
        <w:jc w:val="both"/>
        <w:rPr>
          <w:sz w:val="22"/>
          <w:szCs w:val="22"/>
          <w:lang w:eastAsia="en-AU"/>
        </w:rPr>
      </w:pPr>
      <w:r w:rsidRPr="00EB55F4">
        <w:rPr>
          <w:sz w:val="22"/>
          <w:szCs w:val="22"/>
          <w:lang w:eastAsia="en-AU"/>
        </w:rPr>
        <w:t>Because their bodies are seen as different, intersex children and adults are often stigmatized and subjected to multiple human rights violations, including violations of their rights to health and physical integrity, to be free from torture and ill-treatment, and to equality and non-discrimination.</w:t>
      </w:r>
    </w:p>
    <w:p w14:paraId="2C955C63" w14:textId="77777777" w:rsidR="007A29D6" w:rsidRPr="00EB55F4" w:rsidRDefault="007A29D6" w:rsidP="007A29D6">
      <w:pPr>
        <w:ind w:left="426" w:right="503"/>
        <w:jc w:val="both"/>
        <w:rPr>
          <w:sz w:val="22"/>
          <w:szCs w:val="22"/>
          <w:lang w:eastAsia="en-AU"/>
        </w:rPr>
      </w:pPr>
      <w:r w:rsidRPr="00EB55F4">
        <w:rPr>
          <w:sz w:val="22"/>
          <w:szCs w:val="22"/>
          <w:lang w:eastAsia="en-AU"/>
        </w:rPr>
        <w:t>…</w:t>
      </w:r>
    </w:p>
    <w:p w14:paraId="79060B9E" w14:textId="77777777" w:rsidR="007A29D6" w:rsidRPr="00EB55F4" w:rsidRDefault="007A29D6" w:rsidP="007A29D6">
      <w:pPr>
        <w:ind w:left="426" w:right="503"/>
        <w:jc w:val="both"/>
        <w:rPr>
          <w:color w:val="0D0D0D" w:themeColor="text1" w:themeTint="F2"/>
          <w:sz w:val="22"/>
          <w:szCs w:val="22"/>
        </w:rPr>
      </w:pPr>
      <w:r w:rsidRPr="00EB55F4">
        <w:rPr>
          <w:sz w:val="22"/>
          <w:szCs w:val="22"/>
          <w:lang w:eastAsia="en-AU"/>
        </w:rPr>
        <w:t>Intersex persons are often subjected to discrimination and abuse if it becomes known that they are intersex, or if they are perceived not to conform to gender norms. Anti-discrimination laws do not typically ban discrimination against intersex persons, leaving them vulnerable to discriminatory practices in a range of settings, including access to health services, education, public services, employment and sports.</w:t>
      </w:r>
      <w:r w:rsidRPr="00EB55F4">
        <w:rPr>
          <w:lang w:eastAsia="en-AU"/>
        </w:rPr>
        <w:t xml:space="preserve"> </w:t>
      </w:r>
    </w:p>
    <w:p w14:paraId="77F89B70" w14:textId="77777777" w:rsidR="007A29D6" w:rsidRPr="00EB55F4" w:rsidRDefault="007A29D6" w:rsidP="007A29D6">
      <w:pPr>
        <w:ind w:right="-205"/>
        <w:jc w:val="both"/>
        <w:rPr>
          <w:color w:val="0D0D0D" w:themeColor="text1" w:themeTint="F2"/>
        </w:rPr>
      </w:pPr>
    </w:p>
    <w:p w14:paraId="318D7DE6" w14:textId="6E16FB77" w:rsidR="00BA2742" w:rsidRPr="00EB55F4" w:rsidRDefault="007A29D6" w:rsidP="007A29D6">
      <w:pPr>
        <w:ind w:right="-205"/>
        <w:jc w:val="both"/>
      </w:pPr>
      <w:r w:rsidRPr="00EB55F4">
        <w:rPr>
          <w:color w:val="0D0D0D" w:themeColor="text1" w:themeTint="F2"/>
        </w:rPr>
        <w:t>The amendments passed by the House of Assembly</w:t>
      </w:r>
      <w:r w:rsidR="00584A4A">
        <w:rPr>
          <w:color w:val="0D0D0D" w:themeColor="text1" w:themeTint="F2"/>
        </w:rPr>
        <w:t xml:space="preserve"> </w:t>
      </w:r>
      <w:r w:rsidRPr="00EB55F4">
        <w:rPr>
          <w:color w:val="0D0D0D" w:themeColor="text1" w:themeTint="F2"/>
        </w:rPr>
        <w:t>modernise the de</w:t>
      </w:r>
      <w:r w:rsidR="0073040B" w:rsidRPr="00EB55F4">
        <w:rPr>
          <w:color w:val="0D0D0D" w:themeColor="text1" w:themeTint="F2"/>
        </w:rPr>
        <w:t xml:space="preserve">finition of gender identity (by expressly including </w:t>
      </w:r>
      <w:r w:rsidRPr="00EB55F4">
        <w:rPr>
          <w:color w:val="0D0D0D" w:themeColor="text1" w:themeTint="F2"/>
        </w:rPr>
        <w:t>gender expression</w:t>
      </w:r>
      <w:r w:rsidR="0073040B" w:rsidRPr="00EB55F4">
        <w:rPr>
          <w:color w:val="0D0D0D" w:themeColor="text1" w:themeTint="F2"/>
        </w:rPr>
        <w:t>)</w:t>
      </w:r>
      <w:r w:rsidRPr="00EB55F4">
        <w:rPr>
          <w:color w:val="0D0D0D" w:themeColor="text1" w:themeTint="F2"/>
        </w:rPr>
        <w:t xml:space="preserve"> and replace the outdated attribute of ‘intersex’ with ‘intersex variations of sex characteristics’.</w:t>
      </w:r>
      <w:r w:rsidR="00675A51" w:rsidRPr="00EB55F4">
        <w:rPr>
          <w:color w:val="0D0D0D" w:themeColor="text1" w:themeTint="F2"/>
        </w:rPr>
        <w:t xml:space="preserve"> </w:t>
      </w:r>
      <w:r w:rsidR="00675A51" w:rsidRPr="00EB55F4">
        <w:t xml:space="preserve">The insertion of the definitions ‘gender expression’ and ‘sex characteristics’ clearly demarcates between sex and gender, and </w:t>
      </w:r>
      <w:r w:rsidR="00BA2742" w:rsidRPr="00EB55F4">
        <w:t>is a better reflection of the sex and gender diversity of our community</w:t>
      </w:r>
      <w:r w:rsidR="00675A51" w:rsidRPr="00EB55F4">
        <w:t>.</w:t>
      </w:r>
      <w:r w:rsidR="00BA2742" w:rsidRPr="00EB55F4">
        <w:t xml:space="preserve"> </w:t>
      </w:r>
    </w:p>
    <w:p w14:paraId="1D4BB910" w14:textId="77777777" w:rsidR="00BA2742" w:rsidRPr="00EB55F4" w:rsidRDefault="00BA2742" w:rsidP="007A29D6">
      <w:pPr>
        <w:ind w:right="-205"/>
        <w:jc w:val="both"/>
      </w:pPr>
    </w:p>
    <w:p w14:paraId="17701F63" w14:textId="005DFD3A" w:rsidR="007A29D6" w:rsidRPr="00EB55F4" w:rsidRDefault="00BA2742" w:rsidP="007A29D6">
      <w:pPr>
        <w:ind w:right="-205"/>
        <w:jc w:val="both"/>
      </w:pPr>
      <w:r w:rsidRPr="00EB55F4">
        <w:t xml:space="preserve">Further, </w:t>
      </w:r>
      <w:r w:rsidRPr="00EB55F4">
        <w:rPr>
          <w:color w:val="0D0D0D" w:themeColor="text1" w:themeTint="F2"/>
        </w:rPr>
        <w:t>w</w:t>
      </w:r>
      <w:r w:rsidR="007A29D6" w:rsidRPr="00EB55F4">
        <w:rPr>
          <w:color w:val="0D0D0D" w:themeColor="text1" w:themeTint="F2"/>
        </w:rPr>
        <w:t>e support the replacement of ‘intersex’ with ‘intersex variations of sex characteristics’</w:t>
      </w:r>
      <w:r w:rsidR="007A29D6" w:rsidRPr="00EB55F4">
        <w:rPr>
          <w:rStyle w:val="FootnoteReference"/>
          <w:color w:val="0D0D0D" w:themeColor="text1" w:themeTint="F2"/>
        </w:rPr>
        <w:footnoteReference w:id="6"/>
      </w:r>
      <w:r w:rsidR="007A29D6" w:rsidRPr="00EB55F4">
        <w:rPr>
          <w:color w:val="0D0D0D" w:themeColor="text1" w:themeTint="F2"/>
        </w:rPr>
        <w:t xml:space="preserve"> as it more accurately reflects the definition </w:t>
      </w:r>
      <w:r w:rsidR="007A29D6" w:rsidRPr="00EB55F4">
        <w:rPr>
          <w:rFonts w:cs="Times New Roman"/>
          <w:lang w:eastAsia="en-AU"/>
        </w:rPr>
        <w:t>used by the UN Office of the High Commissioner for Human Rights:</w:t>
      </w:r>
      <w:r w:rsidR="007A29D6" w:rsidRPr="00EB55F4">
        <w:rPr>
          <w:rStyle w:val="FootnoteReference"/>
          <w:rFonts w:cs="Times New Roman"/>
          <w:lang w:eastAsia="en-AU"/>
        </w:rPr>
        <w:footnoteReference w:id="7"/>
      </w:r>
      <w:r w:rsidR="007A29D6" w:rsidRPr="00EB55F4">
        <w:rPr>
          <w:rFonts w:cs="Times New Roman"/>
          <w:lang w:eastAsia="en-AU"/>
        </w:rPr>
        <w:t xml:space="preserve"> </w:t>
      </w:r>
    </w:p>
    <w:p w14:paraId="4370CAA4" w14:textId="77777777" w:rsidR="007A29D6" w:rsidRPr="00EB55F4" w:rsidRDefault="007A29D6" w:rsidP="007A29D6">
      <w:pPr>
        <w:ind w:right="-205"/>
        <w:jc w:val="both"/>
        <w:rPr>
          <w:color w:val="0D0D0D" w:themeColor="text1" w:themeTint="F2"/>
        </w:rPr>
      </w:pPr>
    </w:p>
    <w:p w14:paraId="4EA3E76F" w14:textId="77777777" w:rsidR="001577F4" w:rsidRPr="00EB55F4" w:rsidRDefault="007A29D6" w:rsidP="001577F4">
      <w:pPr>
        <w:ind w:left="426" w:right="503"/>
        <w:jc w:val="both"/>
        <w:rPr>
          <w:color w:val="0D0D0D" w:themeColor="text1" w:themeTint="F2"/>
          <w:sz w:val="22"/>
          <w:szCs w:val="22"/>
        </w:rPr>
      </w:pPr>
      <w:r w:rsidRPr="00EB55F4">
        <w:rPr>
          <w:sz w:val="22"/>
          <w:szCs w:val="22"/>
          <w:lang w:eastAsia="en-AU"/>
        </w:rPr>
        <w:t xml:space="preserve">Intersex people are born with physical or biological sex characteristics (such as sexual anatomy, reproductive organs, hormonal patterns and/or chromosomal patterns) that do not fit the typical definitions for male or female bodies. For some intersex people these traits are apparent at birth, while for others they emerge later in life, often at puberty. </w:t>
      </w:r>
    </w:p>
    <w:p w14:paraId="6D4D14DC" w14:textId="77777777" w:rsidR="001577F4" w:rsidRPr="00EB55F4" w:rsidRDefault="001577F4" w:rsidP="001577F4">
      <w:pPr>
        <w:ind w:left="426" w:right="503"/>
        <w:jc w:val="both"/>
        <w:rPr>
          <w:color w:val="0D0D0D" w:themeColor="text1" w:themeTint="F2"/>
          <w:sz w:val="22"/>
          <w:szCs w:val="22"/>
        </w:rPr>
      </w:pPr>
    </w:p>
    <w:p w14:paraId="4514FCF1" w14:textId="68115827" w:rsidR="007A29D6" w:rsidRPr="00EB55F4" w:rsidRDefault="007A29D6" w:rsidP="007A29D6">
      <w:pPr>
        <w:ind w:right="-205"/>
        <w:jc w:val="both"/>
        <w:rPr>
          <w:color w:val="0D0D0D" w:themeColor="text1" w:themeTint="F2"/>
        </w:rPr>
      </w:pPr>
      <w:r w:rsidRPr="00EB55F4">
        <w:rPr>
          <w:color w:val="0D0D0D" w:themeColor="text1" w:themeTint="F2"/>
        </w:rPr>
        <w:t xml:space="preserve">Finally, the amendments seek to </w:t>
      </w:r>
      <w:r w:rsidR="00BA2742" w:rsidRPr="00EB55F4">
        <w:rPr>
          <w:color w:val="0D0D0D" w:themeColor="text1" w:themeTint="F2"/>
        </w:rPr>
        <w:t xml:space="preserve">ensure that sex and gender diverse </w:t>
      </w:r>
      <w:r w:rsidRPr="00EB55F4">
        <w:rPr>
          <w:color w:val="0D0D0D" w:themeColor="text1" w:themeTint="F2"/>
        </w:rPr>
        <w:t xml:space="preserve">persons are protected against incitement to hatred, serious contempt or severe ridicule. It appears that this was a </w:t>
      </w:r>
      <w:r w:rsidR="00AB32C5" w:rsidRPr="00EB55F4">
        <w:rPr>
          <w:color w:val="0D0D0D" w:themeColor="text1" w:themeTint="F2"/>
        </w:rPr>
        <w:t>“drafting error”</w:t>
      </w:r>
      <w:r w:rsidR="00AB32C5" w:rsidRPr="00EB55F4">
        <w:rPr>
          <w:rStyle w:val="FootnoteReference"/>
          <w:color w:val="0D0D0D" w:themeColor="text1" w:themeTint="F2"/>
        </w:rPr>
        <w:footnoteReference w:id="8"/>
      </w:r>
      <w:r w:rsidRPr="00EB55F4">
        <w:rPr>
          <w:color w:val="0D0D0D" w:themeColor="text1" w:themeTint="F2"/>
        </w:rPr>
        <w:t xml:space="preserve"> when the Act was amended in 2014 and should be rectified. In other words, the protections that were removed due to </w:t>
      </w:r>
      <w:r w:rsidR="00AB32C5" w:rsidRPr="00EB55F4">
        <w:rPr>
          <w:color w:val="0D0D0D" w:themeColor="text1" w:themeTint="F2"/>
        </w:rPr>
        <w:t xml:space="preserve">legislative oversight </w:t>
      </w:r>
      <w:r w:rsidRPr="00EB55F4">
        <w:rPr>
          <w:color w:val="0D0D0D" w:themeColor="text1" w:themeTint="F2"/>
        </w:rPr>
        <w:t xml:space="preserve">should be returned so that </w:t>
      </w:r>
      <w:r w:rsidR="00BA2742" w:rsidRPr="00EB55F4">
        <w:rPr>
          <w:color w:val="0D0D0D" w:themeColor="text1" w:themeTint="F2"/>
        </w:rPr>
        <w:t>sex and gender diverse</w:t>
      </w:r>
      <w:r w:rsidRPr="00EB55F4">
        <w:rPr>
          <w:color w:val="0D0D0D" w:themeColor="text1" w:themeTint="F2"/>
        </w:rPr>
        <w:t xml:space="preserve"> persons are better protected against incitement to hatred.        </w:t>
      </w:r>
    </w:p>
    <w:p w14:paraId="336B28CB" w14:textId="77777777" w:rsidR="007A29D6" w:rsidRPr="00EB55F4" w:rsidRDefault="007A29D6" w:rsidP="003B74CA">
      <w:pPr>
        <w:ind w:right="-205"/>
        <w:jc w:val="both"/>
        <w:rPr>
          <w:color w:val="0D0D0D" w:themeColor="text1" w:themeTint="F2"/>
        </w:rPr>
      </w:pPr>
    </w:p>
    <w:p w14:paraId="5A87CD7F" w14:textId="0E4027DC" w:rsidR="003B74CA" w:rsidRPr="00EB55F4" w:rsidRDefault="003B74CA" w:rsidP="003B74CA">
      <w:pPr>
        <w:pStyle w:val="ListParagraph"/>
        <w:numPr>
          <w:ilvl w:val="0"/>
          <w:numId w:val="7"/>
        </w:numPr>
        <w:ind w:right="-205"/>
        <w:jc w:val="both"/>
        <w:rPr>
          <w:b/>
          <w:color w:val="0D0D0D" w:themeColor="text1" w:themeTint="F2"/>
        </w:rPr>
      </w:pPr>
      <w:r w:rsidRPr="00EB55F4">
        <w:rPr>
          <w:b/>
          <w:i/>
          <w:color w:val="0D0D0D" w:themeColor="text1" w:themeTint="F2"/>
        </w:rPr>
        <w:t>Births, Deaths and Marriages Registration Act 1999</w:t>
      </w:r>
      <w:r w:rsidRPr="00EB55F4">
        <w:rPr>
          <w:b/>
          <w:color w:val="0D0D0D" w:themeColor="text1" w:themeTint="F2"/>
        </w:rPr>
        <w:t xml:space="preserve"> (</w:t>
      </w:r>
      <w:proofErr w:type="spellStart"/>
      <w:r w:rsidRPr="00EB55F4">
        <w:rPr>
          <w:b/>
          <w:color w:val="0D0D0D" w:themeColor="text1" w:themeTint="F2"/>
        </w:rPr>
        <w:t>Tas</w:t>
      </w:r>
      <w:proofErr w:type="spellEnd"/>
      <w:r w:rsidRPr="00EB55F4">
        <w:rPr>
          <w:b/>
          <w:color w:val="0D0D0D" w:themeColor="text1" w:themeTint="F2"/>
        </w:rPr>
        <w:t>)</w:t>
      </w:r>
    </w:p>
    <w:p w14:paraId="2FF46F58" w14:textId="254A3F33" w:rsidR="004E2ED9" w:rsidRPr="00EB55F4" w:rsidRDefault="009C41DE" w:rsidP="00E0375C">
      <w:pPr>
        <w:ind w:right="-205"/>
        <w:jc w:val="both"/>
        <w:rPr>
          <w:color w:val="0D0D0D" w:themeColor="text1" w:themeTint="F2"/>
        </w:rPr>
      </w:pPr>
      <w:r w:rsidRPr="00EB55F4">
        <w:rPr>
          <w:color w:val="0D0D0D" w:themeColor="text1" w:themeTint="F2"/>
        </w:rPr>
        <w:t xml:space="preserve">The amendments passed by the House of Assembly to the </w:t>
      </w:r>
      <w:r w:rsidRPr="00EB55F4">
        <w:rPr>
          <w:i/>
          <w:color w:val="0D0D0D" w:themeColor="text1" w:themeTint="F2"/>
        </w:rPr>
        <w:t>Births, Deaths and Marriages Registration Act 1998</w:t>
      </w:r>
      <w:r w:rsidRPr="00EB55F4">
        <w:rPr>
          <w:color w:val="0D0D0D" w:themeColor="text1" w:themeTint="F2"/>
        </w:rPr>
        <w:t xml:space="preserve"> (</w:t>
      </w:r>
      <w:proofErr w:type="spellStart"/>
      <w:r w:rsidRPr="00EB55F4">
        <w:rPr>
          <w:color w:val="0D0D0D" w:themeColor="text1" w:themeTint="F2"/>
        </w:rPr>
        <w:t>Tas</w:t>
      </w:r>
      <w:proofErr w:type="spellEnd"/>
      <w:r w:rsidRPr="00EB55F4">
        <w:rPr>
          <w:color w:val="0D0D0D" w:themeColor="text1" w:themeTint="F2"/>
        </w:rPr>
        <w:t xml:space="preserve">) </w:t>
      </w:r>
      <w:r w:rsidR="005B5FC8" w:rsidRPr="00EB55F4">
        <w:rPr>
          <w:color w:val="0D0D0D" w:themeColor="text1" w:themeTint="F2"/>
        </w:rPr>
        <w:t xml:space="preserve">(‘the Act’) </w:t>
      </w:r>
      <w:r w:rsidR="00584A4A">
        <w:rPr>
          <w:color w:val="0D0D0D" w:themeColor="text1" w:themeTint="F2"/>
        </w:rPr>
        <w:t>have</w:t>
      </w:r>
      <w:r w:rsidRPr="00EB55F4">
        <w:rPr>
          <w:color w:val="0D0D0D" w:themeColor="text1" w:themeTint="F2"/>
        </w:rPr>
        <w:t xml:space="preserve"> previously been raised in an Options Paper published by Equal Opportunity Tasmania.</w:t>
      </w:r>
      <w:r w:rsidRPr="00EB55F4">
        <w:rPr>
          <w:rStyle w:val="FootnoteReference"/>
          <w:color w:val="0D0D0D" w:themeColor="text1" w:themeTint="F2"/>
        </w:rPr>
        <w:footnoteReference w:id="9"/>
      </w:r>
      <w:r w:rsidRPr="00EB55F4">
        <w:rPr>
          <w:color w:val="0D0D0D" w:themeColor="text1" w:themeTint="F2"/>
        </w:rPr>
        <w:t xml:space="preserve"> </w:t>
      </w:r>
      <w:r w:rsidR="005B5FC8" w:rsidRPr="00EB55F4">
        <w:rPr>
          <w:color w:val="0D0D0D" w:themeColor="text1" w:themeTint="F2"/>
        </w:rPr>
        <w:t xml:space="preserve">The amendments </w:t>
      </w:r>
      <w:r w:rsidR="004E2ED9" w:rsidRPr="00EB55F4">
        <w:rPr>
          <w:color w:val="0D0D0D" w:themeColor="text1" w:themeTint="F2"/>
        </w:rPr>
        <w:t xml:space="preserve">also </w:t>
      </w:r>
      <w:r w:rsidR="00B47AE4" w:rsidRPr="00EB55F4">
        <w:rPr>
          <w:color w:val="0D0D0D" w:themeColor="text1" w:themeTint="F2"/>
        </w:rPr>
        <w:t xml:space="preserve">ensure consistency with the </w:t>
      </w:r>
      <w:r w:rsidR="00B47AE4" w:rsidRPr="00EB55F4">
        <w:rPr>
          <w:i/>
          <w:color w:val="0D0D0D" w:themeColor="text1" w:themeTint="F2"/>
        </w:rPr>
        <w:t>Anti-Discrimination Act 1998</w:t>
      </w:r>
      <w:r w:rsidR="00F55108" w:rsidRPr="00EB55F4">
        <w:rPr>
          <w:color w:val="0D0D0D" w:themeColor="text1" w:themeTint="F2"/>
        </w:rPr>
        <w:t xml:space="preserve"> (</w:t>
      </w:r>
      <w:proofErr w:type="spellStart"/>
      <w:r w:rsidR="00F55108" w:rsidRPr="00EB55F4">
        <w:rPr>
          <w:color w:val="0D0D0D" w:themeColor="text1" w:themeTint="F2"/>
        </w:rPr>
        <w:t>Tas</w:t>
      </w:r>
      <w:proofErr w:type="spellEnd"/>
      <w:r w:rsidR="00F55108" w:rsidRPr="00EB55F4">
        <w:rPr>
          <w:color w:val="0D0D0D" w:themeColor="text1" w:themeTint="F2"/>
        </w:rPr>
        <w:t xml:space="preserve">) which does not require a person to have </w:t>
      </w:r>
      <w:r w:rsidR="00A977F4">
        <w:rPr>
          <w:color w:val="0D0D0D" w:themeColor="text1" w:themeTint="F2"/>
        </w:rPr>
        <w:t xml:space="preserve">invasive </w:t>
      </w:r>
      <w:r w:rsidR="00F55108" w:rsidRPr="00EB55F4">
        <w:rPr>
          <w:color w:val="0D0D0D" w:themeColor="text1" w:themeTint="F2"/>
        </w:rPr>
        <w:t>surgery or any medical procedures before their gender identity is recognised and protection from discrimination is provided.</w:t>
      </w:r>
      <w:r w:rsidR="00F55108" w:rsidRPr="00EB55F4">
        <w:rPr>
          <w:rStyle w:val="FootnoteReference"/>
          <w:color w:val="0D0D0D" w:themeColor="text1" w:themeTint="F2"/>
        </w:rPr>
        <w:footnoteReference w:id="10"/>
      </w:r>
      <w:r w:rsidR="00F55108" w:rsidRPr="00EB55F4">
        <w:rPr>
          <w:color w:val="0D0D0D" w:themeColor="text1" w:themeTint="F2"/>
        </w:rPr>
        <w:t xml:space="preserve"> </w:t>
      </w:r>
    </w:p>
    <w:p w14:paraId="3D5CB3D0" w14:textId="77777777" w:rsidR="004E2ED9" w:rsidRPr="00EB55F4" w:rsidRDefault="004E2ED9" w:rsidP="00E0375C">
      <w:pPr>
        <w:ind w:right="-205"/>
        <w:jc w:val="both"/>
        <w:rPr>
          <w:color w:val="0D0D0D" w:themeColor="text1" w:themeTint="F2"/>
        </w:rPr>
      </w:pPr>
    </w:p>
    <w:p w14:paraId="6670DBFA" w14:textId="76BAA633" w:rsidR="00FC36CC" w:rsidRPr="00EB55F4" w:rsidRDefault="00CF1F92" w:rsidP="00E0375C">
      <w:pPr>
        <w:ind w:right="-205"/>
        <w:jc w:val="both"/>
        <w:rPr>
          <w:rFonts w:eastAsia="Times New Roman" w:cs="Times New Roman"/>
          <w:color w:val="0D0D0D" w:themeColor="text1" w:themeTint="F2"/>
        </w:rPr>
      </w:pPr>
      <w:r w:rsidRPr="00EB55F4">
        <w:rPr>
          <w:color w:val="0D0D0D" w:themeColor="text1" w:themeTint="F2"/>
        </w:rPr>
        <w:t xml:space="preserve">We also note that </w:t>
      </w:r>
      <w:r w:rsidR="005245DA" w:rsidRPr="00EB55F4">
        <w:rPr>
          <w:color w:val="0D0D0D" w:themeColor="text1" w:themeTint="F2"/>
        </w:rPr>
        <w:t xml:space="preserve">non-consensual deferrable </w:t>
      </w:r>
      <w:r w:rsidR="00F55108" w:rsidRPr="00EB55F4">
        <w:rPr>
          <w:color w:val="0D0D0D" w:themeColor="text1" w:themeTint="F2"/>
        </w:rPr>
        <w:t>surgical interventio</w:t>
      </w:r>
      <w:r w:rsidR="00F95CE2" w:rsidRPr="00EB55F4">
        <w:rPr>
          <w:color w:val="0D0D0D" w:themeColor="text1" w:themeTint="F2"/>
        </w:rPr>
        <w:t xml:space="preserve">n </w:t>
      </w:r>
      <w:r w:rsidR="00F55108" w:rsidRPr="00EB55F4">
        <w:rPr>
          <w:color w:val="0D0D0D" w:themeColor="text1" w:themeTint="F2"/>
        </w:rPr>
        <w:t xml:space="preserve">to identify sex </w:t>
      </w:r>
      <w:r w:rsidR="005245DA" w:rsidRPr="00EB55F4">
        <w:rPr>
          <w:color w:val="0D0D0D" w:themeColor="text1" w:themeTint="F2"/>
        </w:rPr>
        <w:t>is not</w:t>
      </w:r>
      <w:r w:rsidR="00F55108" w:rsidRPr="00EB55F4">
        <w:rPr>
          <w:color w:val="0D0D0D" w:themeColor="text1" w:themeTint="F2"/>
        </w:rPr>
        <w:t xml:space="preserve"> appropriate for </w:t>
      </w:r>
      <w:r w:rsidRPr="00EB55F4">
        <w:rPr>
          <w:color w:val="0D0D0D" w:themeColor="text1" w:themeTint="F2"/>
        </w:rPr>
        <w:t>intersex person</w:t>
      </w:r>
      <w:r w:rsidR="00F95CE2" w:rsidRPr="00EB55F4">
        <w:rPr>
          <w:color w:val="0D0D0D" w:themeColor="text1" w:themeTint="F2"/>
        </w:rPr>
        <w:t>s, who “</w:t>
      </w:r>
      <w:r w:rsidR="00F95CE2" w:rsidRPr="00EB55F4">
        <w:rPr>
          <w:rFonts w:eastAsia="Times New Roman" w:cs="Times New Roman"/>
          <w:color w:val="0D0D0D" w:themeColor="text1" w:themeTint="F2"/>
        </w:rPr>
        <w:t>are born with sex characteristics (including genitals, gonads and chromosome patterns) that do not fit typical binary notions of male or female bodies”.</w:t>
      </w:r>
      <w:r w:rsidR="00F95CE2" w:rsidRPr="00EB55F4">
        <w:rPr>
          <w:rStyle w:val="FootnoteReference"/>
          <w:rFonts w:eastAsia="Times New Roman" w:cs="Times New Roman"/>
          <w:color w:val="0D0D0D" w:themeColor="text1" w:themeTint="F2"/>
        </w:rPr>
        <w:footnoteReference w:id="11"/>
      </w:r>
    </w:p>
    <w:p w14:paraId="1BABF025" w14:textId="77777777" w:rsidR="00FC36CC" w:rsidRPr="00EB55F4" w:rsidRDefault="00FC36CC" w:rsidP="00E0375C">
      <w:pPr>
        <w:ind w:right="-205"/>
        <w:jc w:val="both"/>
        <w:rPr>
          <w:rFonts w:eastAsia="Times New Roman" w:cs="Times New Roman"/>
          <w:color w:val="0D0D0D" w:themeColor="text1" w:themeTint="F2"/>
        </w:rPr>
      </w:pPr>
    </w:p>
    <w:p w14:paraId="1192C0D5" w14:textId="4B3CA9DB" w:rsidR="005B0D09" w:rsidRPr="00EB55F4" w:rsidRDefault="00FC36CC" w:rsidP="00E0375C">
      <w:pPr>
        <w:ind w:right="-205"/>
        <w:jc w:val="both"/>
      </w:pPr>
      <w:r w:rsidRPr="00EB55F4">
        <w:rPr>
          <w:rFonts w:eastAsia="Times New Roman" w:cs="Times New Roman"/>
          <w:color w:val="0D0D0D" w:themeColor="text1" w:themeTint="F2"/>
        </w:rPr>
        <w:t>Significantly, the</w:t>
      </w:r>
      <w:r w:rsidR="00713150" w:rsidRPr="00EB55F4">
        <w:rPr>
          <w:rFonts w:eastAsia="Times New Roman" w:cs="Times New Roman"/>
          <w:color w:val="0D0D0D" w:themeColor="text1" w:themeTint="F2"/>
        </w:rPr>
        <w:t xml:space="preserve"> amendments </w:t>
      </w:r>
      <w:r w:rsidR="00713150" w:rsidRPr="00EB55F4">
        <w:rPr>
          <w:color w:val="0D0D0D" w:themeColor="text1" w:themeTint="F2"/>
        </w:rPr>
        <w:t xml:space="preserve">passed by the House of Assembly </w:t>
      </w:r>
      <w:r w:rsidR="00713150" w:rsidRPr="00EB55F4">
        <w:t xml:space="preserve">will reduce the pressure on intersex </w:t>
      </w:r>
      <w:r w:rsidR="005245DA" w:rsidRPr="00EB55F4">
        <w:t xml:space="preserve">individuals to make life-changing </w:t>
      </w:r>
      <w:r w:rsidR="00713150" w:rsidRPr="00EB55F4">
        <w:t xml:space="preserve">decisions such as divorcing their spouse and undergoing </w:t>
      </w:r>
      <w:r w:rsidR="00730B50">
        <w:t xml:space="preserve">invasive </w:t>
      </w:r>
      <w:r w:rsidR="00713150" w:rsidRPr="00EB55F4">
        <w:t xml:space="preserve">surgery. </w:t>
      </w:r>
      <w:r w:rsidR="005B0D09" w:rsidRPr="00EB55F4">
        <w:t xml:space="preserve">Importantly, these amendments will </w:t>
      </w:r>
      <w:r w:rsidR="005B0D09" w:rsidRPr="00EB55F4">
        <w:rPr>
          <w:color w:val="0D0D0D" w:themeColor="text1" w:themeTint="F2"/>
        </w:rPr>
        <w:t xml:space="preserve">ensure that Tasmanian legislation is consistent with recent changes to the </w:t>
      </w:r>
      <w:r w:rsidR="005B0D09" w:rsidRPr="00EB55F4">
        <w:rPr>
          <w:i/>
          <w:color w:val="0D0D0D" w:themeColor="text1" w:themeTint="F2"/>
        </w:rPr>
        <w:t>Marriage Act 1961</w:t>
      </w:r>
      <w:r w:rsidR="005B0D09" w:rsidRPr="00EB55F4">
        <w:rPr>
          <w:color w:val="0D0D0D" w:themeColor="text1" w:themeTint="F2"/>
        </w:rPr>
        <w:t xml:space="preserve"> (</w:t>
      </w:r>
      <w:proofErr w:type="spellStart"/>
      <w:r w:rsidR="005B0D09" w:rsidRPr="00EB55F4">
        <w:rPr>
          <w:color w:val="0D0D0D" w:themeColor="text1" w:themeTint="F2"/>
        </w:rPr>
        <w:t>Cth</w:t>
      </w:r>
      <w:proofErr w:type="spellEnd"/>
      <w:r w:rsidR="005B0D09" w:rsidRPr="00EB55F4">
        <w:rPr>
          <w:color w:val="0D0D0D" w:themeColor="text1" w:themeTint="F2"/>
        </w:rPr>
        <w:t>)</w:t>
      </w:r>
      <w:r w:rsidR="005B0D09" w:rsidRPr="00EB55F4">
        <w:rPr>
          <w:color w:val="0D0D0D" w:themeColor="text1" w:themeTint="F2"/>
        </w:rPr>
        <w:t>.</w:t>
      </w:r>
      <w:r w:rsidR="005B0D09" w:rsidRPr="00EB55F4">
        <w:t xml:space="preserve"> </w:t>
      </w:r>
    </w:p>
    <w:p w14:paraId="4381057B" w14:textId="77777777" w:rsidR="00F1162F" w:rsidRPr="00EB55F4" w:rsidRDefault="00F1162F" w:rsidP="00E0375C">
      <w:pPr>
        <w:ind w:right="-205"/>
        <w:jc w:val="both"/>
      </w:pPr>
    </w:p>
    <w:p w14:paraId="6A76C3A6" w14:textId="116D4DE8" w:rsidR="00E0375C" w:rsidRPr="00EB55F4" w:rsidRDefault="00713150" w:rsidP="00E0375C">
      <w:pPr>
        <w:ind w:right="-205"/>
        <w:jc w:val="both"/>
        <w:rPr>
          <w:rFonts w:eastAsia="Times New Roman" w:cs="Times New Roman"/>
          <w:color w:val="0D0D0D" w:themeColor="text1" w:themeTint="F2"/>
        </w:rPr>
      </w:pPr>
      <w:r w:rsidRPr="00EB55F4">
        <w:t xml:space="preserve">Currently, the </w:t>
      </w:r>
      <w:r w:rsidR="004E2ED9" w:rsidRPr="00EB55F4">
        <w:t>Act</w:t>
      </w:r>
      <w:r w:rsidRPr="00EB55F4">
        <w:t xml:space="preserve"> requires that an individual seeking to register a change of sex to ‘not be married’ and to have undergone </w:t>
      </w:r>
      <w:r w:rsidR="00730B50">
        <w:t xml:space="preserve">gender affirmation </w:t>
      </w:r>
      <w:r w:rsidRPr="00EB55F4">
        <w:t xml:space="preserve">surgery. Not only does </w:t>
      </w:r>
      <w:r w:rsidR="009855B1">
        <w:t xml:space="preserve">gender affirmation </w:t>
      </w:r>
      <w:r w:rsidRPr="00EB55F4">
        <w:t xml:space="preserve">surgery reinforce gender binary terms, but it is also a </w:t>
      </w:r>
      <w:r w:rsidRPr="00EB55F4">
        <w:lastRenderedPageBreak/>
        <w:t xml:space="preserve">significant cost </w:t>
      </w:r>
      <w:r w:rsidR="00E0375C" w:rsidRPr="00EB55F4">
        <w:t xml:space="preserve">imposition </w:t>
      </w:r>
      <w:r w:rsidRPr="00EB55F4">
        <w:t>both emotionally and financially.</w:t>
      </w:r>
      <w:r w:rsidR="00710F19" w:rsidRPr="00EB55F4">
        <w:rPr>
          <w:rStyle w:val="FootnoteReference"/>
        </w:rPr>
        <w:footnoteReference w:id="12"/>
      </w:r>
      <w:r w:rsidR="00710F19" w:rsidRPr="00EB55F4">
        <w:t xml:space="preserve"> </w:t>
      </w:r>
      <w:r w:rsidRPr="00EB55F4">
        <w:t xml:space="preserve">Forcing spouses to divorce has consequences for the individual, the relationship and the family, particularly where children are </w:t>
      </w:r>
      <w:r w:rsidR="00E0375C" w:rsidRPr="00EB55F4">
        <w:t xml:space="preserve">involved. </w:t>
      </w:r>
      <w:r w:rsidRPr="00EB55F4">
        <w:t>Moreover, to lawfully reinforce bi</w:t>
      </w:r>
      <w:r w:rsidR="009855B1">
        <w:t xml:space="preserve">nary gender norms and require gender affirmation </w:t>
      </w:r>
      <w:r w:rsidRPr="00EB55F4">
        <w:t>surgery places undue pressure on an individual to make a decision about their body and violates their bodily integrity.</w:t>
      </w:r>
    </w:p>
    <w:p w14:paraId="59530828" w14:textId="77777777" w:rsidR="00E0375C" w:rsidRPr="00EB55F4" w:rsidRDefault="00E0375C" w:rsidP="00E0375C">
      <w:pPr>
        <w:ind w:right="-205"/>
        <w:jc w:val="both"/>
        <w:rPr>
          <w:rFonts w:eastAsia="Times New Roman" w:cs="Times New Roman"/>
          <w:color w:val="0D0D0D" w:themeColor="text1" w:themeTint="F2"/>
        </w:rPr>
      </w:pPr>
    </w:p>
    <w:p w14:paraId="69518856" w14:textId="5991A199" w:rsidR="00710F19" w:rsidRPr="00EB55F4" w:rsidRDefault="00E0375C" w:rsidP="00710F19">
      <w:pPr>
        <w:ind w:right="-205"/>
        <w:jc w:val="both"/>
      </w:pPr>
      <w:r w:rsidRPr="00EB55F4">
        <w:t xml:space="preserve">The recommendations outlined by </w:t>
      </w:r>
      <w:r w:rsidR="00713150" w:rsidRPr="00EB55F4">
        <w:t>Equal Opportunity</w:t>
      </w:r>
      <w:r w:rsidRPr="00EB55F4">
        <w:t xml:space="preserve"> Tasmania acknowledge that some individuals may </w:t>
      </w:r>
      <w:r w:rsidR="00713150" w:rsidRPr="00EB55F4">
        <w:t xml:space="preserve">not want to undergo </w:t>
      </w:r>
      <w:r w:rsidR="00730B50">
        <w:t>invasive</w:t>
      </w:r>
      <w:r w:rsidR="009855B1">
        <w:t xml:space="preserve"> </w:t>
      </w:r>
      <w:r w:rsidR="00713150" w:rsidRPr="00EB55F4">
        <w:t>surgery, but feel the choice is forced upon them in order to identify as who they are</w:t>
      </w:r>
      <w:r w:rsidRPr="00EB55F4">
        <w:t>.</w:t>
      </w:r>
      <w:r w:rsidR="00713150" w:rsidRPr="00EB55F4">
        <w:rPr>
          <w:rStyle w:val="FootnoteReference"/>
        </w:rPr>
        <w:footnoteReference w:id="13"/>
      </w:r>
      <w:r w:rsidR="00713150" w:rsidRPr="00EB55F4">
        <w:t xml:space="preserve"> And</w:t>
      </w:r>
      <w:r w:rsidR="00684608">
        <w:t>,</w:t>
      </w:r>
      <w:r w:rsidR="00713150" w:rsidRPr="00EB55F4">
        <w:t xml:space="preserve"> for those who do wish to undergo a change </w:t>
      </w:r>
      <w:r w:rsidR="0035175D" w:rsidRPr="00EB55F4">
        <w:t xml:space="preserve">to their </w:t>
      </w:r>
      <w:r w:rsidR="00713150" w:rsidRPr="00EB55F4">
        <w:t xml:space="preserve">sex </w:t>
      </w:r>
      <w:r w:rsidR="0035175D" w:rsidRPr="00EB55F4">
        <w:t xml:space="preserve">characteristics </w:t>
      </w:r>
      <w:r w:rsidR="00713150" w:rsidRPr="00EB55F4">
        <w:t>through surgical means, financing it can be difficult</w:t>
      </w:r>
      <w:r w:rsidR="00684608">
        <w:t xml:space="preserve"> and</w:t>
      </w:r>
      <w:r w:rsidR="0035175D" w:rsidRPr="00EB55F4">
        <w:t xml:space="preserve"> is medically impossible for some</w:t>
      </w:r>
      <w:r w:rsidR="004E2ED9" w:rsidRPr="00EB55F4">
        <w:t xml:space="preserve">. </w:t>
      </w:r>
      <w:r w:rsidRPr="00EB55F4">
        <w:t>As a result,</w:t>
      </w:r>
      <w:r w:rsidR="00713150" w:rsidRPr="00EB55F4">
        <w:t xml:space="preserve"> </w:t>
      </w:r>
      <w:r w:rsidRPr="00EB55F4">
        <w:t>without legislative reform</w:t>
      </w:r>
      <w:r w:rsidR="00713150" w:rsidRPr="00EB55F4">
        <w:t xml:space="preserve"> individual</w:t>
      </w:r>
      <w:r w:rsidRPr="00EB55F4">
        <w:t>s</w:t>
      </w:r>
      <w:r w:rsidR="00713150" w:rsidRPr="00EB55F4">
        <w:t xml:space="preserve"> </w:t>
      </w:r>
      <w:r w:rsidRPr="00EB55F4">
        <w:t xml:space="preserve">are forced </w:t>
      </w:r>
      <w:r w:rsidR="00713150" w:rsidRPr="00EB55F4">
        <w:t xml:space="preserve">to choose between identifying as who they truly </w:t>
      </w:r>
      <w:r w:rsidRPr="00EB55F4">
        <w:t>are by undergoing surgery, or living their</w:t>
      </w:r>
      <w:r w:rsidR="00713150" w:rsidRPr="00EB55F4">
        <w:t xml:space="preserve"> life as a per</w:t>
      </w:r>
      <w:r w:rsidR="00710F19" w:rsidRPr="00EB55F4">
        <w:t>son they do not identify with.</w:t>
      </w:r>
    </w:p>
    <w:p w14:paraId="24613493" w14:textId="77777777" w:rsidR="00710F19" w:rsidRPr="00EB55F4" w:rsidRDefault="00710F19" w:rsidP="00710F19">
      <w:pPr>
        <w:ind w:right="-205"/>
        <w:jc w:val="both"/>
      </w:pPr>
    </w:p>
    <w:p w14:paraId="3B2FAD9A" w14:textId="06CDC9E4" w:rsidR="00584A4A" w:rsidRPr="00584A4A" w:rsidRDefault="00710F19" w:rsidP="00584A4A">
      <w:pPr>
        <w:ind w:right="-205"/>
        <w:jc w:val="both"/>
      </w:pPr>
      <w:r w:rsidRPr="00EB55F4">
        <w:t xml:space="preserve">Extending </w:t>
      </w:r>
      <w:r w:rsidR="00713150" w:rsidRPr="00EB55F4">
        <w:t xml:space="preserve">the time period for parents in assigning a gender to their child </w:t>
      </w:r>
      <w:r w:rsidRPr="00EB55F4">
        <w:t>in circumstances where</w:t>
      </w:r>
      <w:r w:rsidR="00713150" w:rsidRPr="00EB55F4">
        <w:t xml:space="preserve"> </w:t>
      </w:r>
      <w:r w:rsidRPr="00EB55F4">
        <w:t>the sex is</w:t>
      </w:r>
      <w:r w:rsidR="00713150" w:rsidRPr="00EB55F4">
        <w:t xml:space="preserve"> unclear</w:t>
      </w:r>
      <w:r w:rsidRPr="00EB55F4">
        <w:t xml:space="preserve"> is another amendment that should be supported</w:t>
      </w:r>
      <w:r w:rsidR="00713150" w:rsidRPr="00EB55F4">
        <w:t>. Currently</w:t>
      </w:r>
      <w:r w:rsidR="00B93D89" w:rsidRPr="00EB55F4">
        <w:t>,</w:t>
      </w:r>
      <w:r w:rsidR="00713150" w:rsidRPr="00EB55F4">
        <w:t xml:space="preserve"> the time period </w:t>
      </w:r>
      <w:r w:rsidR="00B93D89" w:rsidRPr="00EB55F4">
        <w:t xml:space="preserve">allowed </w:t>
      </w:r>
      <w:r w:rsidRPr="00EB55F4">
        <w:t xml:space="preserve">under the Act </w:t>
      </w:r>
      <w:r w:rsidR="00713150" w:rsidRPr="00EB55F4">
        <w:t>is only 60 days.</w:t>
      </w:r>
      <w:r w:rsidRPr="00EB55F4">
        <w:rPr>
          <w:rStyle w:val="FootnoteReference"/>
        </w:rPr>
        <w:footnoteReference w:id="14"/>
      </w:r>
      <w:r w:rsidR="00B2183F" w:rsidRPr="00EB55F4">
        <w:t xml:space="preserve"> In many instances,</w:t>
      </w:r>
      <w:r w:rsidR="00713150" w:rsidRPr="00EB55F4">
        <w:t xml:space="preserve"> </w:t>
      </w:r>
      <w:r w:rsidR="00B2183F" w:rsidRPr="00EB55F4">
        <w:t>this will be an insufficient period of time, given the significance of the decision for the future health of the</w:t>
      </w:r>
      <w:r w:rsidR="00713150" w:rsidRPr="00EB55F4">
        <w:t xml:space="preserve"> child.</w:t>
      </w:r>
      <w:r w:rsidR="00B2183F" w:rsidRPr="00EB55F4">
        <w:t xml:space="preserve"> Doubling the timeframe to 120 days </w:t>
      </w:r>
      <w:r w:rsidR="00713150" w:rsidRPr="00EB55F4">
        <w:t xml:space="preserve">will </w:t>
      </w:r>
      <w:r w:rsidR="00B2183F" w:rsidRPr="00EB55F4">
        <w:t>make little difference to the Registrar, but it may be of</w:t>
      </w:r>
      <w:r w:rsidR="00713150" w:rsidRPr="00EB55F4">
        <w:t xml:space="preserve"> significant </w:t>
      </w:r>
      <w:r w:rsidR="00FC36CC" w:rsidRPr="00EB55F4">
        <w:t>assistance</w:t>
      </w:r>
      <w:r w:rsidR="00713150" w:rsidRPr="00EB55F4">
        <w:t xml:space="preserve"> to the family of the child, a</w:t>
      </w:r>
      <w:r w:rsidR="00B2183F" w:rsidRPr="00EB55F4">
        <w:t xml:space="preserve">nd for the future of the child. The additional time </w:t>
      </w:r>
      <w:r w:rsidR="00713150" w:rsidRPr="00EB55F4">
        <w:t xml:space="preserve">will allow for </w:t>
      </w:r>
      <w:r w:rsidR="00B2183F" w:rsidRPr="00EB55F4">
        <w:t>increased</w:t>
      </w:r>
      <w:r w:rsidR="00713150" w:rsidRPr="00EB55F4">
        <w:t xml:space="preserve"> knowledge and </w:t>
      </w:r>
      <w:r w:rsidR="00B2183F" w:rsidRPr="00EB55F4">
        <w:t xml:space="preserve">an assurance that a more </w:t>
      </w:r>
      <w:r w:rsidR="00713150" w:rsidRPr="00EB55F4">
        <w:t>informed decision</w:t>
      </w:r>
      <w:r w:rsidR="00B2183F" w:rsidRPr="00EB55F4">
        <w:t xml:space="preserve"> </w:t>
      </w:r>
      <w:r w:rsidR="00BE5346" w:rsidRPr="00EB55F4">
        <w:t>will be</w:t>
      </w:r>
      <w:r w:rsidR="00B2183F" w:rsidRPr="00EB55F4">
        <w:t xml:space="preserve"> made</w:t>
      </w:r>
      <w:r w:rsidR="00713150" w:rsidRPr="00EB55F4">
        <w:t xml:space="preserve">. </w:t>
      </w:r>
    </w:p>
    <w:p w14:paraId="2F23ADC2" w14:textId="77777777" w:rsidR="00584A4A" w:rsidRPr="00EB55F4" w:rsidRDefault="00584A4A" w:rsidP="00584A4A">
      <w:pPr>
        <w:jc w:val="both"/>
        <w:rPr>
          <w:color w:val="0D0D0D" w:themeColor="text1" w:themeTint="F2"/>
        </w:rPr>
      </w:pPr>
    </w:p>
    <w:p w14:paraId="3CA6CE81" w14:textId="3DC66A4D" w:rsidR="00584A4A" w:rsidRDefault="00F647E7" w:rsidP="00584A4A">
      <w:pPr>
        <w:jc w:val="both"/>
        <w:rPr>
          <w:color w:val="0D0D0D" w:themeColor="text1" w:themeTint="F2"/>
        </w:rPr>
      </w:pPr>
      <w:r w:rsidRPr="00EB55F4">
        <w:rPr>
          <w:color w:val="0D0D0D" w:themeColor="text1" w:themeTint="F2"/>
        </w:rPr>
        <w:t xml:space="preserve">The largest amendments passed by the House of Assembly are those that replace Part 4A of the Act. Broadly, these amendments will enable the change or deletion of gender from </w:t>
      </w:r>
      <w:r w:rsidR="000975AE" w:rsidRPr="00EB55F4">
        <w:rPr>
          <w:color w:val="0D0D0D" w:themeColor="text1" w:themeTint="F2"/>
        </w:rPr>
        <w:t>birth</w:t>
      </w:r>
      <w:r w:rsidRPr="00EB55F4">
        <w:rPr>
          <w:color w:val="0D0D0D" w:themeColor="text1" w:themeTint="F2"/>
        </w:rPr>
        <w:t xml:space="preserve"> certificates, will implement changes to the record keeping of gender and sex changes and removes the section 28A requirements of ‘forced divorce’ and </w:t>
      </w:r>
      <w:r w:rsidR="00730B50">
        <w:rPr>
          <w:color w:val="0D0D0D" w:themeColor="text1" w:themeTint="F2"/>
        </w:rPr>
        <w:t>forced</w:t>
      </w:r>
      <w:r w:rsidRPr="00EB55F4">
        <w:rPr>
          <w:color w:val="0D0D0D" w:themeColor="text1" w:themeTint="F2"/>
        </w:rPr>
        <w:t xml:space="preserve"> surgery. The objects of this part are consistent with the Equal Opportunity Tasmania recommendations, particularly the acknowledgement that </w:t>
      </w:r>
      <w:r w:rsidR="00C414B1">
        <w:rPr>
          <w:color w:val="0D0D0D" w:themeColor="text1" w:themeTint="F2"/>
        </w:rPr>
        <w:t>gender affirmation</w:t>
      </w:r>
      <w:r w:rsidRPr="00EB55F4">
        <w:rPr>
          <w:color w:val="0D0D0D" w:themeColor="text1" w:themeTint="F2"/>
        </w:rPr>
        <w:t xml:space="preserve"> surgery is “out of step with discrimination law”, “inconsistent with legal precedent” and “inconsistent with policy changes at the federal level that provide a more flexible approach to the recognition of a change of sex”.</w:t>
      </w:r>
      <w:r w:rsidRPr="00EB55F4">
        <w:rPr>
          <w:rStyle w:val="FootnoteReference"/>
          <w:color w:val="0D0D0D" w:themeColor="text1" w:themeTint="F2"/>
        </w:rPr>
        <w:footnoteReference w:id="15"/>
      </w:r>
      <w:r w:rsidRPr="00EB55F4">
        <w:rPr>
          <w:color w:val="0D0D0D" w:themeColor="text1" w:themeTint="F2"/>
        </w:rPr>
        <w:t xml:space="preserve"> Support for the amendments to Part 4A of the Act will ensure that sex and gender diversity </w:t>
      </w:r>
      <w:r w:rsidR="000975AE" w:rsidRPr="00EB55F4">
        <w:rPr>
          <w:color w:val="0D0D0D" w:themeColor="text1" w:themeTint="F2"/>
        </w:rPr>
        <w:t xml:space="preserve">recognition </w:t>
      </w:r>
      <w:r w:rsidRPr="00EB55F4">
        <w:rPr>
          <w:color w:val="0D0D0D" w:themeColor="text1" w:themeTint="F2"/>
        </w:rPr>
        <w:t xml:space="preserve">is made easier when attempting to make changes to gender on </w:t>
      </w:r>
      <w:r w:rsidR="000975AE" w:rsidRPr="00EB55F4">
        <w:rPr>
          <w:color w:val="0D0D0D" w:themeColor="text1" w:themeTint="F2"/>
        </w:rPr>
        <w:t>birth</w:t>
      </w:r>
      <w:r w:rsidRPr="00EB55F4">
        <w:rPr>
          <w:color w:val="0D0D0D" w:themeColor="text1" w:themeTint="F2"/>
        </w:rPr>
        <w:t xml:space="preserve"> certificates.</w:t>
      </w:r>
      <w:r w:rsidR="00584A4A">
        <w:rPr>
          <w:color w:val="0D0D0D" w:themeColor="text1" w:themeTint="F2"/>
        </w:rPr>
        <w:t xml:space="preserve"> </w:t>
      </w:r>
    </w:p>
    <w:p w14:paraId="34557814" w14:textId="77777777" w:rsidR="00584A4A" w:rsidRDefault="00584A4A" w:rsidP="00584A4A">
      <w:pPr>
        <w:jc w:val="both"/>
        <w:rPr>
          <w:color w:val="0D0D0D" w:themeColor="text1" w:themeTint="F2"/>
        </w:rPr>
      </w:pPr>
    </w:p>
    <w:p w14:paraId="07701D75" w14:textId="77777777" w:rsidR="00814E46" w:rsidRDefault="00814E46" w:rsidP="00584A4A">
      <w:pPr>
        <w:jc w:val="both"/>
        <w:rPr>
          <w:color w:val="000000" w:themeColor="text1"/>
        </w:rPr>
      </w:pPr>
    </w:p>
    <w:p w14:paraId="139EC85B" w14:textId="77777777" w:rsidR="004964B4" w:rsidRDefault="004964B4" w:rsidP="00584A4A">
      <w:pPr>
        <w:jc w:val="both"/>
        <w:rPr>
          <w:color w:val="000000" w:themeColor="text1"/>
        </w:rPr>
      </w:pPr>
    </w:p>
    <w:p w14:paraId="4D79001B" w14:textId="77777777" w:rsidR="004964B4" w:rsidRDefault="004964B4" w:rsidP="00584A4A">
      <w:pPr>
        <w:jc w:val="both"/>
        <w:rPr>
          <w:color w:val="000000" w:themeColor="text1"/>
        </w:rPr>
      </w:pPr>
    </w:p>
    <w:p w14:paraId="714B7A8C" w14:textId="03CFDE12" w:rsidR="00584A4A" w:rsidRPr="00584A4A" w:rsidRDefault="00584A4A" w:rsidP="00584A4A">
      <w:pPr>
        <w:jc w:val="both"/>
        <w:rPr>
          <w:color w:val="0D0D0D" w:themeColor="text1" w:themeTint="F2"/>
        </w:rPr>
      </w:pPr>
      <w:r w:rsidRPr="00EB55F4">
        <w:rPr>
          <w:color w:val="000000" w:themeColor="text1"/>
        </w:rPr>
        <w:t xml:space="preserve">For example, if an individual of sex or gender diversity applies for a job that requests their Birth Certificate, this may result in them having to ‘out’ themselves to the prospective employer before they feel comfortable doing so. </w:t>
      </w:r>
      <w:r>
        <w:rPr>
          <w:color w:val="000000" w:themeColor="text1"/>
        </w:rPr>
        <w:t>In</w:t>
      </w:r>
      <w:r w:rsidRPr="00EB55F4">
        <w:rPr>
          <w:color w:val="000000" w:themeColor="text1"/>
        </w:rPr>
        <w:t xml:space="preserve"> a recent opinion piece, the mother of a teenage boy who had been born a girl observed the distress caused by his having to produce identity documentation:</w:t>
      </w:r>
      <w:r w:rsidRPr="00EB55F4">
        <w:rPr>
          <w:rStyle w:val="FootnoteReference"/>
          <w:color w:val="000000" w:themeColor="text1"/>
        </w:rPr>
        <w:footnoteReference w:id="16"/>
      </w:r>
    </w:p>
    <w:p w14:paraId="77A94E55" w14:textId="77777777" w:rsidR="00584A4A" w:rsidRPr="00EB55F4" w:rsidRDefault="00584A4A" w:rsidP="00584A4A">
      <w:pPr>
        <w:jc w:val="both"/>
        <w:rPr>
          <w:color w:val="000000" w:themeColor="text1"/>
        </w:rPr>
      </w:pPr>
    </w:p>
    <w:p w14:paraId="352F0E49" w14:textId="77777777" w:rsidR="00584A4A" w:rsidRPr="00EB55F4" w:rsidRDefault="00584A4A" w:rsidP="00584A4A">
      <w:pPr>
        <w:ind w:left="426" w:right="503"/>
        <w:jc w:val="both"/>
        <w:rPr>
          <w:color w:val="000000" w:themeColor="text1"/>
          <w:sz w:val="22"/>
          <w:szCs w:val="22"/>
        </w:rPr>
      </w:pPr>
      <w:r w:rsidRPr="00EB55F4">
        <w:rPr>
          <w:rFonts w:cs="Times New Roman"/>
          <w:color w:val="000000" w:themeColor="text1"/>
          <w:sz w:val="22"/>
          <w:szCs w:val="22"/>
          <w:lang w:eastAsia="en-AU"/>
        </w:rPr>
        <w:t>He applied for various jobs, but when it came to identification requirements, which for him meant a birth certificate because he’s too young to drive, he would get very anxious.</w:t>
      </w:r>
      <w:r w:rsidRPr="00EB55F4">
        <w:rPr>
          <w:color w:val="000000" w:themeColor="text1"/>
          <w:sz w:val="22"/>
          <w:szCs w:val="22"/>
        </w:rPr>
        <w:t xml:space="preserve"> </w:t>
      </w:r>
      <w:r w:rsidRPr="00EB55F4">
        <w:rPr>
          <w:rFonts w:cs="Times New Roman"/>
          <w:color w:val="000000" w:themeColor="text1"/>
          <w:sz w:val="22"/>
          <w:szCs w:val="22"/>
          <w:lang w:eastAsia="en-AU"/>
        </w:rPr>
        <w:t>He wasn’t sure if or how to explain his situation because his birth certificate says he is female, but he appears to be male.</w:t>
      </w:r>
      <w:r w:rsidRPr="00EB55F4">
        <w:rPr>
          <w:color w:val="000000" w:themeColor="text1"/>
          <w:sz w:val="22"/>
          <w:szCs w:val="22"/>
        </w:rPr>
        <w:t xml:space="preserve"> </w:t>
      </w:r>
      <w:r w:rsidRPr="00EB55F4">
        <w:rPr>
          <w:rFonts w:cs="Times New Roman"/>
          <w:color w:val="000000" w:themeColor="text1"/>
          <w:sz w:val="22"/>
          <w:szCs w:val="22"/>
          <w:lang w:eastAsia="en-AU"/>
        </w:rPr>
        <w:t>He felt that if he explained his situation he wouldn’t get the job.</w:t>
      </w:r>
      <w:r w:rsidRPr="00EB55F4">
        <w:rPr>
          <w:color w:val="000000" w:themeColor="text1"/>
          <w:sz w:val="22"/>
          <w:szCs w:val="22"/>
        </w:rPr>
        <w:t xml:space="preserve"> </w:t>
      </w:r>
      <w:r w:rsidRPr="00EB55F4">
        <w:rPr>
          <w:rFonts w:cs="Times New Roman"/>
          <w:color w:val="000000" w:themeColor="text1"/>
          <w:sz w:val="22"/>
          <w:szCs w:val="22"/>
          <w:lang w:eastAsia="en-AU"/>
        </w:rPr>
        <w:t>What advice does a parent give a child for this type of situation? The only thing I could do was reassure him that he is who he is and to be proud of it. I told him, we will overcome these obstacles together.</w:t>
      </w:r>
      <w:r w:rsidRPr="00EB55F4">
        <w:rPr>
          <w:color w:val="000000" w:themeColor="text1"/>
          <w:sz w:val="22"/>
          <w:szCs w:val="22"/>
        </w:rPr>
        <w:t xml:space="preserve"> </w:t>
      </w:r>
      <w:r w:rsidRPr="00EB55F4">
        <w:rPr>
          <w:rFonts w:cs="Times New Roman"/>
          <w:color w:val="000000" w:themeColor="text1"/>
          <w:sz w:val="22"/>
          <w:szCs w:val="22"/>
          <w:lang w:eastAsia="en-AU"/>
        </w:rPr>
        <w:t>He applied for more than 10 jobs and each time he explained his situation.</w:t>
      </w:r>
      <w:r w:rsidRPr="00EB55F4">
        <w:rPr>
          <w:color w:val="000000" w:themeColor="text1"/>
          <w:sz w:val="22"/>
          <w:szCs w:val="22"/>
        </w:rPr>
        <w:t xml:space="preserve"> </w:t>
      </w:r>
      <w:r w:rsidRPr="00EB55F4">
        <w:rPr>
          <w:rFonts w:cs="Times New Roman"/>
          <w:color w:val="000000" w:themeColor="text1"/>
          <w:sz w:val="22"/>
          <w:szCs w:val="22"/>
          <w:lang w:eastAsia="en-AU"/>
        </w:rPr>
        <w:t>Each time he would be visibly upset by this and it was detriment to his mental health.</w:t>
      </w:r>
      <w:r w:rsidRPr="00EB55F4">
        <w:rPr>
          <w:color w:val="000000" w:themeColor="text1"/>
          <w:sz w:val="22"/>
          <w:szCs w:val="22"/>
        </w:rPr>
        <w:t xml:space="preserve"> </w:t>
      </w:r>
      <w:r w:rsidRPr="00EB55F4">
        <w:rPr>
          <w:rFonts w:cs="Times New Roman"/>
          <w:color w:val="000000" w:themeColor="text1"/>
          <w:sz w:val="22"/>
          <w:szCs w:val="22"/>
          <w:lang w:eastAsia="en-AU"/>
        </w:rPr>
        <w:t>All he wanted was to be treated like everyone else and not have to explain his situation to prospective employers.</w:t>
      </w:r>
    </w:p>
    <w:p w14:paraId="3C4066E1" w14:textId="77777777" w:rsidR="00F647E7" w:rsidRPr="00EB55F4" w:rsidRDefault="00F647E7" w:rsidP="00F76209">
      <w:pPr>
        <w:jc w:val="both"/>
        <w:rPr>
          <w:color w:val="0D0D0D" w:themeColor="text1" w:themeTint="F2"/>
        </w:rPr>
      </w:pPr>
    </w:p>
    <w:p w14:paraId="451A864C" w14:textId="45A0E8B2" w:rsidR="007D3C53" w:rsidRPr="00EB55F4" w:rsidRDefault="00F647E7" w:rsidP="007D3C53">
      <w:pPr>
        <w:jc w:val="both"/>
        <w:rPr>
          <w:color w:val="0D0D0D" w:themeColor="text1" w:themeTint="F2"/>
        </w:rPr>
      </w:pPr>
      <w:r w:rsidRPr="00EB55F4">
        <w:rPr>
          <w:color w:val="0D0D0D" w:themeColor="text1" w:themeTint="F2"/>
        </w:rPr>
        <w:t>Finally,</w:t>
      </w:r>
      <w:r w:rsidR="003F3C50" w:rsidRPr="00EB55F4">
        <w:rPr>
          <w:color w:val="0D0D0D" w:themeColor="text1" w:themeTint="F2"/>
        </w:rPr>
        <w:t xml:space="preserve"> </w:t>
      </w:r>
      <w:r w:rsidRPr="00EB55F4">
        <w:rPr>
          <w:color w:val="0D0D0D" w:themeColor="text1" w:themeTint="F2"/>
        </w:rPr>
        <w:t xml:space="preserve">the House of Assembly has passed an </w:t>
      </w:r>
      <w:r w:rsidR="003F3C50" w:rsidRPr="00EB55F4">
        <w:rPr>
          <w:color w:val="0D0D0D" w:themeColor="text1" w:themeTint="F2"/>
        </w:rPr>
        <w:t>amendment</w:t>
      </w:r>
      <w:r w:rsidRPr="00EB55F4">
        <w:rPr>
          <w:color w:val="0D0D0D" w:themeColor="text1" w:themeTint="F2"/>
        </w:rPr>
        <w:t xml:space="preserve"> </w:t>
      </w:r>
      <w:r w:rsidR="00BE5346" w:rsidRPr="00EB55F4">
        <w:rPr>
          <w:color w:val="0D0D0D" w:themeColor="text1" w:themeTint="F2"/>
        </w:rPr>
        <w:t xml:space="preserve">to the Act </w:t>
      </w:r>
      <w:r w:rsidRPr="00EB55F4">
        <w:rPr>
          <w:color w:val="0D0D0D" w:themeColor="text1" w:themeTint="F2"/>
        </w:rPr>
        <w:t>that lowers the age at which</w:t>
      </w:r>
      <w:r w:rsidR="003F3C50" w:rsidRPr="00EB55F4">
        <w:rPr>
          <w:color w:val="0D0D0D" w:themeColor="text1" w:themeTint="F2"/>
        </w:rPr>
        <w:t xml:space="preserve"> </w:t>
      </w:r>
      <w:r w:rsidRPr="00EB55F4">
        <w:rPr>
          <w:color w:val="0D0D0D" w:themeColor="text1" w:themeTint="F2"/>
        </w:rPr>
        <w:t>name and sex</w:t>
      </w:r>
      <w:r w:rsidR="003F3C50" w:rsidRPr="00EB55F4">
        <w:rPr>
          <w:color w:val="0D0D0D" w:themeColor="text1" w:themeTint="F2"/>
        </w:rPr>
        <w:t xml:space="preserve"> changes </w:t>
      </w:r>
      <w:r w:rsidRPr="00EB55F4">
        <w:rPr>
          <w:color w:val="0D0D0D" w:themeColor="text1" w:themeTint="F2"/>
        </w:rPr>
        <w:t xml:space="preserve">can be made from 18 </w:t>
      </w:r>
      <w:r w:rsidR="003F3C50" w:rsidRPr="00EB55F4">
        <w:rPr>
          <w:color w:val="0D0D0D" w:themeColor="text1" w:themeTint="F2"/>
        </w:rPr>
        <w:t>to 16 years of age. As the law currently stands</w:t>
      </w:r>
      <w:r w:rsidR="00713150" w:rsidRPr="00EB55F4">
        <w:rPr>
          <w:color w:val="0D0D0D" w:themeColor="text1" w:themeTint="F2"/>
        </w:rPr>
        <w:t xml:space="preserve">, </w:t>
      </w:r>
      <w:r w:rsidR="008A53E6" w:rsidRPr="00EB55F4">
        <w:rPr>
          <w:color w:val="0D0D0D" w:themeColor="text1" w:themeTint="F2"/>
        </w:rPr>
        <w:t>for</w:t>
      </w:r>
      <w:r w:rsidR="00713150" w:rsidRPr="00EB55F4">
        <w:rPr>
          <w:color w:val="0D0D0D" w:themeColor="text1" w:themeTint="F2"/>
        </w:rPr>
        <w:t xml:space="preserve"> individual</w:t>
      </w:r>
      <w:r w:rsidR="008A53E6" w:rsidRPr="00EB55F4">
        <w:rPr>
          <w:color w:val="0D0D0D" w:themeColor="text1" w:themeTint="F2"/>
        </w:rPr>
        <w:t>s</w:t>
      </w:r>
      <w:r w:rsidR="00713150" w:rsidRPr="00EB55F4">
        <w:rPr>
          <w:color w:val="0D0D0D" w:themeColor="text1" w:themeTint="F2"/>
        </w:rPr>
        <w:t xml:space="preserve"> </w:t>
      </w:r>
      <w:r w:rsidR="003F3C50" w:rsidRPr="00EB55F4">
        <w:rPr>
          <w:color w:val="0D0D0D" w:themeColor="text1" w:themeTint="F2"/>
        </w:rPr>
        <w:t xml:space="preserve">under 18, but over 12 years of age, </w:t>
      </w:r>
      <w:r w:rsidR="008A53E6" w:rsidRPr="00EB55F4">
        <w:rPr>
          <w:color w:val="0D0D0D" w:themeColor="text1" w:themeTint="F2"/>
        </w:rPr>
        <w:t>both parents must consent to an</w:t>
      </w:r>
      <w:r w:rsidR="003F3C50" w:rsidRPr="00EB55F4">
        <w:rPr>
          <w:color w:val="0D0D0D" w:themeColor="text1" w:themeTint="F2"/>
        </w:rPr>
        <w:t xml:space="preserve"> application</w:t>
      </w:r>
      <w:r w:rsidR="008A53E6" w:rsidRPr="00EB55F4">
        <w:rPr>
          <w:color w:val="0D0D0D" w:themeColor="text1" w:themeTint="F2"/>
        </w:rPr>
        <w:t xml:space="preserve"> to change registered details</w:t>
      </w:r>
      <w:r w:rsidR="003F3C50" w:rsidRPr="00EB55F4">
        <w:rPr>
          <w:color w:val="0D0D0D" w:themeColor="text1" w:themeTint="F2"/>
        </w:rPr>
        <w:t>.</w:t>
      </w:r>
      <w:r w:rsidR="003F3C50" w:rsidRPr="00EB55F4">
        <w:rPr>
          <w:rStyle w:val="FootnoteReference"/>
          <w:color w:val="0D0D0D" w:themeColor="text1" w:themeTint="F2"/>
        </w:rPr>
        <w:footnoteReference w:id="17"/>
      </w:r>
      <w:r w:rsidR="00D966EF" w:rsidRPr="00EB55F4">
        <w:rPr>
          <w:rStyle w:val="FootnoteReference"/>
          <w:color w:val="0D0D0D" w:themeColor="text1" w:themeTint="F2"/>
        </w:rPr>
        <w:t xml:space="preserve"> </w:t>
      </w:r>
      <w:r w:rsidR="00713150" w:rsidRPr="00EB55F4">
        <w:rPr>
          <w:color w:val="0D0D0D" w:themeColor="text1" w:themeTint="F2"/>
        </w:rPr>
        <w:t>The practical effect of th</w:t>
      </w:r>
      <w:r w:rsidR="00460299" w:rsidRPr="00EB55F4">
        <w:rPr>
          <w:color w:val="0D0D0D" w:themeColor="text1" w:themeTint="F2"/>
        </w:rPr>
        <w:t>e current situation</w:t>
      </w:r>
      <w:r w:rsidR="00D95250" w:rsidRPr="00EB55F4">
        <w:rPr>
          <w:color w:val="0D0D0D" w:themeColor="text1" w:themeTint="F2"/>
        </w:rPr>
        <w:t xml:space="preserve"> is that one parent</w:t>
      </w:r>
      <w:r w:rsidR="00713150" w:rsidRPr="00EB55F4">
        <w:rPr>
          <w:color w:val="0D0D0D" w:themeColor="text1" w:themeTint="F2"/>
        </w:rPr>
        <w:t xml:space="preserve"> can effectively veto the decision of the child </w:t>
      </w:r>
      <w:r w:rsidR="002D1F69" w:rsidRPr="00EB55F4">
        <w:rPr>
          <w:color w:val="0D0D0D" w:themeColor="text1" w:themeTint="F2"/>
        </w:rPr>
        <w:t>(irrespective of their age and maturity) and prevent the name change</w:t>
      </w:r>
      <w:r w:rsidR="00713150" w:rsidRPr="00EB55F4">
        <w:rPr>
          <w:color w:val="0D0D0D" w:themeColor="text1" w:themeTint="F2"/>
        </w:rPr>
        <w:t>.</w:t>
      </w:r>
      <w:r w:rsidR="00D966EF" w:rsidRPr="00EB55F4">
        <w:rPr>
          <w:color w:val="0D0D0D" w:themeColor="text1" w:themeTint="F2"/>
        </w:rPr>
        <w:t xml:space="preserve"> As outlined in the Equal Opportunity paper</w:t>
      </w:r>
      <w:r w:rsidR="00713150" w:rsidRPr="00EB55F4">
        <w:rPr>
          <w:color w:val="0D0D0D" w:themeColor="text1" w:themeTint="F2"/>
        </w:rPr>
        <w:t>, it is not uncommon for one parent to dispute the change of name, or be absent from family life</w:t>
      </w:r>
      <w:r w:rsidR="00D966EF" w:rsidRPr="00EB55F4">
        <w:rPr>
          <w:color w:val="0D0D0D" w:themeColor="text1" w:themeTint="F2"/>
        </w:rPr>
        <w:t>.</w:t>
      </w:r>
      <w:r w:rsidR="00713150" w:rsidRPr="00EB55F4">
        <w:rPr>
          <w:rStyle w:val="FootnoteReference"/>
          <w:color w:val="0D0D0D" w:themeColor="text1" w:themeTint="F2"/>
        </w:rPr>
        <w:footnoteReference w:id="18"/>
      </w:r>
      <w:r w:rsidR="00713150" w:rsidRPr="00EB55F4">
        <w:rPr>
          <w:color w:val="0D0D0D" w:themeColor="text1" w:themeTint="F2"/>
        </w:rPr>
        <w:t xml:space="preserve"> Thus, the requirement </w:t>
      </w:r>
      <w:r w:rsidR="00BA23E2" w:rsidRPr="00EB55F4">
        <w:rPr>
          <w:color w:val="0D0D0D" w:themeColor="text1" w:themeTint="F2"/>
        </w:rPr>
        <w:t xml:space="preserve">to obtain the consent </w:t>
      </w:r>
      <w:r w:rsidR="00713150" w:rsidRPr="00EB55F4">
        <w:rPr>
          <w:color w:val="0D0D0D" w:themeColor="text1" w:themeTint="F2"/>
        </w:rPr>
        <w:t xml:space="preserve">of both parents unfairly restricts the opportunity for a child over the </w:t>
      </w:r>
      <w:r w:rsidR="00D966EF" w:rsidRPr="00EB55F4">
        <w:rPr>
          <w:color w:val="0D0D0D" w:themeColor="text1" w:themeTint="F2"/>
        </w:rPr>
        <w:t xml:space="preserve">age of 12 to change their name. </w:t>
      </w:r>
    </w:p>
    <w:p w14:paraId="5B991982" w14:textId="77777777" w:rsidR="007D3C53" w:rsidRPr="00EB55F4" w:rsidRDefault="007D3C53" w:rsidP="007D3C53">
      <w:pPr>
        <w:jc w:val="both"/>
        <w:rPr>
          <w:color w:val="0D0D0D" w:themeColor="text1" w:themeTint="F2"/>
        </w:rPr>
      </w:pPr>
    </w:p>
    <w:p w14:paraId="74724B4A" w14:textId="5FC7BD26" w:rsidR="00713150" w:rsidRPr="00EB55F4" w:rsidRDefault="00BA23E2" w:rsidP="00FE2569">
      <w:pPr>
        <w:jc w:val="both"/>
        <w:rPr>
          <w:color w:val="0D0D0D" w:themeColor="text1" w:themeTint="F2"/>
        </w:rPr>
      </w:pPr>
      <w:r w:rsidRPr="00EB55F4">
        <w:t xml:space="preserve">In summary, we strongly urge you to support the important reforms to the </w:t>
      </w:r>
      <w:r w:rsidRPr="00EB55F4">
        <w:rPr>
          <w:i/>
          <w:color w:val="0D0D0D" w:themeColor="text1" w:themeTint="F2"/>
        </w:rPr>
        <w:t>Anti-Discrimination Act 1998</w:t>
      </w:r>
      <w:r w:rsidRPr="00EB55F4">
        <w:rPr>
          <w:color w:val="0D0D0D" w:themeColor="text1" w:themeTint="F2"/>
        </w:rPr>
        <w:t xml:space="preserve"> (</w:t>
      </w:r>
      <w:proofErr w:type="spellStart"/>
      <w:r w:rsidRPr="00EB55F4">
        <w:rPr>
          <w:color w:val="0D0D0D" w:themeColor="text1" w:themeTint="F2"/>
        </w:rPr>
        <w:t>Tas</w:t>
      </w:r>
      <w:proofErr w:type="spellEnd"/>
      <w:r w:rsidRPr="00EB55F4">
        <w:rPr>
          <w:color w:val="0D0D0D" w:themeColor="text1" w:themeTint="F2"/>
        </w:rPr>
        <w:t xml:space="preserve">) and the </w:t>
      </w:r>
      <w:r w:rsidRPr="00EB55F4">
        <w:rPr>
          <w:i/>
          <w:color w:val="0D0D0D" w:themeColor="text1" w:themeTint="F2"/>
        </w:rPr>
        <w:t>Births, Deaths and Marriages Registration Act 1998</w:t>
      </w:r>
      <w:r w:rsidRPr="00EB55F4">
        <w:rPr>
          <w:color w:val="0D0D0D" w:themeColor="text1" w:themeTint="F2"/>
        </w:rPr>
        <w:t xml:space="preserve"> (</w:t>
      </w:r>
      <w:proofErr w:type="spellStart"/>
      <w:r w:rsidRPr="00EB55F4">
        <w:rPr>
          <w:color w:val="0D0D0D" w:themeColor="text1" w:themeTint="F2"/>
        </w:rPr>
        <w:t>Tas</w:t>
      </w:r>
      <w:proofErr w:type="spellEnd"/>
      <w:r w:rsidRPr="00EB55F4">
        <w:rPr>
          <w:color w:val="0D0D0D" w:themeColor="text1" w:themeTint="F2"/>
        </w:rPr>
        <w:t>) which have been passed by the House of Assembly</w:t>
      </w:r>
      <w:r w:rsidRPr="00EB55F4">
        <w:rPr>
          <w:vanish/>
          <w:color w:val="0D0D0D" w:themeColor="text1" w:themeTint="F2"/>
        </w:rPr>
        <w:t xml:space="preserve">oHouse </w:t>
      </w:r>
      <w:r w:rsidRPr="00EB55F4">
        <w:rPr>
          <w:color w:val="0D0D0D" w:themeColor="text1" w:themeTint="F2"/>
        </w:rPr>
        <w:t>.</w:t>
      </w:r>
      <w:r w:rsidRPr="00EB55F4">
        <w:rPr>
          <w:color w:val="0D0D0D" w:themeColor="text1" w:themeTint="F2"/>
        </w:rPr>
        <w:t xml:space="preserve"> </w:t>
      </w:r>
      <w:r w:rsidRPr="00EB55F4">
        <w:rPr>
          <w:color w:val="0D0D0D" w:themeColor="text1" w:themeTint="F2"/>
        </w:rPr>
        <w:t>Significantly</w:t>
      </w:r>
      <w:r w:rsidRPr="00EB55F4">
        <w:rPr>
          <w:color w:val="0D0D0D" w:themeColor="text1" w:themeTint="F2"/>
        </w:rPr>
        <w:t xml:space="preserve">, the amendments will not impose any obligations on people who are currently registered as male or female, or who wish to register their children as such. As well, the amendments will not result in any changes to records, which will continue to be maintained for genealogical, census and criminal data purposes.  </w:t>
      </w:r>
      <w:r w:rsidRPr="00EB55F4">
        <w:rPr>
          <w:color w:val="0D0D0D" w:themeColor="text1" w:themeTint="F2"/>
        </w:rPr>
        <w:t xml:space="preserve">Importantly, the reforms have </w:t>
      </w:r>
      <w:r w:rsidRPr="00EB55F4">
        <w:t xml:space="preserve">the support of the sex and gender diverse community.   </w:t>
      </w:r>
      <w:r w:rsidRPr="00EB55F4">
        <w:rPr>
          <w:b/>
        </w:rPr>
        <w:t xml:space="preserve"> </w:t>
      </w:r>
    </w:p>
    <w:p w14:paraId="6CEEE945" w14:textId="77777777" w:rsidR="00417C74" w:rsidRPr="00EB55F4" w:rsidRDefault="00417C74" w:rsidP="00417C74"/>
    <w:p w14:paraId="0E609983" w14:textId="77777777" w:rsidR="004964B4" w:rsidRDefault="004964B4" w:rsidP="00ED01ED">
      <w:pPr>
        <w:ind w:right="-205"/>
        <w:rPr>
          <w:rFonts w:eastAsia="Times New Roman" w:cs="Times New Roman"/>
        </w:rPr>
      </w:pPr>
    </w:p>
    <w:p w14:paraId="2AEDEFFD" w14:textId="77777777" w:rsidR="004964B4" w:rsidRDefault="004964B4" w:rsidP="00ED01ED">
      <w:pPr>
        <w:ind w:right="-205"/>
        <w:rPr>
          <w:rFonts w:eastAsia="Times New Roman" w:cs="Times New Roman"/>
        </w:rPr>
      </w:pPr>
    </w:p>
    <w:p w14:paraId="051C75A3" w14:textId="77777777" w:rsidR="004964B4" w:rsidRDefault="004964B4" w:rsidP="00ED01ED">
      <w:pPr>
        <w:ind w:right="-205"/>
        <w:rPr>
          <w:rFonts w:eastAsia="Times New Roman" w:cs="Times New Roman"/>
        </w:rPr>
      </w:pPr>
    </w:p>
    <w:p w14:paraId="2FD98E96" w14:textId="77777777" w:rsidR="004964B4" w:rsidRDefault="004964B4" w:rsidP="00ED01ED">
      <w:pPr>
        <w:ind w:right="-205"/>
        <w:rPr>
          <w:rFonts w:eastAsia="Times New Roman" w:cs="Times New Roman"/>
        </w:rPr>
      </w:pPr>
    </w:p>
    <w:p w14:paraId="483FD5F3" w14:textId="77777777" w:rsidR="004964B4" w:rsidRDefault="004964B4" w:rsidP="00ED01ED">
      <w:pPr>
        <w:ind w:right="-205"/>
        <w:rPr>
          <w:rFonts w:eastAsia="Times New Roman" w:cs="Times New Roman"/>
        </w:rPr>
      </w:pPr>
    </w:p>
    <w:p w14:paraId="53FFB3BA" w14:textId="77777777" w:rsidR="004964B4" w:rsidRDefault="004964B4" w:rsidP="00ED01ED">
      <w:pPr>
        <w:ind w:right="-205"/>
        <w:rPr>
          <w:rFonts w:eastAsia="Times New Roman" w:cs="Times New Roman"/>
        </w:rPr>
      </w:pPr>
    </w:p>
    <w:p w14:paraId="0F3CAEE7" w14:textId="77777777" w:rsidR="00ED01ED" w:rsidRPr="00EB55F4" w:rsidRDefault="00ED01ED" w:rsidP="00ED01ED">
      <w:pPr>
        <w:ind w:right="-205"/>
        <w:rPr>
          <w:rFonts w:eastAsia="Times New Roman" w:cs="Times New Roman"/>
        </w:rPr>
      </w:pPr>
      <w:r w:rsidRPr="00EB55F4">
        <w:rPr>
          <w:rFonts w:eastAsia="Times New Roman" w:cs="Times New Roman"/>
        </w:rPr>
        <w:t>If you have any queries, please do not hesitate to contact us.</w:t>
      </w:r>
    </w:p>
    <w:p w14:paraId="260E8B97" w14:textId="77777777" w:rsidR="00ED01ED" w:rsidRPr="00EB55F4" w:rsidRDefault="00ED01ED" w:rsidP="00ED01ED">
      <w:pPr>
        <w:rPr>
          <w:rFonts w:eastAsia="Times New Roman" w:cs="Times New Roman"/>
        </w:rPr>
      </w:pPr>
    </w:p>
    <w:p w14:paraId="170DF820" w14:textId="77777777" w:rsidR="00ED01ED" w:rsidRPr="00EB55F4" w:rsidRDefault="00ED01ED" w:rsidP="00ED01ED">
      <w:pPr>
        <w:rPr>
          <w:rFonts w:eastAsia="Times New Roman" w:cs="Times New Roman"/>
        </w:rPr>
      </w:pPr>
    </w:p>
    <w:p w14:paraId="0DF4960E" w14:textId="77777777" w:rsidR="00ED01ED" w:rsidRPr="00EB55F4" w:rsidRDefault="00ED01ED" w:rsidP="00ED01ED">
      <w:pPr>
        <w:rPr>
          <w:rFonts w:eastAsia="Times New Roman" w:cs="Times New Roman"/>
        </w:rPr>
      </w:pPr>
      <w:r w:rsidRPr="00EB55F4">
        <w:rPr>
          <w:rFonts w:eastAsia="Times New Roman" w:cs="Times New Roman"/>
        </w:rPr>
        <w:t>Yours faithfully,</w:t>
      </w:r>
    </w:p>
    <w:p w14:paraId="7B2D53ED" w14:textId="77777777" w:rsidR="00ED01ED" w:rsidRPr="00EB55F4" w:rsidRDefault="00ED01ED" w:rsidP="00ED01ED">
      <w:pPr>
        <w:rPr>
          <w:rFonts w:eastAsia="Times New Roman" w:cs="Times New Roman"/>
        </w:rPr>
      </w:pPr>
    </w:p>
    <w:p w14:paraId="14F997D2" w14:textId="77777777" w:rsidR="00ED01ED" w:rsidRPr="00EB55F4" w:rsidRDefault="00ED01ED" w:rsidP="00ED01ED">
      <w:pPr>
        <w:rPr>
          <w:rFonts w:eastAsia="Times New Roman" w:cs="Times New Roman"/>
        </w:rPr>
      </w:pPr>
    </w:p>
    <w:p w14:paraId="46421C58" w14:textId="77777777" w:rsidR="00ED01ED" w:rsidRPr="00EB55F4" w:rsidRDefault="00ED01ED" w:rsidP="00ED01ED">
      <w:pPr>
        <w:rPr>
          <w:rFonts w:eastAsia="Times New Roman" w:cs="Times New Roman"/>
        </w:rPr>
      </w:pPr>
    </w:p>
    <w:p w14:paraId="714639A0" w14:textId="77777777" w:rsidR="00ED01ED" w:rsidRPr="00EB55F4" w:rsidRDefault="00ED01ED" w:rsidP="00ED01ED">
      <w:pPr>
        <w:rPr>
          <w:rFonts w:eastAsia="Times New Roman" w:cs="Times New Roman"/>
        </w:rPr>
      </w:pPr>
      <w:r w:rsidRPr="00EB55F4">
        <w:rPr>
          <w:rFonts w:eastAsia="Times New Roman" w:cs="Times New Roman"/>
        </w:rPr>
        <w:t xml:space="preserve">Benedict </w:t>
      </w:r>
      <w:proofErr w:type="spellStart"/>
      <w:r w:rsidRPr="00EB55F4">
        <w:rPr>
          <w:rFonts w:eastAsia="Times New Roman" w:cs="Times New Roman"/>
        </w:rPr>
        <w:t>Bartl</w:t>
      </w:r>
      <w:proofErr w:type="spellEnd"/>
    </w:p>
    <w:p w14:paraId="2E1DB147" w14:textId="77777777" w:rsidR="00ED01ED" w:rsidRPr="00EB55F4" w:rsidRDefault="00ED01ED" w:rsidP="00ED01ED">
      <w:pPr>
        <w:rPr>
          <w:rFonts w:eastAsia="Times New Roman" w:cs="Times New Roman"/>
        </w:rPr>
      </w:pPr>
      <w:r w:rsidRPr="00EB55F4">
        <w:rPr>
          <w:rFonts w:eastAsia="Times New Roman" w:cs="Times New Roman"/>
        </w:rPr>
        <w:t>Policy Officer</w:t>
      </w:r>
    </w:p>
    <w:p w14:paraId="4426B7E6" w14:textId="77777777" w:rsidR="00ED01ED" w:rsidRPr="00EB55F4" w:rsidRDefault="00ED01ED" w:rsidP="00ED01ED">
      <w:pPr>
        <w:pBdr>
          <w:bottom w:val="single" w:sz="6" w:space="1" w:color="auto"/>
        </w:pBdr>
        <w:rPr>
          <w:rFonts w:eastAsia="Times New Roman" w:cs="Times New Roman"/>
          <w:b/>
        </w:rPr>
      </w:pPr>
      <w:r w:rsidRPr="00EB55F4">
        <w:rPr>
          <w:rFonts w:eastAsia="Times New Roman" w:cs="Times New Roman"/>
          <w:b/>
        </w:rPr>
        <w:t>Community Legal Centres Tasmania</w:t>
      </w:r>
    </w:p>
    <w:p w14:paraId="1C69DADB" w14:textId="77777777" w:rsidR="00ED01ED" w:rsidRPr="00EB55F4" w:rsidRDefault="00ED01ED" w:rsidP="00ED01ED">
      <w:pPr>
        <w:rPr>
          <w:rFonts w:eastAsia="Times New Roman" w:cs="Times New Roman"/>
        </w:rPr>
      </w:pPr>
    </w:p>
    <w:p w14:paraId="14981681" w14:textId="3F2FC773" w:rsidR="00D14566" w:rsidRPr="00EB55F4" w:rsidRDefault="00ED01ED">
      <w:r w:rsidRPr="00EB55F4">
        <w:t>cc: All members of the Legislative Council</w:t>
      </w:r>
    </w:p>
    <w:p w14:paraId="4C6BDE31" w14:textId="77777777" w:rsidR="00DE3D65" w:rsidRPr="00EB55F4" w:rsidRDefault="00DE3D65" w:rsidP="00DE3D65"/>
    <w:p w14:paraId="04EAF421" w14:textId="3BD4AAEE" w:rsidR="002A7203" w:rsidRPr="00EB55F4" w:rsidRDefault="002A7203" w:rsidP="0050085C">
      <w:pPr>
        <w:rPr>
          <w:rFonts w:eastAsia="Times New Roman" w:cs="Arial"/>
          <w:color w:val="000000"/>
          <w:lang w:eastAsia="en-AU"/>
        </w:rPr>
      </w:pPr>
    </w:p>
    <w:sectPr w:rsidR="002A7203" w:rsidRPr="00EB55F4" w:rsidSect="00B22A63">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AF9FF" w14:textId="77777777" w:rsidR="00107963" w:rsidRDefault="00107963" w:rsidP="00417C74">
      <w:r>
        <w:separator/>
      </w:r>
    </w:p>
  </w:endnote>
  <w:endnote w:type="continuationSeparator" w:id="0">
    <w:p w14:paraId="075F63C1" w14:textId="77777777" w:rsidR="00107963" w:rsidRDefault="00107963" w:rsidP="0041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2063D" w14:textId="77777777" w:rsidR="00BE5346" w:rsidRDefault="00BE5346" w:rsidP="007423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D260A2" w14:textId="77777777" w:rsidR="00BE5346" w:rsidRDefault="00BE5346" w:rsidP="007A29D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3B610" w14:textId="77777777" w:rsidR="00BE5346" w:rsidRDefault="00BE5346" w:rsidP="007423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0B50">
      <w:rPr>
        <w:rStyle w:val="PageNumber"/>
        <w:noProof/>
      </w:rPr>
      <w:t>1</w:t>
    </w:r>
    <w:r>
      <w:rPr>
        <w:rStyle w:val="PageNumber"/>
      </w:rPr>
      <w:fldChar w:fldCharType="end"/>
    </w:r>
  </w:p>
  <w:p w14:paraId="36A360C2" w14:textId="77777777" w:rsidR="00BE5346" w:rsidRDefault="00BE5346" w:rsidP="007A29D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6E1F3" w14:textId="77777777" w:rsidR="00107963" w:rsidRDefault="00107963" w:rsidP="00417C74">
      <w:r>
        <w:separator/>
      </w:r>
    </w:p>
  </w:footnote>
  <w:footnote w:type="continuationSeparator" w:id="0">
    <w:p w14:paraId="4FFEA52E" w14:textId="77777777" w:rsidR="00107963" w:rsidRDefault="00107963" w:rsidP="00417C74">
      <w:r>
        <w:continuationSeparator/>
      </w:r>
    </w:p>
  </w:footnote>
  <w:footnote w:id="1">
    <w:p w14:paraId="4697C545" w14:textId="38618951" w:rsidR="00BE5346" w:rsidRPr="00EB55F4" w:rsidRDefault="00BE5346">
      <w:pPr>
        <w:pStyle w:val="FootnoteText"/>
        <w:rPr>
          <w:lang w:val="en-US"/>
        </w:rPr>
      </w:pPr>
      <w:r w:rsidRPr="00EB55F4">
        <w:rPr>
          <w:rStyle w:val="FootnoteReference"/>
        </w:rPr>
        <w:footnoteRef/>
      </w:r>
      <w:r w:rsidRPr="00EB55F4">
        <w:t xml:space="preserve"> </w:t>
      </w:r>
      <w:r w:rsidRPr="00EB55F4">
        <w:rPr>
          <w:color w:val="000000" w:themeColor="text1"/>
          <w:sz w:val="20"/>
          <w:szCs w:val="20"/>
        </w:rPr>
        <w:t xml:space="preserve">CLC </w:t>
      </w:r>
      <w:proofErr w:type="spellStart"/>
      <w:r w:rsidRPr="00EB55F4">
        <w:rPr>
          <w:color w:val="000000" w:themeColor="text1"/>
          <w:sz w:val="20"/>
          <w:szCs w:val="20"/>
        </w:rPr>
        <w:t>Tas</w:t>
      </w:r>
      <w:proofErr w:type="spellEnd"/>
      <w:r w:rsidRPr="00EB55F4">
        <w:rPr>
          <w:color w:val="000000" w:themeColor="text1"/>
          <w:sz w:val="20"/>
          <w:szCs w:val="20"/>
        </w:rPr>
        <w:t xml:space="preserve"> would like to acknowledge Zoey Dwyer who assisted in the preparation of this response. </w:t>
      </w:r>
    </w:p>
  </w:footnote>
  <w:footnote w:id="2">
    <w:p w14:paraId="37473DFD" w14:textId="24FA7E67" w:rsidR="00BE5346" w:rsidRPr="00EB55F4" w:rsidRDefault="00BE5346" w:rsidP="00520426">
      <w:pPr>
        <w:pStyle w:val="FootnoteText"/>
        <w:rPr>
          <w:lang w:val="en-US"/>
        </w:rPr>
      </w:pPr>
      <w:r w:rsidRPr="00EB55F4">
        <w:rPr>
          <w:rStyle w:val="FootnoteReference"/>
        </w:rPr>
        <w:footnoteRef/>
      </w:r>
      <w:r w:rsidRPr="00EB55F4">
        <w:t xml:space="preserve"> </w:t>
      </w:r>
      <w:r w:rsidRPr="00EB55F4">
        <w:rPr>
          <w:color w:val="000000"/>
          <w:sz w:val="20"/>
          <w:szCs w:val="20"/>
        </w:rPr>
        <w:t>The International Commission of Jurists and the International Service for Human Rights,</w:t>
      </w:r>
      <w:r w:rsidRPr="00EB55F4">
        <w:rPr>
          <w:i/>
          <w:sz w:val="20"/>
          <w:szCs w:val="20"/>
        </w:rPr>
        <w:t xml:space="preserve"> Yogyakarta Principles</w:t>
      </w:r>
      <w:r w:rsidRPr="00EB55F4">
        <w:rPr>
          <w:sz w:val="20"/>
          <w:szCs w:val="20"/>
        </w:rPr>
        <w:t xml:space="preserve"> </w:t>
      </w:r>
      <w:r w:rsidRPr="00EB55F4">
        <w:rPr>
          <w:i/>
          <w:sz w:val="20"/>
          <w:szCs w:val="20"/>
        </w:rPr>
        <w:t>on the application of international human rights law in relation to sexual orientation and gender identity</w:t>
      </w:r>
      <w:r w:rsidRPr="00EB55F4">
        <w:rPr>
          <w:sz w:val="20"/>
          <w:szCs w:val="20"/>
        </w:rPr>
        <w:t xml:space="preserve"> (2006) at 6</w:t>
      </w:r>
      <w:r w:rsidRPr="00EB55F4">
        <w:rPr>
          <w:i/>
          <w:sz w:val="20"/>
          <w:szCs w:val="20"/>
        </w:rPr>
        <w:t xml:space="preserve">. </w:t>
      </w:r>
      <w:r w:rsidRPr="00EB55F4">
        <w:rPr>
          <w:sz w:val="20"/>
          <w:szCs w:val="20"/>
        </w:rPr>
        <w:t xml:space="preserve">As found at </w:t>
      </w:r>
      <w:hyperlink r:id="rId1" w:history="1">
        <w:r w:rsidRPr="00EB55F4">
          <w:rPr>
            <w:rStyle w:val="Hyperlink"/>
            <w:sz w:val="20"/>
            <w:szCs w:val="20"/>
          </w:rPr>
          <w:t>http://yogyakartaprinciples.org/wp-content/uploads/2016/08/principles_en.pdf</w:t>
        </w:r>
      </w:hyperlink>
      <w:r w:rsidRPr="00EB55F4">
        <w:rPr>
          <w:sz w:val="20"/>
          <w:szCs w:val="20"/>
        </w:rPr>
        <w:t xml:space="preserve"> (Accessed 25 November 2018).</w:t>
      </w:r>
      <w:r w:rsidRPr="00EB55F4">
        <w:rPr>
          <w:i/>
        </w:rPr>
        <w:t xml:space="preserve">  </w:t>
      </w:r>
      <w:r w:rsidRPr="00EB55F4">
        <w:rPr>
          <w:lang w:val="en-US"/>
        </w:rPr>
        <w:t xml:space="preserve"> </w:t>
      </w:r>
    </w:p>
  </w:footnote>
  <w:footnote w:id="3">
    <w:p w14:paraId="294DF40B" w14:textId="1973E21A" w:rsidR="005D3EED" w:rsidRPr="00EB55F4" w:rsidRDefault="005D3EED">
      <w:pPr>
        <w:pStyle w:val="FootnoteText"/>
      </w:pPr>
      <w:r w:rsidRPr="00EB55F4">
        <w:rPr>
          <w:rStyle w:val="FootnoteReference"/>
        </w:rPr>
        <w:footnoteRef/>
      </w:r>
      <w:r w:rsidRPr="00EB55F4">
        <w:t xml:space="preserve"> </w:t>
      </w:r>
      <w:r w:rsidRPr="00EB55F4">
        <w:rPr>
          <w:sz w:val="20"/>
          <w:szCs w:val="20"/>
        </w:rPr>
        <w:t xml:space="preserve">Principle 31 of the </w:t>
      </w:r>
      <w:r w:rsidRPr="00584A4A">
        <w:rPr>
          <w:i/>
          <w:color w:val="0D0D0D" w:themeColor="text1" w:themeTint="F2"/>
          <w:sz w:val="20"/>
          <w:szCs w:val="20"/>
        </w:rPr>
        <w:t>Yogyakarta principles plus 10</w:t>
      </w:r>
      <w:r w:rsidRPr="00EB55F4">
        <w:rPr>
          <w:color w:val="0D0D0D" w:themeColor="text1" w:themeTint="F2"/>
          <w:sz w:val="20"/>
          <w:szCs w:val="20"/>
        </w:rPr>
        <w:t xml:space="preserve">. As found at </w:t>
      </w:r>
      <w:hyperlink r:id="rId2" w:history="1">
        <w:r w:rsidRPr="00EB55F4">
          <w:rPr>
            <w:rStyle w:val="Hyperlink"/>
            <w:sz w:val="20"/>
            <w:szCs w:val="20"/>
          </w:rPr>
          <w:t>http://yogyakartaprinciples.org/wp-content/uploads/2017/11/A5_yogyakartaWEB-2.pdf</w:t>
        </w:r>
      </w:hyperlink>
      <w:r w:rsidRPr="00EB55F4">
        <w:rPr>
          <w:color w:val="0D0D0D" w:themeColor="text1" w:themeTint="F2"/>
          <w:sz w:val="20"/>
          <w:szCs w:val="20"/>
        </w:rPr>
        <w:t xml:space="preserve"> (Accessed 26 November 2018).</w:t>
      </w:r>
      <w:r w:rsidRPr="00EB55F4">
        <w:rPr>
          <w:color w:val="0D0D0D" w:themeColor="text1" w:themeTint="F2"/>
        </w:rPr>
        <w:t xml:space="preserve"> </w:t>
      </w:r>
      <w:r w:rsidRPr="00EB55F4">
        <w:t xml:space="preserve"> </w:t>
      </w:r>
    </w:p>
  </w:footnote>
  <w:footnote w:id="4">
    <w:p w14:paraId="271C1593" w14:textId="3D955569" w:rsidR="00BE5346" w:rsidRPr="00EB55F4" w:rsidRDefault="00BE5346">
      <w:pPr>
        <w:pStyle w:val="FootnoteText"/>
        <w:rPr>
          <w:lang w:val="en-US"/>
        </w:rPr>
      </w:pPr>
      <w:r w:rsidRPr="00EB55F4">
        <w:rPr>
          <w:rStyle w:val="FootnoteReference"/>
        </w:rPr>
        <w:footnoteRef/>
      </w:r>
      <w:r w:rsidRPr="00EB55F4">
        <w:t xml:space="preserve"> </w:t>
      </w:r>
      <w:r w:rsidRPr="00EB55F4">
        <w:rPr>
          <w:color w:val="000000"/>
          <w:sz w:val="20"/>
          <w:szCs w:val="20"/>
        </w:rPr>
        <w:t>The International Commission of Jurists and the International Service for Human Rights,</w:t>
      </w:r>
      <w:r w:rsidRPr="00EB55F4">
        <w:rPr>
          <w:i/>
          <w:sz w:val="20"/>
          <w:szCs w:val="20"/>
        </w:rPr>
        <w:t xml:space="preserve"> Yogyakarta Principles</w:t>
      </w:r>
      <w:r w:rsidRPr="00EB55F4">
        <w:rPr>
          <w:sz w:val="20"/>
          <w:szCs w:val="20"/>
        </w:rPr>
        <w:t xml:space="preserve"> </w:t>
      </w:r>
      <w:r w:rsidRPr="00EB55F4">
        <w:rPr>
          <w:i/>
          <w:sz w:val="20"/>
          <w:szCs w:val="20"/>
        </w:rPr>
        <w:t>on the application of international human rights law in relation to sexual orientation and gender identity</w:t>
      </w:r>
      <w:r w:rsidRPr="00EB55F4">
        <w:rPr>
          <w:sz w:val="20"/>
          <w:szCs w:val="20"/>
        </w:rPr>
        <w:t xml:space="preserve"> (2006)</w:t>
      </w:r>
      <w:r w:rsidRPr="00EB55F4">
        <w:rPr>
          <w:i/>
          <w:sz w:val="20"/>
          <w:szCs w:val="20"/>
        </w:rPr>
        <w:t xml:space="preserve"> </w:t>
      </w:r>
      <w:r w:rsidRPr="00EB55F4">
        <w:rPr>
          <w:sz w:val="20"/>
          <w:szCs w:val="20"/>
        </w:rPr>
        <w:t>at 7.</w:t>
      </w:r>
      <w:r w:rsidRPr="00EB55F4">
        <w:rPr>
          <w:i/>
          <w:sz w:val="20"/>
          <w:szCs w:val="20"/>
        </w:rPr>
        <w:t xml:space="preserve"> </w:t>
      </w:r>
      <w:r w:rsidRPr="00EB55F4">
        <w:rPr>
          <w:lang w:val="en-US"/>
        </w:rPr>
        <w:t xml:space="preserve"> </w:t>
      </w:r>
    </w:p>
  </w:footnote>
  <w:footnote w:id="5">
    <w:p w14:paraId="7F23EFDC" w14:textId="2191CE77" w:rsidR="00BE5346" w:rsidRPr="00EB55F4" w:rsidRDefault="00BE5346" w:rsidP="007A29D6">
      <w:pPr>
        <w:pStyle w:val="NoSpacing"/>
        <w:rPr>
          <w:lang w:eastAsia="en-AU"/>
        </w:rPr>
      </w:pPr>
      <w:r w:rsidRPr="00EB55F4">
        <w:rPr>
          <w:rStyle w:val="FootnoteReference"/>
          <w:sz w:val="24"/>
          <w:szCs w:val="24"/>
        </w:rPr>
        <w:footnoteRef/>
      </w:r>
      <w:r w:rsidRPr="00EB55F4">
        <w:t xml:space="preserve"> </w:t>
      </w:r>
      <w:r w:rsidRPr="00EB55F4">
        <w:rPr>
          <w:lang w:eastAsia="en-AU"/>
        </w:rPr>
        <w:t xml:space="preserve">United Nations Office of the High Commissioner for Human Rights, </w:t>
      </w:r>
      <w:r w:rsidR="00584A4A">
        <w:rPr>
          <w:lang w:eastAsia="en-AU"/>
        </w:rPr>
        <w:t>‘</w:t>
      </w:r>
      <w:r w:rsidRPr="00EB55F4">
        <w:rPr>
          <w:lang w:eastAsia="en-AU"/>
        </w:rPr>
        <w:t>Fact Sheet: Intersex</w:t>
      </w:r>
      <w:r w:rsidR="00584A4A">
        <w:rPr>
          <w:lang w:eastAsia="en-AU"/>
        </w:rPr>
        <w:t>’</w:t>
      </w:r>
      <w:r w:rsidRPr="00EB55F4">
        <w:rPr>
          <w:lang w:eastAsia="en-AU"/>
        </w:rPr>
        <w:t xml:space="preserve">. As found at </w:t>
      </w:r>
      <w:hyperlink r:id="rId3" w:history="1">
        <w:r w:rsidRPr="00EB55F4">
          <w:rPr>
            <w:rStyle w:val="Hyperlink"/>
            <w:lang w:eastAsia="en-AU"/>
          </w:rPr>
          <w:t>https://www.unfe.org/wp-content/uploads/2017/05/UNFE-Intersex.pdf</w:t>
        </w:r>
      </w:hyperlink>
      <w:r w:rsidRPr="00EB55F4">
        <w:rPr>
          <w:lang w:eastAsia="en-AU"/>
        </w:rPr>
        <w:t xml:space="preserve"> (Accessed 25 November 2018). </w:t>
      </w:r>
    </w:p>
  </w:footnote>
  <w:footnote w:id="6">
    <w:p w14:paraId="20B5CB93" w14:textId="77777777" w:rsidR="00BE5346" w:rsidRPr="00EB55F4" w:rsidRDefault="00BE5346" w:rsidP="007A29D6">
      <w:pPr>
        <w:pStyle w:val="FootnoteText"/>
        <w:rPr>
          <w:color w:val="0D0D0D" w:themeColor="text1" w:themeTint="F2"/>
        </w:rPr>
      </w:pPr>
      <w:r w:rsidRPr="00EB55F4">
        <w:rPr>
          <w:rStyle w:val="FootnoteReference"/>
        </w:rPr>
        <w:footnoteRef/>
      </w:r>
      <w:r w:rsidRPr="00EB55F4">
        <w:t xml:space="preserve"> </w:t>
      </w:r>
      <w:r w:rsidRPr="00EB55F4">
        <w:rPr>
          <w:color w:val="0D0D0D" w:themeColor="text1" w:themeTint="F2"/>
          <w:sz w:val="20"/>
          <w:szCs w:val="20"/>
        </w:rPr>
        <w:t>‘Sex characteristics’ is defined in clause 3 of the Bill as meaning “</w:t>
      </w:r>
      <w:r w:rsidRPr="00EB55F4">
        <w:rPr>
          <w:rFonts w:cs="TimesNewRomanPSMT"/>
          <w:sz w:val="20"/>
          <w:szCs w:val="20"/>
          <w:lang w:eastAsia="en-AU"/>
        </w:rPr>
        <w:t>a person’s physical, hormonal or genetic features relating to sex, including genitalia and other sexual and reproductive anatomy, chromosomes, genes, hormones, and secondary sex characteristics”.</w:t>
      </w:r>
      <w:r w:rsidRPr="00EB55F4">
        <w:rPr>
          <w:rFonts w:cs="TimesNewRomanPSMT"/>
          <w:sz w:val="28"/>
          <w:szCs w:val="28"/>
          <w:lang w:eastAsia="en-AU"/>
        </w:rPr>
        <w:t xml:space="preserve"> </w:t>
      </w:r>
    </w:p>
  </w:footnote>
  <w:footnote w:id="7">
    <w:p w14:paraId="794F9B98" w14:textId="10F1B2EA" w:rsidR="00BE5346" w:rsidRPr="00EB55F4" w:rsidRDefault="00BE5346" w:rsidP="007A29D6">
      <w:pPr>
        <w:pStyle w:val="FootnoteText"/>
      </w:pPr>
      <w:r w:rsidRPr="00EB55F4">
        <w:rPr>
          <w:rStyle w:val="FootnoteReference"/>
        </w:rPr>
        <w:footnoteRef/>
      </w:r>
      <w:r w:rsidRPr="00EB55F4">
        <w:t xml:space="preserve"> </w:t>
      </w:r>
      <w:r w:rsidRPr="00EB55F4">
        <w:rPr>
          <w:sz w:val="20"/>
          <w:szCs w:val="20"/>
        </w:rPr>
        <w:t xml:space="preserve">United Nations </w:t>
      </w:r>
      <w:r w:rsidRPr="00EB55F4">
        <w:rPr>
          <w:sz w:val="20"/>
          <w:szCs w:val="20"/>
          <w:lang w:eastAsia="en-AU"/>
        </w:rPr>
        <w:t xml:space="preserve">Office of the High Commissioner for Human Rights, Intersex Awareness Day – Wednesday 26 October. End violence and harmful medical practices on intersex children and adults, UN and regional experts urge. As found at </w:t>
      </w:r>
      <w:hyperlink r:id="rId4" w:history="1">
        <w:r w:rsidRPr="00EB55F4">
          <w:rPr>
            <w:rStyle w:val="Hyperlink"/>
            <w:sz w:val="20"/>
            <w:szCs w:val="20"/>
            <w:lang w:eastAsia="en-AU"/>
          </w:rPr>
          <w:t>http://www.ohchr.org/EN/NewsEvents/Pages/DisplayNews.aspx?NewsID=20739&amp;LangID=E</w:t>
        </w:r>
      </w:hyperlink>
      <w:r w:rsidRPr="00EB55F4">
        <w:rPr>
          <w:color w:val="0260BF"/>
          <w:sz w:val="20"/>
          <w:szCs w:val="20"/>
          <w:lang w:eastAsia="en-AU"/>
        </w:rPr>
        <w:t xml:space="preserve"> </w:t>
      </w:r>
      <w:r w:rsidRPr="00EB55F4">
        <w:rPr>
          <w:color w:val="0D0D0D" w:themeColor="text1" w:themeTint="F2"/>
          <w:sz w:val="20"/>
          <w:szCs w:val="20"/>
          <w:lang w:eastAsia="en-AU"/>
        </w:rPr>
        <w:t>(Accessed 25 November 2018).</w:t>
      </w:r>
      <w:r w:rsidRPr="00EB55F4">
        <w:rPr>
          <w:color w:val="0D0D0D" w:themeColor="text1" w:themeTint="F2"/>
          <w:lang w:eastAsia="en-AU"/>
        </w:rPr>
        <w:t xml:space="preserve"> </w:t>
      </w:r>
    </w:p>
  </w:footnote>
  <w:footnote w:id="8">
    <w:p w14:paraId="0C766A8C" w14:textId="64F1291A" w:rsidR="00AB32C5" w:rsidRPr="00EB55F4" w:rsidRDefault="00AB32C5">
      <w:pPr>
        <w:pStyle w:val="FootnoteText"/>
      </w:pPr>
      <w:r w:rsidRPr="00EB55F4">
        <w:rPr>
          <w:rStyle w:val="FootnoteReference"/>
        </w:rPr>
        <w:footnoteRef/>
      </w:r>
      <w:r w:rsidRPr="00EB55F4">
        <w:t xml:space="preserve"> </w:t>
      </w:r>
      <w:r w:rsidRPr="00EB55F4">
        <w:rPr>
          <w:sz w:val="20"/>
          <w:szCs w:val="20"/>
        </w:rPr>
        <w:t xml:space="preserve">Emily Baker, ‘Gender law reform vote: What it all means’, </w:t>
      </w:r>
      <w:r w:rsidRPr="00EB55F4">
        <w:rPr>
          <w:i/>
          <w:sz w:val="20"/>
          <w:szCs w:val="20"/>
        </w:rPr>
        <w:t>The Mercury</w:t>
      </w:r>
      <w:r w:rsidRPr="00EB55F4">
        <w:rPr>
          <w:sz w:val="20"/>
          <w:szCs w:val="20"/>
        </w:rPr>
        <w:t>, November 21 2018.</w:t>
      </w:r>
      <w:r w:rsidRPr="00EB55F4">
        <w:t xml:space="preserve"> </w:t>
      </w:r>
    </w:p>
  </w:footnote>
  <w:footnote w:id="9">
    <w:p w14:paraId="6639E3D7" w14:textId="10F91778" w:rsidR="00BE5346" w:rsidRPr="00EB55F4" w:rsidRDefault="00BE5346">
      <w:pPr>
        <w:pStyle w:val="FootnoteText"/>
        <w:rPr>
          <w:lang w:val="en-US"/>
        </w:rPr>
      </w:pPr>
      <w:r w:rsidRPr="00EB55F4">
        <w:rPr>
          <w:rStyle w:val="FootnoteReference"/>
        </w:rPr>
        <w:footnoteRef/>
      </w:r>
      <w:r w:rsidRPr="00EB55F4">
        <w:t xml:space="preserve"> </w:t>
      </w:r>
      <w:r w:rsidRPr="00EB55F4">
        <w:rPr>
          <w:sz w:val="20"/>
          <w:szCs w:val="20"/>
        </w:rPr>
        <w:t xml:space="preserve">Equal Opportunity Tasmania, </w:t>
      </w:r>
      <w:r w:rsidRPr="00EB55F4">
        <w:rPr>
          <w:i/>
          <w:sz w:val="20"/>
          <w:szCs w:val="20"/>
        </w:rPr>
        <w:t>Legal recognition of sex and gender diversity in Tasmania: Options for amendments to the Births, Deaths and Marriages Registration Act 1999</w:t>
      </w:r>
      <w:r w:rsidRPr="00EB55F4">
        <w:rPr>
          <w:sz w:val="20"/>
          <w:szCs w:val="20"/>
        </w:rPr>
        <w:t xml:space="preserve"> (February 2016).</w:t>
      </w:r>
      <w:r w:rsidRPr="00EB55F4">
        <w:t xml:space="preserve">  </w:t>
      </w:r>
    </w:p>
  </w:footnote>
  <w:footnote w:id="10">
    <w:p w14:paraId="66E22C34" w14:textId="33081474" w:rsidR="00BE5346" w:rsidRPr="00EB55F4" w:rsidRDefault="00BE5346">
      <w:pPr>
        <w:pStyle w:val="FootnoteText"/>
        <w:rPr>
          <w:lang w:val="en-US"/>
        </w:rPr>
      </w:pPr>
      <w:r w:rsidRPr="00EB55F4">
        <w:rPr>
          <w:rStyle w:val="FootnoteReference"/>
        </w:rPr>
        <w:footnoteRef/>
      </w:r>
      <w:r w:rsidRPr="00EB55F4">
        <w:t xml:space="preserve"> </w:t>
      </w:r>
      <w:r w:rsidRPr="00EB55F4">
        <w:rPr>
          <w:sz w:val="20"/>
          <w:szCs w:val="20"/>
        </w:rPr>
        <w:t>See the definition of ‘gender identity’ in s</w:t>
      </w:r>
      <w:proofErr w:type="spellStart"/>
      <w:r w:rsidRPr="00EB55F4">
        <w:rPr>
          <w:sz w:val="20"/>
          <w:szCs w:val="20"/>
          <w:lang w:val="en-US"/>
        </w:rPr>
        <w:t>ection</w:t>
      </w:r>
      <w:proofErr w:type="spellEnd"/>
      <w:r w:rsidRPr="00EB55F4">
        <w:rPr>
          <w:sz w:val="20"/>
          <w:szCs w:val="20"/>
          <w:lang w:val="en-US"/>
        </w:rPr>
        <w:t xml:space="preserve"> 3 of the </w:t>
      </w:r>
      <w:r w:rsidRPr="00EB55F4">
        <w:rPr>
          <w:i/>
          <w:sz w:val="20"/>
          <w:szCs w:val="20"/>
          <w:lang w:val="en-US"/>
        </w:rPr>
        <w:t>Anti-Discrimination Act 1998</w:t>
      </w:r>
      <w:r w:rsidRPr="00EB55F4">
        <w:rPr>
          <w:sz w:val="20"/>
          <w:szCs w:val="20"/>
          <w:lang w:val="en-US"/>
        </w:rPr>
        <w:t xml:space="preserve"> (</w:t>
      </w:r>
      <w:proofErr w:type="spellStart"/>
      <w:r w:rsidRPr="00EB55F4">
        <w:rPr>
          <w:sz w:val="20"/>
          <w:szCs w:val="20"/>
          <w:lang w:val="en-US"/>
        </w:rPr>
        <w:t>Tas</w:t>
      </w:r>
      <w:proofErr w:type="spellEnd"/>
      <w:r w:rsidRPr="00EB55F4">
        <w:rPr>
          <w:sz w:val="20"/>
          <w:szCs w:val="20"/>
          <w:lang w:val="en-US"/>
        </w:rPr>
        <w:t>).</w:t>
      </w:r>
    </w:p>
  </w:footnote>
  <w:footnote w:id="11">
    <w:p w14:paraId="0FE420BD" w14:textId="007A9E45" w:rsidR="00BE5346" w:rsidRPr="00EB55F4" w:rsidRDefault="00BE5346" w:rsidP="00666E74">
      <w:pPr>
        <w:pStyle w:val="FootnoteText"/>
        <w:rPr>
          <w:lang w:val="en-US"/>
        </w:rPr>
      </w:pPr>
      <w:r w:rsidRPr="00EB55F4">
        <w:rPr>
          <w:rStyle w:val="FootnoteReference"/>
        </w:rPr>
        <w:footnoteRef/>
      </w:r>
      <w:r w:rsidRPr="00EB55F4">
        <w:t xml:space="preserve"> </w:t>
      </w:r>
      <w:r w:rsidRPr="00EB55F4">
        <w:rPr>
          <w:rFonts w:eastAsia="Times New Roman" w:cs="Times New Roman"/>
          <w:color w:val="000000"/>
          <w:sz w:val="20"/>
          <w:szCs w:val="20"/>
          <w:shd w:val="clear" w:color="auto" w:fill="FFFFFF"/>
        </w:rPr>
        <w:t xml:space="preserve">The Office of the High Commissioner for Human Rights, Factsheet: Intersex. As found at </w:t>
      </w:r>
      <w:hyperlink r:id="rId5" w:history="1">
        <w:r w:rsidRPr="00EB55F4">
          <w:rPr>
            <w:rStyle w:val="Hyperlink"/>
            <w:rFonts w:eastAsia="Times New Roman" w:cs="Times New Roman"/>
            <w:sz w:val="20"/>
            <w:szCs w:val="20"/>
            <w:shd w:val="clear" w:color="auto" w:fill="FFFFFF"/>
          </w:rPr>
          <w:t>https://www.unfe.org/wp-content/uploads/2017/05/UNFE-Intersex.pdf</w:t>
        </w:r>
      </w:hyperlink>
      <w:r w:rsidRPr="00EB55F4">
        <w:rPr>
          <w:rFonts w:eastAsia="Times New Roman" w:cs="Times New Roman"/>
          <w:color w:val="000000"/>
          <w:sz w:val="20"/>
          <w:szCs w:val="20"/>
          <w:shd w:val="clear" w:color="auto" w:fill="FFFFFF"/>
        </w:rPr>
        <w:t xml:space="preserve"> (Accessed 25 November 2018). Also see </w:t>
      </w:r>
      <w:r w:rsidRPr="00EB55F4">
        <w:rPr>
          <w:sz w:val="20"/>
          <w:szCs w:val="20"/>
        </w:rPr>
        <w:t>the definition of ‘intersex’ in s</w:t>
      </w:r>
      <w:proofErr w:type="spellStart"/>
      <w:r w:rsidRPr="00EB55F4">
        <w:rPr>
          <w:sz w:val="20"/>
          <w:szCs w:val="20"/>
          <w:lang w:val="en-US"/>
        </w:rPr>
        <w:t>ection</w:t>
      </w:r>
      <w:proofErr w:type="spellEnd"/>
      <w:r w:rsidRPr="00EB55F4">
        <w:rPr>
          <w:sz w:val="20"/>
          <w:szCs w:val="20"/>
          <w:lang w:val="en-US"/>
        </w:rPr>
        <w:t xml:space="preserve"> 3 of the </w:t>
      </w:r>
      <w:r w:rsidRPr="00EB55F4">
        <w:rPr>
          <w:i/>
          <w:sz w:val="20"/>
          <w:szCs w:val="20"/>
          <w:lang w:val="en-US"/>
        </w:rPr>
        <w:t>Anti-Discrimination Act 1998</w:t>
      </w:r>
      <w:r w:rsidRPr="00EB55F4">
        <w:rPr>
          <w:sz w:val="20"/>
          <w:szCs w:val="20"/>
          <w:lang w:val="en-US"/>
        </w:rPr>
        <w:t xml:space="preserve"> (</w:t>
      </w:r>
      <w:proofErr w:type="spellStart"/>
      <w:r w:rsidRPr="00EB55F4">
        <w:rPr>
          <w:sz w:val="20"/>
          <w:szCs w:val="20"/>
          <w:lang w:val="en-US"/>
        </w:rPr>
        <w:t>Tas</w:t>
      </w:r>
      <w:proofErr w:type="spellEnd"/>
      <w:r w:rsidRPr="00EB55F4">
        <w:rPr>
          <w:sz w:val="20"/>
          <w:szCs w:val="20"/>
          <w:lang w:val="en-US"/>
        </w:rPr>
        <w:t>).</w:t>
      </w:r>
      <w:r w:rsidRPr="00EB55F4">
        <w:rPr>
          <w:rFonts w:eastAsia="Times New Roman" w:cs="Times New Roman"/>
          <w:color w:val="000000"/>
          <w:sz w:val="20"/>
          <w:szCs w:val="20"/>
          <w:shd w:val="clear" w:color="auto" w:fill="FFFFFF"/>
        </w:rPr>
        <w:t xml:space="preserve"> </w:t>
      </w:r>
      <w:r w:rsidRPr="00EB55F4">
        <w:rPr>
          <w:rFonts w:eastAsia="Times New Roman" w:cs="Times New Roman"/>
          <w:color w:val="000000"/>
          <w:sz w:val="19"/>
          <w:szCs w:val="19"/>
          <w:shd w:val="clear" w:color="auto" w:fill="FFFFFF"/>
        </w:rPr>
        <w:t xml:space="preserve"> </w:t>
      </w:r>
    </w:p>
  </w:footnote>
  <w:footnote w:id="12">
    <w:p w14:paraId="12CFFDBB" w14:textId="00503600" w:rsidR="00BE5346" w:rsidRPr="00EB55F4" w:rsidRDefault="00BE5346" w:rsidP="00710F19">
      <w:pPr>
        <w:pStyle w:val="FootnoteText"/>
      </w:pPr>
      <w:r w:rsidRPr="00EB55F4">
        <w:rPr>
          <w:rStyle w:val="FootnoteReference"/>
        </w:rPr>
        <w:footnoteRef/>
      </w:r>
      <w:r w:rsidRPr="00EB55F4">
        <w:t xml:space="preserve"> </w:t>
      </w:r>
      <w:r w:rsidRPr="00EB55F4">
        <w:rPr>
          <w:sz w:val="20"/>
          <w:szCs w:val="20"/>
        </w:rPr>
        <w:t xml:space="preserve">In discussions with stakeholders we have been informed that women undergoing </w:t>
      </w:r>
      <w:r w:rsidR="00942369">
        <w:rPr>
          <w:sz w:val="20"/>
          <w:szCs w:val="20"/>
        </w:rPr>
        <w:t xml:space="preserve">gender affirmation </w:t>
      </w:r>
      <w:r w:rsidRPr="00EB55F4">
        <w:rPr>
          <w:sz w:val="20"/>
          <w:szCs w:val="20"/>
        </w:rPr>
        <w:t>surgery have to pay more than $20,000 because the procedure is not covered by Medicare or private health insurance. Other costs include time taken off work for the procedure and travel costs because most operations are performed overseas.</w:t>
      </w:r>
    </w:p>
  </w:footnote>
  <w:footnote w:id="13">
    <w:p w14:paraId="259C8E51" w14:textId="750870EB" w:rsidR="00BE5346" w:rsidRPr="00EB55F4" w:rsidRDefault="00BE5346" w:rsidP="00713150">
      <w:pPr>
        <w:pStyle w:val="FootnoteText"/>
        <w:rPr>
          <w:lang w:val="en-US"/>
        </w:rPr>
      </w:pPr>
      <w:r w:rsidRPr="00EB55F4">
        <w:rPr>
          <w:rStyle w:val="FootnoteReference"/>
        </w:rPr>
        <w:footnoteRef/>
      </w:r>
      <w:r w:rsidRPr="00EB55F4">
        <w:t xml:space="preserve"> </w:t>
      </w:r>
      <w:r w:rsidRPr="00EB55F4">
        <w:rPr>
          <w:sz w:val="20"/>
          <w:szCs w:val="20"/>
        </w:rPr>
        <w:t xml:space="preserve">Equal Opportunity Tasmania, </w:t>
      </w:r>
      <w:r w:rsidRPr="00EB55F4">
        <w:rPr>
          <w:i/>
          <w:sz w:val="20"/>
          <w:szCs w:val="20"/>
        </w:rPr>
        <w:t>Legal recognition of sex and gender diversity in Tasmania: Options for amendments to the Births, Deaths and Marriages Registration Act 1999</w:t>
      </w:r>
      <w:r w:rsidRPr="00EB55F4">
        <w:rPr>
          <w:sz w:val="20"/>
          <w:szCs w:val="20"/>
        </w:rPr>
        <w:t xml:space="preserve"> (February 2016).</w:t>
      </w:r>
      <w:r w:rsidRPr="00EB55F4">
        <w:t xml:space="preserve">  </w:t>
      </w:r>
    </w:p>
  </w:footnote>
  <w:footnote w:id="14">
    <w:p w14:paraId="165B1903" w14:textId="71AA6226" w:rsidR="00BE5346" w:rsidRPr="00EB55F4" w:rsidRDefault="00BE5346">
      <w:pPr>
        <w:pStyle w:val="FootnoteText"/>
      </w:pPr>
      <w:r w:rsidRPr="00EB55F4">
        <w:rPr>
          <w:rStyle w:val="FootnoteReference"/>
        </w:rPr>
        <w:footnoteRef/>
      </w:r>
      <w:r w:rsidRPr="00EB55F4">
        <w:t xml:space="preserve"> </w:t>
      </w:r>
      <w:r w:rsidRPr="00EB55F4">
        <w:rPr>
          <w:sz w:val="20"/>
          <w:szCs w:val="20"/>
        </w:rPr>
        <w:t xml:space="preserve">Section 15 of the </w:t>
      </w:r>
      <w:r w:rsidRPr="00EB55F4">
        <w:rPr>
          <w:i/>
          <w:sz w:val="20"/>
          <w:szCs w:val="20"/>
        </w:rPr>
        <w:t>Births</w:t>
      </w:r>
      <w:r w:rsidR="00584A4A">
        <w:rPr>
          <w:i/>
          <w:sz w:val="20"/>
          <w:szCs w:val="20"/>
        </w:rPr>
        <w:t>,</w:t>
      </w:r>
      <w:r w:rsidRPr="00EB55F4">
        <w:rPr>
          <w:i/>
          <w:sz w:val="20"/>
          <w:szCs w:val="20"/>
        </w:rPr>
        <w:t xml:space="preserve"> Deaths and Marriages Registration Act 1999</w:t>
      </w:r>
      <w:r w:rsidRPr="00EB55F4">
        <w:rPr>
          <w:sz w:val="20"/>
          <w:szCs w:val="20"/>
        </w:rPr>
        <w:t xml:space="preserve"> (</w:t>
      </w:r>
      <w:proofErr w:type="spellStart"/>
      <w:r w:rsidRPr="00EB55F4">
        <w:rPr>
          <w:sz w:val="20"/>
          <w:szCs w:val="20"/>
        </w:rPr>
        <w:t>Tas</w:t>
      </w:r>
      <w:proofErr w:type="spellEnd"/>
      <w:r w:rsidRPr="00EB55F4">
        <w:rPr>
          <w:sz w:val="20"/>
          <w:szCs w:val="20"/>
        </w:rPr>
        <w:t>).</w:t>
      </w:r>
    </w:p>
  </w:footnote>
  <w:footnote w:id="15">
    <w:p w14:paraId="5649DB44" w14:textId="0E6A9BD9" w:rsidR="00BE5346" w:rsidRPr="00D14566" w:rsidRDefault="00BE5346" w:rsidP="00F647E7">
      <w:pPr>
        <w:pStyle w:val="FootnoteText"/>
        <w:rPr>
          <w:lang w:val="en-US"/>
        </w:rPr>
      </w:pPr>
      <w:r w:rsidRPr="00EB55F4">
        <w:rPr>
          <w:rStyle w:val="FootnoteReference"/>
          <w:sz w:val="20"/>
          <w:szCs w:val="20"/>
        </w:rPr>
        <w:footnoteRef/>
      </w:r>
      <w:r w:rsidRPr="00EB55F4">
        <w:rPr>
          <w:sz w:val="20"/>
          <w:szCs w:val="20"/>
        </w:rPr>
        <w:t xml:space="preserve"> </w:t>
      </w:r>
      <w:r w:rsidR="00D14566" w:rsidRPr="00EB55F4">
        <w:rPr>
          <w:sz w:val="20"/>
          <w:szCs w:val="20"/>
        </w:rPr>
        <w:t xml:space="preserve">Equal Opportunity Tasmania, </w:t>
      </w:r>
      <w:r w:rsidR="00D14566" w:rsidRPr="00EB55F4">
        <w:rPr>
          <w:i/>
          <w:sz w:val="20"/>
          <w:szCs w:val="20"/>
        </w:rPr>
        <w:t>Legal recognition of sex and gender diversity in Tasmania: Options for amendments to the Births, Deaths and Marriages Registration Act 1999</w:t>
      </w:r>
      <w:r w:rsidR="00D14566" w:rsidRPr="00EB55F4">
        <w:rPr>
          <w:sz w:val="20"/>
          <w:szCs w:val="20"/>
        </w:rPr>
        <w:t xml:space="preserve"> (February 2016) at </w:t>
      </w:r>
      <w:r w:rsidRPr="00EB55F4">
        <w:rPr>
          <w:sz w:val="20"/>
          <w:szCs w:val="20"/>
          <w:lang w:val="en-US"/>
        </w:rPr>
        <w:t>6.</w:t>
      </w:r>
    </w:p>
  </w:footnote>
  <w:footnote w:id="16">
    <w:p w14:paraId="6CF4703A" w14:textId="77777777" w:rsidR="00584A4A" w:rsidRPr="00EB55F4" w:rsidRDefault="00584A4A" w:rsidP="00584A4A">
      <w:pPr>
        <w:pStyle w:val="FootnoteText"/>
      </w:pPr>
      <w:r w:rsidRPr="00EB55F4">
        <w:rPr>
          <w:rStyle w:val="FootnoteReference"/>
        </w:rPr>
        <w:footnoteRef/>
      </w:r>
      <w:r w:rsidRPr="00EB55F4">
        <w:t xml:space="preserve"> </w:t>
      </w:r>
      <w:r w:rsidRPr="00EB55F4">
        <w:rPr>
          <w:sz w:val="20"/>
          <w:szCs w:val="20"/>
        </w:rPr>
        <w:t>Candace Harrington, ‘Because I only want the best for my children</w:t>
      </w:r>
      <w:r>
        <w:rPr>
          <w:sz w:val="20"/>
          <w:szCs w:val="20"/>
        </w:rPr>
        <w:t>’</w:t>
      </w:r>
      <w:r w:rsidRPr="00EB55F4">
        <w:rPr>
          <w:sz w:val="20"/>
          <w:szCs w:val="20"/>
        </w:rPr>
        <w:t xml:space="preserve">, </w:t>
      </w:r>
      <w:r w:rsidRPr="00EB55F4">
        <w:rPr>
          <w:i/>
          <w:sz w:val="20"/>
          <w:szCs w:val="20"/>
        </w:rPr>
        <w:t>The Mercury</w:t>
      </w:r>
      <w:r w:rsidRPr="00EB55F4">
        <w:rPr>
          <w:sz w:val="20"/>
          <w:szCs w:val="20"/>
        </w:rPr>
        <w:t>, 19</w:t>
      </w:r>
      <w:r w:rsidRPr="00EB55F4">
        <w:rPr>
          <w:sz w:val="20"/>
          <w:szCs w:val="20"/>
          <w:vertAlign w:val="superscript"/>
        </w:rPr>
        <w:t>th</w:t>
      </w:r>
      <w:r w:rsidRPr="00EB55F4">
        <w:rPr>
          <w:sz w:val="20"/>
          <w:szCs w:val="20"/>
        </w:rPr>
        <w:t xml:space="preserve"> November 2018.</w:t>
      </w:r>
      <w:r w:rsidRPr="00EB55F4">
        <w:t xml:space="preserve">  </w:t>
      </w:r>
    </w:p>
  </w:footnote>
  <w:footnote w:id="17">
    <w:p w14:paraId="47931FC6" w14:textId="0A5D7A76" w:rsidR="00BE5346" w:rsidRPr="00EB55F4" w:rsidRDefault="00BE5346">
      <w:pPr>
        <w:pStyle w:val="FootnoteText"/>
      </w:pPr>
      <w:r w:rsidRPr="00EB55F4">
        <w:rPr>
          <w:rStyle w:val="FootnoteReference"/>
        </w:rPr>
        <w:footnoteRef/>
      </w:r>
      <w:r w:rsidRPr="00EB55F4">
        <w:t xml:space="preserve"> </w:t>
      </w:r>
      <w:r w:rsidRPr="00EB55F4">
        <w:rPr>
          <w:sz w:val="20"/>
          <w:szCs w:val="20"/>
        </w:rPr>
        <w:t xml:space="preserve">Sections 23 and 25 of the </w:t>
      </w:r>
      <w:r w:rsidRPr="00EB55F4">
        <w:rPr>
          <w:i/>
          <w:sz w:val="20"/>
          <w:szCs w:val="20"/>
        </w:rPr>
        <w:t>Births</w:t>
      </w:r>
      <w:r w:rsidR="00684608">
        <w:rPr>
          <w:i/>
          <w:sz w:val="20"/>
          <w:szCs w:val="20"/>
        </w:rPr>
        <w:t>,</w:t>
      </w:r>
      <w:r w:rsidRPr="00EB55F4">
        <w:rPr>
          <w:i/>
          <w:sz w:val="20"/>
          <w:szCs w:val="20"/>
        </w:rPr>
        <w:t xml:space="preserve"> Deaths and Marriages Registration Act 1999</w:t>
      </w:r>
      <w:r w:rsidRPr="00EB55F4">
        <w:rPr>
          <w:sz w:val="20"/>
          <w:szCs w:val="20"/>
        </w:rPr>
        <w:t xml:space="preserve"> (</w:t>
      </w:r>
      <w:proofErr w:type="spellStart"/>
      <w:r w:rsidRPr="00EB55F4">
        <w:rPr>
          <w:sz w:val="20"/>
          <w:szCs w:val="20"/>
        </w:rPr>
        <w:t>Tas</w:t>
      </w:r>
      <w:proofErr w:type="spellEnd"/>
      <w:r w:rsidRPr="00EB55F4">
        <w:rPr>
          <w:sz w:val="20"/>
          <w:szCs w:val="20"/>
        </w:rPr>
        <w:t>).</w:t>
      </w:r>
      <w:r w:rsidRPr="00EB55F4">
        <w:t xml:space="preserve"> </w:t>
      </w:r>
    </w:p>
  </w:footnote>
  <w:footnote w:id="18">
    <w:p w14:paraId="3715BAE0" w14:textId="5C3F6AFF" w:rsidR="00BE5346" w:rsidRPr="00EB55F4" w:rsidRDefault="00BE5346" w:rsidP="00713150">
      <w:pPr>
        <w:pStyle w:val="FootnoteText"/>
        <w:rPr>
          <w:lang w:val="en-US"/>
        </w:rPr>
      </w:pPr>
      <w:r w:rsidRPr="00EB55F4">
        <w:rPr>
          <w:rStyle w:val="FootnoteReference"/>
        </w:rPr>
        <w:footnoteRef/>
      </w:r>
      <w:r w:rsidRPr="00EB55F4">
        <w:t xml:space="preserve"> </w:t>
      </w:r>
      <w:r w:rsidRPr="00EB55F4">
        <w:rPr>
          <w:sz w:val="20"/>
          <w:szCs w:val="20"/>
        </w:rPr>
        <w:t xml:space="preserve">Equal Opportunity Tasmania, </w:t>
      </w:r>
      <w:r w:rsidRPr="00EB55F4">
        <w:rPr>
          <w:i/>
          <w:sz w:val="20"/>
          <w:szCs w:val="20"/>
        </w:rPr>
        <w:t>Legal recognition of sex and gender diversity in Tasmania: Options for amendments to the Births, Deaths and Marriages Registration Act 1999</w:t>
      </w:r>
      <w:r w:rsidRPr="00EB55F4">
        <w:rPr>
          <w:sz w:val="20"/>
          <w:szCs w:val="20"/>
        </w:rPr>
        <w:t xml:space="preserve"> (February 2016) at 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30A5E"/>
    <w:multiLevelType w:val="multilevel"/>
    <w:tmpl w:val="C576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202CE"/>
    <w:multiLevelType w:val="hybridMultilevel"/>
    <w:tmpl w:val="8BC6AC9C"/>
    <w:lvl w:ilvl="0" w:tplc="4F525648">
      <w:start w:val="2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D027D"/>
    <w:multiLevelType w:val="hybridMultilevel"/>
    <w:tmpl w:val="A7585742"/>
    <w:lvl w:ilvl="0" w:tplc="B4BE5D16">
      <w:start w:val="2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97B1E"/>
    <w:multiLevelType w:val="multilevel"/>
    <w:tmpl w:val="E4564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456AF5"/>
    <w:multiLevelType w:val="hybridMultilevel"/>
    <w:tmpl w:val="2D7EAE90"/>
    <w:lvl w:ilvl="0" w:tplc="E8D03776">
      <w:start w:val="26"/>
      <w:numFmt w:val="bullet"/>
      <w:lvlText w:val="-"/>
      <w:lvlJc w:val="left"/>
      <w:pPr>
        <w:ind w:left="720" w:hanging="360"/>
      </w:pPr>
      <w:rPr>
        <w:rFonts w:ascii="Cambria" w:eastAsiaTheme="minorEastAsia" w:hAnsi="Cambria" w:cstheme="minorBidi"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5F25C2"/>
    <w:multiLevelType w:val="multilevel"/>
    <w:tmpl w:val="73C01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04348C"/>
    <w:multiLevelType w:val="hybridMultilevel"/>
    <w:tmpl w:val="B988081E"/>
    <w:lvl w:ilvl="0" w:tplc="1ACA232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2A4D4A"/>
    <w:multiLevelType w:val="hybridMultilevel"/>
    <w:tmpl w:val="9486655E"/>
    <w:lvl w:ilvl="0" w:tplc="53D696BE">
      <w:start w:val="8"/>
      <w:numFmt w:val="bullet"/>
      <w:lvlText w:val="-"/>
      <w:lvlJc w:val="left"/>
      <w:pPr>
        <w:ind w:left="720" w:hanging="360"/>
      </w:pPr>
      <w:rPr>
        <w:rFonts w:ascii="Cambria" w:eastAsiaTheme="minorEastAsia" w:hAnsi="Cambria" w:cstheme="minorBid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9732BD"/>
    <w:multiLevelType w:val="hybridMultilevel"/>
    <w:tmpl w:val="EF3A39CC"/>
    <w:lvl w:ilvl="0" w:tplc="C57492FE">
      <w:start w:val="1"/>
      <w:numFmt w:val="decimal"/>
      <w:pStyle w:val="Recommendation-numbered"/>
      <w:lvlText w:val="%1."/>
      <w:lvlJc w:val="left"/>
      <w:pPr>
        <w:ind w:left="687" w:hanging="360"/>
      </w:pPr>
    </w:lvl>
    <w:lvl w:ilvl="1" w:tplc="99084828">
      <w:start w:val="1"/>
      <w:numFmt w:val="lowerLetter"/>
      <w:lvlText w:val="%2."/>
      <w:lvlJc w:val="left"/>
      <w:pPr>
        <w:ind w:left="1407" w:hanging="360"/>
      </w:pPr>
    </w:lvl>
    <w:lvl w:ilvl="2" w:tplc="0C09001B" w:tentative="1">
      <w:start w:val="1"/>
      <w:numFmt w:val="lowerRoman"/>
      <w:lvlText w:val="%3."/>
      <w:lvlJc w:val="right"/>
      <w:pPr>
        <w:ind w:left="2127" w:hanging="180"/>
      </w:pPr>
    </w:lvl>
    <w:lvl w:ilvl="3" w:tplc="0C09000F" w:tentative="1">
      <w:start w:val="1"/>
      <w:numFmt w:val="decimal"/>
      <w:lvlText w:val="%4."/>
      <w:lvlJc w:val="left"/>
      <w:pPr>
        <w:ind w:left="2847" w:hanging="360"/>
      </w:pPr>
    </w:lvl>
    <w:lvl w:ilvl="4" w:tplc="0C090019" w:tentative="1">
      <w:start w:val="1"/>
      <w:numFmt w:val="lowerLetter"/>
      <w:lvlText w:val="%5."/>
      <w:lvlJc w:val="left"/>
      <w:pPr>
        <w:ind w:left="3567" w:hanging="360"/>
      </w:pPr>
    </w:lvl>
    <w:lvl w:ilvl="5" w:tplc="0C09001B" w:tentative="1">
      <w:start w:val="1"/>
      <w:numFmt w:val="lowerRoman"/>
      <w:lvlText w:val="%6."/>
      <w:lvlJc w:val="right"/>
      <w:pPr>
        <w:ind w:left="4287" w:hanging="180"/>
      </w:pPr>
    </w:lvl>
    <w:lvl w:ilvl="6" w:tplc="0C09000F" w:tentative="1">
      <w:start w:val="1"/>
      <w:numFmt w:val="decimal"/>
      <w:lvlText w:val="%7."/>
      <w:lvlJc w:val="left"/>
      <w:pPr>
        <w:ind w:left="5007" w:hanging="360"/>
      </w:pPr>
    </w:lvl>
    <w:lvl w:ilvl="7" w:tplc="0C090019" w:tentative="1">
      <w:start w:val="1"/>
      <w:numFmt w:val="lowerLetter"/>
      <w:lvlText w:val="%8."/>
      <w:lvlJc w:val="left"/>
      <w:pPr>
        <w:ind w:left="5727" w:hanging="360"/>
      </w:pPr>
    </w:lvl>
    <w:lvl w:ilvl="8" w:tplc="0C09001B" w:tentative="1">
      <w:start w:val="1"/>
      <w:numFmt w:val="lowerRoman"/>
      <w:lvlText w:val="%9."/>
      <w:lvlJc w:val="right"/>
      <w:pPr>
        <w:ind w:left="6447" w:hanging="180"/>
      </w:pPr>
    </w:lvl>
  </w:abstractNum>
  <w:abstractNum w:abstractNumId="9">
    <w:nsid w:val="70843ADA"/>
    <w:multiLevelType w:val="hybridMultilevel"/>
    <w:tmpl w:val="E63061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8FB05F1"/>
    <w:multiLevelType w:val="hybridMultilevel"/>
    <w:tmpl w:val="A860D48A"/>
    <w:lvl w:ilvl="0" w:tplc="6FB85E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364497"/>
    <w:multiLevelType w:val="multilevel"/>
    <w:tmpl w:val="361E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7"/>
  </w:num>
  <w:num w:numId="4">
    <w:abstractNumId w:val="10"/>
  </w:num>
  <w:num w:numId="5">
    <w:abstractNumId w:val="8"/>
  </w:num>
  <w:num w:numId="6">
    <w:abstractNumId w:val="2"/>
  </w:num>
  <w:num w:numId="7">
    <w:abstractNumId w:val="4"/>
  </w:num>
  <w:num w:numId="8">
    <w:abstractNumId w:val="5"/>
  </w:num>
  <w:num w:numId="9">
    <w:abstractNumId w:val="11"/>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74"/>
    <w:rsid w:val="00007B08"/>
    <w:rsid w:val="00022B42"/>
    <w:rsid w:val="000422EE"/>
    <w:rsid w:val="0005745D"/>
    <w:rsid w:val="00080995"/>
    <w:rsid w:val="000844D2"/>
    <w:rsid w:val="0008721D"/>
    <w:rsid w:val="000975AE"/>
    <w:rsid w:val="000D425A"/>
    <w:rsid w:val="000E1C2A"/>
    <w:rsid w:val="00107963"/>
    <w:rsid w:val="00117047"/>
    <w:rsid w:val="001335A1"/>
    <w:rsid w:val="00140638"/>
    <w:rsid w:val="001540AC"/>
    <w:rsid w:val="001577F4"/>
    <w:rsid w:val="001A165E"/>
    <w:rsid w:val="001D1643"/>
    <w:rsid w:val="001D204E"/>
    <w:rsid w:val="00250574"/>
    <w:rsid w:val="00250A5B"/>
    <w:rsid w:val="00274D97"/>
    <w:rsid w:val="00276BBA"/>
    <w:rsid w:val="00277F38"/>
    <w:rsid w:val="00286801"/>
    <w:rsid w:val="002A7203"/>
    <w:rsid w:val="002B08D4"/>
    <w:rsid w:val="002C1B5F"/>
    <w:rsid w:val="002D1F69"/>
    <w:rsid w:val="002E1EA0"/>
    <w:rsid w:val="00311313"/>
    <w:rsid w:val="00322A54"/>
    <w:rsid w:val="00326E54"/>
    <w:rsid w:val="0033010C"/>
    <w:rsid w:val="0035175D"/>
    <w:rsid w:val="00365FEC"/>
    <w:rsid w:val="003A218F"/>
    <w:rsid w:val="003B5F1D"/>
    <w:rsid w:val="003B74CA"/>
    <w:rsid w:val="003F3C50"/>
    <w:rsid w:val="00417C74"/>
    <w:rsid w:val="004265BD"/>
    <w:rsid w:val="00460299"/>
    <w:rsid w:val="00470A0E"/>
    <w:rsid w:val="004964B4"/>
    <w:rsid w:val="004A22C2"/>
    <w:rsid w:val="004A662D"/>
    <w:rsid w:val="004A7954"/>
    <w:rsid w:val="004B70CE"/>
    <w:rsid w:val="004C0469"/>
    <w:rsid w:val="004C3960"/>
    <w:rsid w:val="004C6FC8"/>
    <w:rsid w:val="004E1DE3"/>
    <w:rsid w:val="004E2ED9"/>
    <w:rsid w:val="004F63B0"/>
    <w:rsid w:val="0050085C"/>
    <w:rsid w:val="00504929"/>
    <w:rsid w:val="00520426"/>
    <w:rsid w:val="00523AA5"/>
    <w:rsid w:val="005245DA"/>
    <w:rsid w:val="00566AAC"/>
    <w:rsid w:val="00582C02"/>
    <w:rsid w:val="00584A4A"/>
    <w:rsid w:val="005A0332"/>
    <w:rsid w:val="005B0D09"/>
    <w:rsid w:val="005B5FC8"/>
    <w:rsid w:val="005D3EED"/>
    <w:rsid w:val="005E62B5"/>
    <w:rsid w:val="0061003F"/>
    <w:rsid w:val="00666E74"/>
    <w:rsid w:val="00675A51"/>
    <w:rsid w:val="00684233"/>
    <w:rsid w:val="00684608"/>
    <w:rsid w:val="006B3D29"/>
    <w:rsid w:val="006B4CA6"/>
    <w:rsid w:val="006E58AE"/>
    <w:rsid w:val="00710F19"/>
    <w:rsid w:val="00713150"/>
    <w:rsid w:val="0073040B"/>
    <w:rsid w:val="007307DC"/>
    <w:rsid w:val="00730B50"/>
    <w:rsid w:val="007315FB"/>
    <w:rsid w:val="00741CA5"/>
    <w:rsid w:val="007423CB"/>
    <w:rsid w:val="00786DF4"/>
    <w:rsid w:val="007A0922"/>
    <w:rsid w:val="007A29D6"/>
    <w:rsid w:val="007D3C53"/>
    <w:rsid w:val="008039AF"/>
    <w:rsid w:val="00814E46"/>
    <w:rsid w:val="00835BB2"/>
    <w:rsid w:val="00863AE7"/>
    <w:rsid w:val="008A53E6"/>
    <w:rsid w:val="008E072C"/>
    <w:rsid w:val="00910972"/>
    <w:rsid w:val="00942369"/>
    <w:rsid w:val="00943271"/>
    <w:rsid w:val="00955438"/>
    <w:rsid w:val="009855B1"/>
    <w:rsid w:val="009C41DE"/>
    <w:rsid w:val="00A15C80"/>
    <w:rsid w:val="00A452AC"/>
    <w:rsid w:val="00A47526"/>
    <w:rsid w:val="00A55F32"/>
    <w:rsid w:val="00A83617"/>
    <w:rsid w:val="00A977F4"/>
    <w:rsid w:val="00AB2224"/>
    <w:rsid w:val="00AB32C5"/>
    <w:rsid w:val="00AC3613"/>
    <w:rsid w:val="00AF3B49"/>
    <w:rsid w:val="00AF5BBA"/>
    <w:rsid w:val="00B2183F"/>
    <w:rsid w:val="00B22A63"/>
    <w:rsid w:val="00B374AB"/>
    <w:rsid w:val="00B4488F"/>
    <w:rsid w:val="00B47AE4"/>
    <w:rsid w:val="00B711C6"/>
    <w:rsid w:val="00B93D89"/>
    <w:rsid w:val="00BA23E2"/>
    <w:rsid w:val="00BA2742"/>
    <w:rsid w:val="00BE5346"/>
    <w:rsid w:val="00C0528D"/>
    <w:rsid w:val="00C206F8"/>
    <w:rsid w:val="00C403FF"/>
    <w:rsid w:val="00C414B1"/>
    <w:rsid w:val="00C51ADD"/>
    <w:rsid w:val="00C7389A"/>
    <w:rsid w:val="00CE09FE"/>
    <w:rsid w:val="00CF1F92"/>
    <w:rsid w:val="00D14566"/>
    <w:rsid w:val="00D146CA"/>
    <w:rsid w:val="00D16CCA"/>
    <w:rsid w:val="00D95250"/>
    <w:rsid w:val="00D966EF"/>
    <w:rsid w:val="00DB2EF6"/>
    <w:rsid w:val="00DB759A"/>
    <w:rsid w:val="00DC06E3"/>
    <w:rsid w:val="00DE3D65"/>
    <w:rsid w:val="00DF7D49"/>
    <w:rsid w:val="00E0375C"/>
    <w:rsid w:val="00E23E47"/>
    <w:rsid w:val="00E42DE2"/>
    <w:rsid w:val="00EA7260"/>
    <w:rsid w:val="00EB55F4"/>
    <w:rsid w:val="00EB71F1"/>
    <w:rsid w:val="00ED01ED"/>
    <w:rsid w:val="00F1162F"/>
    <w:rsid w:val="00F55108"/>
    <w:rsid w:val="00F647E7"/>
    <w:rsid w:val="00F76209"/>
    <w:rsid w:val="00F9104A"/>
    <w:rsid w:val="00F95CE2"/>
    <w:rsid w:val="00FC36CC"/>
    <w:rsid w:val="00FD3F38"/>
    <w:rsid w:val="00FE09DD"/>
    <w:rsid w:val="00FE2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7986C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74"/>
    <w:rPr>
      <w:lang w:val="en-AU"/>
    </w:rPr>
  </w:style>
  <w:style w:type="paragraph" w:styleId="Heading2">
    <w:name w:val="heading 2"/>
    <w:basedOn w:val="Normal"/>
    <w:next w:val="Normal"/>
    <w:link w:val="Heading2Char"/>
    <w:uiPriority w:val="9"/>
    <w:unhideWhenUsed/>
    <w:qFormat/>
    <w:rsid w:val="00417C74"/>
    <w:pPr>
      <w:keepNext/>
      <w:keepLines/>
      <w:spacing w:before="200" w:line="280" w:lineRule="exact"/>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basedOn w:val="Normal"/>
    <w:next w:val="Normal"/>
    <w:link w:val="Heading3Char"/>
    <w:uiPriority w:val="9"/>
    <w:semiHidden/>
    <w:unhideWhenUsed/>
    <w:qFormat/>
    <w:rsid w:val="00417C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uiPriority w:val="9"/>
    <w:unhideWhenUsed/>
    <w:qFormat/>
    <w:rsid w:val="00417C74"/>
    <w:pPr>
      <w:keepLines w:val="0"/>
      <w:widowControl w:val="0"/>
      <w:spacing w:before="360"/>
      <w:outlineLvl w:val="3"/>
    </w:pPr>
    <w:rPr>
      <w:rFonts w:ascii="Arial" w:eastAsia="Calibri" w:hAnsi="Arial" w:cs="Arial"/>
      <w:b w:val="0"/>
      <w:bCs w:val="0"/>
      <w:color w:val="0D4644"/>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iPriority w:val="99"/>
    <w:unhideWhenUsed/>
    <w:qFormat/>
    <w:rsid w:val="00417C74"/>
  </w:style>
  <w:style w:type="character" w:customStyle="1" w:styleId="FootnoteTextChar">
    <w:name w:val="Footnote Text Char"/>
    <w:aliases w:val="Footnote Char,Text Char"/>
    <w:basedOn w:val="DefaultParagraphFont"/>
    <w:link w:val="FootnoteText"/>
    <w:uiPriority w:val="99"/>
    <w:rsid w:val="00417C74"/>
    <w:rPr>
      <w:lang w:val="en-AU"/>
    </w:rPr>
  </w:style>
  <w:style w:type="character" w:styleId="FootnoteReference">
    <w:name w:val="footnote reference"/>
    <w:basedOn w:val="DefaultParagraphFont"/>
    <w:uiPriority w:val="99"/>
    <w:unhideWhenUsed/>
    <w:rsid w:val="00417C74"/>
    <w:rPr>
      <w:vertAlign w:val="superscript"/>
    </w:rPr>
  </w:style>
  <w:style w:type="paragraph" w:styleId="NoSpacing">
    <w:name w:val="No Spacing"/>
    <w:uiPriority w:val="1"/>
    <w:qFormat/>
    <w:rsid w:val="00417C74"/>
    <w:rPr>
      <w:rFonts w:cs="Times New Roman"/>
      <w:sz w:val="20"/>
      <w:szCs w:val="20"/>
    </w:rPr>
  </w:style>
  <w:style w:type="paragraph" w:styleId="ListParagraph">
    <w:name w:val="List Paragraph"/>
    <w:aliases w:val="EOT List Paragraph"/>
    <w:basedOn w:val="Normal"/>
    <w:link w:val="ListParagraphChar"/>
    <w:uiPriority w:val="1"/>
    <w:qFormat/>
    <w:rsid w:val="00417C74"/>
    <w:pPr>
      <w:ind w:left="720"/>
      <w:contextualSpacing/>
    </w:pPr>
  </w:style>
  <w:style w:type="paragraph" w:styleId="BalloonText">
    <w:name w:val="Balloon Text"/>
    <w:basedOn w:val="Normal"/>
    <w:link w:val="BalloonTextChar"/>
    <w:uiPriority w:val="99"/>
    <w:semiHidden/>
    <w:unhideWhenUsed/>
    <w:rsid w:val="00417C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7C74"/>
    <w:rPr>
      <w:rFonts w:ascii="Lucida Grande" w:hAnsi="Lucida Grande" w:cs="Lucida Grande"/>
      <w:sz w:val="18"/>
      <w:szCs w:val="18"/>
      <w:lang w:val="en-AU"/>
    </w:rPr>
  </w:style>
  <w:style w:type="character" w:customStyle="1" w:styleId="Heading2Char">
    <w:name w:val="Heading 2 Char"/>
    <w:basedOn w:val="DefaultParagraphFont"/>
    <w:link w:val="Heading2"/>
    <w:uiPriority w:val="9"/>
    <w:rsid w:val="00417C74"/>
    <w:rPr>
      <w:rFonts w:asciiTheme="majorHAnsi" w:eastAsiaTheme="majorEastAsia" w:hAnsiTheme="majorHAnsi" w:cstheme="majorBidi"/>
      <w:b/>
      <w:bCs/>
      <w:color w:val="4F81BD" w:themeColor="accent1"/>
      <w:sz w:val="26"/>
      <w:szCs w:val="26"/>
      <w:lang w:val="en-AU" w:eastAsia="en-AU"/>
    </w:rPr>
  </w:style>
  <w:style w:type="character" w:customStyle="1" w:styleId="Heading4Char">
    <w:name w:val="Heading 4 Char"/>
    <w:basedOn w:val="DefaultParagraphFont"/>
    <w:link w:val="Heading4"/>
    <w:uiPriority w:val="9"/>
    <w:rsid w:val="00417C74"/>
    <w:rPr>
      <w:rFonts w:ascii="Arial" w:eastAsia="Calibri" w:hAnsi="Arial" w:cs="Arial"/>
      <w:color w:val="0D4644"/>
      <w:sz w:val="28"/>
      <w:szCs w:val="28"/>
      <w:lang w:val="en-AU" w:eastAsia="en-AU"/>
    </w:rPr>
  </w:style>
  <w:style w:type="paragraph" w:customStyle="1" w:styleId="headingparagraph">
    <w:name w:val="headingparagraph"/>
    <w:basedOn w:val="Normal"/>
    <w:rsid w:val="00417C74"/>
    <w:pPr>
      <w:spacing w:before="100" w:beforeAutospacing="1" w:after="100" w:afterAutospacing="1"/>
    </w:pPr>
    <w:rPr>
      <w:rFonts w:ascii="Times New Roman" w:hAnsi="Times New Roman" w:cs="Times New Roman"/>
      <w:sz w:val="20"/>
      <w:szCs w:val="20"/>
    </w:rPr>
  </w:style>
  <w:style w:type="character" w:customStyle="1" w:styleId="ListParagraphChar">
    <w:name w:val="List Paragraph Char"/>
    <w:aliases w:val="EOT List Paragraph Char"/>
    <w:link w:val="ListParagraph"/>
    <w:uiPriority w:val="1"/>
    <w:rsid w:val="00417C74"/>
    <w:rPr>
      <w:lang w:val="en-AU"/>
    </w:rPr>
  </w:style>
  <w:style w:type="character" w:styleId="Hyperlink">
    <w:name w:val="Hyperlink"/>
    <w:uiPriority w:val="99"/>
    <w:rsid w:val="00417C74"/>
    <w:rPr>
      <w:color w:val="0000FF"/>
      <w:u w:val="single"/>
    </w:rPr>
  </w:style>
  <w:style w:type="paragraph" w:styleId="Quote">
    <w:name w:val="Quote"/>
    <w:basedOn w:val="Normal"/>
    <w:next w:val="Normal"/>
    <w:link w:val="QuoteChar"/>
    <w:uiPriority w:val="29"/>
    <w:qFormat/>
    <w:rsid w:val="00417C74"/>
    <w:pPr>
      <w:spacing w:after="200" w:line="280" w:lineRule="exact"/>
      <w:ind w:left="567" w:right="567"/>
    </w:pPr>
    <w:rPr>
      <w:rFonts w:ascii="Arial" w:eastAsia="Calibri" w:hAnsi="Arial" w:cs="Times New Roman"/>
      <w:color w:val="0D4644"/>
      <w:sz w:val="20"/>
      <w:szCs w:val="20"/>
      <w:lang w:eastAsia="en-AU"/>
    </w:rPr>
  </w:style>
  <w:style w:type="character" w:customStyle="1" w:styleId="QuoteChar">
    <w:name w:val="Quote Char"/>
    <w:basedOn w:val="DefaultParagraphFont"/>
    <w:link w:val="Quote"/>
    <w:uiPriority w:val="29"/>
    <w:rsid w:val="00417C74"/>
    <w:rPr>
      <w:rFonts w:ascii="Arial" w:eastAsia="Calibri" w:hAnsi="Arial" w:cs="Times New Roman"/>
      <w:color w:val="0D4644"/>
      <w:sz w:val="20"/>
      <w:szCs w:val="20"/>
      <w:lang w:val="en-AU" w:eastAsia="en-AU"/>
    </w:rPr>
  </w:style>
  <w:style w:type="paragraph" w:customStyle="1" w:styleId="Recommendation">
    <w:name w:val="Recommendation"/>
    <w:basedOn w:val="Normal"/>
    <w:link w:val="RecommendationChar"/>
    <w:uiPriority w:val="1"/>
    <w:qFormat/>
    <w:rsid w:val="00417C74"/>
    <w:pPr>
      <w:keepNext/>
      <w:pBdr>
        <w:left w:val="single" w:sz="4" w:space="5" w:color="0D4644"/>
      </w:pBdr>
      <w:spacing w:after="200" w:line="280" w:lineRule="exact"/>
      <w:ind w:left="113"/>
    </w:pPr>
    <w:rPr>
      <w:rFonts w:ascii="Arial" w:eastAsia="Calibri" w:hAnsi="Arial" w:cs="Times New Roman"/>
      <w:color w:val="0D4644"/>
      <w:sz w:val="22"/>
      <w:szCs w:val="22"/>
      <w:lang w:eastAsia="en-AU"/>
    </w:rPr>
  </w:style>
  <w:style w:type="paragraph" w:customStyle="1" w:styleId="Recommendation-numbered">
    <w:name w:val="Recommendation - numbered"/>
    <w:basedOn w:val="Recommendation"/>
    <w:link w:val="Recommendation-numberedChar"/>
    <w:uiPriority w:val="1"/>
    <w:qFormat/>
    <w:rsid w:val="00417C74"/>
    <w:pPr>
      <w:keepNext w:val="0"/>
      <w:numPr>
        <w:numId w:val="5"/>
      </w:numPr>
      <w:ind w:left="657" w:hanging="544"/>
    </w:pPr>
    <w:rPr>
      <w:rFonts w:cs="Arial"/>
    </w:rPr>
  </w:style>
  <w:style w:type="character" w:customStyle="1" w:styleId="RecommendationChar">
    <w:name w:val="Recommendation Char"/>
    <w:link w:val="Recommendation"/>
    <w:uiPriority w:val="1"/>
    <w:rsid w:val="00417C74"/>
    <w:rPr>
      <w:rFonts w:ascii="Arial" w:eastAsia="Calibri" w:hAnsi="Arial" w:cs="Times New Roman"/>
      <w:color w:val="0D4644"/>
      <w:sz w:val="22"/>
      <w:szCs w:val="22"/>
      <w:lang w:val="en-AU" w:eastAsia="en-AU"/>
    </w:rPr>
  </w:style>
  <w:style w:type="character" w:customStyle="1" w:styleId="Recommendation-numberedChar">
    <w:name w:val="Recommendation - numbered Char"/>
    <w:link w:val="Recommendation-numbered"/>
    <w:uiPriority w:val="1"/>
    <w:rsid w:val="00417C74"/>
    <w:rPr>
      <w:rFonts w:ascii="Arial" w:eastAsia="Calibri" w:hAnsi="Arial" w:cs="Arial"/>
      <w:color w:val="0D4644"/>
      <w:sz w:val="22"/>
      <w:szCs w:val="22"/>
      <w:lang w:val="en-AU" w:eastAsia="en-AU"/>
    </w:rPr>
  </w:style>
  <w:style w:type="character" w:customStyle="1" w:styleId="Heading3Char">
    <w:name w:val="Heading 3 Char"/>
    <w:basedOn w:val="DefaultParagraphFont"/>
    <w:link w:val="Heading3"/>
    <w:uiPriority w:val="9"/>
    <w:semiHidden/>
    <w:rsid w:val="00417C74"/>
    <w:rPr>
      <w:rFonts w:asciiTheme="majorHAnsi" w:eastAsiaTheme="majorEastAsia" w:hAnsiTheme="majorHAnsi" w:cstheme="majorBidi"/>
      <w:b/>
      <w:bCs/>
      <w:color w:val="4F81BD" w:themeColor="accent1"/>
      <w:lang w:val="en-AU"/>
    </w:rPr>
  </w:style>
  <w:style w:type="character" w:styleId="FollowedHyperlink">
    <w:name w:val="FollowedHyperlink"/>
    <w:basedOn w:val="DefaultParagraphFont"/>
    <w:uiPriority w:val="99"/>
    <w:semiHidden/>
    <w:unhideWhenUsed/>
    <w:rsid w:val="00F95CE2"/>
    <w:rPr>
      <w:color w:val="800080" w:themeColor="followedHyperlink"/>
      <w:u w:val="single"/>
    </w:rPr>
  </w:style>
  <w:style w:type="paragraph" w:styleId="NormalWeb">
    <w:name w:val="Normal (Web)"/>
    <w:basedOn w:val="Normal"/>
    <w:uiPriority w:val="99"/>
    <w:unhideWhenUsed/>
    <w:rsid w:val="004B70C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6B4CA6"/>
  </w:style>
  <w:style w:type="paragraph" w:styleId="Footer">
    <w:name w:val="footer"/>
    <w:basedOn w:val="Normal"/>
    <w:link w:val="FooterChar"/>
    <w:uiPriority w:val="99"/>
    <w:unhideWhenUsed/>
    <w:rsid w:val="007A29D6"/>
    <w:pPr>
      <w:tabs>
        <w:tab w:val="center" w:pos="4513"/>
        <w:tab w:val="right" w:pos="9026"/>
      </w:tabs>
    </w:pPr>
  </w:style>
  <w:style w:type="character" w:customStyle="1" w:styleId="FooterChar">
    <w:name w:val="Footer Char"/>
    <w:basedOn w:val="DefaultParagraphFont"/>
    <w:link w:val="Footer"/>
    <w:uiPriority w:val="99"/>
    <w:rsid w:val="007A29D6"/>
    <w:rPr>
      <w:lang w:val="en-AU"/>
    </w:rPr>
  </w:style>
  <w:style w:type="character" w:styleId="PageNumber">
    <w:name w:val="page number"/>
    <w:basedOn w:val="DefaultParagraphFont"/>
    <w:uiPriority w:val="99"/>
    <w:semiHidden/>
    <w:unhideWhenUsed/>
    <w:rsid w:val="007A29D6"/>
  </w:style>
  <w:style w:type="character" w:styleId="Strong">
    <w:name w:val="Strong"/>
    <w:basedOn w:val="DefaultParagraphFont"/>
    <w:uiPriority w:val="22"/>
    <w:qFormat/>
    <w:rsid w:val="00084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936">
      <w:bodyDiv w:val="1"/>
      <w:marLeft w:val="0"/>
      <w:marRight w:val="0"/>
      <w:marTop w:val="0"/>
      <w:marBottom w:val="0"/>
      <w:divBdr>
        <w:top w:val="none" w:sz="0" w:space="0" w:color="auto"/>
        <w:left w:val="none" w:sz="0" w:space="0" w:color="auto"/>
        <w:bottom w:val="none" w:sz="0" w:space="0" w:color="auto"/>
        <w:right w:val="none" w:sz="0" w:space="0" w:color="auto"/>
      </w:divBdr>
    </w:div>
    <w:div w:id="50664749">
      <w:bodyDiv w:val="1"/>
      <w:marLeft w:val="0"/>
      <w:marRight w:val="0"/>
      <w:marTop w:val="0"/>
      <w:marBottom w:val="0"/>
      <w:divBdr>
        <w:top w:val="none" w:sz="0" w:space="0" w:color="auto"/>
        <w:left w:val="none" w:sz="0" w:space="0" w:color="auto"/>
        <w:bottom w:val="none" w:sz="0" w:space="0" w:color="auto"/>
        <w:right w:val="none" w:sz="0" w:space="0" w:color="auto"/>
      </w:divBdr>
    </w:div>
    <w:div w:id="67852322">
      <w:bodyDiv w:val="1"/>
      <w:marLeft w:val="0"/>
      <w:marRight w:val="0"/>
      <w:marTop w:val="0"/>
      <w:marBottom w:val="0"/>
      <w:divBdr>
        <w:top w:val="none" w:sz="0" w:space="0" w:color="auto"/>
        <w:left w:val="none" w:sz="0" w:space="0" w:color="auto"/>
        <w:bottom w:val="none" w:sz="0" w:space="0" w:color="auto"/>
        <w:right w:val="none" w:sz="0" w:space="0" w:color="auto"/>
      </w:divBdr>
    </w:div>
    <w:div w:id="81148162">
      <w:bodyDiv w:val="1"/>
      <w:marLeft w:val="0"/>
      <w:marRight w:val="0"/>
      <w:marTop w:val="0"/>
      <w:marBottom w:val="0"/>
      <w:divBdr>
        <w:top w:val="none" w:sz="0" w:space="0" w:color="auto"/>
        <w:left w:val="none" w:sz="0" w:space="0" w:color="auto"/>
        <w:bottom w:val="none" w:sz="0" w:space="0" w:color="auto"/>
        <w:right w:val="none" w:sz="0" w:space="0" w:color="auto"/>
      </w:divBdr>
    </w:div>
    <w:div w:id="120615090">
      <w:bodyDiv w:val="1"/>
      <w:marLeft w:val="0"/>
      <w:marRight w:val="0"/>
      <w:marTop w:val="0"/>
      <w:marBottom w:val="0"/>
      <w:divBdr>
        <w:top w:val="none" w:sz="0" w:space="0" w:color="auto"/>
        <w:left w:val="none" w:sz="0" w:space="0" w:color="auto"/>
        <w:bottom w:val="none" w:sz="0" w:space="0" w:color="auto"/>
        <w:right w:val="none" w:sz="0" w:space="0" w:color="auto"/>
      </w:divBdr>
      <w:divsChild>
        <w:div w:id="909972184">
          <w:marLeft w:val="0"/>
          <w:marRight w:val="0"/>
          <w:marTop w:val="0"/>
          <w:marBottom w:val="0"/>
          <w:divBdr>
            <w:top w:val="none" w:sz="0" w:space="0" w:color="auto"/>
            <w:left w:val="none" w:sz="0" w:space="0" w:color="auto"/>
            <w:bottom w:val="none" w:sz="0" w:space="0" w:color="auto"/>
            <w:right w:val="none" w:sz="0" w:space="0" w:color="auto"/>
          </w:divBdr>
          <w:divsChild>
            <w:div w:id="968048819">
              <w:marLeft w:val="0"/>
              <w:marRight w:val="0"/>
              <w:marTop w:val="0"/>
              <w:marBottom w:val="0"/>
              <w:divBdr>
                <w:top w:val="none" w:sz="0" w:space="0" w:color="auto"/>
                <w:left w:val="none" w:sz="0" w:space="0" w:color="auto"/>
                <w:bottom w:val="none" w:sz="0" w:space="0" w:color="auto"/>
                <w:right w:val="none" w:sz="0" w:space="0" w:color="auto"/>
              </w:divBdr>
              <w:divsChild>
                <w:div w:id="7498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612">
      <w:bodyDiv w:val="1"/>
      <w:marLeft w:val="0"/>
      <w:marRight w:val="0"/>
      <w:marTop w:val="0"/>
      <w:marBottom w:val="0"/>
      <w:divBdr>
        <w:top w:val="none" w:sz="0" w:space="0" w:color="auto"/>
        <w:left w:val="none" w:sz="0" w:space="0" w:color="auto"/>
        <w:bottom w:val="none" w:sz="0" w:space="0" w:color="auto"/>
        <w:right w:val="none" w:sz="0" w:space="0" w:color="auto"/>
      </w:divBdr>
      <w:divsChild>
        <w:div w:id="2013020625">
          <w:marLeft w:val="0"/>
          <w:marRight w:val="0"/>
          <w:marTop w:val="0"/>
          <w:marBottom w:val="0"/>
          <w:divBdr>
            <w:top w:val="none" w:sz="0" w:space="0" w:color="auto"/>
            <w:left w:val="none" w:sz="0" w:space="0" w:color="auto"/>
            <w:bottom w:val="none" w:sz="0" w:space="0" w:color="auto"/>
            <w:right w:val="none" w:sz="0" w:space="0" w:color="auto"/>
          </w:divBdr>
          <w:divsChild>
            <w:div w:id="327948856">
              <w:marLeft w:val="0"/>
              <w:marRight w:val="0"/>
              <w:marTop w:val="0"/>
              <w:marBottom w:val="0"/>
              <w:divBdr>
                <w:top w:val="none" w:sz="0" w:space="0" w:color="auto"/>
                <w:left w:val="none" w:sz="0" w:space="0" w:color="auto"/>
                <w:bottom w:val="none" w:sz="0" w:space="0" w:color="auto"/>
                <w:right w:val="none" w:sz="0" w:space="0" w:color="auto"/>
              </w:divBdr>
              <w:divsChild>
                <w:div w:id="6503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13644">
      <w:bodyDiv w:val="1"/>
      <w:marLeft w:val="0"/>
      <w:marRight w:val="0"/>
      <w:marTop w:val="0"/>
      <w:marBottom w:val="0"/>
      <w:divBdr>
        <w:top w:val="none" w:sz="0" w:space="0" w:color="auto"/>
        <w:left w:val="none" w:sz="0" w:space="0" w:color="auto"/>
        <w:bottom w:val="none" w:sz="0" w:space="0" w:color="auto"/>
        <w:right w:val="none" w:sz="0" w:space="0" w:color="auto"/>
      </w:divBdr>
    </w:div>
    <w:div w:id="500506490">
      <w:bodyDiv w:val="1"/>
      <w:marLeft w:val="0"/>
      <w:marRight w:val="0"/>
      <w:marTop w:val="0"/>
      <w:marBottom w:val="0"/>
      <w:divBdr>
        <w:top w:val="none" w:sz="0" w:space="0" w:color="auto"/>
        <w:left w:val="none" w:sz="0" w:space="0" w:color="auto"/>
        <w:bottom w:val="none" w:sz="0" w:space="0" w:color="auto"/>
        <w:right w:val="none" w:sz="0" w:space="0" w:color="auto"/>
      </w:divBdr>
    </w:div>
    <w:div w:id="772018136">
      <w:bodyDiv w:val="1"/>
      <w:marLeft w:val="0"/>
      <w:marRight w:val="0"/>
      <w:marTop w:val="0"/>
      <w:marBottom w:val="0"/>
      <w:divBdr>
        <w:top w:val="none" w:sz="0" w:space="0" w:color="auto"/>
        <w:left w:val="none" w:sz="0" w:space="0" w:color="auto"/>
        <w:bottom w:val="none" w:sz="0" w:space="0" w:color="auto"/>
        <w:right w:val="none" w:sz="0" w:space="0" w:color="auto"/>
      </w:divBdr>
    </w:div>
    <w:div w:id="781077035">
      <w:bodyDiv w:val="1"/>
      <w:marLeft w:val="0"/>
      <w:marRight w:val="0"/>
      <w:marTop w:val="0"/>
      <w:marBottom w:val="0"/>
      <w:divBdr>
        <w:top w:val="none" w:sz="0" w:space="0" w:color="auto"/>
        <w:left w:val="none" w:sz="0" w:space="0" w:color="auto"/>
        <w:bottom w:val="none" w:sz="0" w:space="0" w:color="auto"/>
        <w:right w:val="none" w:sz="0" w:space="0" w:color="auto"/>
      </w:divBdr>
    </w:div>
    <w:div w:id="952521830">
      <w:bodyDiv w:val="1"/>
      <w:marLeft w:val="0"/>
      <w:marRight w:val="0"/>
      <w:marTop w:val="0"/>
      <w:marBottom w:val="0"/>
      <w:divBdr>
        <w:top w:val="none" w:sz="0" w:space="0" w:color="auto"/>
        <w:left w:val="none" w:sz="0" w:space="0" w:color="auto"/>
        <w:bottom w:val="none" w:sz="0" w:space="0" w:color="auto"/>
        <w:right w:val="none" w:sz="0" w:space="0" w:color="auto"/>
      </w:divBdr>
    </w:div>
    <w:div w:id="1036203206">
      <w:bodyDiv w:val="1"/>
      <w:marLeft w:val="0"/>
      <w:marRight w:val="0"/>
      <w:marTop w:val="0"/>
      <w:marBottom w:val="0"/>
      <w:divBdr>
        <w:top w:val="none" w:sz="0" w:space="0" w:color="auto"/>
        <w:left w:val="none" w:sz="0" w:space="0" w:color="auto"/>
        <w:bottom w:val="none" w:sz="0" w:space="0" w:color="auto"/>
        <w:right w:val="none" w:sz="0" w:space="0" w:color="auto"/>
      </w:divBdr>
    </w:div>
    <w:div w:id="1126047249">
      <w:bodyDiv w:val="1"/>
      <w:marLeft w:val="0"/>
      <w:marRight w:val="0"/>
      <w:marTop w:val="0"/>
      <w:marBottom w:val="0"/>
      <w:divBdr>
        <w:top w:val="none" w:sz="0" w:space="0" w:color="auto"/>
        <w:left w:val="none" w:sz="0" w:space="0" w:color="auto"/>
        <w:bottom w:val="none" w:sz="0" w:space="0" w:color="auto"/>
        <w:right w:val="none" w:sz="0" w:space="0" w:color="auto"/>
      </w:divBdr>
    </w:div>
    <w:div w:id="1136803463">
      <w:bodyDiv w:val="1"/>
      <w:marLeft w:val="0"/>
      <w:marRight w:val="0"/>
      <w:marTop w:val="0"/>
      <w:marBottom w:val="0"/>
      <w:divBdr>
        <w:top w:val="none" w:sz="0" w:space="0" w:color="auto"/>
        <w:left w:val="none" w:sz="0" w:space="0" w:color="auto"/>
        <w:bottom w:val="none" w:sz="0" w:space="0" w:color="auto"/>
        <w:right w:val="none" w:sz="0" w:space="0" w:color="auto"/>
      </w:divBdr>
    </w:div>
    <w:div w:id="1166553871">
      <w:bodyDiv w:val="1"/>
      <w:marLeft w:val="0"/>
      <w:marRight w:val="0"/>
      <w:marTop w:val="0"/>
      <w:marBottom w:val="0"/>
      <w:divBdr>
        <w:top w:val="none" w:sz="0" w:space="0" w:color="auto"/>
        <w:left w:val="none" w:sz="0" w:space="0" w:color="auto"/>
        <w:bottom w:val="none" w:sz="0" w:space="0" w:color="auto"/>
        <w:right w:val="none" w:sz="0" w:space="0" w:color="auto"/>
      </w:divBdr>
    </w:div>
    <w:div w:id="1237785340">
      <w:bodyDiv w:val="1"/>
      <w:marLeft w:val="0"/>
      <w:marRight w:val="0"/>
      <w:marTop w:val="0"/>
      <w:marBottom w:val="0"/>
      <w:divBdr>
        <w:top w:val="none" w:sz="0" w:space="0" w:color="auto"/>
        <w:left w:val="none" w:sz="0" w:space="0" w:color="auto"/>
        <w:bottom w:val="none" w:sz="0" w:space="0" w:color="auto"/>
        <w:right w:val="none" w:sz="0" w:space="0" w:color="auto"/>
      </w:divBdr>
    </w:div>
    <w:div w:id="13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44815838">
          <w:marLeft w:val="0"/>
          <w:marRight w:val="0"/>
          <w:marTop w:val="0"/>
          <w:marBottom w:val="0"/>
          <w:divBdr>
            <w:top w:val="none" w:sz="0" w:space="0" w:color="auto"/>
            <w:left w:val="none" w:sz="0" w:space="0" w:color="auto"/>
            <w:bottom w:val="none" w:sz="0" w:space="0" w:color="auto"/>
            <w:right w:val="none" w:sz="0" w:space="0" w:color="auto"/>
          </w:divBdr>
          <w:divsChild>
            <w:div w:id="1950116920">
              <w:marLeft w:val="0"/>
              <w:marRight w:val="0"/>
              <w:marTop w:val="0"/>
              <w:marBottom w:val="0"/>
              <w:divBdr>
                <w:top w:val="none" w:sz="0" w:space="0" w:color="auto"/>
                <w:left w:val="none" w:sz="0" w:space="0" w:color="auto"/>
                <w:bottom w:val="none" w:sz="0" w:space="0" w:color="auto"/>
                <w:right w:val="none" w:sz="0" w:space="0" w:color="auto"/>
              </w:divBdr>
              <w:divsChild>
                <w:div w:id="20286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869945">
      <w:bodyDiv w:val="1"/>
      <w:marLeft w:val="0"/>
      <w:marRight w:val="0"/>
      <w:marTop w:val="0"/>
      <w:marBottom w:val="0"/>
      <w:divBdr>
        <w:top w:val="none" w:sz="0" w:space="0" w:color="auto"/>
        <w:left w:val="none" w:sz="0" w:space="0" w:color="auto"/>
        <w:bottom w:val="none" w:sz="0" w:space="0" w:color="auto"/>
        <w:right w:val="none" w:sz="0" w:space="0" w:color="auto"/>
      </w:divBdr>
      <w:divsChild>
        <w:div w:id="947860052">
          <w:marLeft w:val="0"/>
          <w:marRight w:val="0"/>
          <w:marTop w:val="0"/>
          <w:marBottom w:val="0"/>
          <w:divBdr>
            <w:top w:val="none" w:sz="0" w:space="0" w:color="auto"/>
            <w:left w:val="none" w:sz="0" w:space="0" w:color="auto"/>
            <w:bottom w:val="none" w:sz="0" w:space="0" w:color="auto"/>
            <w:right w:val="none" w:sz="0" w:space="0" w:color="auto"/>
          </w:divBdr>
          <w:divsChild>
            <w:div w:id="683944284">
              <w:marLeft w:val="0"/>
              <w:marRight w:val="0"/>
              <w:marTop w:val="0"/>
              <w:marBottom w:val="0"/>
              <w:divBdr>
                <w:top w:val="none" w:sz="0" w:space="0" w:color="auto"/>
                <w:left w:val="none" w:sz="0" w:space="0" w:color="auto"/>
                <w:bottom w:val="none" w:sz="0" w:space="0" w:color="auto"/>
                <w:right w:val="none" w:sz="0" w:space="0" w:color="auto"/>
              </w:divBdr>
              <w:divsChild>
                <w:div w:id="14448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30344">
      <w:bodyDiv w:val="1"/>
      <w:marLeft w:val="0"/>
      <w:marRight w:val="0"/>
      <w:marTop w:val="0"/>
      <w:marBottom w:val="0"/>
      <w:divBdr>
        <w:top w:val="none" w:sz="0" w:space="0" w:color="auto"/>
        <w:left w:val="none" w:sz="0" w:space="0" w:color="auto"/>
        <w:bottom w:val="none" w:sz="0" w:space="0" w:color="auto"/>
        <w:right w:val="none" w:sz="0" w:space="0" w:color="auto"/>
      </w:divBdr>
    </w:div>
    <w:div w:id="1655185544">
      <w:bodyDiv w:val="1"/>
      <w:marLeft w:val="0"/>
      <w:marRight w:val="0"/>
      <w:marTop w:val="0"/>
      <w:marBottom w:val="0"/>
      <w:divBdr>
        <w:top w:val="none" w:sz="0" w:space="0" w:color="auto"/>
        <w:left w:val="none" w:sz="0" w:space="0" w:color="auto"/>
        <w:bottom w:val="none" w:sz="0" w:space="0" w:color="auto"/>
        <w:right w:val="none" w:sz="0" w:space="0" w:color="auto"/>
      </w:divBdr>
      <w:divsChild>
        <w:div w:id="1038968685">
          <w:marLeft w:val="0"/>
          <w:marRight w:val="0"/>
          <w:marTop w:val="0"/>
          <w:marBottom w:val="0"/>
          <w:divBdr>
            <w:top w:val="none" w:sz="0" w:space="0" w:color="auto"/>
            <w:left w:val="none" w:sz="0" w:space="0" w:color="auto"/>
            <w:bottom w:val="none" w:sz="0" w:space="0" w:color="auto"/>
            <w:right w:val="none" w:sz="0" w:space="0" w:color="auto"/>
          </w:divBdr>
          <w:divsChild>
            <w:div w:id="1255826083">
              <w:marLeft w:val="0"/>
              <w:marRight w:val="0"/>
              <w:marTop w:val="0"/>
              <w:marBottom w:val="0"/>
              <w:divBdr>
                <w:top w:val="none" w:sz="0" w:space="0" w:color="auto"/>
                <w:left w:val="none" w:sz="0" w:space="0" w:color="auto"/>
                <w:bottom w:val="none" w:sz="0" w:space="0" w:color="auto"/>
                <w:right w:val="none" w:sz="0" w:space="0" w:color="auto"/>
              </w:divBdr>
              <w:divsChild>
                <w:div w:id="10111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8758">
      <w:bodyDiv w:val="1"/>
      <w:marLeft w:val="0"/>
      <w:marRight w:val="0"/>
      <w:marTop w:val="0"/>
      <w:marBottom w:val="0"/>
      <w:divBdr>
        <w:top w:val="none" w:sz="0" w:space="0" w:color="auto"/>
        <w:left w:val="none" w:sz="0" w:space="0" w:color="auto"/>
        <w:bottom w:val="none" w:sz="0" w:space="0" w:color="auto"/>
        <w:right w:val="none" w:sz="0" w:space="0" w:color="auto"/>
      </w:divBdr>
      <w:divsChild>
        <w:div w:id="1183515407">
          <w:marLeft w:val="0"/>
          <w:marRight w:val="0"/>
          <w:marTop w:val="0"/>
          <w:marBottom w:val="0"/>
          <w:divBdr>
            <w:top w:val="none" w:sz="0" w:space="0" w:color="auto"/>
            <w:left w:val="none" w:sz="0" w:space="0" w:color="auto"/>
            <w:bottom w:val="none" w:sz="0" w:space="0" w:color="auto"/>
            <w:right w:val="none" w:sz="0" w:space="0" w:color="auto"/>
          </w:divBdr>
          <w:divsChild>
            <w:div w:id="544561043">
              <w:marLeft w:val="0"/>
              <w:marRight w:val="0"/>
              <w:marTop w:val="0"/>
              <w:marBottom w:val="0"/>
              <w:divBdr>
                <w:top w:val="none" w:sz="0" w:space="0" w:color="auto"/>
                <w:left w:val="none" w:sz="0" w:space="0" w:color="auto"/>
                <w:bottom w:val="none" w:sz="0" w:space="0" w:color="auto"/>
                <w:right w:val="none" w:sz="0" w:space="0" w:color="auto"/>
              </w:divBdr>
              <w:divsChild>
                <w:div w:id="4975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69689">
      <w:bodyDiv w:val="1"/>
      <w:marLeft w:val="0"/>
      <w:marRight w:val="0"/>
      <w:marTop w:val="0"/>
      <w:marBottom w:val="0"/>
      <w:divBdr>
        <w:top w:val="none" w:sz="0" w:space="0" w:color="auto"/>
        <w:left w:val="none" w:sz="0" w:space="0" w:color="auto"/>
        <w:bottom w:val="none" w:sz="0" w:space="0" w:color="auto"/>
        <w:right w:val="none" w:sz="0" w:space="0" w:color="auto"/>
      </w:divBdr>
      <w:divsChild>
        <w:div w:id="1522087816">
          <w:marLeft w:val="0"/>
          <w:marRight w:val="0"/>
          <w:marTop w:val="0"/>
          <w:marBottom w:val="0"/>
          <w:divBdr>
            <w:top w:val="none" w:sz="0" w:space="0" w:color="auto"/>
            <w:left w:val="none" w:sz="0" w:space="0" w:color="auto"/>
            <w:bottom w:val="none" w:sz="0" w:space="0" w:color="auto"/>
            <w:right w:val="none" w:sz="0" w:space="0" w:color="auto"/>
          </w:divBdr>
          <w:divsChild>
            <w:div w:id="592127294">
              <w:marLeft w:val="0"/>
              <w:marRight w:val="0"/>
              <w:marTop w:val="0"/>
              <w:marBottom w:val="0"/>
              <w:divBdr>
                <w:top w:val="none" w:sz="0" w:space="0" w:color="auto"/>
                <w:left w:val="none" w:sz="0" w:space="0" w:color="auto"/>
                <w:bottom w:val="none" w:sz="0" w:space="0" w:color="auto"/>
                <w:right w:val="none" w:sz="0" w:space="0" w:color="auto"/>
              </w:divBdr>
              <w:divsChild>
                <w:div w:id="12683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3022">
      <w:bodyDiv w:val="1"/>
      <w:marLeft w:val="0"/>
      <w:marRight w:val="0"/>
      <w:marTop w:val="0"/>
      <w:marBottom w:val="0"/>
      <w:divBdr>
        <w:top w:val="none" w:sz="0" w:space="0" w:color="auto"/>
        <w:left w:val="none" w:sz="0" w:space="0" w:color="auto"/>
        <w:bottom w:val="none" w:sz="0" w:space="0" w:color="auto"/>
        <w:right w:val="none" w:sz="0" w:space="0" w:color="auto"/>
      </w:divBdr>
    </w:div>
    <w:div w:id="1738236612">
      <w:bodyDiv w:val="1"/>
      <w:marLeft w:val="0"/>
      <w:marRight w:val="0"/>
      <w:marTop w:val="0"/>
      <w:marBottom w:val="0"/>
      <w:divBdr>
        <w:top w:val="none" w:sz="0" w:space="0" w:color="auto"/>
        <w:left w:val="none" w:sz="0" w:space="0" w:color="auto"/>
        <w:bottom w:val="none" w:sz="0" w:space="0" w:color="auto"/>
        <w:right w:val="none" w:sz="0" w:space="0" w:color="auto"/>
      </w:divBdr>
      <w:divsChild>
        <w:div w:id="1292830937">
          <w:marLeft w:val="0"/>
          <w:marRight w:val="0"/>
          <w:marTop w:val="0"/>
          <w:marBottom w:val="0"/>
          <w:divBdr>
            <w:top w:val="none" w:sz="0" w:space="0" w:color="auto"/>
            <w:left w:val="none" w:sz="0" w:space="0" w:color="auto"/>
            <w:bottom w:val="none" w:sz="0" w:space="0" w:color="auto"/>
            <w:right w:val="none" w:sz="0" w:space="0" w:color="auto"/>
          </w:divBdr>
          <w:divsChild>
            <w:div w:id="1736394862">
              <w:marLeft w:val="0"/>
              <w:marRight w:val="0"/>
              <w:marTop w:val="0"/>
              <w:marBottom w:val="0"/>
              <w:divBdr>
                <w:top w:val="none" w:sz="0" w:space="0" w:color="auto"/>
                <w:left w:val="none" w:sz="0" w:space="0" w:color="auto"/>
                <w:bottom w:val="none" w:sz="0" w:space="0" w:color="auto"/>
                <w:right w:val="none" w:sz="0" w:space="0" w:color="auto"/>
              </w:divBdr>
              <w:divsChild>
                <w:div w:id="15070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96466">
      <w:bodyDiv w:val="1"/>
      <w:marLeft w:val="0"/>
      <w:marRight w:val="0"/>
      <w:marTop w:val="0"/>
      <w:marBottom w:val="0"/>
      <w:divBdr>
        <w:top w:val="none" w:sz="0" w:space="0" w:color="auto"/>
        <w:left w:val="none" w:sz="0" w:space="0" w:color="auto"/>
        <w:bottom w:val="none" w:sz="0" w:space="0" w:color="auto"/>
        <w:right w:val="none" w:sz="0" w:space="0" w:color="auto"/>
      </w:divBdr>
    </w:div>
    <w:div w:id="2005545700">
      <w:bodyDiv w:val="1"/>
      <w:marLeft w:val="0"/>
      <w:marRight w:val="0"/>
      <w:marTop w:val="0"/>
      <w:marBottom w:val="0"/>
      <w:divBdr>
        <w:top w:val="none" w:sz="0" w:space="0" w:color="auto"/>
        <w:left w:val="none" w:sz="0" w:space="0" w:color="auto"/>
        <w:bottom w:val="none" w:sz="0" w:space="0" w:color="auto"/>
        <w:right w:val="none" w:sz="0" w:space="0" w:color="auto"/>
      </w:divBdr>
      <w:divsChild>
        <w:div w:id="856772373">
          <w:marLeft w:val="0"/>
          <w:marRight w:val="0"/>
          <w:marTop w:val="0"/>
          <w:marBottom w:val="0"/>
          <w:divBdr>
            <w:top w:val="none" w:sz="0" w:space="0" w:color="auto"/>
            <w:left w:val="none" w:sz="0" w:space="0" w:color="auto"/>
            <w:bottom w:val="none" w:sz="0" w:space="0" w:color="auto"/>
            <w:right w:val="none" w:sz="0" w:space="0" w:color="auto"/>
          </w:divBdr>
          <w:divsChild>
            <w:div w:id="497233241">
              <w:marLeft w:val="0"/>
              <w:marRight w:val="0"/>
              <w:marTop w:val="0"/>
              <w:marBottom w:val="0"/>
              <w:divBdr>
                <w:top w:val="none" w:sz="0" w:space="0" w:color="auto"/>
                <w:left w:val="none" w:sz="0" w:space="0" w:color="auto"/>
                <w:bottom w:val="none" w:sz="0" w:space="0" w:color="auto"/>
                <w:right w:val="none" w:sz="0" w:space="0" w:color="auto"/>
              </w:divBdr>
              <w:divsChild>
                <w:div w:id="1920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7668">
      <w:bodyDiv w:val="1"/>
      <w:marLeft w:val="0"/>
      <w:marRight w:val="0"/>
      <w:marTop w:val="0"/>
      <w:marBottom w:val="0"/>
      <w:divBdr>
        <w:top w:val="none" w:sz="0" w:space="0" w:color="auto"/>
        <w:left w:val="none" w:sz="0" w:space="0" w:color="auto"/>
        <w:bottom w:val="none" w:sz="0" w:space="0" w:color="auto"/>
        <w:right w:val="none" w:sz="0" w:space="0" w:color="auto"/>
      </w:divBdr>
    </w:div>
    <w:div w:id="2049835941">
      <w:bodyDiv w:val="1"/>
      <w:marLeft w:val="0"/>
      <w:marRight w:val="0"/>
      <w:marTop w:val="0"/>
      <w:marBottom w:val="0"/>
      <w:divBdr>
        <w:top w:val="none" w:sz="0" w:space="0" w:color="auto"/>
        <w:left w:val="none" w:sz="0" w:space="0" w:color="auto"/>
        <w:bottom w:val="none" w:sz="0" w:space="0" w:color="auto"/>
        <w:right w:val="none" w:sz="0" w:space="0" w:color="auto"/>
      </w:divBdr>
    </w:div>
    <w:div w:id="2094740452">
      <w:bodyDiv w:val="1"/>
      <w:marLeft w:val="0"/>
      <w:marRight w:val="0"/>
      <w:marTop w:val="0"/>
      <w:marBottom w:val="0"/>
      <w:divBdr>
        <w:top w:val="none" w:sz="0" w:space="0" w:color="auto"/>
        <w:left w:val="none" w:sz="0" w:space="0" w:color="auto"/>
        <w:bottom w:val="none" w:sz="0" w:space="0" w:color="auto"/>
        <w:right w:val="none" w:sz="0" w:space="0" w:color="auto"/>
      </w:divBdr>
      <w:divsChild>
        <w:div w:id="465901039">
          <w:marLeft w:val="0"/>
          <w:marRight w:val="0"/>
          <w:marTop w:val="0"/>
          <w:marBottom w:val="0"/>
          <w:divBdr>
            <w:top w:val="none" w:sz="0" w:space="0" w:color="auto"/>
            <w:left w:val="none" w:sz="0" w:space="0" w:color="auto"/>
            <w:bottom w:val="none" w:sz="0" w:space="0" w:color="auto"/>
            <w:right w:val="none" w:sz="0" w:space="0" w:color="auto"/>
          </w:divBdr>
          <w:divsChild>
            <w:div w:id="781798866">
              <w:marLeft w:val="0"/>
              <w:marRight w:val="0"/>
              <w:marTop w:val="0"/>
              <w:marBottom w:val="0"/>
              <w:divBdr>
                <w:top w:val="none" w:sz="0" w:space="0" w:color="auto"/>
                <w:left w:val="none" w:sz="0" w:space="0" w:color="auto"/>
                <w:bottom w:val="none" w:sz="0" w:space="0" w:color="auto"/>
                <w:right w:val="none" w:sz="0" w:space="0" w:color="auto"/>
              </w:divBdr>
              <w:divsChild>
                <w:div w:id="16558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02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unfe.org/wp-content/uploads/2017/05/UNFE-Intersex.pdf" TargetMode="External"/><Relationship Id="rId4" Type="http://schemas.openxmlformats.org/officeDocument/2006/relationships/hyperlink" Target="http://www.ohchr.org/EN/NewsEvents/Pages/DisplayNews.aspx?NewsID=20739&amp;LangID=E" TargetMode="External"/><Relationship Id="rId5" Type="http://schemas.openxmlformats.org/officeDocument/2006/relationships/hyperlink" Target="https://www.unfe.org/wp-content/uploads/2017/05/UNFE-Intersex.pdf" TargetMode="External"/><Relationship Id="rId1" Type="http://schemas.openxmlformats.org/officeDocument/2006/relationships/hyperlink" Target="http://yogyakartaprinciples.org/wp-content/uploads/2016/08/principles_en.pdf" TargetMode="External"/><Relationship Id="rId2" Type="http://schemas.openxmlformats.org/officeDocument/2006/relationships/hyperlink" Target="http://yogyakartaprinciples.org/wp-content/uploads/2017/11/A5_yogyakartaWEB-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1698</Words>
  <Characters>9685</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TACLC</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Microsoft Office User</cp:lastModifiedBy>
  <cp:revision>18</cp:revision>
  <cp:lastPrinted>2018-11-27T03:57:00Z</cp:lastPrinted>
  <dcterms:created xsi:type="dcterms:W3CDTF">2018-11-25T21:05:00Z</dcterms:created>
  <dcterms:modified xsi:type="dcterms:W3CDTF">2018-11-27T03:58:00Z</dcterms:modified>
</cp:coreProperties>
</file>