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0392" w14:textId="77777777" w:rsidR="00F46499" w:rsidRDefault="00F46499" w:rsidP="00F46499">
      <w:pPr>
        <w:jc w:val="center"/>
        <w:rPr>
          <w:rFonts w:ascii="Tw Cen MT Condensed" w:hAnsi="Tw Cen MT Condensed"/>
          <w:b/>
          <w:sz w:val="36"/>
          <w:szCs w:val="36"/>
        </w:rPr>
      </w:pPr>
      <w:r w:rsidRPr="000848FF">
        <w:rPr>
          <w:rFonts w:ascii="Tw Cen MT Condensed" w:hAnsi="Tw Cen MT Condensed"/>
          <w:b/>
          <w:sz w:val="36"/>
          <w:szCs w:val="36"/>
        </w:rPr>
        <w:t>TASMANIAN ASSOCIATION OF COMMUNITY LEGAL CENTRES</w:t>
      </w:r>
    </w:p>
    <w:p w14:paraId="6988F10C" w14:textId="77777777" w:rsidR="00F46499" w:rsidRPr="000848FF" w:rsidRDefault="00F46499" w:rsidP="00F46499">
      <w:pPr>
        <w:jc w:val="center"/>
        <w:rPr>
          <w:rFonts w:ascii="Tw Cen MT Condensed" w:hAnsi="Tw Cen MT Condensed"/>
          <w:b/>
          <w:sz w:val="20"/>
        </w:rPr>
      </w:pPr>
      <w:r w:rsidRPr="000848FF">
        <w:rPr>
          <w:rFonts w:ascii="Tw Cen MT Condensed" w:hAnsi="Tw Cen MT Condensed"/>
          <w:b/>
          <w:sz w:val="20"/>
        </w:rPr>
        <w:t>Animal Welfare Community Legal Centre</w:t>
      </w:r>
      <w:r>
        <w:rPr>
          <w:rFonts w:ascii="Tw Cen MT Condensed" w:hAnsi="Tw Cen MT Condensed"/>
          <w:b/>
          <w:sz w:val="20"/>
        </w:rPr>
        <w:t xml:space="preserve">  • </w:t>
      </w:r>
      <w:r w:rsidRPr="000848FF">
        <w:rPr>
          <w:rFonts w:ascii="Tw Cen MT Condensed" w:hAnsi="Tw Cen MT Condensed"/>
          <w:b/>
          <w:sz w:val="20"/>
        </w:rPr>
        <w:t>Environmental Defenders Office</w:t>
      </w:r>
      <w:r>
        <w:rPr>
          <w:rFonts w:ascii="Tw Cen MT Condensed" w:hAnsi="Tw Cen MT Condensed"/>
          <w:b/>
          <w:sz w:val="20"/>
        </w:rPr>
        <w:t xml:space="preserve">  • </w:t>
      </w:r>
      <w:r w:rsidRPr="000848FF">
        <w:rPr>
          <w:rFonts w:ascii="Tw Cen MT Condensed" w:hAnsi="Tw Cen MT Condensed"/>
          <w:b/>
          <w:sz w:val="20"/>
        </w:rPr>
        <w:t xml:space="preserve">Hobart Community Legal Service  </w:t>
      </w:r>
      <w:r>
        <w:rPr>
          <w:rFonts w:ascii="Tw Cen MT Condensed" w:hAnsi="Tw Cen MT Condensed"/>
          <w:b/>
          <w:sz w:val="20"/>
        </w:rPr>
        <w:t xml:space="preserve">• </w:t>
      </w:r>
      <w:r w:rsidRPr="000848FF">
        <w:rPr>
          <w:rFonts w:ascii="Tw Cen MT Condensed" w:hAnsi="Tw Cen MT Condensed"/>
          <w:b/>
          <w:sz w:val="20"/>
        </w:rPr>
        <w:t>Launceston Community Legal Centre</w:t>
      </w:r>
      <w:r>
        <w:rPr>
          <w:rFonts w:ascii="Tw Cen MT Condensed" w:hAnsi="Tw Cen MT Condensed"/>
          <w:b/>
          <w:sz w:val="20"/>
        </w:rPr>
        <w:t xml:space="preserve">  • </w:t>
      </w:r>
      <w:r w:rsidRPr="000848FF">
        <w:rPr>
          <w:rFonts w:ascii="Tw Cen MT Condensed" w:hAnsi="Tw Cen MT Condensed"/>
          <w:b/>
          <w:sz w:val="20"/>
        </w:rPr>
        <w:t>North West Community Legal Centre</w:t>
      </w:r>
      <w:r>
        <w:rPr>
          <w:rFonts w:ascii="Tw Cen MT Condensed" w:hAnsi="Tw Cen MT Condensed"/>
          <w:b/>
          <w:sz w:val="20"/>
        </w:rPr>
        <w:t xml:space="preserve">  • </w:t>
      </w:r>
      <w:r w:rsidRPr="000848FF">
        <w:rPr>
          <w:rFonts w:ascii="Tw Cen MT Condensed" w:hAnsi="Tw Cen MT Condensed"/>
          <w:b/>
          <w:sz w:val="20"/>
        </w:rPr>
        <w:t>Tenants’ Union</w:t>
      </w:r>
      <w:r>
        <w:rPr>
          <w:rFonts w:ascii="Tw Cen MT Condensed" w:hAnsi="Tw Cen MT Condensed"/>
          <w:b/>
          <w:sz w:val="20"/>
        </w:rPr>
        <w:t xml:space="preserve">  • </w:t>
      </w:r>
      <w:r w:rsidRPr="000848FF">
        <w:rPr>
          <w:rFonts w:ascii="Tw Cen MT Condensed" w:hAnsi="Tw Cen MT Condensed"/>
          <w:b/>
          <w:sz w:val="20"/>
        </w:rPr>
        <w:t>Women’s Legal Service</w:t>
      </w:r>
      <w:r>
        <w:rPr>
          <w:rFonts w:ascii="Tw Cen MT Condensed" w:hAnsi="Tw Cen MT Condensed"/>
          <w:b/>
          <w:sz w:val="20"/>
        </w:rPr>
        <w:t xml:space="preserve"> • </w:t>
      </w:r>
      <w:r w:rsidRPr="000848FF">
        <w:rPr>
          <w:rFonts w:ascii="Tw Cen MT Condensed" w:hAnsi="Tw Cen MT Condensed"/>
          <w:b/>
          <w:sz w:val="20"/>
        </w:rPr>
        <w:t>Wo</w:t>
      </w:r>
      <w:r>
        <w:rPr>
          <w:rFonts w:ascii="Tw Cen MT Condensed" w:hAnsi="Tw Cen MT Condensed"/>
          <w:b/>
          <w:sz w:val="20"/>
        </w:rPr>
        <w:t>rker Assist</w:t>
      </w:r>
    </w:p>
    <w:p w14:paraId="4594409C" w14:textId="77777777" w:rsidR="00F46499" w:rsidRDefault="00F46499" w:rsidP="00F46499">
      <w:pPr>
        <w:rPr>
          <w:rFonts w:ascii="Arial" w:hAnsi="Arial" w:cs="Arial"/>
          <w:color w:val="FF0000"/>
          <w:sz w:val="20"/>
          <w:szCs w:val="20"/>
          <w:lang w:val="en-US"/>
        </w:rPr>
      </w:pPr>
    </w:p>
    <w:p w14:paraId="637F860C" w14:textId="77777777" w:rsidR="00F46499" w:rsidRDefault="00F46499" w:rsidP="00F46499">
      <w:pPr>
        <w:rPr>
          <w:rFonts w:ascii="Arial" w:hAnsi="Arial" w:cs="Arial"/>
          <w:color w:val="FF0000"/>
          <w:sz w:val="20"/>
          <w:szCs w:val="20"/>
          <w:lang w:val="en-US"/>
        </w:rPr>
      </w:pPr>
    </w:p>
    <w:p w14:paraId="2E467159" w14:textId="77777777" w:rsidR="00F46499" w:rsidRPr="00D20498" w:rsidRDefault="00F46499" w:rsidP="00F46499">
      <w:pPr>
        <w:rPr>
          <w:lang w:val="en-US"/>
        </w:rPr>
      </w:pPr>
    </w:p>
    <w:p w14:paraId="69E33634" w14:textId="77777777" w:rsidR="00F46499" w:rsidRDefault="00F46499" w:rsidP="00F46499">
      <w:pPr>
        <w:rPr>
          <w:lang w:val="en-US"/>
        </w:rPr>
      </w:pPr>
      <w:r>
        <w:rPr>
          <w:lang w:val="en-US"/>
        </w:rPr>
        <w:t>27 August 2012</w:t>
      </w:r>
    </w:p>
    <w:p w14:paraId="4CA34F2B" w14:textId="77777777" w:rsidR="00F46499" w:rsidRDefault="00F46499" w:rsidP="00F46499">
      <w:pPr>
        <w:rPr>
          <w:lang w:val="en-US"/>
        </w:rPr>
      </w:pPr>
    </w:p>
    <w:p w14:paraId="3020FC23" w14:textId="77777777" w:rsidR="00F46499" w:rsidRDefault="00F46499" w:rsidP="00F46499">
      <w:pPr>
        <w:rPr>
          <w:lang w:val="en-US"/>
        </w:rPr>
      </w:pPr>
    </w:p>
    <w:p w14:paraId="7C75AA8B" w14:textId="77777777" w:rsidR="00F46499" w:rsidRDefault="00F46499" w:rsidP="00F46499">
      <w:pPr>
        <w:rPr>
          <w:rFonts w:ascii="Times" w:hAnsi="Times"/>
        </w:rPr>
      </w:pPr>
      <w:r w:rsidRPr="004D2738">
        <w:rPr>
          <w:lang w:val="en-US"/>
        </w:rPr>
        <w:t xml:space="preserve">Committee Secretary </w:t>
      </w:r>
    </w:p>
    <w:p w14:paraId="491CA2E9" w14:textId="77777777" w:rsidR="00F46499" w:rsidRPr="004D2738" w:rsidRDefault="00F46499" w:rsidP="00F46499">
      <w:pPr>
        <w:rPr>
          <w:rFonts w:ascii="Times" w:hAnsi="Times"/>
        </w:rPr>
      </w:pPr>
      <w:r w:rsidRPr="004D2738">
        <w:rPr>
          <w:lang w:val="en-US"/>
        </w:rPr>
        <w:t xml:space="preserve">Parliamentary Joint Committee on Intelligence and Security </w:t>
      </w:r>
    </w:p>
    <w:p w14:paraId="6AA2ADC4" w14:textId="77777777" w:rsidR="00F46499" w:rsidRPr="004D2738" w:rsidRDefault="00F46499" w:rsidP="00F46499">
      <w:pPr>
        <w:rPr>
          <w:rFonts w:ascii="Times" w:hAnsi="Times"/>
        </w:rPr>
      </w:pPr>
      <w:r w:rsidRPr="004D2738">
        <w:rPr>
          <w:lang w:val="en-US"/>
        </w:rPr>
        <w:t xml:space="preserve">Parliament House </w:t>
      </w:r>
    </w:p>
    <w:p w14:paraId="7DF13255" w14:textId="77777777" w:rsidR="00F46499" w:rsidRPr="004D2738" w:rsidRDefault="00F46499" w:rsidP="00F46499">
      <w:pPr>
        <w:rPr>
          <w:rFonts w:ascii="Times" w:hAnsi="Times"/>
        </w:rPr>
      </w:pPr>
      <w:r w:rsidRPr="004D2738">
        <w:rPr>
          <w:lang w:val="en-US"/>
        </w:rPr>
        <w:t>CANBERRA ACT 2600</w:t>
      </w:r>
    </w:p>
    <w:p w14:paraId="2924E9EE" w14:textId="77777777" w:rsidR="00F46499" w:rsidRPr="004D2738" w:rsidRDefault="00F46499" w:rsidP="00F46499">
      <w:pPr>
        <w:rPr>
          <w:rFonts w:ascii="Times" w:hAnsi="Times"/>
        </w:rPr>
      </w:pPr>
      <w:r w:rsidRPr="004D2738">
        <w:rPr>
          <w:lang w:val="en-US"/>
        </w:rPr>
        <w:t> </w:t>
      </w:r>
    </w:p>
    <w:p w14:paraId="082F1D77" w14:textId="77777777" w:rsidR="00F46499" w:rsidRPr="004D2738" w:rsidRDefault="00F46499" w:rsidP="00F46499">
      <w:pPr>
        <w:rPr>
          <w:rFonts w:ascii="Times" w:hAnsi="Times"/>
        </w:rPr>
      </w:pPr>
      <w:r w:rsidRPr="004D2738">
        <w:rPr>
          <w:lang w:val="en-US"/>
        </w:rPr>
        <w:t xml:space="preserve">Dear Secretary, </w:t>
      </w:r>
    </w:p>
    <w:p w14:paraId="128A1515" w14:textId="77777777" w:rsidR="00F46499" w:rsidRDefault="00F46499" w:rsidP="00F46499">
      <w:pPr>
        <w:pBdr>
          <w:bottom w:val="single" w:sz="6" w:space="1" w:color="auto"/>
        </w:pBdr>
        <w:rPr>
          <w:b/>
          <w:bCs/>
          <w:lang w:val="en-US"/>
        </w:rPr>
      </w:pPr>
      <w:r w:rsidRPr="004D2738">
        <w:rPr>
          <w:b/>
          <w:bCs/>
          <w:lang w:val="en-US"/>
        </w:rPr>
        <w:t>Re: Inquiry into Potential Reforms of National Security Legislation</w:t>
      </w:r>
    </w:p>
    <w:p w14:paraId="5657789B" w14:textId="77777777" w:rsidR="00F46499" w:rsidRPr="004D2738" w:rsidRDefault="00F46499" w:rsidP="00F46499">
      <w:pPr>
        <w:rPr>
          <w:rFonts w:ascii="Times" w:hAnsi="Times"/>
        </w:rPr>
      </w:pPr>
    </w:p>
    <w:p w14:paraId="07483200" w14:textId="77777777" w:rsidR="00F46499" w:rsidRDefault="00F46499" w:rsidP="00F46499">
      <w:pPr>
        <w:jc w:val="both"/>
        <w:rPr>
          <w:lang w:val="en-US"/>
        </w:rPr>
      </w:pPr>
      <w:r w:rsidRPr="004D2738">
        <w:rPr>
          <w:lang w:val="en-US"/>
        </w:rPr>
        <w:t xml:space="preserve">We appreciate the opportunity to make a submission to </w:t>
      </w:r>
      <w:r>
        <w:rPr>
          <w:lang w:val="en-US"/>
        </w:rPr>
        <w:t xml:space="preserve">an inquiry initiated by </w:t>
      </w:r>
      <w:r w:rsidRPr="004D2738">
        <w:rPr>
          <w:lang w:val="en-US"/>
        </w:rPr>
        <w:t>the Parliamentary Joint Committee on Int</w:t>
      </w:r>
      <w:r>
        <w:rPr>
          <w:lang w:val="en-US"/>
        </w:rPr>
        <w:t>elligence and Security</w:t>
      </w:r>
      <w:r w:rsidRPr="004D2738">
        <w:rPr>
          <w:lang w:val="en-US"/>
        </w:rPr>
        <w:t xml:space="preserve"> into potential reforms of</w:t>
      </w:r>
      <w:r>
        <w:rPr>
          <w:lang w:val="en-US"/>
        </w:rPr>
        <w:t xml:space="preserve"> national security legislation.</w:t>
      </w:r>
    </w:p>
    <w:p w14:paraId="239CA65B" w14:textId="77777777" w:rsidR="00F46499" w:rsidRDefault="00F46499" w:rsidP="00F46499">
      <w:pPr>
        <w:jc w:val="both"/>
        <w:rPr>
          <w:lang w:val="en-US"/>
        </w:rPr>
      </w:pPr>
    </w:p>
    <w:p w14:paraId="5780B9B6" w14:textId="77777777" w:rsidR="00F46499" w:rsidRDefault="00F46499" w:rsidP="004D2738">
      <w:pPr>
        <w:jc w:val="both"/>
        <w:rPr>
          <w:lang w:val="en-US"/>
        </w:rPr>
      </w:pPr>
      <w:r w:rsidRPr="00720C16">
        <w:rPr>
          <w:rFonts w:cs="Arial"/>
          <w:bCs/>
          <w:color w:val="000000"/>
          <w:lang w:val="en-US"/>
        </w:rPr>
        <w:t>TACLC</w:t>
      </w:r>
      <w:r w:rsidRPr="00720C16">
        <w:rPr>
          <w:rFonts w:cs="Arial"/>
          <w:color w:val="000000"/>
          <w:lang w:val="en-US"/>
        </w:rPr>
        <w:t xml:space="preserve"> is an incorporated network representing the eight community legal </w:t>
      </w:r>
      <w:proofErr w:type="spellStart"/>
      <w:r w:rsidRPr="00720C16">
        <w:rPr>
          <w:rFonts w:cs="Arial"/>
          <w:color w:val="000000"/>
          <w:lang w:val="en-US"/>
        </w:rPr>
        <w:t>centres</w:t>
      </w:r>
      <w:proofErr w:type="spellEnd"/>
      <w:r w:rsidRPr="00720C16">
        <w:rPr>
          <w:rFonts w:cs="Arial"/>
          <w:color w:val="000000"/>
          <w:lang w:val="en-US"/>
        </w:rPr>
        <w:t xml:space="preserve"> in Tasmania.  Our member </w:t>
      </w:r>
      <w:proofErr w:type="spellStart"/>
      <w:r w:rsidRPr="00720C16">
        <w:rPr>
          <w:rFonts w:cs="Arial"/>
          <w:color w:val="000000"/>
          <w:lang w:val="en-US"/>
        </w:rPr>
        <w:t>centres</w:t>
      </w:r>
      <w:proofErr w:type="spellEnd"/>
      <w:r w:rsidRPr="00720C16">
        <w:rPr>
          <w:rFonts w:cs="Arial"/>
          <w:color w:val="000000"/>
          <w:lang w:val="en-US"/>
        </w:rPr>
        <w:t xml:space="preserve"> provide accessible advice, representation and legal education services to the community, and advocate for law reform on a range of public interest matters.</w:t>
      </w:r>
    </w:p>
    <w:p w14:paraId="3121CB62" w14:textId="77777777" w:rsidR="00F46499" w:rsidRDefault="00F46499" w:rsidP="004D2738">
      <w:pPr>
        <w:jc w:val="both"/>
        <w:rPr>
          <w:lang w:val="en-US"/>
        </w:rPr>
      </w:pPr>
    </w:p>
    <w:p w14:paraId="6CDA8A5F" w14:textId="006155B6" w:rsidR="004D2738" w:rsidRPr="00F46499" w:rsidRDefault="004D2738" w:rsidP="004D2738">
      <w:pPr>
        <w:jc w:val="both"/>
        <w:rPr>
          <w:lang w:val="en-US"/>
        </w:rPr>
      </w:pPr>
      <w:r w:rsidRPr="004D2738">
        <w:rPr>
          <w:lang w:val="en-US"/>
        </w:rPr>
        <w:t xml:space="preserve">The Committee’s decision to review Australia’s </w:t>
      </w:r>
      <w:r w:rsidR="005F674C">
        <w:rPr>
          <w:lang w:val="en-US"/>
        </w:rPr>
        <w:t>national security</w:t>
      </w:r>
      <w:r w:rsidRPr="004D2738">
        <w:rPr>
          <w:lang w:val="en-US"/>
        </w:rPr>
        <w:t xml:space="preserve"> legi</w:t>
      </w:r>
      <w:r w:rsidR="00000C33">
        <w:rPr>
          <w:lang w:val="en-US"/>
        </w:rPr>
        <w:t xml:space="preserve">slation at a </w:t>
      </w:r>
      <w:r w:rsidRPr="004D2738">
        <w:rPr>
          <w:lang w:val="en-US"/>
        </w:rPr>
        <w:t xml:space="preserve">time of relative </w:t>
      </w:r>
      <w:r w:rsidR="005F674C">
        <w:rPr>
          <w:lang w:val="en-US"/>
        </w:rPr>
        <w:t>calm</w:t>
      </w:r>
      <w:r w:rsidRPr="004D2738">
        <w:rPr>
          <w:lang w:val="en-US"/>
        </w:rPr>
        <w:t xml:space="preserve"> is welcomed. </w:t>
      </w:r>
      <w:r w:rsidR="007B2BFA">
        <w:rPr>
          <w:lang w:val="en-US"/>
        </w:rPr>
        <w:t>A</w:t>
      </w:r>
      <w:r w:rsidRPr="004D2738">
        <w:rPr>
          <w:lang w:val="en-US"/>
        </w:rPr>
        <w:t xml:space="preserve"> climate of fear has </w:t>
      </w:r>
      <w:r w:rsidR="007B2BFA">
        <w:rPr>
          <w:lang w:val="en-US"/>
        </w:rPr>
        <w:t xml:space="preserve">historically </w:t>
      </w:r>
      <w:r w:rsidRPr="004D2738">
        <w:rPr>
          <w:lang w:val="en-US"/>
        </w:rPr>
        <w:t>s</w:t>
      </w:r>
      <w:r w:rsidR="007B2BFA">
        <w:rPr>
          <w:lang w:val="en-US"/>
        </w:rPr>
        <w:t>urrounded terrorism legislation ensuring</w:t>
      </w:r>
      <w:r w:rsidR="0024210A">
        <w:rPr>
          <w:lang w:val="en-US"/>
        </w:rPr>
        <w:t xml:space="preserve"> both</w:t>
      </w:r>
      <w:r w:rsidR="007B2BFA">
        <w:rPr>
          <w:lang w:val="en-US"/>
        </w:rPr>
        <w:t xml:space="preserve"> a lack of deliberation and </w:t>
      </w:r>
      <w:r w:rsidRPr="004D2738">
        <w:rPr>
          <w:lang w:val="en-US"/>
        </w:rPr>
        <w:t xml:space="preserve">scrutiny. The Committee is therefore to be commended for seeking neither the introduction of emergency measures nor acting out of a need for an urgent response. </w:t>
      </w:r>
    </w:p>
    <w:p w14:paraId="16FB3F8C" w14:textId="77777777" w:rsidR="004D2738" w:rsidRPr="004D2738" w:rsidRDefault="004D2738" w:rsidP="004D2738">
      <w:pPr>
        <w:jc w:val="both"/>
        <w:rPr>
          <w:rFonts w:ascii="Times" w:hAnsi="Times"/>
        </w:rPr>
      </w:pPr>
      <w:r w:rsidRPr="004D2738">
        <w:rPr>
          <w:lang w:val="en-US"/>
        </w:rPr>
        <w:t> </w:t>
      </w:r>
    </w:p>
    <w:p w14:paraId="56820EF0" w14:textId="57B82820" w:rsidR="00000C33" w:rsidRDefault="004D2738" w:rsidP="004D2738">
      <w:pPr>
        <w:jc w:val="both"/>
        <w:rPr>
          <w:lang w:val="en-US"/>
        </w:rPr>
      </w:pPr>
      <w:r w:rsidRPr="004D2738">
        <w:rPr>
          <w:lang w:val="en-US"/>
        </w:rPr>
        <w:t>The Tasmanian Association of Community</w:t>
      </w:r>
      <w:r w:rsidR="0024210A">
        <w:rPr>
          <w:lang w:val="en-US"/>
        </w:rPr>
        <w:t xml:space="preserve"> Legal </w:t>
      </w:r>
      <w:proofErr w:type="spellStart"/>
      <w:r w:rsidR="0024210A">
        <w:rPr>
          <w:lang w:val="en-US"/>
        </w:rPr>
        <w:t>Centres</w:t>
      </w:r>
      <w:proofErr w:type="spellEnd"/>
      <w:r w:rsidR="0024210A">
        <w:rPr>
          <w:lang w:val="en-US"/>
        </w:rPr>
        <w:t xml:space="preserve"> (TACLC) endorses </w:t>
      </w:r>
      <w:r w:rsidRPr="004D2738">
        <w:rPr>
          <w:lang w:val="en-US"/>
        </w:rPr>
        <w:t xml:space="preserve">the recommendations outlined in the Gilbert + Tobin Centre of Public Law submission, particularly the focus on ensuring that </w:t>
      </w:r>
      <w:r w:rsidR="0024210A">
        <w:rPr>
          <w:lang w:val="en-US"/>
        </w:rPr>
        <w:t xml:space="preserve">any and all </w:t>
      </w:r>
      <w:r w:rsidRPr="004D2738">
        <w:rPr>
          <w:lang w:val="en-US"/>
        </w:rPr>
        <w:t xml:space="preserve">reforms are </w:t>
      </w:r>
      <w:r w:rsidR="0024210A">
        <w:rPr>
          <w:lang w:val="en-US"/>
        </w:rPr>
        <w:t xml:space="preserve">counter balanced </w:t>
      </w:r>
      <w:r w:rsidRPr="004D2738">
        <w:rPr>
          <w:lang w:val="en-US"/>
        </w:rPr>
        <w:t>through the implementation of appropriate safeguards includ</w:t>
      </w:r>
      <w:r w:rsidR="007C152A">
        <w:rPr>
          <w:lang w:val="en-US"/>
        </w:rPr>
        <w:t xml:space="preserve">ing protection of human rights. </w:t>
      </w:r>
      <w:r w:rsidR="00000C33">
        <w:rPr>
          <w:lang w:val="en-US"/>
        </w:rPr>
        <w:t xml:space="preserve">Although the </w:t>
      </w:r>
      <w:r w:rsidR="00000C33" w:rsidRPr="004D2738">
        <w:rPr>
          <w:lang w:val="en-US"/>
        </w:rPr>
        <w:t xml:space="preserve">Federal Government has introduced a </w:t>
      </w:r>
      <w:r w:rsidR="00000C33" w:rsidRPr="0024210A">
        <w:rPr>
          <w:i/>
          <w:iCs/>
          <w:lang w:val="en-US"/>
        </w:rPr>
        <w:t>Human Rights (Parliamentary Scrutiny) Act 2011</w:t>
      </w:r>
      <w:r w:rsidR="00000C33" w:rsidRPr="0024210A">
        <w:rPr>
          <w:lang w:val="en-US"/>
        </w:rPr>
        <w:t xml:space="preserve"> (</w:t>
      </w:r>
      <w:proofErr w:type="spellStart"/>
      <w:r w:rsidR="00000C33" w:rsidRPr="0024210A">
        <w:rPr>
          <w:lang w:val="en-US"/>
        </w:rPr>
        <w:t>Cth</w:t>
      </w:r>
      <w:proofErr w:type="spellEnd"/>
      <w:r w:rsidR="00000C33" w:rsidRPr="0024210A">
        <w:rPr>
          <w:lang w:val="en-US"/>
        </w:rPr>
        <w:t xml:space="preserve">) </w:t>
      </w:r>
      <w:r w:rsidR="00000C33" w:rsidRPr="004D2738">
        <w:rPr>
          <w:lang w:val="en-US"/>
        </w:rPr>
        <w:t xml:space="preserve">we do not believe that a </w:t>
      </w:r>
      <w:r w:rsidR="00000C33">
        <w:rPr>
          <w:lang w:val="en-US"/>
        </w:rPr>
        <w:t xml:space="preserve">legislative </w:t>
      </w:r>
      <w:r w:rsidR="00000C33" w:rsidRPr="004D2738">
        <w:rPr>
          <w:lang w:val="en-US"/>
        </w:rPr>
        <w:t>‘statement of compatibility’ provides adequate human rights</w:t>
      </w:r>
      <w:r w:rsidR="00000C33">
        <w:rPr>
          <w:lang w:val="en-US"/>
        </w:rPr>
        <w:t xml:space="preserve"> protections, particularly when Parliament is called upon to consider</w:t>
      </w:r>
      <w:r w:rsidR="00000C33" w:rsidRPr="004D2738">
        <w:rPr>
          <w:lang w:val="en-US"/>
        </w:rPr>
        <w:t xml:space="preserve"> the public interest in the protection of national security.</w:t>
      </w:r>
      <w:r w:rsidR="00000C33">
        <w:rPr>
          <w:lang w:val="en-US"/>
        </w:rPr>
        <w:t xml:space="preserve"> </w:t>
      </w:r>
    </w:p>
    <w:p w14:paraId="1E1A5F85" w14:textId="77777777" w:rsidR="00000C33" w:rsidRDefault="00000C33" w:rsidP="004D2738">
      <w:pPr>
        <w:jc w:val="both"/>
        <w:rPr>
          <w:lang w:val="en-US"/>
        </w:rPr>
      </w:pPr>
    </w:p>
    <w:p w14:paraId="3FC19A07" w14:textId="0F9B3658" w:rsidR="004D2738" w:rsidRPr="00000C33" w:rsidRDefault="00000C33" w:rsidP="004D2738">
      <w:pPr>
        <w:jc w:val="both"/>
        <w:rPr>
          <w:lang w:val="en-US"/>
        </w:rPr>
      </w:pPr>
      <w:r>
        <w:rPr>
          <w:lang w:val="en-US"/>
        </w:rPr>
        <w:t xml:space="preserve">Whilst not the subject of review, we remind the Committee that the United Nations Human Rights Committee has </w:t>
      </w:r>
      <w:r w:rsidRPr="005F674C">
        <w:rPr>
          <w:lang w:val="en-US"/>
        </w:rPr>
        <w:t>urged the Australi</w:t>
      </w:r>
      <w:r>
        <w:rPr>
          <w:lang w:val="en-US"/>
        </w:rPr>
        <w:t xml:space="preserve">an Government to </w:t>
      </w:r>
      <w:r w:rsidRPr="005F674C">
        <w:rPr>
          <w:lang w:val="en-US"/>
        </w:rPr>
        <w:t xml:space="preserve">amend national security laws to </w:t>
      </w:r>
      <w:r>
        <w:rPr>
          <w:lang w:val="en-US"/>
        </w:rPr>
        <w:t xml:space="preserve">ensure compatibility with international </w:t>
      </w:r>
      <w:r>
        <w:rPr>
          <w:lang w:val="en-US"/>
        </w:rPr>
        <w:lastRenderedPageBreak/>
        <w:t>instruments</w:t>
      </w:r>
      <w:r w:rsidRPr="00E44EEA">
        <w:rPr>
          <w:rStyle w:val="FootnoteReference"/>
          <w:lang w:val="en-US"/>
        </w:rPr>
        <w:footnoteReference w:id="1"/>
      </w:r>
      <w:r w:rsidRPr="00E44EEA">
        <w:rPr>
          <w:lang w:val="en-US"/>
        </w:rPr>
        <w:t xml:space="preserve"> </w:t>
      </w:r>
      <w:r>
        <w:rPr>
          <w:lang w:val="en-US"/>
        </w:rPr>
        <w:t>and that significant human rights breaches remain including the reversal of the onus of proof which undermines the right to be presumed innocent until proven guilty.</w:t>
      </w:r>
      <w:r>
        <w:rPr>
          <w:rStyle w:val="FootnoteReference"/>
          <w:lang w:val="en-US"/>
        </w:rPr>
        <w:footnoteReference w:id="2"/>
      </w:r>
      <w:r>
        <w:rPr>
          <w:lang w:val="en-US"/>
        </w:rPr>
        <w:t xml:space="preserve"> </w:t>
      </w:r>
      <w:r w:rsidR="004D2738" w:rsidRPr="004D2738">
        <w:rPr>
          <w:lang w:val="en-US"/>
        </w:rPr>
        <w:t xml:space="preserve">In our view, the best </w:t>
      </w:r>
      <w:r w:rsidR="0024210A">
        <w:rPr>
          <w:lang w:val="en-US"/>
        </w:rPr>
        <w:t xml:space="preserve">way to assure the protection of </w:t>
      </w:r>
      <w:r w:rsidR="004D2738" w:rsidRPr="004D2738">
        <w:rPr>
          <w:lang w:val="en-US"/>
        </w:rPr>
        <w:t>human rights whilst at</w:t>
      </w:r>
      <w:r w:rsidR="00E73D0A">
        <w:rPr>
          <w:lang w:val="en-US"/>
        </w:rPr>
        <w:t xml:space="preserve"> the same time maintaining</w:t>
      </w:r>
      <w:r w:rsidR="004D2738" w:rsidRPr="004D2738">
        <w:rPr>
          <w:lang w:val="en-US"/>
        </w:rPr>
        <w:t xml:space="preserve"> national security is through the introduction of a </w:t>
      </w:r>
      <w:r w:rsidR="004D2738" w:rsidRPr="004D2738">
        <w:rPr>
          <w:i/>
          <w:iCs/>
          <w:lang w:val="en-US"/>
        </w:rPr>
        <w:t>Human Rights Act</w:t>
      </w:r>
      <w:r w:rsidR="004D2738" w:rsidRPr="004D2738">
        <w:rPr>
          <w:lang w:val="en-US"/>
        </w:rPr>
        <w:t xml:space="preserve"> as recommended by the National Human Rights Consultation Committee. </w:t>
      </w:r>
    </w:p>
    <w:p w14:paraId="013ED2EB" w14:textId="77777777" w:rsidR="004D2738" w:rsidRPr="004D2738" w:rsidRDefault="004D2738" w:rsidP="004D2738">
      <w:pPr>
        <w:jc w:val="both"/>
        <w:rPr>
          <w:rFonts w:ascii="Times" w:hAnsi="Times"/>
        </w:rPr>
      </w:pPr>
      <w:r w:rsidRPr="004D2738">
        <w:rPr>
          <w:lang w:val="en-US"/>
        </w:rPr>
        <w:t> </w:t>
      </w:r>
    </w:p>
    <w:p w14:paraId="71AC7234" w14:textId="1FD55A9F" w:rsidR="00E44EEA" w:rsidRDefault="005F674C" w:rsidP="00E44EEA">
      <w:pPr>
        <w:jc w:val="both"/>
        <w:rPr>
          <w:lang w:val="en-US"/>
        </w:rPr>
      </w:pPr>
      <w:r>
        <w:rPr>
          <w:lang w:val="en-US"/>
        </w:rPr>
        <w:t>D</w:t>
      </w:r>
      <w:r w:rsidR="004D2738" w:rsidRPr="004D2738">
        <w:rPr>
          <w:lang w:val="en-US"/>
        </w:rPr>
        <w:t xml:space="preserve">espite the lack of </w:t>
      </w:r>
      <w:r w:rsidR="00B13B23">
        <w:rPr>
          <w:lang w:val="en-US"/>
        </w:rPr>
        <w:t xml:space="preserve">formal human rights protection in Australian law, if reform of national security legislation is to take place, </w:t>
      </w:r>
      <w:r w:rsidR="004D2738" w:rsidRPr="004D2738">
        <w:rPr>
          <w:lang w:val="en-US"/>
        </w:rPr>
        <w:t>there are a n</w:t>
      </w:r>
      <w:r w:rsidR="001D2101">
        <w:rPr>
          <w:lang w:val="en-US"/>
        </w:rPr>
        <w:t>umber of practical safeguards</w:t>
      </w:r>
      <w:r w:rsidR="004D2738" w:rsidRPr="004D2738">
        <w:rPr>
          <w:lang w:val="en-US"/>
        </w:rPr>
        <w:t xml:space="preserve"> set out in the Gilbert + Tobin </w:t>
      </w:r>
      <w:r w:rsidR="00B13B23">
        <w:rPr>
          <w:lang w:val="en-US"/>
        </w:rPr>
        <w:t xml:space="preserve">Centre of Public Law submission </w:t>
      </w:r>
      <w:r w:rsidR="004D2738" w:rsidRPr="004D2738">
        <w:rPr>
          <w:lang w:val="en-US"/>
        </w:rPr>
        <w:t xml:space="preserve">that should be </w:t>
      </w:r>
      <w:r w:rsidR="00E44EEA">
        <w:rPr>
          <w:lang w:val="en-US"/>
        </w:rPr>
        <w:t>introduced</w:t>
      </w:r>
      <w:r w:rsidR="001D2101">
        <w:rPr>
          <w:lang w:val="en-US"/>
        </w:rPr>
        <w:t>. The implementation of the following</w:t>
      </w:r>
      <w:r w:rsidR="00E44EEA">
        <w:rPr>
          <w:lang w:val="en-US"/>
        </w:rPr>
        <w:t xml:space="preserve"> safeguards will </w:t>
      </w:r>
      <w:r w:rsidR="00543A1D">
        <w:rPr>
          <w:lang w:val="en-US"/>
        </w:rPr>
        <w:t>provide</w:t>
      </w:r>
      <w:r w:rsidR="004D2738" w:rsidRPr="004D2738">
        <w:rPr>
          <w:lang w:val="en-US"/>
        </w:rPr>
        <w:t xml:space="preserve"> </w:t>
      </w:r>
      <w:r w:rsidR="00422FFA">
        <w:rPr>
          <w:lang w:val="en-US"/>
        </w:rPr>
        <w:t xml:space="preserve">an accountability framework that acts as a brake on Executive powers and </w:t>
      </w:r>
      <w:r w:rsidR="006F46BA">
        <w:rPr>
          <w:lang w:val="en-US"/>
        </w:rPr>
        <w:t>ensures that abuses of power remain</w:t>
      </w:r>
      <w:r w:rsidR="00422FFA">
        <w:rPr>
          <w:lang w:val="en-US"/>
        </w:rPr>
        <w:t xml:space="preserve"> limited.</w:t>
      </w:r>
    </w:p>
    <w:p w14:paraId="56154442" w14:textId="77777777" w:rsidR="00E44EEA" w:rsidRDefault="00E44EEA" w:rsidP="00E44EEA">
      <w:pPr>
        <w:jc w:val="both"/>
        <w:rPr>
          <w:lang w:val="en-US"/>
        </w:rPr>
      </w:pPr>
    </w:p>
    <w:p w14:paraId="62FA74E8" w14:textId="2E217F16" w:rsidR="004D2738" w:rsidRPr="00E44EEA" w:rsidRDefault="004D2738" w:rsidP="00E44EEA">
      <w:pPr>
        <w:jc w:val="both"/>
        <w:rPr>
          <w:lang w:val="en-US"/>
        </w:rPr>
      </w:pPr>
      <w:r w:rsidRPr="004D2738">
        <w:rPr>
          <w:b/>
          <w:bCs/>
          <w:i/>
          <w:iCs/>
          <w:lang w:val="en-US"/>
        </w:rPr>
        <w:t>Telecommunications (Interceptions and Access) Act 1979 (</w:t>
      </w:r>
      <w:proofErr w:type="spellStart"/>
      <w:r w:rsidRPr="004D2738">
        <w:rPr>
          <w:b/>
          <w:bCs/>
          <w:i/>
          <w:iCs/>
          <w:lang w:val="en-US"/>
        </w:rPr>
        <w:t>Cth</w:t>
      </w:r>
      <w:proofErr w:type="spellEnd"/>
      <w:r w:rsidRPr="004D2738">
        <w:rPr>
          <w:b/>
          <w:bCs/>
          <w:i/>
          <w:iCs/>
          <w:lang w:val="en-US"/>
        </w:rPr>
        <w:t>)</w:t>
      </w:r>
    </w:p>
    <w:p w14:paraId="6DCA2BC6" w14:textId="60131382" w:rsidR="008C2B36" w:rsidRPr="00C35166" w:rsidRDefault="00000C33" w:rsidP="00E44EEA">
      <w:pPr>
        <w:jc w:val="both"/>
        <w:rPr>
          <w:iCs/>
          <w:lang w:val="en-US"/>
        </w:rPr>
      </w:pPr>
      <w:r>
        <w:rPr>
          <w:lang w:val="en-US"/>
        </w:rPr>
        <w:t>The Discussion Paper proposes a number of reforms to</w:t>
      </w:r>
      <w:r w:rsidR="00422FFA">
        <w:rPr>
          <w:lang w:val="en-US"/>
        </w:rPr>
        <w:t xml:space="preserve"> the </w:t>
      </w:r>
      <w:r w:rsidR="00422FFA" w:rsidRPr="000D086A">
        <w:rPr>
          <w:i/>
          <w:iCs/>
          <w:lang w:val="en-US"/>
        </w:rPr>
        <w:t>Telecommunications (Interce</w:t>
      </w:r>
      <w:r w:rsidR="00422FFA">
        <w:rPr>
          <w:i/>
          <w:iCs/>
          <w:lang w:val="en-US"/>
        </w:rPr>
        <w:t>ptions and Access) Act 1979 (</w:t>
      </w:r>
      <w:proofErr w:type="spellStart"/>
      <w:r w:rsidR="00422FFA">
        <w:rPr>
          <w:i/>
          <w:iCs/>
          <w:lang w:val="en-US"/>
        </w:rPr>
        <w:t>Cth</w:t>
      </w:r>
      <w:proofErr w:type="spellEnd"/>
      <w:r w:rsidR="00422FFA">
        <w:rPr>
          <w:i/>
          <w:iCs/>
          <w:lang w:val="en-US"/>
        </w:rPr>
        <w:t>)</w:t>
      </w:r>
      <w:r>
        <w:rPr>
          <w:i/>
          <w:iCs/>
          <w:lang w:val="en-US"/>
        </w:rPr>
        <w:t xml:space="preserve"> </w:t>
      </w:r>
      <w:r w:rsidR="00C35166">
        <w:rPr>
          <w:iCs/>
          <w:lang w:val="en-US"/>
        </w:rPr>
        <w:t>includi</w:t>
      </w:r>
      <w:r w:rsidR="003030E7">
        <w:rPr>
          <w:iCs/>
          <w:lang w:val="en-US"/>
        </w:rPr>
        <w:t xml:space="preserve">ng most significantly </w:t>
      </w:r>
      <w:proofErr w:type="spellStart"/>
      <w:r w:rsidR="003030E7">
        <w:rPr>
          <w:iCs/>
          <w:lang w:val="en-US"/>
        </w:rPr>
        <w:t>standardis</w:t>
      </w:r>
      <w:r w:rsidR="00C35166">
        <w:rPr>
          <w:iCs/>
          <w:lang w:val="en-US"/>
        </w:rPr>
        <w:t>ing</w:t>
      </w:r>
      <w:proofErr w:type="spellEnd"/>
      <w:r w:rsidR="00C35166">
        <w:rPr>
          <w:iCs/>
          <w:lang w:val="en-US"/>
        </w:rPr>
        <w:t xml:space="preserve"> the</w:t>
      </w:r>
      <w:r w:rsidR="00C35166">
        <w:rPr>
          <w:lang w:val="en-US"/>
        </w:rPr>
        <w:t xml:space="preserve"> </w:t>
      </w:r>
      <w:r w:rsidR="004D2738" w:rsidRPr="000D086A">
        <w:rPr>
          <w:lang w:val="en-US"/>
        </w:rPr>
        <w:t>threshold for issuing telecommunications interception and stored c</w:t>
      </w:r>
      <w:r w:rsidR="00C35166">
        <w:rPr>
          <w:lang w:val="en-US"/>
        </w:rPr>
        <w:t>ommunication warrants</w:t>
      </w:r>
      <w:r w:rsidR="00A87FBC">
        <w:rPr>
          <w:lang w:val="en-US"/>
        </w:rPr>
        <w:t xml:space="preserve">. </w:t>
      </w:r>
      <w:proofErr w:type="spellStart"/>
      <w:r w:rsidR="003030E7">
        <w:rPr>
          <w:lang w:val="en-US"/>
        </w:rPr>
        <w:t>Standardis</w:t>
      </w:r>
      <w:r w:rsidR="000D086A" w:rsidRPr="000D086A">
        <w:rPr>
          <w:lang w:val="en-US"/>
        </w:rPr>
        <w:t>ation</w:t>
      </w:r>
      <w:proofErr w:type="spellEnd"/>
      <w:r w:rsidR="000D086A" w:rsidRPr="000D086A">
        <w:rPr>
          <w:lang w:val="en-US"/>
        </w:rPr>
        <w:t xml:space="preserve"> is sought because </w:t>
      </w:r>
      <w:r w:rsidR="00A87FBC">
        <w:rPr>
          <w:lang w:val="en-US"/>
        </w:rPr>
        <w:t xml:space="preserve">of the distinction between a </w:t>
      </w:r>
      <w:r w:rsidR="00BA101A" w:rsidRPr="000D086A">
        <w:rPr>
          <w:rFonts w:cs="Times New Roman"/>
          <w:lang w:val="en-US"/>
        </w:rPr>
        <w:t xml:space="preserve">telecommunications interception warrant </w:t>
      </w:r>
      <w:r w:rsidR="00A87FBC">
        <w:rPr>
          <w:rFonts w:cs="Times New Roman"/>
          <w:lang w:val="en-US"/>
        </w:rPr>
        <w:t xml:space="preserve">which </w:t>
      </w:r>
      <w:r w:rsidR="00BA101A" w:rsidRPr="000D086A">
        <w:rPr>
          <w:rFonts w:cs="Times New Roman"/>
          <w:lang w:val="en-US"/>
        </w:rPr>
        <w:t xml:space="preserve">may </w:t>
      </w:r>
      <w:r w:rsidR="00A87FBC">
        <w:rPr>
          <w:rFonts w:cs="Times New Roman"/>
          <w:lang w:val="en-US"/>
        </w:rPr>
        <w:t xml:space="preserve">only </w:t>
      </w:r>
      <w:r w:rsidR="00BA101A" w:rsidRPr="000D086A">
        <w:rPr>
          <w:rFonts w:cs="Times New Roman"/>
          <w:lang w:val="en-US"/>
        </w:rPr>
        <w:t>be sought by a law enfor</w:t>
      </w:r>
      <w:r w:rsidR="000D086A" w:rsidRPr="000D086A">
        <w:rPr>
          <w:rFonts w:cs="Times New Roman"/>
          <w:lang w:val="en-US"/>
        </w:rPr>
        <w:t>cement agency in relation to a ‘</w:t>
      </w:r>
      <w:r w:rsidR="00BA101A" w:rsidRPr="000D086A">
        <w:rPr>
          <w:rFonts w:cs="Times New Roman"/>
          <w:lang w:val="en-US"/>
        </w:rPr>
        <w:t>se</w:t>
      </w:r>
      <w:r w:rsidR="000D086A" w:rsidRPr="000D086A">
        <w:rPr>
          <w:rFonts w:cs="Times New Roman"/>
          <w:lang w:val="en-US"/>
        </w:rPr>
        <w:t xml:space="preserve">rious offence’ usually defined as an offence punishable by a maximum period of at least </w:t>
      </w:r>
      <w:r w:rsidR="000D086A" w:rsidRPr="000D086A">
        <w:rPr>
          <w:rFonts w:cs="Times New Roman"/>
          <w:iCs/>
          <w:lang w:val="en-US"/>
        </w:rPr>
        <w:t>seven years imprisonment</w:t>
      </w:r>
      <w:r w:rsidR="000D086A" w:rsidRPr="000D086A">
        <w:rPr>
          <w:rStyle w:val="FootnoteReference"/>
          <w:rFonts w:cs="Times New Roman"/>
          <w:iCs/>
          <w:lang w:val="en-US"/>
        </w:rPr>
        <w:footnoteReference w:id="3"/>
      </w:r>
      <w:r w:rsidR="000D086A">
        <w:rPr>
          <w:rFonts w:cs="Times New Roman"/>
          <w:lang w:val="en-US"/>
        </w:rPr>
        <w:t xml:space="preserve"> a</w:t>
      </w:r>
      <w:r w:rsidR="00A87FBC">
        <w:rPr>
          <w:rFonts w:cs="Times New Roman"/>
          <w:lang w:val="en-US"/>
        </w:rPr>
        <w:t xml:space="preserve">nd a stored </w:t>
      </w:r>
      <w:r w:rsidR="000D086A">
        <w:rPr>
          <w:rFonts w:cs="Times New Roman"/>
          <w:lang w:val="en-US"/>
        </w:rPr>
        <w:t>communic</w:t>
      </w:r>
      <w:r w:rsidR="00A87FBC">
        <w:rPr>
          <w:rFonts w:cs="Times New Roman"/>
          <w:lang w:val="en-US"/>
        </w:rPr>
        <w:t>ations warrant which</w:t>
      </w:r>
      <w:r w:rsidR="000301E4">
        <w:rPr>
          <w:rFonts w:cs="Times New Roman"/>
          <w:lang w:val="en-US"/>
        </w:rPr>
        <w:t xml:space="preserve"> may only</w:t>
      </w:r>
      <w:r w:rsidR="000D086A">
        <w:rPr>
          <w:rFonts w:cs="Times New Roman"/>
          <w:lang w:val="en-US"/>
        </w:rPr>
        <w:t xml:space="preserve"> </w:t>
      </w:r>
      <w:r w:rsidR="000301E4">
        <w:rPr>
          <w:rFonts w:cs="Times New Roman"/>
          <w:lang w:val="en-US"/>
        </w:rPr>
        <w:t xml:space="preserve">be </w:t>
      </w:r>
      <w:r w:rsidR="000D086A">
        <w:rPr>
          <w:rFonts w:cs="Times New Roman"/>
          <w:lang w:val="en-US"/>
        </w:rPr>
        <w:t xml:space="preserve">sought for ‘serious contraventions’ which </w:t>
      </w:r>
      <w:r w:rsidR="000301E4">
        <w:rPr>
          <w:rFonts w:cs="Times New Roman"/>
          <w:lang w:val="en-US"/>
        </w:rPr>
        <w:t>is defined as an offence</w:t>
      </w:r>
      <w:r w:rsidR="000D086A">
        <w:rPr>
          <w:rFonts w:cs="Times New Roman"/>
          <w:lang w:val="en-US"/>
        </w:rPr>
        <w:t xml:space="preserve"> punishable by a maximum period of three years.</w:t>
      </w:r>
      <w:r w:rsidR="000D086A">
        <w:rPr>
          <w:rStyle w:val="FootnoteReference"/>
          <w:rFonts w:cs="Times New Roman"/>
          <w:lang w:val="en-US"/>
        </w:rPr>
        <w:footnoteReference w:id="4"/>
      </w:r>
    </w:p>
    <w:p w14:paraId="557358B0" w14:textId="77777777" w:rsidR="008C2B36" w:rsidRDefault="008C2B36" w:rsidP="00E44EEA">
      <w:pPr>
        <w:jc w:val="both"/>
        <w:rPr>
          <w:rFonts w:cs="Times New Roman"/>
          <w:lang w:val="en-US"/>
        </w:rPr>
      </w:pPr>
    </w:p>
    <w:p w14:paraId="67C906ED" w14:textId="5973F572" w:rsidR="00F9486F" w:rsidRPr="008C2B36" w:rsidRDefault="00197379" w:rsidP="00E44EEA">
      <w:pPr>
        <w:jc w:val="both"/>
        <w:rPr>
          <w:rFonts w:cs="Times New Roman"/>
          <w:lang w:val="en-US"/>
        </w:rPr>
      </w:pPr>
      <w:r>
        <w:rPr>
          <w:lang w:val="en-US"/>
        </w:rPr>
        <w:t xml:space="preserve">We </w:t>
      </w:r>
      <w:r w:rsidR="00000C33">
        <w:rPr>
          <w:lang w:val="en-US"/>
        </w:rPr>
        <w:t>endorse</w:t>
      </w:r>
      <w:r w:rsidR="004D2738" w:rsidRPr="004D2738">
        <w:rPr>
          <w:lang w:val="en-US"/>
        </w:rPr>
        <w:t xml:space="preserve"> the </w:t>
      </w:r>
      <w:r w:rsidR="00000C33">
        <w:rPr>
          <w:lang w:val="en-US"/>
        </w:rPr>
        <w:t>recommendation</w:t>
      </w:r>
      <w:r w:rsidR="004D2738" w:rsidRPr="004D2738">
        <w:rPr>
          <w:lang w:val="en-US"/>
        </w:rPr>
        <w:t xml:space="preserve"> of the Gilbe</w:t>
      </w:r>
      <w:r>
        <w:rPr>
          <w:lang w:val="en-US"/>
        </w:rPr>
        <w:t>rt + Tobin Centre of Public L</w:t>
      </w:r>
      <w:r w:rsidR="00F9486F">
        <w:rPr>
          <w:lang w:val="en-US"/>
        </w:rPr>
        <w:t xml:space="preserve">aw that the threshold should be raised rather than lowered. That is, rather than providing that in future both telecommunication interception warrants and stored communication warrants will be </w:t>
      </w:r>
      <w:r w:rsidR="00F9486F" w:rsidRPr="004D2738">
        <w:rPr>
          <w:lang w:val="en-US"/>
        </w:rPr>
        <w:t xml:space="preserve">issued for offences subject to a minimum of three years imprisonment </w:t>
      </w:r>
      <w:r w:rsidR="00F9486F">
        <w:rPr>
          <w:lang w:val="en-US"/>
        </w:rPr>
        <w:t xml:space="preserve">we recommend that the threshold </w:t>
      </w:r>
      <w:r w:rsidR="00F9486F" w:rsidRPr="004D2738">
        <w:rPr>
          <w:lang w:val="en-US"/>
        </w:rPr>
        <w:t xml:space="preserve">be raised to the higher threshold of an offence subject to a minimum of at least seven years imprisonment. </w:t>
      </w:r>
      <w:r w:rsidR="00F9486F">
        <w:rPr>
          <w:lang w:val="en-US"/>
        </w:rPr>
        <w:t xml:space="preserve"> </w:t>
      </w:r>
    </w:p>
    <w:p w14:paraId="1968B999" w14:textId="77777777" w:rsidR="004D2738" w:rsidRPr="004D2738" w:rsidRDefault="004D2738" w:rsidP="00E44EEA">
      <w:pPr>
        <w:jc w:val="both"/>
        <w:rPr>
          <w:rFonts w:ascii="Times" w:hAnsi="Times"/>
        </w:rPr>
      </w:pPr>
      <w:r w:rsidRPr="004D2738">
        <w:rPr>
          <w:lang w:val="en-US"/>
        </w:rPr>
        <w:t> </w:t>
      </w:r>
    </w:p>
    <w:p w14:paraId="757634C7" w14:textId="7E7BD4F5" w:rsidR="00D23C53" w:rsidRDefault="00AF32A6" w:rsidP="00D23C53">
      <w:pPr>
        <w:jc w:val="both"/>
        <w:rPr>
          <w:lang w:val="en-US"/>
        </w:rPr>
      </w:pPr>
      <w:r>
        <w:rPr>
          <w:lang w:val="en-US"/>
        </w:rPr>
        <w:t>O</w:t>
      </w:r>
      <w:r w:rsidR="005E28AC">
        <w:rPr>
          <w:lang w:val="en-US"/>
        </w:rPr>
        <w:t>f the other reforms proposed</w:t>
      </w:r>
      <w:r>
        <w:rPr>
          <w:lang w:val="en-US"/>
        </w:rPr>
        <w:t xml:space="preserve"> to the </w:t>
      </w:r>
      <w:r w:rsidRPr="000D086A">
        <w:rPr>
          <w:i/>
          <w:iCs/>
          <w:lang w:val="en-US"/>
        </w:rPr>
        <w:t>Telecommunications (Interce</w:t>
      </w:r>
      <w:r>
        <w:rPr>
          <w:i/>
          <w:iCs/>
          <w:lang w:val="en-US"/>
        </w:rPr>
        <w:t>ptions and Access) Act 1979 (</w:t>
      </w:r>
      <w:proofErr w:type="spellStart"/>
      <w:r>
        <w:rPr>
          <w:i/>
          <w:iCs/>
          <w:lang w:val="en-US"/>
        </w:rPr>
        <w:t>Cth</w:t>
      </w:r>
      <w:proofErr w:type="spellEnd"/>
      <w:r>
        <w:rPr>
          <w:i/>
          <w:iCs/>
          <w:lang w:val="en-US"/>
        </w:rPr>
        <w:t xml:space="preserve">) </w:t>
      </w:r>
      <w:r>
        <w:rPr>
          <w:lang w:val="en-US"/>
        </w:rPr>
        <w:t>we</w:t>
      </w:r>
      <w:r w:rsidR="004D2738" w:rsidRPr="004D2738">
        <w:rPr>
          <w:lang w:val="en-US"/>
        </w:rPr>
        <w:t xml:space="preserve"> </w:t>
      </w:r>
      <w:r w:rsidR="00197379">
        <w:rPr>
          <w:lang w:val="en-US"/>
        </w:rPr>
        <w:t>agree</w:t>
      </w:r>
      <w:r w:rsidR="006F46BA">
        <w:rPr>
          <w:lang w:val="en-US"/>
        </w:rPr>
        <w:t xml:space="preserve"> </w:t>
      </w:r>
      <w:r w:rsidR="00C86EEC">
        <w:rPr>
          <w:lang w:val="en-US"/>
        </w:rPr>
        <w:t xml:space="preserve">that </w:t>
      </w:r>
      <w:r w:rsidR="008F627B">
        <w:rPr>
          <w:lang w:val="en-US"/>
        </w:rPr>
        <w:t xml:space="preserve">there should be no </w:t>
      </w:r>
      <w:r w:rsidR="005E28AC">
        <w:rPr>
          <w:lang w:val="en-US"/>
        </w:rPr>
        <w:t xml:space="preserve">proposed creation of </w:t>
      </w:r>
      <w:r w:rsidR="008F627B">
        <w:rPr>
          <w:lang w:val="en-US"/>
        </w:rPr>
        <w:t>‘</w:t>
      </w:r>
      <w:r w:rsidR="005E28AC">
        <w:rPr>
          <w:lang w:val="en-US"/>
        </w:rPr>
        <w:t>a</w:t>
      </w:r>
      <w:r w:rsidR="008F627B">
        <w:rPr>
          <w:lang w:val="en-US"/>
        </w:rPr>
        <w:t xml:space="preserve"> single warrant with multiple telecommunications interception powers’. In our view the current legislative requirement that law enforcement agencies apply for either a ‘telecommunica</w:t>
      </w:r>
      <w:r w:rsidR="003030E7">
        <w:rPr>
          <w:lang w:val="en-US"/>
        </w:rPr>
        <w:t>tions service’ warrant (</w:t>
      </w:r>
      <w:proofErr w:type="spellStart"/>
      <w:r w:rsidR="003030E7">
        <w:rPr>
          <w:lang w:val="en-US"/>
        </w:rPr>
        <w:t>authoris</w:t>
      </w:r>
      <w:r w:rsidR="008F627B">
        <w:rPr>
          <w:lang w:val="en-US"/>
        </w:rPr>
        <w:t>ing</w:t>
      </w:r>
      <w:proofErr w:type="spellEnd"/>
      <w:r w:rsidR="008F627B">
        <w:rPr>
          <w:lang w:val="en-US"/>
        </w:rPr>
        <w:t xml:space="preserve"> the interception of only one service, such as a single telephone number)</w:t>
      </w:r>
      <w:r w:rsidR="00C86EEC">
        <w:rPr>
          <w:rStyle w:val="FootnoteReference"/>
          <w:lang w:val="en-US"/>
        </w:rPr>
        <w:footnoteReference w:id="5"/>
      </w:r>
      <w:r w:rsidR="009C5DDF">
        <w:rPr>
          <w:lang w:val="en-US"/>
        </w:rPr>
        <w:t xml:space="preserve"> or a ‘named person’ </w:t>
      </w:r>
      <w:r w:rsidR="009C5DDF">
        <w:rPr>
          <w:lang w:val="en-US"/>
        </w:rPr>
        <w:lastRenderedPageBreak/>
        <w:t>warrant (</w:t>
      </w:r>
      <w:proofErr w:type="spellStart"/>
      <w:r w:rsidR="009C5DDF">
        <w:rPr>
          <w:lang w:val="en-US"/>
        </w:rPr>
        <w:t>auth</w:t>
      </w:r>
      <w:r w:rsidR="003030E7">
        <w:rPr>
          <w:lang w:val="en-US"/>
        </w:rPr>
        <w:t>oris</w:t>
      </w:r>
      <w:r w:rsidR="009C5DDF">
        <w:rPr>
          <w:lang w:val="en-US"/>
        </w:rPr>
        <w:t>ing</w:t>
      </w:r>
      <w:proofErr w:type="spellEnd"/>
      <w:r w:rsidR="009C5DDF">
        <w:rPr>
          <w:lang w:val="en-US"/>
        </w:rPr>
        <w:t xml:space="preserve"> the interception of any telecommunication services or devices that are likely to be used by the person</w:t>
      </w:r>
      <w:r w:rsidR="00717508">
        <w:rPr>
          <w:lang w:val="en-US"/>
        </w:rPr>
        <w:t xml:space="preserve"> named in the warrant)</w:t>
      </w:r>
      <w:r w:rsidR="001B3F11">
        <w:rPr>
          <w:rStyle w:val="FootnoteReference"/>
          <w:lang w:val="en-US"/>
        </w:rPr>
        <w:footnoteReference w:id="6"/>
      </w:r>
      <w:r w:rsidR="00717508">
        <w:rPr>
          <w:lang w:val="en-US"/>
        </w:rPr>
        <w:t xml:space="preserve"> reduces the risk </w:t>
      </w:r>
      <w:r w:rsidR="004D2738" w:rsidRPr="004D2738">
        <w:rPr>
          <w:lang w:val="en-US"/>
        </w:rPr>
        <w:t>tha</w:t>
      </w:r>
      <w:r w:rsidR="00000C33">
        <w:rPr>
          <w:lang w:val="en-US"/>
        </w:rPr>
        <w:t>t law enforcement agencies will</w:t>
      </w:r>
      <w:r w:rsidR="004D2738" w:rsidRPr="004D2738">
        <w:rPr>
          <w:lang w:val="en-US"/>
        </w:rPr>
        <w:t xml:space="preserve"> use all the powers available to them rather than being used for a specific purpose as currently provided in the powers of the two warrants. </w:t>
      </w:r>
    </w:p>
    <w:p w14:paraId="52D3B9CB" w14:textId="77777777" w:rsidR="00D23C53" w:rsidRDefault="00D23C53" w:rsidP="00D23C53">
      <w:pPr>
        <w:jc w:val="both"/>
        <w:rPr>
          <w:lang w:val="en-US"/>
        </w:rPr>
      </w:pPr>
    </w:p>
    <w:p w14:paraId="75A0B322" w14:textId="2F8E6AF8" w:rsidR="00D23C53" w:rsidRPr="00D644FE" w:rsidRDefault="00D644FE" w:rsidP="00D23C53">
      <w:pPr>
        <w:jc w:val="both"/>
        <w:rPr>
          <w:rFonts w:ascii="Times" w:hAnsi="Times"/>
          <w:b/>
        </w:rPr>
      </w:pPr>
      <w:r w:rsidRPr="00D644FE">
        <w:rPr>
          <w:b/>
          <w:i/>
          <w:lang w:val="en-US"/>
        </w:rPr>
        <w:t xml:space="preserve">Australian Security Intelligence </w:t>
      </w:r>
      <w:proofErr w:type="spellStart"/>
      <w:r w:rsidRPr="00D644FE">
        <w:rPr>
          <w:b/>
          <w:i/>
          <w:lang w:val="en-US"/>
        </w:rPr>
        <w:t>Organisation</w:t>
      </w:r>
      <w:proofErr w:type="spellEnd"/>
      <w:r w:rsidRPr="00D644FE">
        <w:rPr>
          <w:b/>
          <w:i/>
          <w:lang w:val="en-US"/>
        </w:rPr>
        <w:t xml:space="preserve"> Act 1979</w:t>
      </w:r>
      <w:r w:rsidRPr="00D644FE">
        <w:rPr>
          <w:b/>
          <w:lang w:val="en-US"/>
        </w:rPr>
        <w:t xml:space="preserve"> (</w:t>
      </w:r>
      <w:proofErr w:type="spellStart"/>
      <w:r w:rsidRPr="00D644FE">
        <w:rPr>
          <w:b/>
          <w:lang w:val="en-US"/>
        </w:rPr>
        <w:t>Cth</w:t>
      </w:r>
      <w:proofErr w:type="spellEnd"/>
      <w:r w:rsidRPr="00D644FE">
        <w:rPr>
          <w:b/>
          <w:lang w:val="en-US"/>
        </w:rPr>
        <w:t>)</w:t>
      </w:r>
    </w:p>
    <w:p w14:paraId="4DAF7B92" w14:textId="36BB90EA" w:rsidR="00B10671" w:rsidRDefault="00D644FE" w:rsidP="00D23C53">
      <w:pPr>
        <w:jc w:val="both"/>
        <w:rPr>
          <w:lang w:val="en-US"/>
        </w:rPr>
      </w:pPr>
      <w:r w:rsidRPr="00D644FE">
        <w:rPr>
          <w:lang w:val="en-US"/>
        </w:rPr>
        <w:t xml:space="preserve">The </w:t>
      </w:r>
      <w:r w:rsidRPr="00D644FE">
        <w:rPr>
          <w:i/>
          <w:lang w:val="en-US"/>
        </w:rPr>
        <w:t xml:space="preserve">Australian Security Intelligence </w:t>
      </w:r>
      <w:proofErr w:type="spellStart"/>
      <w:r w:rsidRPr="00D644FE">
        <w:rPr>
          <w:i/>
          <w:lang w:val="en-US"/>
        </w:rPr>
        <w:t>Organisation</w:t>
      </w:r>
      <w:proofErr w:type="spellEnd"/>
      <w:r w:rsidRPr="00D644FE">
        <w:rPr>
          <w:i/>
          <w:lang w:val="en-US"/>
        </w:rPr>
        <w:t xml:space="preserve"> Act 1979</w:t>
      </w:r>
      <w:r w:rsidRPr="00D644FE">
        <w:rPr>
          <w:lang w:val="en-US"/>
        </w:rPr>
        <w:t xml:space="preserve"> (</w:t>
      </w:r>
      <w:proofErr w:type="spellStart"/>
      <w:r w:rsidRPr="00D644FE">
        <w:rPr>
          <w:lang w:val="en-US"/>
        </w:rPr>
        <w:t>Cth</w:t>
      </w:r>
      <w:proofErr w:type="spellEnd"/>
      <w:r w:rsidRPr="00D644FE">
        <w:rPr>
          <w:lang w:val="en-US"/>
        </w:rPr>
        <w:t>) sets out a number of</w:t>
      </w:r>
      <w:r>
        <w:rPr>
          <w:lang w:val="en-US"/>
        </w:rPr>
        <w:t xml:space="preserve"> warrant powers that Australia’s Security Intelligence </w:t>
      </w:r>
      <w:proofErr w:type="spellStart"/>
      <w:r>
        <w:rPr>
          <w:lang w:val="en-US"/>
        </w:rPr>
        <w:t>Organisation</w:t>
      </w:r>
      <w:proofErr w:type="spellEnd"/>
      <w:r>
        <w:rPr>
          <w:lang w:val="en-US"/>
        </w:rPr>
        <w:t xml:space="preserve"> (ASIO) may apply for including search warrants, computer access warrants, listening devise warrants, tracking device warrants, postal article warrants and delivery service article warrants. As t</w:t>
      </w:r>
      <w:r w:rsidR="00000C33">
        <w:rPr>
          <w:lang w:val="en-US"/>
        </w:rPr>
        <w:t xml:space="preserve">he legislation currently stands, </w:t>
      </w:r>
      <w:r w:rsidR="00B10671">
        <w:rPr>
          <w:lang w:val="en-US"/>
        </w:rPr>
        <w:t>s</w:t>
      </w:r>
      <w:r>
        <w:rPr>
          <w:lang w:val="en-US"/>
        </w:rPr>
        <w:t xml:space="preserve">earch warrants and computer search warrants require the relevant Minister to be satisfied that there are reasonable grounds for believing that access to either the premises or the contents of the computer will substantially assist </w:t>
      </w:r>
      <w:r w:rsidR="00B10671">
        <w:rPr>
          <w:lang w:val="en-US"/>
        </w:rPr>
        <w:t>Australia’s security intelligence.</w:t>
      </w:r>
      <w:r w:rsidR="00E9654A">
        <w:rPr>
          <w:rStyle w:val="FootnoteReference"/>
          <w:lang w:val="en-US"/>
        </w:rPr>
        <w:footnoteReference w:id="7"/>
      </w:r>
      <w:r w:rsidR="00B10671">
        <w:rPr>
          <w:lang w:val="en-US"/>
        </w:rPr>
        <w:t xml:space="preserve"> This can b</w:t>
      </w:r>
      <w:r w:rsidR="00974B59">
        <w:rPr>
          <w:lang w:val="en-US"/>
        </w:rPr>
        <w:t>e contrasted with the threshold requirement</w:t>
      </w:r>
      <w:r w:rsidR="00B10671">
        <w:rPr>
          <w:lang w:val="en-US"/>
        </w:rPr>
        <w:t xml:space="preserve"> for the grant of a listening devise warrant, tracking device warrant, postal article warrants or delivery service article warrants which requires a significantly higher threshold in which a person must be engaged in, or is reasonably suspected of acti</w:t>
      </w:r>
      <w:r w:rsidR="00000C33">
        <w:rPr>
          <w:lang w:val="en-US"/>
        </w:rPr>
        <w:t xml:space="preserve">vities prejudicial to security </w:t>
      </w:r>
      <w:r w:rsidR="00B10671">
        <w:rPr>
          <w:lang w:val="en-US"/>
        </w:rPr>
        <w:t>and</w:t>
      </w:r>
      <w:r w:rsidR="00000C33">
        <w:rPr>
          <w:lang w:val="en-US"/>
        </w:rPr>
        <w:t>;</w:t>
      </w:r>
      <w:r w:rsidR="00B10671">
        <w:rPr>
          <w:lang w:val="en-US"/>
        </w:rPr>
        <w:t xml:space="preserve"> the warrant will assist ASIO to obtain relevant intelligence.</w:t>
      </w:r>
      <w:r w:rsidR="00507A1E">
        <w:rPr>
          <w:rStyle w:val="FootnoteReference"/>
          <w:lang w:val="en-US"/>
        </w:rPr>
        <w:footnoteReference w:id="8"/>
      </w:r>
      <w:r w:rsidR="00B10671">
        <w:rPr>
          <w:lang w:val="en-US"/>
        </w:rPr>
        <w:t xml:space="preserve"> </w:t>
      </w:r>
    </w:p>
    <w:p w14:paraId="6FFBCE89" w14:textId="77777777" w:rsidR="00B10671" w:rsidRDefault="00B10671" w:rsidP="00D23C53">
      <w:pPr>
        <w:jc w:val="both"/>
        <w:rPr>
          <w:lang w:val="en-US"/>
        </w:rPr>
      </w:pPr>
    </w:p>
    <w:p w14:paraId="1E86D8F0" w14:textId="41951896" w:rsidR="00B10671" w:rsidRDefault="00B10671" w:rsidP="00D23C53">
      <w:pPr>
        <w:jc w:val="both"/>
        <w:rPr>
          <w:lang w:val="en-US"/>
        </w:rPr>
      </w:pPr>
      <w:r>
        <w:rPr>
          <w:lang w:val="en-US"/>
        </w:rPr>
        <w:t xml:space="preserve">We </w:t>
      </w:r>
      <w:r w:rsidR="00000C33">
        <w:rPr>
          <w:lang w:val="en-US"/>
        </w:rPr>
        <w:t xml:space="preserve">endorse the </w:t>
      </w:r>
      <w:r w:rsidRPr="004D2738">
        <w:rPr>
          <w:lang w:val="en-US"/>
        </w:rPr>
        <w:t>Gilbe</w:t>
      </w:r>
      <w:r>
        <w:rPr>
          <w:lang w:val="en-US"/>
        </w:rPr>
        <w:t xml:space="preserve">rt + Tobin Centre of Public Law </w:t>
      </w:r>
      <w:r w:rsidR="00000C33">
        <w:rPr>
          <w:lang w:val="en-US"/>
        </w:rPr>
        <w:t xml:space="preserve">recommendation </w:t>
      </w:r>
      <w:r>
        <w:rPr>
          <w:lang w:val="en-US"/>
        </w:rPr>
        <w:t xml:space="preserve">that if </w:t>
      </w:r>
      <w:r w:rsidR="00F13FE1">
        <w:rPr>
          <w:lang w:val="en-US"/>
        </w:rPr>
        <w:t>it is proposed</w:t>
      </w:r>
      <w:r>
        <w:rPr>
          <w:lang w:val="en-US"/>
        </w:rPr>
        <w:t xml:space="preserve"> to create a single category of warrant that the threshold requirement for the grant of the warrant be the higher threshold. We also agree that ASIO should be required </w:t>
      </w:r>
      <w:r w:rsidR="00F13FE1">
        <w:rPr>
          <w:lang w:val="en-US"/>
        </w:rPr>
        <w:t xml:space="preserve">to </w:t>
      </w:r>
      <w:r>
        <w:rPr>
          <w:lang w:val="en-US"/>
        </w:rPr>
        <w:t>specifically set out which out of t</w:t>
      </w:r>
      <w:r w:rsidR="00974B59">
        <w:rPr>
          <w:lang w:val="en-US"/>
        </w:rPr>
        <w:t xml:space="preserve">he warrant powers it is seeking, for example a power to access a computer or use a listening device, </w:t>
      </w:r>
      <w:r>
        <w:rPr>
          <w:lang w:val="en-US"/>
        </w:rPr>
        <w:t xml:space="preserve">so that it is not </w:t>
      </w:r>
      <w:r w:rsidR="002D6999">
        <w:rPr>
          <w:lang w:val="en-US"/>
        </w:rPr>
        <w:t>(</w:t>
      </w:r>
      <w:proofErr w:type="spellStart"/>
      <w:proofErr w:type="gramStart"/>
      <w:r w:rsidR="002D6999">
        <w:rPr>
          <w:lang w:val="en-US"/>
        </w:rPr>
        <w:t>ab</w:t>
      </w:r>
      <w:proofErr w:type="spellEnd"/>
      <w:r w:rsidR="002D6999">
        <w:rPr>
          <w:lang w:val="en-US"/>
        </w:rPr>
        <w:t>)used</w:t>
      </w:r>
      <w:proofErr w:type="gramEnd"/>
      <w:r w:rsidR="002D6999">
        <w:rPr>
          <w:lang w:val="en-US"/>
        </w:rPr>
        <w:t xml:space="preserve"> as “a </w:t>
      </w:r>
      <w:r w:rsidR="002D6999" w:rsidRPr="00F13FE1">
        <w:rPr>
          <w:i/>
          <w:lang w:val="en-US"/>
        </w:rPr>
        <w:t>carte blanche</w:t>
      </w:r>
      <w:r w:rsidR="002D6999">
        <w:rPr>
          <w:lang w:val="en-US"/>
        </w:rPr>
        <w:t xml:space="preserve"> for ASIO to exercise any and all of the warrant powers”.</w:t>
      </w:r>
      <w:r w:rsidR="002D6999">
        <w:rPr>
          <w:rStyle w:val="FootnoteReference"/>
          <w:lang w:val="en-US"/>
        </w:rPr>
        <w:footnoteReference w:id="9"/>
      </w:r>
      <w:r>
        <w:rPr>
          <w:lang w:val="en-US"/>
        </w:rPr>
        <w:t xml:space="preserve">         </w:t>
      </w:r>
    </w:p>
    <w:p w14:paraId="2F595607" w14:textId="77777777" w:rsidR="00E76FB7" w:rsidRDefault="00E76FB7" w:rsidP="00D23C53">
      <w:pPr>
        <w:jc w:val="both"/>
        <w:rPr>
          <w:lang w:val="en-US"/>
        </w:rPr>
      </w:pPr>
    </w:p>
    <w:p w14:paraId="1D95AA05" w14:textId="7D3F4DD8" w:rsidR="008E0D0D" w:rsidRPr="008E0D0D" w:rsidRDefault="008E0D0D" w:rsidP="0041722B">
      <w:pPr>
        <w:jc w:val="both"/>
        <w:rPr>
          <w:b/>
          <w:i/>
          <w:lang w:val="en-US"/>
        </w:rPr>
      </w:pPr>
      <w:r w:rsidRPr="008E0D0D">
        <w:rPr>
          <w:b/>
          <w:i/>
          <w:lang w:val="en-US"/>
        </w:rPr>
        <w:t>- Broadening the definition of Computer</w:t>
      </w:r>
    </w:p>
    <w:p w14:paraId="3505A978" w14:textId="42ADB8C1" w:rsidR="0041722B" w:rsidRDefault="00CD7A1D" w:rsidP="0041722B">
      <w:pPr>
        <w:jc w:val="both"/>
        <w:rPr>
          <w:lang w:val="en-US"/>
        </w:rPr>
      </w:pPr>
      <w:r>
        <w:rPr>
          <w:lang w:val="en-US"/>
        </w:rPr>
        <w:t xml:space="preserve">Similarly, </w:t>
      </w:r>
      <w:r w:rsidR="0041722B">
        <w:rPr>
          <w:lang w:val="en-US"/>
        </w:rPr>
        <w:t xml:space="preserve">we share </w:t>
      </w:r>
      <w:r w:rsidR="0041722B" w:rsidRPr="004D2738">
        <w:rPr>
          <w:lang w:val="en-US"/>
        </w:rPr>
        <w:t>Gilbe</w:t>
      </w:r>
      <w:r w:rsidR="0041722B">
        <w:rPr>
          <w:lang w:val="en-US"/>
        </w:rPr>
        <w:t>rt + T</w:t>
      </w:r>
      <w:r w:rsidR="00F13FE1">
        <w:rPr>
          <w:lang w:val="en-US"/>
        </w:rPr>
        <w:t>obin Centre of Public Law’s concerns</w:t>
      </w:r>
      <w:r w:rsidR="0041722B">
        <w:rPr>
          <w:lang w:val="en-US"/>
        </w:rPr>
        <w:t xml:space="preserve"> that any broadening of </w:t>
      </w:r>
      <w:r>
        <w:rPr>
          <w:lang w:val="en-US"/>
        </w:rPr>
        <w:t xml:space="preserve">the definition of ‘computer’ </w:t>
      </w:r>
      <w:r w:rsidR="0041722B">
        <w:rPr>
          <w:lang w:val="en-US"/>
        </w:rPr>
        <w:t xml:space="preserve">to include a network of computers should be accompanied by a corresponding </w:t>
      </w:r>
      <w:r w:rsidR="008E0D0D">
        <w:rPr>
          <w:lang w:val="en-US"/>
        </w:rPr>
        <w:t>narrowing</w:t>
      </w:r>
      <w:r w:rsidR="0041722B">
        <w:rPr>
          <w:lang w:val="en-US"/>
        </w:rPr>
        <w:t xml:space="preserve"> of the circumstanc</w:t>
      </w:r>
      <w:r w:rsidR="008E0D0D">
        <w:rPr>
          <w:lang w:val="en-US"/>
        </w:rPr>
        <w:t>es in which such a warrant may</w:t>
      </w:r>
      <w:r w:rsidR="0041722B">
        <w:rPr>
          <w:lang w:val="en-US"/>
        </w:rPr>
        <w:t xml:space="preserve"> </w:t>
      </w:r>
      <w:r w:rsidR="00071053">
        <w:rPr>
          <w:lang w:val="en-US"/>
        </w:rPr>
        <w:t>be issued</w:t>
      </w:r>
      <w:r w:rsidR="0041722B">
        <w:rPr>
          <w:lang w:val="en-US"/>
        </w:rPr>
        <w:t>:</w:t>
      </w:r>
      <w:r w:rsidR="0041722B">
        <w:rPr>
          <w:rStyle w:val="FootnoteReference"/>
          <w:lang w:val="en-US"/>
        </w:rPr>
        <w:footnoteReference w:id="10"/>
      </w:r>
    </w:p>
    <w:p w14:paraId="7016FB21" w14:textId="77777777" w:rsidR="0041722B" w:rsidRDefault="0041722B" w:rsidP="0041722B">
      <w:pPr>
        <w:jc w:val="both"/>
        <w:rPr>
          <w:lang w:val="en-US"/>
        </w:rPr>
      </w:pPr>
    </w:p>
    <w:p w14:paraId="56DCDB6A" w14:textId="58AB68E0" w:rsidR="00D23C53" w:rsidRPr="0041722B" w:rsidRDefault="00D23C53" w:rsidP="0041722B">
      <w:pPr>
        <w:ind w:left="851" w:right="1354"/>
        <w:jc w:val="both"/>
        <w:rPr>
          <w:sz w:val="22"/>
          <w:szCs w:val="22"/>
          <w:lang w:val="en-US"/>
        </w:rPr>
      </w:pPr>
      <w:r w:rsidRPr="0041722B">
        <w:rPr>
          <w:sz w:val="22"/>
          <w:szCs w:val="22"/>
          <w:lang w:val="en-US"/>
        </w:rPr>
        <w:t>ASIO should not be able to seek a warrant to access the computers on a particular network unless there are reasonable grounds to believe that the person in relation to whom intelligence is being sought had a connection with computers other than his</w:t>
      </w:r>
      <w:r w:rsidR="0041722B" w:rsidRPr="0041722B">
        <w:rPr>
          <w:sz w:val="22"/>
          <w:szCs w:val="22"/>
          <w:lang w:val="en-US"/>
        </w:rPr>
        <w:t xml:space="preserve"> own on the network</w:t>
      </w:r>
      <w:r w:rsidRPr="0041722B">
        <w:rPr>
          <w:sz w:val="22"/>
          <w:szCs w:val="22"/>
          <w:lang w:val="en-US"/>
        </w:rPr>
        <w:t xml:space="preserve">. </w:t>
      </w:r>
    </w:p>
    <w:p w14:paraId="48199E6E" w14:textId="77777777" w:rsidR="00CD7A1D" w:rsidRDefault="00CD7A1D" w:rsidP="009362A7">
      <w:pPr>
        <w:jc w:val="both"/>
        <w:rPr>
          <w:lang w:val="en-US"/>
        </w:rPr>
      </w:pPr>
    </w:p>
    <w:p w14:paraId="78844524" w14:textId="77777777" w:rsidR="00F46499" w:rsidRDefault="00F46499" w:rsidP="00313CB9">
      <w:pPr>
        <w:jc w:val="both"/>
        <w:rPr>
          <w:b/>
          <w:i/>
          <w:lang w:val="en-US"/>
        </w:rPr>
      </w:pPr>
    </w:p>
    <w:p w14:paraId="009A6204" w14:textId="3DAEE162" w:rsidR="008E0D0D" w:rsidRPr="008E0D0D" w:rsidRDefault="008E0D0D" w:rsidP="00313CB9">
      <w:pPr>
        <w:jc w:val="both"/>
        <w:rPr>
          <w:b/>
          <w:i/>
          <w:lang w:val="en-US"/>
        </w:rPr>
      </w:pPr>
      <w:r w:rsidRPr="008E0D0D">
        <w:rPr>
          <w:b/>
          <w:i/>
          <w:lang w:val="en-US"/>
        </w:rPr>
        <w:lastRenderedPageBreak/>
        <w:t>- Search Powers</w:t>
      </w:r>
    </w:p>
    <w:p w14:paraId="62D98AA1" w14:textId="77777777" w:rsidR="00F13FE1" w:rsidRDefault="00F13FE1" w:rsidP="00313CB9">
      <w:pPr>
        <w:jc w:val="both"/>
        <w:rPr>
          <w:lang w:val="en-US"/>
        </w:rPr>
      </w:pPr>
      <w:r>
        <w:rPr>
          <w:lang w:val="en-US"/>
        </w:rPr>
        <w:t>The Discussion Paper also proposes that ASIO</w:t>
      </w:r>
      <w:r w:rsidR="00A16D19" w:rsidRPr="004D2738">
        <w:rPr>
          <w:lang w:val="en-US"/>
        </w:rPr>
        <w:t xml:space="preserve"> be able to apply for a warrant to search a person, ‘regardless of whether a premises search warrant has been issued and where the person is’.</w:t>
      </w:r>
      <w:r w:rsidR="00A16D19">
        <w:rPr>
          <w:lang w:val="en-US"/>
        </w:rPr>
        <w:t xml:space="preserve"> This would amount to a significant expansion of the personal search powers currently provided by section 25(4A) of the </w:t>
      </w:r>
      <w:r w:rsidR="00A16D19" w:rsidRPr="00D644FE">
        <w:rPr>
          <w:i/>
          <w:lang w:val="en-US"/>
        </w:rPr>
        <w:t xml:space="preserve">Australian Security Intelligence </w:t>
      </w:r>
      <w:proofErr w:type="spellStart"/>
      <w:r w:rsidR="00A16D19" w:rsidRPr="00D644FE">
        <w:rPr>
          <w:i/>
          <w:lang w:val="en-US"/>
        </w:rPr>
        <w:t>Organisation</w:t>
      </w:r>
      <w:proofErr w:type="spellEnd"/>
      <w:r w:rsidR="00A16D19" w:rsidRPr="00D644FE">
        <w:rPr>
          <w:i/>
          <w:lang w:val="en-US"/>
        </w:rPr>
        <w:t xml:space="preserve"> Act 1979</w:t>
      </w:r>
      <w:r w:rsidR="00A16D19">
        <w:rPr>
          <w:lang w:val="en-US"/>
        </w:rPr>
        <w:t xml:space="preserve"> (</w:t>
      </w:r>
      <w:proofErr w:type="spellStart"/>
      <w:r w:rsidR="00A16D19">
        <w:rPr>
          <w:lang w:val="en-US"/>
        </w:rPr>
        <w:t>Cth</w:t>
      </w:r>
      <w:proofErr w:type="spellEnd"/>
      <w:r w:rsidR="00A16D19">
        <w:rPr>
          <w:lang w:val="en-US"/>
        </w:rPr>
        <w:t>) which limits the powers of ASIO to conduct a person search to circumstances in which (</w:t>
      </w:r>
      <w:proofErr w:type="spellStart"/>
      <w:r w:rsidR="00A16D19">
        <w:rPr>
          <w:lang w:val="en-US"/>
        </w:rPr>
        <w:t>i</w:t>
      </w:r>
      <w:proofErr w:type="spellEnd"/>
      <w:r w:rsidR="00A16D19">
        <w:rPr>
          <w:lang w:val="en-US"/>
        </w:rPr>
        <w:t>) it is specified in the warrant; (ii) the person is at or near the premises where the warrant is being executed</w:t>
      </w:r>
      <w:r w:rsidR="006F604E">
        <w:rPr>
          <w:lang w:val="en-US"/>
        </w:rPr>
        <w:t xml:space="preserve"> and; </w:t>
      </w:r>
      <w:r w:rsidR="00A16D19">
        <w:rPr>
          <w:lang w:val="en-US"/>
        </w:rPr>
        <w:t>(iii) there is reasonable cause to believe that the person has records r</w:t>
      </w:r>
      <w:r w:rsidR="009362A7">
        <w:rPr>
          <w:lang w:val="en-US"/>
        </w:rPr>
        <w:t xml:space="preserve">elevant to the security matter. </w:t>
      </w:r>
    </w:p>
    <w:p w14:paraId="226D8169" w14:textId="77777777" w:rsidR="00F13FE1" w:rsidRDefault="00F13FE1" w:rsidP="00313CB9">
      <w:pPr>
        <w:jc w:val="both"/>
        <w:rPr>
          <w:lang w:val="en-US"/>
        </w:rPr>
      </w:pPr>
    </w:p>
    <w:p w14:paraId="5E69C86D" w14:textId="1A089328" w:rsidR="00D23C53" w:rsidRDefault="00313CB9" w:rsidP="00313CB9">
      <w:pPr>
        <w:jc w:val="both"/>
        <w:rPr>
          <w:lang w:val="en-US"/>
        </w:rPr>
      </w:pPr>
      <w:r>
        <w:rPr>
          <w:lang w:val="en-US"/>
        </w:rPr>
        <w:t xml:space="preserve">If the </w:t>
      </w:r>
      <w:r w:rsidR="00F13FE1">
        <w:rPr>
          <w:lang w:val="en-US"/>
        </w:rPr>
        <w:t>Government intends</w:t>
      </w:r>
      <w:r>
        <w:rPr>
          <w:lang w:val="en-US"/>
        </w:rPr>
        <w:t xml:space="preserve"> to expand the personal </w:t>
      </w:r>
      <w:r w:rsidR="00F13FE1">
        <w:rPr>
          <w:lang w:val="en-US"/>
        </w:rPr>
        <w:t xml:space="preserve">search provisions than we would </w:t>
      </w:r>
      <w:r>
        <w:rPr>
          <w:lang w:val="en-US"/>
        </w:rPr>
        <w:t xml:space="preserve">urge that a number of </w:t>
      </w:r>
      <w:r w:rsidR="00C36E6A">
        <w:rPr>
          <w:lang w:val="en-US"/>
        </w:rPr>
        <w:t xml:space="preserve">legislative </w:t>
      </w:r>
      <w:r>
        <w:rPr>
          <w:lang w:val="en-US"/>
        </w:rPr>
        <w:t xml:space="preserve">safeguards be </w:t>
      </w:r>
      <w:r w:rsidR="00C36E6A">
        <w:rPr>
          <w:lang w:val="en-US"/>
        </w:rPr>
        <w:t>guaranteed</w:t>
      </w:r>
      <w:r>
        <w:rPr>
          <w:lang w:val="en-US"/>
        </w:rPr>
        <w:t xml:space="preserve"> </w:t>
      </w:r>
      <w:r w:rsidR="00F13FE1">
        <w:rPr>
          <w:lang w:val="en-US"/>
        </w:rPr>
        <w:t xml:space="preserve">as set out in the </w:t>
      </w:r>
      <w:r w:rsidR="00F13FE1" w:rsidRPr="004D2738">
        <w:rPr>
          <w:lang w:val="en-US"/>
        </w:rPr>
        <w:t>Gilbe</w:t>
      </w:r>
      <w:r w:rsidR="00F13FE1">
        <w:rPr>
          <w:lang w:val="en-US"/>
        </w:rPr>
        <w:t xml:space="preserve">rt + Tobin Centre of Public Law submission, </w:t>
      </w:r>
      <w:r>
        <w:rPr>
          <w:lang w:val="en-US"/>
        </w:rPr>
        <w:t>including</w:t>
      </w:r>
      <w:r w:rsidR="00C36E6A">
        <w:rPr>
          <w:lang w:val="en-US"/>
        </w:rPr>
        <w:t xml:space="preserve"> </w:t>
      </w:r>
      <w:r>
        <w:rPr>
          <w:lang w:val="en-US"/>
        </w:rPr>
        <w:t xml:space="preserve">that the warrants be issued by an independent judicial officer, </w:t>
      </w:r>
      <w:r w:rsidR="00D23C53" w:rsidRPr="004D2738">
        <w:rPr>
          <w:lang w:val="en-US"/>
        </w:rPr>
        <w:t>a reasonable suspicio</w:t>
      </w:r>
      <w:r>
        <w:rPr>
          <w:lang w:val="en-US"/>
        </w:rPr>
        <w:t>n requirement be included;</w:t>
      </w:r>
      <w:r w:rsidR="00D23C53" w:rsidRPr="004D2738">
        <w:rPr>
          <w:lang w:val="en-US"/>
        </w:rPr>
        <w:t xml:space="preserve"> the person to whom the warrant is to be applied to is to be informed of the identity of the agency conducting the search and to whom he or sh</w:t>
      </w:r>
      <w:r w:rsidR="00C36E6A">
        <w:rPr>
          <w:lang w:val="en-US"/>
        </w:rPr>
        <w:t>e may make any complaint/s;</w:t>
      </w:r>
      <w:r w:rsidR="00D23C53" w:rsidRPr="004D2738">
        <w:rPr>
          <w:lang w:val="en-US"/>
        </w:rPr>
        <w:t xml:space="preserve"> the search mu</w:t>
      </w:r>
      <w:r w:rsidR="00C36E6A">
        <w:rPr>
          <w:lang w:val="en-US"/>
        </w:rPr>
        <w:t>st be carried out in public;</w:t>
      </w:r>
      <w:r w:rsidR="00D23C53" w:rsidRPr="004D2738">
        <w:rPr>
          <w:lang w:val="en-US"/>
        </w:rPr>
        <w:t xml:space="preserve"> the warrant should operate for only a short period of time and; the search should be no more intrusive than is reasonably </w:t>
      </w:r>
      <w:r w:rsidR="00C36E6A">
        <w:rPr>
          <w:lang w:val="en-US"/>
        </w:rPr>
        <w:t>necessary in the circumstances</w:t>
      </w:r>
      <w:r w:rsidR="00D23C53" w:rsidRPr="004D2738">
        <w:rPr>
          <w:lang w:val="en-US"/>
        </w:rPr>
        <w:t>.</w:t>
      </w:r>
    </w:p>
    <w:p w14:paraId="53317819" w14:textId="77777777" w:rsidR="008332B6" w:rsidRDefault="008332B6" w:rsidP="00313CB9">
      <w:pPr>
        <w:jc w:val="both"/>
        <w:rPr>
          <w:lang w:val="en-US"/>
        </w:rPr>
      </w:pPr>
    </w:p>
    <w:p w14:paraId="58B1FF28" w14:textId="3F968B8E" w:rsidR="00D37D5E" w:rsidRPr="00D37D5E" w:rsidRDefault="00D37D5E" w:rsidP="008332B6">
      <w:pPr>
        <w:jc w:val="both"/>
        <w:rPr>
          <w:b/>
          <w:i/>
          <w:lang w:val="en-US"/>
        </w:rPr>
      </w:pPr>
      <w:r w:rsidRPr="00D37D5E">
        <w:rPr>
          <w:b/>
          <w:i/>
          <w:lang w:val="en-US"/>
        </w:rPr>
        <w:t>- Issuance of Evidentiary Certificates</w:t>
      </w:r>
    </w:p>
    <w:p w14:paraId="63EE06B9" w14:textId="329DB60F" w:rsidR="006A187B" w:rsidRDefault="006A187B" w:rsidP="008332B6">
      <w:pPr>
        <w:jc w:val="both"/>
        <w:rPr>
          <w:lang w:val="en-US"/>
        </w:rPr>
      </w:pPr>
      <w:r>
        <w:rPr>
          <w:lang w:val="en-US"/>
        </w:rPr>
        <w:t xml:space="preserve">Evidentiary certificates protect </w:t>
      </w:r>
      <w:r w:rsidR="00F065EE">
        <w:rPr>
          <w:lang w:val="en-US"/>
        </w:rPr>
        <w:t xml:space="preserve">both the </w:t>
      </w:r>
      <w:r w:rsidR="00C26AFA">
        <w:rPr>
          <w:lang w:val="en-US"/>
        </w:rPr>
        <w:t>identit</w:t>
      </w:r>
      <w:r w:rsidR="00F065EE">
        <w:rPr>
          <w:lang w:val="en-US"/>
        </w:rPr>
        <w:t xml:space="preserve">ies of ASIO officers </w:t>
      </w:r>
      <w:r w:rsidR="003030E7">
        <w:rPr>
          <w:lang w:val="en-US"/>
        </w:rPr>
        <w:t>and</w:t>
      </w:r>
      <w:r w:rsidR="00F065EE">
        <w:rPr>
          <w:lang w:val="en-US"/>
        </w:rPr>
        <w:t xml:space="preserve"> </w:t>
      </w:r>
      <w:r>
        <w:rPr>
          <w:lang w:val="en-US"/>
        </w:rPr>
        <w:t xml:space="preserve">sensitive </w:t>
      </w:r>
      <w:r w:rsidR="00F065EE">
        <w:rPr>
          <w:lang w:val="en-US"/>
        </w:rPr>
        <w:t>information</w:t>
      </w:r>
      <w:r>
        <w:rPr>
          <w:lang w:val="en-US"/>
        </w:rPr>
        <w:t xml:space="preserve"> and are us</w:t>
      </w:r>
      <w:r w:rsidR="00F065EE">
        <w:rPr>
          <w:lang w:val="en-US"/>
        </w:rPr>
        <w:t xml:space="preserve">ed in part to protect witnesses </w:t>
      </w:r>
      <w:r>
        <w:rPr>
          <w:lang w:val="en-US"/>
        </w:rPr>
        <w:t xml:space="preserve">from having to give evidence as to how the material was obtained. We agree that whilst </w:t>
      </w:r>
      <w:r w:rsidR="00AD1C44">
        <w:rPr>
          <w:lang w:val="en-US"/>
        </w:rPr>
        <w:t>it may be appropriate to allow evidentiary certificates</w:t>
      </w:r>
      <w:r>
        <w:rPr>
          <w:lang w:val="en-US"/>
        </w:rPr>
        <w:t xml:space="preserve"> </w:t>
      </w:r>
      <w:r w:rsidR="00AD1C44">
        <w:rPr>
          <w:lang w:val="en-US"/>
        </w:rPr>
        <w:t xml:space="preserve">to the </w:t>
      </w:r>
      <w:r>
        <w:rPr>
          <w:lang w:val="en-US"/>
        </w:rPr>
        <w:t xml:space="preserve">warrant powers </w:t>
      </w:r>
      <w:r w:rsidR="00AD1C44">
        <w:rPr>
          <w:lang w:val="en-US"/>
        </w:rPr>
        <w:t>dealing specifically with technology –such as listening devise warrants, computer access warrants and tracking device warrants</w:t>
      </w:r>
      <w:r w:rsidR="003030E7">
        <w:rPr>
          <w:lang w:val="en-US"/>
        </w:rPr>
        <w:t xml:space="preserve">– </w:t>
      </w:r>
      <w:r w:rsidR="00AD1C44">
        <w:rPr>
          <w:lang w:val="en-US"/>
        </w:rPr>
        <w:t>it is not</w:t>
      </w:r>
      <w:r w:rsidR="00C26AFA">
        <w:rPr>
          <w:lang w:val="en-US"/>
        </w:rPr>
        <w:t xml:space="preserve"> appropriate for</w:t>
      </w:r>
      <w:r w:rsidR="00F065EE">
        <w:rPr>
          <w:lang w:val="en-US"/>
        </w:rPr>
        <w:t xml:space="preserve"> those warrants</w:t>
      </w:r>
      <w:r w:rsidR="00C26AFA">
        <w:rPr>
          <w:lang w:val="en-US"/>
        </w:rPr>
        <w:t xml:space="preserve"> defined as ‘physically intrusive’ </w:t>
      </w:r>
      <w:r w:rsidR="00F065EE">
        <w:rPr>
          <w:lang w:val="en-US"/>
        </w:rPr>
        <w:t>by the</w:t>
      </w:r>
      <w:r w:rsidR="00F065EE" w:rsidRPr="00C26AFA">
        <w:rPr>
          <w:lang w:val="en-US"/>
        </w:rPr>
        <w:t xml:space="preserve"> </w:t>
      </w:r>
      <w:r w:rsidR="00F065EE" w:rsidRPr="004D2738">
        <w:rPr>
          <w:lang w:val="en-US"/>
        </w:rPr>
        <w:t>Gilbe</w:t>
      </w:r>
      <w:r w:rsidR="00F065EE">
        <w:rPr>
          <w:lang w:val="en-US"/>
        </w:rPr>
        <w:t>rt + Tobin Centre of Public Law and including</w:t>
      </w:r>
      <w:r w:rsidR="00C26AFA">
        <w:rPr>
          <w:lang w:val="en-US"/>
        </w:rPr>
        <w:t xml:space="preserve"> </w:t>
      </w:r>
      <w:r w:rsidR="00C26AFA" w:rsidRPr="004D2738">
        <w:rPr>
          <w:lang w:val="en-US"/>
        </w:rPr>
        <w:t xml:space="preserve">search </w:t>
      </w:r>
      <w:r w:rsidR="00C26AFA">
        <w:rPr>
          <w:lang w:val="en-US"/>
        </w:rPr>
        <w:t>warrants</w:t>
      </w:r>
      <w:r w:rsidR="00C26AFA" w:rsidRPr="004D2738">
        <w:rPr>
          <w:lang w:val="en-US"/>
        </w:rPr>
        <w:t>, inspection of postal and delivery service a</w:t>
      </w:r>
      <w:r w:rsidR="00C26AFA">
        <w:rPr>
          <w:lang w:val="en-US"/>
        </w:rPr>
        <w:t>rticle warrants and</w:t>
      </w:r>
      <w:r w:rsidR="00C26AFA" w:rsidRPr="004D2738">
        <w:rPr>
          <w:lang w:val="en-US"/>
        </w:rPr>
        <w:t xml:space="preserve"> questioning and d</w:t>
      </w:r>
      <w:r w:rsidR="00C26AFA">
        <w:rPr>
          <w:lang w:val="en-US"/>
        </w:rPr>
        <w:t>etention warrants</w:t>
      </w:r>
      <w:r w:rsidR="00F065EE">
        <w:rPr>
          <w:lang w:val="en-US"/>
        </w:rPr>
        <w:t>.</w:t>
      </w:r>
      <w:r w:rsidR="003030E7">
        <w:rPr>
          <w:lang w:val="en-US"/>
        </w:rPr>
        <w:t xml:space="preserve"> W</w:t>
      </w:r>
      <w:r w:rsidR="00012AD0">
        <w:rPr>
          <w:lang w:val="en-US"/>
        </w:rPr>
        <w:t xml:space="preserve">e </w:t>
      </w:r>
      <w:r w:rsidR="003030E7">
        <w:rPr>
          <w:lang w:val="en-US"/>
        </w:rPr>
        <w:t xml:space="preserve">therefore </w:t>
      </w:r>
      <w:r w:rsidR="00012AD0">
        <w:rPr>
          <w:lang w:val="en-US"/>
        </w:rPr>
        <w:t xml:space="preserve">recommend that evidentiary certificates be limited to listening devise warrants, computer access warrants and tracking device warrants.  </w:t>
      </w:r>
      <w:r w:rsidR="00C26AFA">
        <w:rPr>
          <w:lang w:val="en-US"/>
        </w:rPr>
        <w:t xml:space="preserve"> </w:t>
      </w:r>
      <w:r w:rsidR="00AD1C44">
        <w:rPr>
          <w:lang w:val="en-US"/>
        </w:rPr>
        <w:t xml:space="preserve"> </w:t>
      </w:r>
      <w:r>
        <w:rPr>
          <w:lang w:val="en-US"/>
        </w:rPr>
        <w:t xml:space="preserve"> </w:t>
      </w:r>
    </w:p>
    <w:p w14:paraId="2E6F3BAA" w14:textId="77777777" w:rsidR="006A187B" w:rsidRDefault="006A187B" w:rsidP="008332B6">
      <w:pPr>
        <w:jc w:val="both"/>
        <w:rPr>
          <w:lang w:val="en-US"/>
        </w:rPr>
      </w:pPr>
    </w:p>
    <w:p w14:paraId="675E1B30" w14:textId="36B07AFA" w:rsidR="003030E7" w:rsidRPr="003030E7" w:rsidRDefault="003030E7" w:rsidP="007C152A">
      <w:pPr>
        <w:jc w:val="both"/>
        <w:rPr>
          <w:b/>
          <w:i/>
          <w:lang w:val="en-US"/>
        </w:rPr>
      </w:pPr>
      <w:r w:rsidRPr="003030E7">
        <w:rPr>
          <w:b/>
          <w:i/>
          <w:lang w:val="en-US"/>
        </w:rPr>
        <w:t xml:space="preserve">- </w:t>
      </w:r>
      <w:proofErr w:type="spellStart"/>
      <w:r w:rsidRPr="003030E7">
        <w:rPr>
          <w:b/>
          <w:i/>
          <w:lang w:val="en-US"/>
        </w:rPr>
        <w:t>Authorised</w:t>
      </w:r>
      <w:proofErr w:type="spellEnd"/>
      <w:r w:rsidRPr="003030E7">
        <w:rPr>
          <w:b/>
          <w:i/>
          <w:lang w:val="en-US"/>
        </w:rPr>
        <w:t xml:space="preserve"> Intelligence Operation Certificates</w:t>
      </w:r>
    </w:p>
    <w:p w14:paraId="59F4F994" w14:textId="77777777" w:rsidR="00F851F9" w:rsidRDefault="007C152A" w:rsidP="007C152A">
      <w:pPr>
        <w:jc w:val="both"/>
        <w:rPr>
          <w:lang w:val="en-US"/>
        </w:rPr>
      </w:pPr>
      <w:r>
        <w:rPr>
          <w:lang w:val="en-US"/>
        </w:rPr>
        <w:t xml:space="preserve">Finally, </w:t>
      </w:r>
      <w:r w:rsidR="00012AD0">
        <w:rPr>
          <w:lang w:val="en-US"/>
        </w:rPr>
        <w:t>the Discussion Paper proposes that ASIO officers and persons working in an unofficial capacity for ASIO be protected from criminal liability in circumstances in which criminal activity is engaged in during the cou</w:t>
      </w:r>
      <w:r w:rsidR="005F5E34">
        <w:rPr>
          <w:lang w:val="en-US"/>
        </w:rPr>
        <w:t xml:space="preserve">rse of an undercover operation. The proposal would </w:t>
      </w:r>
      <w:r w:rsidR="005F5E34" w:rsidRPr="004D2738">
        <w:rPr>
          <w:lang w:val="en-US"/>
        </w:rPr>
        <w:t xml:space="preserve">allow the </w:t>
      </w:r>
      <w:r w:rsidR="005F5E34">
        <w:rPr>
          <w:lang w:val="en-US"/>
        </w:rPr>
        <w:t>head of ASIO to issue ‘</w:t>
      </w:r>
      <w:proofErr w:type="spellStart"/>
      <w:r w:rsidR="005F5E34">
        <w:rPr>
          <w:lang w:val="en-US"/>
        </w:rPr>
        <w:t>authorised</w:t>
      </w:r>
      <w:proofErr w:type="spellEnd"/>
      <w:r w:rsidR="005F5E34">
        <w:rPr>
          <w:lang w:val="en-US"/>
        </w:rPr>
        <w:t xml:space="preserve"> intelligence operation certificates’ granting</w:t>
      </w:r>
      <w:r w:rsidR="005F5E34" w:rsidRPr="004D2738">
        <w:rPr>
          <w:lang w:val="en-US"/>
        </w:rPr>
        <w:t> immunity from criminal and civil liability for specified conduct for a specified period.</w:t>
      </w:r>
      <w:r w:rsidR="00D81D13">
        <w:rPr>
          <w:lang w:val="en-US"/>
        </w:rPr>
        <w:t xml:space="preserve"> As has been observed, it is unclear why this power is considered necessary with the Commonwealth Director of Public Prosecutions</w:t>
      </w:r>
      <w:r w:rsidR="00F851F9">
        <w:rPr>
          <w:lang w:val="en-US"/>
        </w:rPr>
        <w:t xml:space="preserve"> retain</w:t>
      </w:r>
      <w:r>
        <w:rPr>
          <w:lang w:val="en-US"/>
        </w:rPr>
        <w:t xml:space="preserve">ing </w:t>
      </w:r>
      <w:r w:rsidR="00D81D13">
        <w:rPr>
          <w:lang w:val="en-US"/>
        </w:rPr>
        <w:t>discretion whether or not to prosecute.</w:t>
      </w:r>
      <w:r>
        <w:rPr>
          <w:rStyle w:val="FootnoteReference"/>
          <w:lang w:val="en-US"/>
        </w:rPr>
        <w:footnoteReference w:id="11"/>
      </w:r>
      <w:r>
        <w:rPr>
          <w:lang w:val="en-US"/>
        </w:rPr>
        <w:t xml:space="preserve"> </w:t>
      </w:r>
    </w:p>
    <w:p w14:paraId="6DA11D27" w14:textId="77777777" w:rsidR="00F851F9" w:rsidRDefault="00F851F9" w:rsidP="007C152A">
      <w:pPr>
        <w:jc w:val="both"/>
        <w:rPr>
          <w:lang w:val="en-US"/>
        </w:rPr>
      </w:pPr>
    </w:p>
    <w:p w14:paraId="642AC8B4" w14:textId="2617799C" w:rsidR="00D23C53" w:rsidRPr="007C152A" w:rsidRDefault="007C152A" w:rsidP="007C152A">
      <w:pPr>
        <w:jc w:val="both"/>
        <w:rPr>
          <w:lang w:val="en-US"/>
        </w:rPr>
      </w:pPr>
      <w:r>
        <w:rPr>
          <w:lang w:val="en-US"/>
        </w:rPr>
        <w:t xml:space="preserve">Nevertheless, if legislation is to be introduced granting immunity then we would urge that the minimum safeguards set out in the </w:t>
      </w:r>
      <w:r w:rsidRPr="004D2738">
        <w:rPr>
          <w:lang w:val="en-US"/>
        </w:rPr>
        <w:t>Gilbe</w:t>
      </w:r>
      <w:r>
        <w:rPr>
          <w:lang w:val="en-US"/>
        </w:rPr>
        <w:t xml:space="preserve">rt + Tobin Centre of Public </w:t>
      </w:r>
      <w:r>
        <w:rPr>
          <w:lang w:val="en-US"/>
        </w:rPr>
        <w:lastRenderedPageBreak/>
        <w:t xml:space="preserve">Law submission be adopted </w:t>
      </w:r>
      <w:r w:rsidR="00D23C53" w:rsidRPr="004D2738">
        <w:rPr>
          <w:lang w:val="en-US"/>
        </w:rPr>
        <w:t>including  (</w:t>
      </w:r>
      <w:proofErr w:type="spellStart"/>
      <w:r w:rsidR="00D23C53" w:rsidRPr="004D2738">
        <w:rPr>
          <w:lang w:val="en-US"/>
        </w:rPr>
        <w:t>i</w:t>
      </w:r>
      <w:proofErr w:type="spellEnd"/>
      <w:r w:rsidR="00D23C53" w:rsidRPr="004D2738">
        <w:rPr>
          <w:lang w:val="en-US"/>
        </w:rPr>
        <w:t>) criteria by which an appropriate level of seriousness is required before u</w:t>
      </w:r>
      <w:r w:rsidR="003030E7">
        <w:rPr>
          <w:lang w:val="en-US"/>
        </w:rPr>
        <w:t xml:space="preserve">nlawful conduct will be </w:t>
      </w:r>
      <w:proofErr w:type="spellStart"/>
      <w:r w:rsidR="003030E7">
        <w:rPr>
          <w:lang w:val="en-US"/>
        </w:rPr>
        <w:t>authoris</w:t>
      </w:r>
      <w:r w:rsidR="00D23C53" w:rsidRPr="004D2738">
        <w:rPr>
          <w:lang w:val="en-US"/>
        </w:rPr>
        <w:t>ed</w:t>
      </w:r>
      <w:proofErr w:type="spellEnd"/>
      <w:r w:rsidR="00D23C53" w:rsidRPr="004D2738">
        <w:rPr>
          <w:lang w:val="en-US"/>
        </w:rPr>
        <w:t>; (ii) that time-limits be limited to three months; (iii) that ext</w:t>
      </w:r>
      <w:r w:rsidR="003030E7">
        <w:rPr>
          <w:lang w:val="en-US"/>
        </w:rPr>
        <w:t xml:space="preserve">ensions/renewals of the </w:t>
      </w:r>
      <w:proofErr w:type="spellStart"/>
      <w:r w:rsidR="003030E7">
        <w:rPr>
          <w:lang w:val="en-US"/>
        </w:rPr>
        <w:t>authoris</w:t>
      </w:r>
      <w:r w:rsidR="00D23C53" w:rsidRPr="004D2738">
        <w:rPr>
          <w:lang w:val="en-US"/>
        </w:rPr>
        <w:t>ation</w:t>
      </w:r>
      <w:proofErr w:type="spellEnd"/>
      <w:r w:rsidR="00D23C53" w:rsidRPr="004D2738">
        <w:rPr>
          <w:lang w:val="en-US"/>
        </w:rPr>
        <w:t xml:space="preserve"> be given to an independent body; (iv) that there be appropriate record-keeping and reporting requirements; (v) that a wider range of conduct be prohibited and finally; </w:t>
      </w:r>
      <w:r>
        <w:rPr>
          <w:lang w:val="en-US"/>
        </w:rPr>
        <w:t xml:space="preserve">(vi) </w:t>
      </w:r>
      <w:r w:rsidR="00D23C53" w:rsidRPr="004D2738">
        <w:rPr>
          <w:lang w:val="en-US"/>
        </w:rPr>
        <w:t>that a sunset clause be legislatively mandated unless the Australian Government presents a case for its renewal.</w:t>
      </w:r>
    </w:p>
    <w:p w14:paraId="58628F89" w14:textId="77777777" w:rsidR="00D23C53" w:rsidRPr="004D2738" w:rsidRDefault="00D23C53" w:rsidP="00D23C53">
      <w:pPr>
        <w:rPr>
          <w:rFonts w:ascii="Times" w:hAnsi="Times"/>
        </w:rPr>
      </w:pPr>
      <w:r w:rsidRPr="004D2738">
        <w:rPr>
          <w:lang w:val="en-US"/>
        </w:rPr>
        <w:t> </w:t>
      </w:r>
    </w:p>
    <w:p w14:paraId="1C2E1415" w14:textId="54AFD50B" w:rsidR="008C52F4" w:rsidRPr="004D2C63" w:rsidRDefault="004D2C63" w:rsidP="00E44EEA">
      <w:pPr>
        <w:jc w:val="both"/>
        <w:rPr>
          <w:b/>
          <w:lang w:val="en-US"/>
        </w:rPr>
      </w:pPr>
      <w:r w:rsidRPr="004D2C63">
        <w:rPr>
          <w:b/>
          <w:lang w:val="en-US"/>
        </w:rPr>
        <w:t>Summary</w:t>
      </w:r>
    </w:p>
    <w:p w14:paraId="0DB1AE21" w14:textId="1F84C397" w:rsidR="00197379" w:rsidRDefault="007605C3" w:rsidP="00197379">
      <w:pPr>
        <w:jc w:val="both"/>
        <w:rPr>
          <w:lang w:val="en-US"/>
        </w:rPr>
      </w:pPr>
      <w:r>
        <w:rPr>
          <w:lang w:val="en-US"/>
        </w:rPr>
        <w:t xml:space="preserve">In summary, TACLC urges the Committee to adopt a human rights approach to national security legislation through </w:t>
      </w:r>
      <w:r w:rsidR="004C6476">
        <w:rPr>
          <w:lang w:val="en-US"/>
        </w:rPr>
        <w:t>an assurance</w:t>
      </w:r>
      <w:r>
        <w:rPr>
          <w:lang w:val="en-US"/>
        </w:rPr>
        <w:t xml:space="preserve"> that any interfe</w:t>
      </w:r>
      <w:r w:rsidR="004C6476">
        <w:rPr>
          <w:lang w:val="en-US"/>
        </w:rPr>
        <w:t xml:space="preserve">rence with the right to privacy and other human rights </w:t>
      </w:r>
      <w:r>
        <w:rPr>
          <w:lang w:val="en-US"/>
        </w:rPr>
        <w:t>is ‘only permitted to the extent that it is necessary and proportionate to protect Australians from serious criminal offending’.</w:t>
      </w:r>
      <w:r>
        <w:rPr>
          <w:rStyle w:val="FootnoteReference"/>
          <w:lang w:val="en-US"/>
        </w:rPr>
        <w:footnoteReference w:id="12"/>
      </w:r>
      <w:r w:rsidR="004C6476">
        <w:rPr>
          <w:lang w:val="en-US"/>
        </w:rPr>
        <w:t xml:space="preserve"> In our view this approach would be in keeping with international human rights instruments to which Australia is a signatory, would provide an appropriate balance between the public interest in the protection of national security and the protection of individual human rights, and finally, would ensure that the risk of abuse of power was limited.    </w:t>
      </w:r>
    </w:p>
    <w:p w14:paraId="64F10BEC" w14:textId="77777777" w:rsidR="00F46499" w:rsidRDefault="00F46499" w:rsidP="00197379">
      <w:pPr>
        <w:jc w:val="both"/>
        <w:rPr>
          <w:lang w:val="en-US"/>
        </w:rPr>
      </w:pPr>
    </w:p>
    <w:p w14:paraId="638521BA" w14:textId="77777777" w:rsidR="00F46499" w:rsidRDefault="00F46499" w:rsidP="00F46499">
      <w:r w:rsidRPr="00B45FA9">
        <w:t xml:space="preserve">We thank you for your time in considering this submission. </w:t>
      </w:r>
    </w:p>
    <w:p w14:paraId="056BD4AF" w14:textId="77777777" w:rsidR="00F46499" w:rsidRDefault="00F46499" w:rsidP="00F46499"/>
    <w:p w14:paraId="14CAF792" w14:textId="77777777" w:rsidR="00F46499" w:rsidRPr="00B45FA9" w:rsidRDefault="00F46499" w:rsidP="00F46499">
      <w:r w:rsidRPr="00B45FA9">
        <w:t xml:space="preserve">Please do not hesitate to contact us if you have any queries or would like to discuss our submission further. </w:t>
      </w:r>
    </w:p>
    <w:p w14:paraId="49886625" w14:textId="77777777" w:rsidR="00F46499" w:rsidRDefault="00F46499" w:rsidP="00F46499"/>
    <w:p w14:paraId="10C36592" w14:textId="77777777" w:rsidR="00F46499" w:rsidRDefault="00F46499" w:rsidP="00F46499">
      <w:r>
        <w:t>Yours Faithfully,</w:t>
      </w:r>
    </w:p>
    <w:p w14:paraId="331C5A7F" w14:textId="77777777" w:rsidR="00F46499" w:rsidRDefault="00F46499" w:rsidP="00F46499"/>
    <w:p w14:paraId="61C88669" w14:textId="77777777" w:rsidR="00F46499" w:rsidRDefault="00F46499" w:rsidP="00F46499"/>
    <w:p w14:paraId="64D966E6" w14:textId="77777777" w:rsidR="00F46499" w:rsidRDefault="00F46499" w:rsidP="00F46499"/>
    <w:p w14:paraId="034D6FF5" w14:textId="77777777" w:rsidR="00F46499" w:rsidRDefault="00F46499" w:rsidP="00F46499">
      <w:r>
        <w:t>Benedict Bartl</w:t>
      </w:r>
    </w:p>
    <w:p w14:paraId="4CCCBAC8" w14:textId="77777777" w:rsidR="00F46499" w:rsidRDefault="00F46499" w:rsidP="00F46499">
      <w:r>
        <w:t>Policy Officer</w:t>
      </w:r>
    </w:p>
    <w:p w14:paraId="6FBA9222" w14:textId="474D3800" w:rsidR="00F46499" w:rsidRPr="00F46499" w:rsidRDefault="00F46499" w:rsidP="00F46499">
      <w:pPr>
        <w:pBdr>
          <w:bottom w:val="single" w:sz="6" w:space="1" w:color="auto"/>
        </w:pBdr>
      </w:pPr>
      <w:r>
        <w:t>Tasmanian Association of Community Legal Centres</w:t>
      </w:r>
      <w:bookmarkStart w:id="0" w:name="_GoBack"/>
      <w:bookmarkEnd w:id="0"/>
    </w:p>
    <w:p w14:paraId="6304C591" w14:textId="77777777" w:rsidR="003C0581" w:rsidRDefault="003C0581" w:rsidP="004D2738"/>
    <w:sectPr w:rsidR="003C0581" w:rsidSect="003C058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77141" w14:textId="77777777" w:rsidR="007605C3" w:rsidRDefault="007605C3" w:rsidP="003B3EF3">
      <w:r>
        <w:separator/>
      </w:r>
    </w:p>
  </w:endnote>
  <w:endnote w:type="continuationSeparator" w:id="0">
    <w:p w14:paraId="3E81A7E0" w14:textId="77777777" w:rsidR="007605C3" w:rsidRDefault="007605C3" w:rsidP="003B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w Cen MT Condensed">
    <w:altName w:val="Cochin"/>
    <w:charset w:val="00"/>
    <w:family w:val="swiss"/>
    <w:pitch w:val="variable"/>
    <w:sig w:usb0="00000007"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FranklinGothic-Book">
    <w:altName w:val="Franklin Gothic Book"/>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BDFE1" w14:textId="77777777" w:rsidR="007605C3" w:rsidRDefault="007605C3" w:rsidP="003B3EF3">
      <w:r>
        <w:separator/>
      </w:r>
    </w:p>
  </w:footnote>
  <w:footnote w:type="continuationSeparator" w:id="0">
    <w:p w14:paraId="3DC39771" w14:textId="77777777" w:rsidR="007605C3" w:rsidRDefault="007605C3" w:rsidP="003B3EF3">
      <w:r>
        <w:continuationSeparator/>
      </w:r>
    </w:p>
  </w:footnote>
  <w:footnote w:id="1">
    <w:p w14:paraId="08CFC7E9" w14:textId="77777777" w:rsidR="007605C3" w:rsidRPr="003B3EF3" w:rsidRDefault="007605C3" w:rsidP="00000C33">
      <w:pPr>
        <w:widowControl w:val="0"/>
        <w:autoSpaceDE w:val="0"/>
        <w:autoSpaceDN w:val="0"/>
        <w:adjustRightInd w:val="0"/>
        <w:rPr>
          <w:rFonts w:ascii="FranklinGothic-Book" w:hAnsi="FranklinGothic-Book" w:cs="FranklinGothic-Book"/>
          <w:i/>
          <w:iCs/>
          <w:sz w:val="15"/>
          <w:szCs w:val="15"/>
          <w:lang w:val="en-US"/>
        </w:rPr>
      </w:pPr>
      <w:r>
        <w:rPr>
          <w:rStyle w:val="FootnoteReference"/>
        </w:rPr>
        <w:footnoteRef/>
      </w:r>
      <w:r>
        <w:t xml:space="preserve"> </w:t>
      </w:r>
      <w:r w:rsidRPr="003B3EF3">
        <w:rPr>
          <w:rFonts w:cs="FranklinGothic-Book"/>
          <w:sz w:val="20"/>
          <w:szCs w:val="20"/>
          <w:lang w:val="en-US"/>
        </w:rPr>
        <w:t xml:space="preserve">Human Rights Committee, </w:t>
      </w:r>
      <w:r w:rsidRPr="003B3EF3">
        <w:rPr>
          <w:rFonts w:cs="FranklinGothic-Book"/>
          <w:i/>
          <w:iCs/>
          <w:sz w:val="20"/>
          <w:szCs w:val="20"/>
          <w:lang w:val="en-US"/>
        </w:rPr>
        <w:t xml:space="preserve">Consideration of Reports Submitted by States Parties under Article 40 of the Covenant: concluding observations of the Human Rights Committee—Australia </w:t>
      </w:r>
      <w:r w:rsidRPr="003B3EF3">
        <w:rPr>
          <w:rFonts w:cs="FranklinGothic-Book"/>
          <w:sz w:val="20"/>
          <w:szCs w:val="20"/>
          <w:lang w:val="en-US"/>
        </w:rPr>
        <w:t xml:space="preserve">(7 May 2009) </w:t>
      </w:r>
      <w:r>
        <w:rPr>
          <w:rFonts w:cs="FranklinGothic-Book"/>
          <w:sz w:val="20"/>
          <w:szCs w:val="20"/>
          <w:lang w:val="en-US"/>
        </w:rPr>
        <w:t xml:space="preserve">at </w:t>
      </w:r>
      <w:r w:rsidRPr="003B3EF3">
        <w:rPr>
          <w:rFonts w:cs="FranklinGothic-Book"/>
          <w:sz w:val="20"/>
          <w:szCs w:val="20"/>
          <w:lang w:val="en-US"/>
        </w:rPr>
        <w:t>[11].</w:t>
      </w:r>
    </w:p>
  </w:footnote>
  <w:footnote w:id="2">
    <w:p w14:paraId="2634DC76" w14:textId="77777777" w:rsidR="007605C3" w:rsidRPr="002A31A8" w:rsidRDefault="007605C3" w:rsidP="00000C33">
      <w:pPr>
        <w:pStyle w:val="FootnoteText"/>
        <w:rPr>
          <w:lang w:val="en-US"/>
        </w:rPr>
      </w:pPr>
      <w:r>
        <w:rPr>
          <w:rStyle w:val="FootnoteReference"/>
        </w:rPr>
        <w:footnoteRef/>
      </w:r>
      <w:r>
        <w:t xml:space="preserve"> </w:t>
      </w:r>
      <w:r w:rsidRPr="002A31A8">
        <w:rPr>
          <w:sz w:val="20"/>
          <w:szCs w:val="20"/>
          <w:lang w:val="en-US"/>
        </w:rPr>
        <w:t>See for example the Amnesty International and Gilbert + Tobin Centre of Public Law</w:t>
      </w:r>
      <w:r>
        <w:rPr>
          <w:sz w:val="20"/>
          <w:szCs w:val="20"/>
          <w:lang w:val="en-US"/>
        </w:rPr>
        <w:t xml:space="preserve"> submissions t</w:t>
      </w:r>
      <w:r w:rsidRPr="002A31A8">
        <w:rPr>
          <w:sz w:val="20"/>
          <w:szCs w:val="20"/>
          <w:lang w:val="en-US"/>
        </w:rPr>
        <w:t>o the National Human Rights Consultation Committee.</w:t>
      </w:r>
      <w:r>
        <w:rPr>
          <w:lang w:val="en-US"/>
        </w:rPr>
        <w:t xml:space="preserve">    </w:t>
      </w:r>
    </w:p>
  </w:footnote>
  <w:footnote w:id="3">
    <w:p w14:paraId="470F3E60" w14:textId="000BF68A" w:rsidR="007605C3" w:rsidRPr="000D086A" w:rsidRDefault="007605C3" w:rsidP="000D086A">
      <w:pPr>
        <w:jc w:val="both"/>
        <w:rPr>
          <w:lang w:val="en-US"/>
        </w:rPr>
      </w:pPr>
      <w:r>
        <w:rPr>
          <w:rStyle w:val="FootnoteReference"/>
        </w:rPr>
        <w:footnoteRef/>
      </w:r>
      <w:r>
        <w:t xml:space="preserve"> </w:t>
      </w:r>
      <w:r w:rsidRPr="000D086A">
        <w:rPr>
          <w:rFonts w:cs="Times New Roman"/>
          <w:sz w:val="20"/>
          <w:szCs w:val="20"/>
          <w:lang w:val="en-US"/>
        </w:rPr>
        <w:t xml:space="preserve">Sections 5D(2)-(3) and 46(1)(d) of the </w:t>
      </w:r>
      <w:r w:rsidRPr="000D086A">
        <w:rPr>
          <w:bCs/>
          <w:i/>
          <w:iCs/>
          <w:sz w:val="20"/>
          <w:szCs w:val="20"/>
          <w:lang w:val="en-US"/>
        </w:rPr>
        <w:t xml:space="preserve">Telecommunications (Interceptions and Access) Act 1979 </w:t>
      </w:r>
      <w:r w:rsidRPr="000D086A">
        <w:rPr>
          <w:bCs/>
          <w:iCs/>
          <w:sz w:val="20"/>
          <w:szCs w:val="20"/>
          <w:lang w:val="en-US"/>
        </w:rPr>
        <w:t>(</w:t>
      </w:r>
      <w:proofErr w:type="spellStart"/>
      <w:r w:rsidRPr="000D086A">
        <w:rPr>
          <w:bCs/>
          <w:iCs/>
          <w:sz w:val="20"/>
          <w:szCs w:val="20"/>
          <w:lang w:val="en-US"/>
        </w:rPr>
        <w:t>Cth</w:t>
      </w:r>
      <w:proofErr w:type="spellEnd"/>
      <w:r w:rsidRPr="000D086A">
        <w:rPr>
          <w:bCs/>
          <w:iCs/>
          <w:sz w:val="20"/>
          <w:szCs w:val="20"/>
          <w:lang w:val="en-US"/>
        </w:rPr>
        <w:t>)</w:t>
      </w:r>
      <w:r w:rsidRPr="000D086A">
        <w:rPr>
          <w:rFonts w:cs="Times New Roman"/>
          <w:sz w:val="20"/>
          <w:szCs w:val="20"/>
          <w:lang w:val="en-US"/>
        </w:rPr>
        <w:t>.</w:t>
      </w:r>
      <w:r>
        <w:rPr>
          <w:rFonts w:ascii="Times New Roman" w:hAnsi="Times New Roman" w:cs="Times New Roman"/>
          <w:lang w:val="en-US"/>
        </w:rPr>
        <w:t xml:space="preserve"> </w:t>
      </w:r>
    </w:p>
  </w:footnote>
  <w:footnote w:id="4">
    <w:p w14:paraId="1AA76960" w14:textId="08A6F723" w:rsidR="007605C3" w:rsidRPr="000D086A" w:rsidRDefault="007605C3">
      <w:pPr>
        <w:pStyle w:val="FootnoteText"/>
        <w:rPr>
          <w:lang w:val="en-US"/>
        </w:rPr>
      </w:pPr>
      <w:r>
        <w:rPr>
          <w:rStyle w:val="FootnoteReference"/>
        </w:rPr>
        <w:footnoteRef/>
      </w:r>
      <w:r>
        <w:t xml:space="preserve"> </w:t>
      </w:r>
      <w:r w:rsidRPr="000D086A">
        <w:rPr>
          <w:rFonts w:cs="Times New Roman"/>
          <w:sz w:val="20"/>
          <w:szCs w:val="20"/>
          <w:lang w:val="en-US"/>
        </w:rPr>
        <w:t>Sections</w:t>
      </w:r>
      <w:r>
        <w:rPr>
          <w:rFonts w:cs="Times New Roman"/>
          <w:sz w:val="20"/>
          <w:szCs w:val="20"/>
          <w:lang w:val="en-US"/>
        </w:rPr>
        <w:t xml:space="preserve"> 5E</w:t>
      </w:r>
      <w:r w:rsidRPr="000D086A">
        <w:rPr>
          <w:rFonts w:cs="Times New Roman"/>
          <w:sz w:val="20"/>
          <w:szCs w:val="20"/>
          <w:lang w:val="en-US"/>
        </w:rPr>
        <w:t xml:space="preserve"> and </w:t>
      </w:r>
      <w:r>
        <w:rPr>
          <w:rFonts w:cs="Times New Roman"/>
          <w:sz w:val="20"/>
          <w:szCs w:val="20"/>
          <w:lang w:val="en-US"/>
        </w:rPr>
        <w:t>116</w:t>
      </w:r>
      <w:r w:rsidRPr="000D086A">
        <w:rPr>
          <w:rFonts w:cs="Times New Roman"/>
          <w:sz w:val="20"/>
          <w:szCs w:val="20"/>
          <w:lang w:val="en-US"/>
        </w:rPr>
        <w:t xml:space="preserve">(1)(d) of the </w:t>
      </w:r>
      <w:r w:rsidRPr="000D086A">
        <w:rPr>
          <w:bCs/>
          <w:i/>
          <w:iCs/>
          <w:sz w:val="20"/>
          <w:szCs w:val="20"/>
          <w:lang w:val="en-US"/>
        </w:rPr>
        <w:t xml:space="preserve">Telecommunications (Interceptions and Access) Act 1979 </w:t>
      </w:r>
      <w:r w:rsidRPr="000D086A">
        <w:rPr>
          <w:bCs/>
          <w:iCs/>
          <w:sz w:val="20"/>
          <w:szCs w:val="20"/>
          <w:lang w:val="en-US"/>
        </w:rPr>
        <w:t>(</w:t>
      </w:r>
      <w:proofErr w:type="spellStart"/>
      <w:r w:rsidRPr="000D086A">
        <w:rPr>
          <w:bCs/>
          <w:iCs/>
          <w:sz w:val="20"/>
          <w:szCs w:val="20"/>
          <w:lang w:val="en-US"/>
        </w:rPr>
        <w:t>Cth</w:t>
      </w:r>
      <w:proofErr w:type="spellEnd"/>
      <w:r w:rsidRPr="000D086A">
        <w:rPr>
          <w:bCs/>
          <w:iCs/>
          <w:sz w:val="20"/>
          <w:szCs w:val="20"/>
          <w:lang w:val="en-US"/>
        </w:rPr>
        <w:t>)</w:t>
      </w:r>
      <w:r w:rsidRPr="000D086A">
        <w:rPr>
          <w:rFonts w:cs="Times New Roman"/>
          <w:sz w:val="20"/>
          <w:szCs w:val="20"/>
          <w:lang w:val="en-US"/>
        </w:rPr>
        <w:t>.</w:t>
      </w:r>
    </w:p>
  </w:footnote>
  <w:footnote w:id="5">
    <w:p w14:paraId="2B48DD3A" w14:textId="503C11C7" w:rsidR="00C86EEC" w:rsidRPr="00C86EEC" w:rsidRDefault="00C86EEC">
      <w:pPr>
        <w:pStyle w:val="FootnoteText"/>
        <w:rPr>
          <w:lang w:val="en-US"/>
        </w:rPr>
      </w:pPr>
      <w:r>
        <w:rPr>
          <w:rStyle w:val="FootnoteReference"/>
        </w:rPr>
        <w:footnoteRef/>
      </w:r>
      <w:r>
        <w:t xml:space="preserve"> </w:t>
      </w:r>
      <w:proofErr w:type="gramStart"/>
      <w:r>
        <w:rPr>
          <w:rFonts w:cs="Times New Roman"/>
          <w:sz w:val="20"/>
          <w:szCs w:val="20"/>
          <w:lang w:val="en-US"/>
        </w:rPr>
        <w:t>Section 46</w:t>
      </w:r>
      <w:r w:rsidRPr="000D086A">
        <w:rPr>
          <w:rFonts w:cs="Times New Roman"/>
          <w:sz w:val="20"/>
          <w:szCs w:val="20"/>
          <w:lang w:val="en-US"/>
        </w:rPr>
        <w:t xml:space="preserve"> of the </w:t>
      </w:r>
      <w:r w:rsidRPr="000D086A">
        <w:rPr>
          <w:bCs/>
          <w:i/>
          <w:iCs/>
          <w:sz w:val="20"/>
          <w:szCs w:val="20"/>
          <w:lang w:val="en-US"/>
        </w:rPr>
        <w:t xml:space="preserve">Telecommunications (Interceptions and Access) Act 1979 </w:t>
      </w:r>
      <w:r w:rsidRPr="000D086A">
        <w:rPr>
          <w:bCs/>
          <w:iCs/>
          <w:sz w:val="20"/>
          <w:szCs w:val="20"/>
          <w:lang w:val="en-US"/>
        </w:rPr>
        <w:t>(</w:t>
      </w:r>
      <w:proofErr w:type="spellStart"/>
      <w:r w:rsidRPr="000D086A">
        <w:rPr>
          <w:bCs/>
          <w:iCs/>
          <w:sz w:val="20"/>
          <w:szCs w:val="20"/>
          <w:lang w:val="en-US"/>
        </w:rPr>
        <w:t>Cth</w:t>
      </w:r>
      <w:proofErr w:type="spellEnd"/>
      <w:r w:rsidRPr="000D086A">
        <w:rPr>
          <w:bCs/>
          <w:iCs/>
          <w:sz w:val="20"/>
          <w:szCs w:val="20"/>
          <w:lang w:val="en-US"/>
        </w:rPr>
        <w:t>)</w:t>
      </w:r>
      <w:r w:rsidRPr="000D086A">
        <w:rPr>
          <w:rFonts w:cs="Times New Roman"/>
          <w:sz w:val="20"/>
          <w:szCs w:val="20"/>
          <w:lang w:val="en-US"/>
        </w:rPr>
        <w:t>.</w:t>
      </w:r>
      <w:proofErr w:type="gramEnd"/>
    </w:p>
  </w:footnote>
  <w:footnote w:id="6">
    <w:p w14:paraId="74DC4F7F" w14:textId="1198BCFC" w:rsidR="001B3F11" w:rsidRPr="001B3F11" w:rsidRDefault="001B3F11">
      <w:pPr>
        <w:pStyle w:val="FootnoteText"/>
        <w:rPr>
          <w:lang w:val="en-US"/>
        </w:rPr>
      </w:pPr>
      <w:r>
        <w:rPr>
          <w:rStyle w:val="FootnoteReference"/>
        </w:rPr>
        <w:footnoteRef/>
      </w:r>
      <w:r>
        <w:t xml:space="preserve"> </w:t>
      </w:r>
      <w:r>
        <w:rPr>
          <w:rFonts w:cs="Times New Roman"/>
          <w:sz w:val="20"/>
          <w:szCs w:val="20"/>
          <w:lang w:val="en-US"/>
        </w:rPr>
        <w:t>Section 46A</w:t>
      </w:r>
      <w:r w:rsidRPr="000D086A">
        <w:rPr>
          <w:rFonts w:cs="Times New Roman"/>
          <w:sz w:val="20"/>
          <w:szCs w:val="20"/>
          <w:lang w:val="en-US"/>
        </w:rPr>
        <w:t xml:space="preserve"> of the </w:t>
      </w:r>
      <w:r w:rsidRPr="000D086A">
        <w:rPr>
          <w:bCs/>
          <w:i/>
          <w:iCs/>
          <w:sz w:val="20"/>
          <w:szCs w:val="20"/>
          <w:lang w:val="en-US"/>
        </w:rPr>
        <w:t xml:space="preserve">Telecommunications (Interceptions and Access) Act 1979 </w:t>
      </w:r>
      <w:r w:rsidRPr="000D086A">
        <w:rPr>
          <w:bCs/>
          <w:iCs/>
          <w:sz w:val="20"/>
          <w:szCs w:val="20"/>
          <w:lang w:val="en-US"/>
        </w:rPr>
        <w:t>(</w:t>
      </w:r>
      <w:proofErr w:type="spellStart"/>
      <w:r w:rsidRPr="000D086A">
        <w:rPr>
          <w:bCs/>
          <w:iCs/>
          <w:sz w:val="20"/>
          <w:szCs w:val="20"/>
          <w:lang w:val="en-US"/>
        </w:rPr>
        <w:t>Cth</w:t>
      </w:r>
      <w:proofErr w:type="spellEnd"/>
      <w:r w:rsidRPr="000D086A">
        <w:rPr>
          <w:bCs/>
          <w:iCs/>
          <w:sz w:val="20"/>
          <w:szCs w:val="20"/>
          <w:lang w:val="en-US"/>
        </w:rPr>
        <w:t>)</w:t>
      </w:r>
      <w:r w:rsidRPr="000D086A">
        <w:rPr>
          <w:rFonts w:cs="Times New Roman"/>
          <w:sz w:val="20"/>
          <w:szCs w:val="20"/>
          <w:lang w:val="en-US"/>
        </w:rPr>
        <w:t>.</w:t>
      </w:r>
    </w:p>
  </w:footnote>
  <w:footnote w:id="7">
    <w:p w14:paraId="72C64F83" w14:textId="2C76E1D6" w:rsidR="00E9654A" w:rsidRPr="00E9654A" w:rsidRDefault="00E9654A">
      <w:pPr>
        <w:pStyle w:val="FootnoteText"/>
        <w:rPr>
          <w:lang w:val="en-US"/>
        </w:rPr>
      </w:pPr>
      <w:r>
        <w:rPr>
          <w:rStyle w:val="FootnoteReference"/>
        </w:rPr>
        <w:footnoteRef/>
      </w:r>
      <w:r>
        <w:t xml:space="preserve"> </w:t>
      </w:r>
      <w:proofErr w:type="gramStart"/>
      <w:r w:rsidRPr="00E9654A">
        <w:rPr>
          <w:sz w:val="20"/>
          <w:szCs w:val="20"/>
          <w:lang w:val="en-US"/>
        </w:rPr>
        <w:t xml:space="preserve">Sections 25 and </w:t>
      </w:r>
      <w:r w:rsidR="00507A1E">
        <w:rPr>
          <w:sz w:val="20"/>
          <w:szCs w:val="20"/>
          <w:lang w:val="en-US"/>
        </w:rPr>
        <w:t xml:space="preserve">25A </w:t>
      </w:r>
      <w:r w:rsidRPr="00E9654A">
        <w:rPr>
          <w:sz w:val="20"/>
          <w:szCs w:val="20"/>
          <w:lang w:val="en-US"/>
        </w:rPr>
        <w:t xml:space="preserve">of the </w:t>
      </w:r>
      <w:r w:rsidRPr="00E9654A">
        <w:rPr>
          <w:i/>
          <w:sz w:val="20"/>
          <w:szCs w:val="20"/>
          <w:lang w:val="en-US"/>
        </w:rPr>
        <w:t xml:space="preserve">Australian Security Intelligence </w:t>
      </w:r>
      <w:proofErr w:type="spellStart"/>
      <w:r w:rsidRPr="00E9654A">
        <w:rPr>
          <w:i/>
          <w:sz w:val="20"/>
          <w:szCs w:val="20"/>
          <w:lang w:val="en-US"/>
        </w:rPr>
        <w:t>Organisation</w:t>
      </w:r>
      <w:proofErr w:type="spellEnd"/>
      <w:r w:rsidRPr="00E9654A">
        <w:rPr>
          <w:i/>
          <w:sz w:val="20"/>
          <w:szCs w:val="20"/>
          <w:lang w:val="en-US"/>
        </w:rPr>
        <w:t xml:space="preserve"> Act 1979</w:t>
      </w:r>
      <w:r w:rsidRPr="00E9654A">
        <w:rPr>
          <w:sz w:val="20"/>
          <w:szCs w:val="20"/>
          <w:lang w:val="en-US"/>
        </w:rPr>
        <w:t xml:space="preserve"> (</w:t>
      </w:r>
      <w:proofErr w:type="spellStart"/>
      <w:r w:rsidRPr="00E9654A">
        <w:rPr>
          <w:sz w:val="20"/>
          <w:szCs w:val="20"/>
          <w:lang w:val="en-US"/>
        </w:rPr>
        <w:t>Cth</w:t>
      </w:r>
      <w:proofErr w:type="spellEnd"/>
      <w:r w:rsidRPr="00E9654A">
        <w:rPr>
          <w:sz w:val="20"/>
          <w:szCs w:val="20"/>
          <w:lang w:val="en-US"/>
        </w:rPr>
        <w:t>).</w:t>
      </w:r>
      <w:proofErr w:type="gramEnd"/>
      <w:r>
        <w:rPr>
          <w:lang w:val="en-US"/>
        </w:rPr>
        <w:t xml:space="preserve"> </w:t>
      </w:r>
    </w:p>
  </w:footnote>
  <w:footnote w:id="8">
    <w:p w14:paraId="208A3414" w14:textId="70656790" w:rsidR="00507A1E" w:rsidRPr="00507A1E" w:rsidRDefault="00507A1E">
      <w:pPr>
        <w:pStyle w:val="FootnoteText"/>
        <w:rPr>
          <w:lang w:val="en-US"/>
        </w:rPr>
      </w:pPr>
      <w:r>
        <w:rPr>
          <w:rStyle w:val="FootnoteReference"/>
        </w:rPr>
        <w:footnoteRef/>
      </w:r>
      <w:r>
        <w:t xml:space="preserve"> </w:t>
      </w:r>
      <w:proofErr w:type="gramStart"/>
      <w:r w:rsidRPr="00E9654A">
        <w:rPr>
          <w:sz w:val="20"/>
          <w:szCs w:val="20"/>
          <w:lang w:val="en-US"/>
        </w:rPr>
        <w:t>Sections</w:t>
      </w:r>
      <w:r>
        <w:rPr>
          <w:sz w:val="20"/>
          <w:szCs w:val="20"/>
          <w:lang w:val="en-US"/>
        </w:rPr>
        <w:t xml:space="preserve"> 26</w:t>
      </w:r>
      <w:r w:rsidR="00FC4C82">
        <w:rPr>
          <w:sz w:val="20"/>
          <w:szCs w:val="20"/>
          <w:lang w:val="en-US"/>
        </w:rPr>
        <w:t xml:space="preserve">, 26A, </w:t>
      </w:r>
      <w:r w:rsidR="00AF77A0">
        <w:rPr>
          <w:sz w:val="20"/>
          <w:szCs w:val="20"/>
          <w:lang w:val="en-US"/>
        </w:rPr>
        <w:t>27</w:t>
      </w:r>
      <w:r>
        <w:rPr>
          <w:sz w:val="20"/>
          <w:szCs w:val="20"/>
          <w:lang w:val="en-US"/>
        </w:rPr>
        <w:t xml:space="preserve"> </w:t>
      </w:r>
      <w:r w:rsidR="00FC4C82">
        <w:rPr>
          <w:sz w:val="20"/>
          <w:szCs w:val="20"/>
          <w:lang w:val="en-US"/>
        </w:rPr>
        <w:t xml:space="preserve">and 27AA </w:t>
      </w:r>
      <w:r w:rsidRPr="00E9654A">
        <w:rPr>
          <w:sz w:val="20"/>
          <w:szCs w:val="20"/>
          <w:lang w:val="en-US"/>
        </w:rPr>
        <w:t xml:space="preserve">of the </w:t>
      </w:r>
      <w:r w:rsidRPr="00E9654A">
        <w:rPr>
          <w:i/>
          <w:sz w:val="20"/>
          <w:szCs w:val="20"/>
          <w:lang w:val="en-US"/>
        </w:rPr>
        <w:t xml:space="preserve">Australian Security Intelligence </w:t>
      </w:r>
      <w:proofErr w:type="spellStart"/>
      <w:r w:rsidRPr="00E9654A">
        <w:rPr>
          <w:i/>
          <w:sz w:val="20"/>
          <w:szCs w:val="20"/>
          <w:lang w:val="en-US"/>
        </w:rPr>
        <w:t>Organisation</w:t>
      </w:r>
      <w:proofErr w:type="spellEnd"/>
      <w:r w:rsidRPr="00E9654A">
        <w:rPr>
          <w:i/>
          <w:sz w:val="20"/>
          <w:szCs w:val="20"/>
          <w:lang w:val="en-US"/>
        </w:rPr>
        <w:t xml:space="preserve"> Act 1979</w:t>
      </w:r>
      <w:r w:rsidRPr="00E9654A">
        <w:rPr>
          <w:sz w:val="20"/>
          <w:szCs w:val="20"/>
          <w:lang w:val="en-US"/>
        </w:rPr>
        <w:t xml:space="preserve"> (</w:t>
      </w:r>
      <w:proofErr w:type="spellStart"/>
      <w:r w:rsidRPr="00E9654A">
        <w:rPr>
          <w:sz w:val="20"/>
          <w:szCs w:val="20"/>
          <w:lang w:val="en-US"/>
        </w:rPr>
        <w:t>Cth</w:t>
      </w:r>
      <w:proofErr w:type="spellEnd"/>
      <w:r w:rsidRPr="00E9654A">
        <w:rPr>
          <w:sz w:val="20"/>
          <w:szCs w:val="20"/>
          <w:lang w:val="en-US"/>
        </w:rPr>
        <w:t>).</w:t>
      </w:r>
      <w:proofErr w:type="gramEnd"/>
    </w:p>
  </w:footnote>
  <w:footnote w:id="9">
    <w:p w14:paraId="3DFBBB8C" w14:textId="4DED2D55" w:rsidR="007605C3" w:rsidRPr="002D6999" w:rsidRDefault="007605C3">
      <w:pPr>
        <w:pStyle w:val="FootnoteText"/>
        <w:rPr>
          <w:lang w:val="en-US"/>
        </w:rPr>
      </w:pPr>
      <w:r>
        <w:rPr>
          <w:rStyle w:val="FootnoteReference"/>
        </w:rPr>
        <w:footnoteRef/>
      </w:r>
      <w:r>
        <w:t xml:space="preserve"> </w:t>
      </w:r>
      <w:proofErr w:type="gramStart"/>
      <w:r w:rsidRPr="002A31A8">
        <w:rPr>
          <w:sz w:val="20"/>
          <w:szCs w:val="20"/>
          <w:lang w:val="en-US"/>
        </w:rPr>
        <w:t>Gilbert + Tobin Centre of Public Law</w:t>
      </w:r>
      <w:r>
        <w:rPr>
          <w:sz w:val="20"/>
          <w:szCs w:val="20"/>
          <w:lang w:val="en-US"/>
        </w:rPr>
        <w:t xml:space="preserve"> submission at 11.</w:t>
      </w:r>
      <w:proofErr w:type="gramEnd"/>
    </w:p>
  </w:footnote>
  <w:footnote w:id="10">
    <w:p w14:paraId="1DC1CE6C" w14:textId="347EF54D" w:rsidR="007605C3" w:rsidRPr="0041722B" w:rsidRDefault="007605C3">
      <w:pPr>
        <w:pStyle w:val="FootnoteText"/>
        <w:rPr>
          <w:lang w:val="en-US"/>
        </w:rPr>
      </w:pPr>
      <w:r>
        <w:rPr>
          <w:rStyle w:val="FootnoteReference"/>
        </w:rPr>
        <w:footnoteRef/>
      </w:r>
      <w:r>
        <w:t xml:space="preserve"> </w:t>
      </w:r>
      <w:proofErr w:type="gramStart"/>
      <w:r w:rsidRPr="002A31A8">
        <w:rPr>
          <w:sz w:val="20"/>
          <w:szCs w:val="20"/>
          <w:lang w:val="en-US"/>
        </w:rPr>
        <w:t>Gilbert + Tobin Centre of Public Law</w:t>
      </w:r>
      <w:r>
        <w:rPr>
          <w:sz w:val="20"/>
          <w:szCs w:val="20"/>
          <w:lang w:val="en-US"/>
        </w:rPr>
        <w:t xml:space="preserve"> submission at 11.</w:t>
      </w:r>
      <w:proofErr w:type="gramEnd"/>
    </w:p>
  </w:footnote>
  <w:footnote w:id="11">
    <w:p w14:paraId="0C39F78A" w14:textId="700C1B82" w:rsidR="007605C3" w:rsidRPr="007C152A" w:rsidRDefault="007605C3">
      <w:pPr>
        <w:pStyle w:val="FootnoteText"/>
        <w:rPr>
          <w:lang w:val="en-US"/>
        </w:rPr>
      </w:pPr>
      <w:r>
        <w:rPr>
          <w:rStyle w:val="FootnoteReference"/>
        </w:rPr>
        <w:footnoteRef/>
      </w:r>
      <w:r>
        <w:t xml:space="preserve"> </w:t>
      </w:r>
      <w:proofErr w:type="gramStart"/>
      <w:r w:rsidRPr="002A31A8">
        <w:rPr>
          <w:sz w:val="20"/>
          <w:szCs w:val="20"/>
          <w:lang w:val="en-US"/>
        </w:rPr>
        <w:t>Gilbert + Tobin Centre of Public Law</w:t>
      </w:r>
      <w:r>
        <w:rPr>
          <w:sz w:val="20"/>
          <w:szCs w:val="20"/>
          <w:lang w:val="en-US"/>
        </w:rPr>
        <w:t xml:space="preserve"> submission at 15-16.</w:t>
      </w:r>
      <w:proofErr w:type="gramEnd"/>
    </w:p>
  </w:footnote>
  <w:footnote w:id="12">
    <w:p w14:paraId="7946396E" w14:textId="1A230A6A" w:rsidR="007605C3" w:rsidRPr="007605C3" w:rsidRDefault="007605C3">
      <w:pPr>
        <w:pStyle w:val="FootnoteText"/>
        <w:rPr>
          <w:lang w:val="en-US"/>
        </w:rPr>
      </w:pPr>
      <w:r>
        <w:rPr>
          <w:rStyle w:val="FootnoteReference"/>
        </w:rPr>
        <w:footnoteRef/>
      </w:r>
      <w:r>
        <w:t xml:space="preserve"> </w:t>
      </w:r>
      <w:proofErr w:type="gramStart"/>
      <w:r w:rsidRPr="002A31A8">
        <w:rPr>
          <w:sz w:val="20"/>
          <w:szCs w:val="20"/>
          <w:lang w:val="en-US"/>
        </w:rPr>
        <w:t>Gilbert + Tobin Centre of Public Law</w:t>
      </w:r>
      <w:r>
        <w:rPr>
          <w:sz w:val="20"/>
          <w:szCs w:val="20"/>
          <w:lang w:val="en-US"/>
        </w:rPr>
        <w:t xml:space="preserve"> submission at 6.</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38"/>
    <w:rsid w:val="00000C33"/>
    <w:rsid w:val="00012AD0"/>
    <w:rsid w:val="000301E4"/>
    <w:rsid w:val="00071053"/>
    <w:rsid w:val="000D086A"/>
    <w:rsid w:val="001721A7"/>
    <w:rsid w:val="00194F32"/>
    <w:rsid w:val="00197379"/>
    <w:rsid w:val="001B3F11"/>
    <w:rsid w:val="001D2101"/>
    <w:rsid w:val="001D3672"/>
    <w:rsid w:val="0024210A"/>
    <w:rsid w:val="002A31A8"/>
    <w:rsid w:val="002D6999"/>
    <w:rsid w:val="003030E7"/>
    <w:rsid w:val="00313CB9"/>
    <w:rsid w:val="003B3EF3"/>
    <w:rsid w:val="003C0581"/>
    <w:rsid w:val="0041722B"/>
    <w:rsid w:val="00422FFA"/>
    <w:rsid w:val="004C3EFB"/>
    <w:rsid w:val="004C6476"/>
    <w:rsid w:val="004D2738"/>
    <w:rsid w:val="004D2C63"/>
    <w:rsid w:val="00507A1E"/>
    <w:rsid w:val="00543A1D"/>
    <w:rsid w:val="005E28AC"/>
    <w:rsid w:val="005F5E34"/>
    <w:rsid w:val="005F674C"/>
    <w:rsid w:val="0063740D"/>
    <w:rsid w:val="006A187B"/>
    <w:rsid w:val="006F46BA"/>
    <w:rsid w:val="006F604E"/>
    <w:rsid w:val="00717508"/>
    <w:rsid w:val="007605C3"/>
    <w:rsid w:val="007641E8"/>
    <w:rsid w:val="007B2BFA"/>
    <w:rsid w:val="007C152A"/>
    <w:rsid w:val="008332B6"/>
    <w:rsid w:val="008C2B36"/>
    <w:rsid w:val="008C52F4"/>
    <w:rsid w:val="008E0D0D"/>
    <w:rsid w:val="008F627B"/>
    <w:rsid w:val="009362A7"/>
    <w:rsid w:val="009618AC"/>
    <w:rsid w:val="00974B59"/>
    <w:rsid w:val="009C5DDF"/>
    <w:rsid w:val="00A16D19"/>
    <w:rsid w:val="00A87FBC"/>
    <w:rsid w:val="00AD1C44"/>
    <w:rsid w:val="00AF32A6"/>
    <w:rsid w:val="00AF77A0"/>
    <w:rsid w:val="00B10671"/>
    <w:rsid w:val="00B13B23"/>
    <w:rsid w:val="00BA101A"/>
    <w:rsid w:val="00C26AFA"/>
    <w:rsid w:val="00C35166"/>
    <w:rsid w:val="00C36E6A"/>
    <w:rsid w:val="00C86EEC"/>
    <w:rsid w:val="00CD7A1D"/>
    <w:rsid w:val="00D23C53"/>
    <w:rsid w:val="00D37D5E"/>
    <w:rsid w:val="00D644FE"/>
    <w:rsid w:val="00D81D13"/>
    <w:rsid w:val="00E44EEA"/>
    <w:rsid w:val="00E73D0A"/>
    <w:rsid w:val="00E76FB7"/>
    <w:rsid w:val="00E9654A"/>
    <w:rsid w:val="00F065EE"/>
    <w:rsid w:val="00F13FE1"/>
    <w:rsid w:val="00F46499"/>
    <w:rsid w:val="00F851F9"/>
    <w:rsid w:val="00F9486F"/>
    <w:rsid w:val="00FC4C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F10F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738"/>
    <w:rPr>
      <w:rFonts w:ascii="Lucida Grande" w:hAnsi="Lucida Grande" w:cs="Lucida Grande"/>
      <w:sz w:val="18"/>
      <w:szCs w:val="18"/>
    </w:rPr>
  </w:style>
  <w:style w:type="paragraph" w:styleId="FootnoteText">
    <w:name w:val="footnote text"/>
    <w:basedOn w:val="Normal"/>
    <w:link w:val="FootnoteTextChar"/>
    <w:uiPriority w:val="99"/>
    <w:unhideWhenUsed/>
    <w:rsid w:val="003B3EF3"/>
  </w:style>
  <w:style w:type="character" w:customStyle="1" w:styleId="FootnoteTextChar">
    <w:name w:val="Footnote Text Char"/>
    <w:basedOn w:val="DefaultParagraphFont"/>
    <w:link w:val="FootnoteText"/>
    <w:uiPriority w:val="99"/>
    <w:rsid w:val="003B3EF3"/>
  </w:style>
  <w:style w:type="character" w:styleId="FootnoteReference">
    <w:name w:val="footnote reference"/>
    <w:basedOn w:val="DefaultParagraphFont"/>
    <w:uiPriority w:val="99"/>
    <w:unhideWhenUsed/>
    <w:rsid w:val="003B3EF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738"/>
    <w:rPr>
      <w:rFonts w:ascii="Lucida Grande" w:hAnsi="Lucida Grande" w:cs="Lucida Grande"/>
      <w:sz w:val="18"/>
      <w:szCs w:val="18"/>
    </w:rPr>
  </w:style>
  <w:style w:type="paragraph" w:styleId="FootnoteText">
    <w:name w:val="footnote text"/>
    <w:basedOn w:val="Normal"/>
    <w:link w:val="FootnoteTextChar"/>
    <w:uiPriority w:val="99"/>
    <w:unhideWhenUsed/>
    <w:rsid w:val="003B3EF3"/>
  </w:style>
  <w:style w:type="character" w:customStyle="1" w:styleId="FootnoteTextChar">
    <w:name w:val="Footnote Text Char"/>
    <w:basedOn w:val="DefaultParagraphFont"/>
    <w:link w:val="FootnoteText"/>
    <w:uiPriority w:val="99"/>
    <w:rsid w:val="003B3EF3"/>
  </w:style>
  <w:style w:type="character" w:styleId="FootnoteReference">
    <w:name w:val="footnote reference"/>
    <w:basedOn w:val="DefaultParagraphFont"/>
    <w:uiPriority w:val="99"/>
    <w:unhideWhenUsed/>
    <w:rsid w:val="003B3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9059">
      <w:bodyDiv w:val="1"/>
      <w:marLeft w:val="0"/>
      <w:marRight w:val="0"/>
      <w:marTop w:val="0"/>
      <w:marBottom w:val="0"/>
      <w:divBdr>
        <w:top w:val="none" w:sz="0" w:space="0" w:color="auto"/>
        <w:left w:val="none" w:sz="0" w:space="0" w:color="auto"/>
        <w:bottom w:val="none" w:sz="0" w:space="0" w:color="auto"/>
        <w:right w:val="none" w:sz="0" w:space="0" w:color="auto"/>
      </w:divBdr>
      <w:divsChild>
        <w:div w:id="657030510">
          <w:marLeft w:val="0"/>
          <w:marRight w:val="0"/>
          <w:marTop w:val="0"/>
          <w:marBottom w:val="0"/>
          <w:divBdr>
            <w:top w:val="none" w:sz="0" w:space="0" w:color="auto"/>
            <w:left w:val="none" w:sz="0" w:space="0" w:color="auto"/>
            <w:bottom w:val="single" w:sz="6" w:space="1"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1907</Words>
  <Characters>10075</Characters>
  <Application>Microsoft Macintosh Word</Application>
  <DocSecurity>0</DocSecurity>
  <Lines>193</Lines>
  <Paragraphs>41</Paragraphs>
  <ScaleCrop>false</ScaleCrop>
  <Company>tenants union</Company>
  <LinksUpToDate>false</LinksUpToDate>
  <CharactersWithSpaces>11941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2</cp:revision>
  <cp:lastPrinted>2012-08-21T22:18:00Z</cp:lastPrinted>
  <dcterms:created xsi:type="dcterms:W3CDTF">2012-08-27T06:54:00Z</dcterms:created>
  <dcterms:modified xsi:type="dcterms:W3CDTF">2012-08-27T06:54:00Z</dcterms:modified>
</cp:coreProperties>
</file>